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Default Extension="jpeg" ContentType="image/jpeg"/>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pStyle w:val="Heading3"/>
        <w:ind w:left="144"/>
        <w:jc w:val="center"/>
      </w:pPr>
      <w:r>
        <w:rPr/>
        <w:t>UNIVERSIDAD AUTÓNOMA DEL ESTADO DE  MÉXICO</w:t>
      </w:r>
    </w:p>
    <w:p>
      <w:pPr>
        <w:pStyle w:val="BodyText"/>
        <w:rPr>
          <w:b/>
          <w:sz w:val="22"/>
        </w:rPr>
      </w:pPr>
    </w:p>
    <w:p>
      <w:pPr>
        <w:pStyle w:val="BodyText"/>
        <w:spacing w:before="1"/>
        <w:rPr>
          <w:b/>
          <w:sz w:val="25"/>
        </w:rPr>
      </w:pPr>
    </w:p>
    <w:p>
      <w:pPr>
        <w:spacing w:before="0"/>
        <w:ind w:left="143" w:right="0" w:firstLine="0"/>
        <w:jc w:val="center"/>
        <w:rPr>
          <w:b/>
          <w:sz w:val="23"/>
        </w:rPr>
      </w:pPr>
      <w:r>
        <w:rPr>
          <w:b/>
          <w:sz w:val="23"/>
        </w:rPr>
        <w:t>FACULTAD  DE LENGUAS</w:t>
      </w:r>
    </w:p>
    <w:p>
      <w:pPr>
        <w:pStyle w:val="BodyText"/>
        <w:rPr>
          <w:b/>
          <w:sz w:val="20"/>
        </w:rPr>
      </w:pPr>
    </w:p>
    <w:p>
      <w:pPr>
        <w:pStyle w:val="BodyText"/>
        <w:spacing w:before="6"/>
        <w:rPr>
          <w:b/>
          <w:sz w:val="29"/>
        </w:rPr>
      </w:pPr>
      <w:r>
        <w:rPr/>
        <w:drawing>
          <wp:anchor distT="0" distB="0" distL="0" distR="0" allowOverlap="1" layoutInCell="1" locked="0" behindDoc="0" simplePos="0" relativeHeight="0">
            <wp:simplePos x="0" y="0"/>
            <wp:positionH relativeFrom="page">
              <wp:posOffset>3017520</wp:posOffset>
            </wp:positionH>
            <wp:positionV relativeFrom="paragraph">
              <wp:posOffset>240588</wp:posOffset>
            </wp:positionV>
            <wp:extent cx="1397351" cy="1235773"/>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397351" cy="1235773"/>
                    </a:xfrm>
                    <a:prstGeom prst="rect">
                      <a:avLst/>
                    </a:prstGeom>
                  </pic:spPr>
                </pic:pic>
              </a:graphicData>
            </a:graphic>
          </wp:anchor>
        </w:drawing>
      </w:r>
    </w:p>
    <w:p>
      <w:pPr>
        <w:pStyle w:val="BodyText"/>
        <w:rPr>
          <w:b/>
          <w:sz w:val="22"/>
        </w:rPr>
      </w:pPr>
    </w:p>
    <w:p>
      <w:pPr>
        <w:pStyle w:val="BodyText"/>
        <w:rPr>
          <w:b/>
          <w:sz w:val="22"/>
        </w:rPr>
      </w:pPr>
    </w:p>
    <w:p>
      <w:pPr>
        <w:pStyle w:val="BodyText"/>
        <w:spacing w:before="1"/>
        <w:rPr>
          <w:b/>
        </w:rPr>
      </w:pPr>
    </w:p>
    <w:p>
      <w:pPr>
        <w:spacing w:line="364" w:lineRule="auto" w:before="0"/>
        <w:ind w:left="351" w:right="202" w:hanging="4"/>
        <w:jc w:val="center"/>
        <w:rPr>
          <w:b/>
          <w:sz w:val="27"/>
        </w:rPr>
      </w:pPr>
      <w:r>
        <w:rPr>
          <w:b/>
          <w:sz w:val="27"/>
        </w:rPr>
        <w:t>INFLUENCIA DE LA HABILIDAD LECTORA EN L1 Y COMPETENCIA LINGÜÍSTICA EN L2 EN LA COMPRENSIÓN DE LECTURA EN L2</w:t>
      </w:r>
    </w:p>
    <w:p>
      <w:pPr>
        <w:pStyle w:val="BodyText"/>
        <w:rPr>
          <w:b/>
          <w:sz w:val="26"/>
        </w:rPr>
      </w:pPr>
    </w:p>
    <w:p>
      <w:pPr>
        <w:pStyle w:val="BodyText"/>
        <w:rPr>
          <w:b/>
          <w:sz w:val="26"/>
        </w:rPr>
      </w:pPr>
    </w:p>
    <w:p>
      <w:pPr>
        <w:pStyle w:val="BodyText"/>
        <w:rPr>
          <w:b/>
          <w:sz w:val="26"/>
        </w:rPr>
      </w:pPr>
    </w:p>
    <w:p>
      <w:pPr>
        <w:pStyle w:val="BodyText"/>
        <w:spacing w:before="9"/>
        <w:rPr>
          <w:b/>
          <w:sz w:val="27"/>
        </w:rPr>
      </w:pPr>
    </w:p>
    <w:p>
      <w:pPr>
        <w:pStyle w:val="Heading3"/>
        <w:tabs>
          <w:tab w:pos="833" w:val="left" w:leader="none"/>
          <w:tab w:pos="1524" w:val="left" w:leader="none"/>
          <w:tab w:pos="2215" w:val="left" w:leader="none"/>
          <w:tab w:pos="2906" w:val="left" w:leader="none"/>
        </w:tabs>
        <w:ind w:left="146"/>
        <w:jc w:val="center"/>
      </w:pPr>
      <w:r>
        <w:rPr/>
        <w:t>T</w:t>
        <w:tab/>
        <w:t>E</w:t>
        <w:tab/>
        <w:t>S</w:t>
        <w:tab/>
        <w:t>I</w:t>
        <w:tab/>
        <w:t>S</w:t>
      </w:r>
    </w:p>
    <w:p>
      <w:pPr>
        <w:spacing w:line="364" w:lineRule="auto" w:before="138"/>
        <w:ind w:left="2261" w:right="2054" w:hanging="60"/>
        <w:jc w:val="center"/>
        <w:rPr>
          <w:b/>
          <w:sz w:val="23"/>
        </w:rPr>
      </w:pPr>
      <w:r>
        <w:rPr>
          <w:b/>
          <w:sz w:val="23"/>
        </w:rPr>
        <w:t>QUE PARA OBTENER EL TÍTULO DE: MAESTRO EN LINGÜÍSTICA APLICADA PRESENTA:</w:t>
      </w:r>
    </w:p>
    <w:p>
      <w:pPr>
        <w:spacing w:before="5"/>
        <w:ind w:left="150" w:right="0" w:firstLine="0"/>
        <w:jc w:val="center"/>
        <w:rPr>
          <w:b/>
          <w:sz w:val="23"/>
        </w:rPr>
      </w:pPr>
      <w:r>
        <w:rPr>
          <w:b/>
          <w:sz w:val="23"/>
        </w:rPr>
        <w:t>HUGO ABELARDO ANDRADE</w:t>
      </w:r>
      <w:r>
        <w:rPr>
          <w:b/>
          <w:spacing w:val="51"/>
          <w:sz w:val="23"/>
        </w:rPr>
        <w:t> </w:t>
      </w:r>
      <w:r>
        <w:rPr>
          <w:b/>
          <w:spacing w:val="-5"/>
          <w:sz w:val="23"/>
        </w:rPr>
        <w:t>MAYER</w:t>
      </w:r>
    </w:p>
    <w:p>
      <w:pPr>
        <w:pStyle w:val="BodyText"/>
        <w:rPr>
          <w:b/>
          <w:sz w:val="22"/>
        </w:rPr>
      </w:pPr>
    </w:p>
    <w:p>
      <w:pPr>
        <w:pStyle w:val="BodyText"/>
        <w:rPr>
          <w:b/>
          <w:sz w:val="22"/>
        </w:rPr>
      </w:pPr>
    </w:p>
    <w:p>
      <w:pPr>
        <w:pStyle w:val="BodyText"/>
        <w:rPr>
          <w:b/>
          <w:sz w:val="22"/>
        </w:rPr>
      </w:pPr>
    </w:p>
    <w:p>
      <w:pPr>
        <w:spacing w:before="181"/>
        <w:ind w:left="783" w:right="0" w:firstLine="0"/>
        <w:jc w:val="left"/>
        <w:rPr>
          <w:b/>
          <w:sz w:val="23"/>
        </w:rPr>
      </w:pPr>
      <w:r>
        <w:rPr>
          <w:b/>
          <w:sz w:val="23"/>
        </w:rPr>
        <w:t>DIRECTORA DE TESIS: D. EN L.A. PAULINE M.D. MOORE  HANNA</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2"/>
        <w:rPr>
          <w:b/>
          <w:sz w:val="29"/>
        </w:rPr>
      </w:pPr>
    </w:p>
    <w:p>
      <w:pPr>
        <w:tabs>
          <w:tab w:pos="6312" w:val="left" w:leader="none"/>
        </w:tabs>
        <w:spacing w:before="1"/>
        <w:ind w:left="115" w:right="0" w:firstLine="0"/>
        <w:jc w:val="left"/>
        <w:rPr>
          <w:b/>
          <w:sz w:val="23"/>
        </w:rPr>
      </w:pPr>
      <w:r>
        <w:rPr>
          <w:b/>
          <w:sz w:val="23"/>
        </w:rPr>
        <w:t>TOLUCA,</w:t>
      </w:r>
      <w:r>
        <w:rPr>
          <w:b/>
          <w:spacing w:val="7"/>
          <w:sz w:val="23"/>
        </w:rPr>
        <w:t> </w:t>
      </w:r>
      <w:r>
        <w:rPr>
          <w:b/>
          <w:sz w:val="23"/>
        </w:rPr>
        <w:t>MÉXICO.</w:t>
        <w:tab/>
        <w:t>NOVIEMBRE</w:t>
      </w:r>
      <w:r>
        <w:rPr>
          <w:b/>
          <w:spacing w:val="34"/>
          <w:sz w:val="23"/>
        </w:rPr>
        <w:t> </w:t>
      </w:r>
      <w:r>
        <w:rPr>
          <w:b/>
          <w:sz w:val="23"/>
        </w:rPr>
        <w:t>2010</w:t>
      </w:r>
    </w:p>
    <w:p>
      <w:pPr>
        <w:spacing w:after="0"/>
        <w:jc w:val="left"/>
        <w:rPr>
          <w:sz w:val="23"/>
        </w:rPr>
        <w:sectPr>
          <w:type w:val="continuous"/>
          <w:pgSz w:w="11910" w:h="16840"/>
          <w:pgMar w:top="1580" w:bottom="280" w:left="1540" w:right="16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6"/>
        </w:rPr>
      </w:pPr>
    </w:p>
    <w:p>
      <w:pPr>
        <w:spacing w:before="74"/>
        <w:ind w:left="115" w:right="213" w:firstLine="0"/>
        <w:jc w:val="left"/>
        <w:rPr>
          <w:i/>
          <w:sz w:val="23"/>
        </w:rPr>
      </w:pPr>
      <w:r>
        <w:rPr>
          <w:i/>
          <w:sz w:val="23"/>
        </w:rPr>
        <w:t>Para mis papás.</w:t>
      </w:r>
    </w:p>
    <w:p>
      <w:pPr>
        <w:spacing w:line="369" w:lineRule="auto" w:before="134"/>
        <w:ind w:left="115" w:right="213" w:firstLine="0"/>
        <w:jc w:val="left"/>
        <w:rPr>
          <w:i/>
          <w:sz w:val="23"/>
        </w:rPr>
      </w:pPr>
      <w:r>
        <w:rPr>
          <w:i/>
          <w:sz w:val="23"/>
        </w:rPr>
        <w:t>Gracias por todo lo que me han dado. </w:t>
      </w:r>
      <w:r>
        <w:rPr>
          <w:i/>
          <w:spacing w:val="-9"/>
          <w:sz w:val="23"/>
        </w:rPr>
        <w:t>Todo </w:t>
      </w:r>
      <w:r>
        <w:rPr>
          <w:i/>
          <w:sz w:val="23"/>
        </w:rPr>
        <w:t>es gracias a ustedes. Los quiero  </w:t>
      </w:r>
      <w:r>
        <w:rPr>
          <w:i/>
          <w:sz w:val="23"/>
        </w:rPr>
        <w:t>mucho.</w:t>
      </w:r>
    </w:p>
    <w:p>
      <w:pPr>
        <w:pStyle w:val="BodyText"/>
        <w:rPr>
          <w:i/>
          <w:sz w:val="22"/>
        </w:rPr>
      </w:pPr>
    </w:p>
    <w:p>
      <w:pPr>
        <w:pStyle w:val="BodyText"/>
        <w:rPr>
          <w:i/>
          <w:sz w:val="22"/>
        </w:rPr>
      </w:pPr>
    </w:p>
    <w:p>
      <w:pPr>
        <w:pStyle w:val="BodyText"/>
        <w:rPr>
          <w:i/>
          <w:sz w:val="22"/>
        </w:rPr>
      </w:pPr>
    </w:p>
    <w:p>
      <w:pPr>
        <w:pStyle w:val="BodyText"/>
        <w:rPr>
          <w:i/>
          <w:sz w:val="22"/>
        </w:rPr>
      </w:pPr>
    </w:p>
    <w:p>
      <w:pPr>
        <w:spacing w:before="197"/>
        <w:ind w:left="115" w:right="213" w:firstLine="0"/>
        <w:jc w:val="left"/>
        <w:rPr>
          <w:i/>
          <w:sz w:val="23"/>
        </w:rPr>
      </w:pPr>
      <w:r>
        <w:rPr>
          <w:i/>
          <w:sz w:val="23"/>
        </w:rPr>
        <w:t>En memoria de mi abuelo. El lingüista más grande de mi  historia.</w:t>
      </w:r>
    </w:p>
    <w:p>
      <w:pPr>
        <w:spacing w:after="0"/>
        <w:jc w:val="left"/>
        <w:rPr>
          <w:sz w:val="23"/>
        </w:rPr>
        <w:sectPr>
          <w:pgSz w:w="11910" w:h="16840"/>
          <w:pgMar w:top="1580" w:bottom="280" w:left="1540" w:right="154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16"/>
        </w:rPr>
      </w:pPr>
    </w:p>
    <w:p>
      <w:pPr>
        <w:spacing w:line="364" w:lineRule="auto" w:before="74"/>
        <w:ind w:left="115" w:right="103" w:firstLine="0"/>
        <w:jc w:val="both"/>
        <w:rPr>
          <w:i/>
          <w:sz w:val="23"/>
        </w:rPr>
      </w:pPr>
      <w:r>
        <w:rPr>
          <w:i/>
          <w:sz w:val="23"/>
        </w:rPr>
        <w:t>A todos mis amigos, familia, maestros, alumnos y compañeros que de alguna </w:t>
      </w:r>
      <w:r>
        <w:rPr>
          <w:i/>
          <w:sz w:val="23"/>
        </w:rPr>
        <w:t>manera contribuyeron a este trabajo con su apoyo, tiempo, aportaciones comentarios, preguntas, respuestas, ciencia, paciencia, visiones, revisiones, y críticas. Por todo ello gracias.</w:t>
      </w:r>
    </w:p>
    <w:p>
      <w:pPr>
        <w:spacing w:after="0" w:line="364" w:lineRule="auto"/>
        <w:jc w:val="both"/>
        <w:rPr>
          <w:sz w:val="23"/>
        </w:rPr>
        <w:sectPr>
          <w:pgSz w:w="11910" w:h="16840"/>
          <w:pgMar w:top="1580" w:bottom="280" w:left="1540" w:right="1540"/>
        </w:sectPr>
      </w:pPr>
    </w:p>
    <w:p>
      <w:pPr>
        <w:pStyle w:val="BodyText"/>
        <w:rPr>
          <w:i/>
          <w:sz w:val="20"/>
        </w:rPr>
      </w:pPr>
    </w:p>
    <w:p>
      <w:pPr>
        <w:pStyle w:val="BodyText"/>
        <w:spacing w:before="6"/>
        <w:rPr>
          <w:i/>
          <w:sz w:val="29"/>
        </w:rPr>
      </w:pPr>
    </w:p>
    <w:sdt>
      <w:sdtPr>
        <w:docPartObj>
          <w:docPartGallery w:val="Table of Contents"/>
          <w:docPartUnique/>
        </w:docPartObj>
      </w:sdtPr>
      <w:sdtEndPr/>
      <w:sdtContent>
        <w:p>
          <w:pPr>
            <w:pStyle w:val="TOC1"/>
            <w:tabs>
              <w:tab w:pos="8705" w:val="right" w:leader="dot"/>
            </w:tabs>
            <w:spacing w:before="74"/>
            <w:ind w:left="115" w:firstLine="0"/>
          </w:pPr>
          <w:r>
            <w:rPr/>
            <w:t>I</w:t>
          </w:r>
          <w:hyperlink w:history="true" w:anchor="_bookmark2">
            <w:r>
              <w:rPr/>
              <w:t>NTRODUCCIÓN.</w:t>
              <w:tab/>
              <w:t>I</w:t>
            </w:r>
          </w:hyperlink>
        </w:p>
        <w:p>
          <w:pPr>
            <w:pStyle w:val="TOC1"/>
            <w:tabs>
              <w:tab w:pos="8703" w:val="right" w:leader="dot"/>
            </w:tabs>
            <w:spacing w:before="359"/>
            <w:ind w:left="115" w:firstLine="0"/>
          </w:pPr>
          <w:hyperlink w:history="true" w:anchor="_TOC_250018">
            <w:r>
              <w:rPr/>
              <w:t>CAPÍTULO</w:t>
            </w:r>
            <w:r>
              <w:rPr>
                <w:spacing w:val="-6"/>
              </w:rPr>
              <w:t> </w:t>
            </w:r>
            <w:r>
              <w:rPr/>
              <w:t>1</w:t>
              <w:tab/>
              <w:t>6</w:t>
            </w:r>
          </w:hyperlink>
        </w:p>
        <w:p>
          <w:pPr>
            <w:pStyle w:val="TOC1"/>
            <w:numPr>
              <w:ilvl w:val="1"/>
              <w:numId w:val="1"/>
            </w:numPr>
            <w:tabs>
              <w:tab w:pos="505" w:val="left" w:leader="none"/>
              <w:tab w:pos="8703" w:val="right" w:leader="dot"/>
            </w:tabs>
            <w:spacing w:line="240" w:lineRule="auto" w:before="239" w:after="0"/>
            <w:ind w:left="504" w:right="0" w:hanging="388"/>
            <w:jc w:val="left"/>
          </w:pPr>
          <w:hyperlink w:history="true" w:anchor="_TOC_250017">
            <w:r>
              <w:rPr/>
              <w:t>EL PROCESO</w:t>
            </w:r>
            <w:r>
              <w:rPr>
                <w:spacing w:val="-1"/>
              </w:rPr>
              <w:t> </w:t>
            </w:r>
            <w:r>
              <w:rPr/>
              <w:t>DE LECTURA</w:t>
              <w:tab/>
              <w:t>6</w:t>
            </w:r>
          </w:hyperlink>
        </w:p>
        <w:p>
          <w:pPr>
            <w:pStyle w:val="TOC1"/>
            <w:numPr>
              <w:ilvl w:val="1"/>
              <w:numId w:val="1"/>
            </w:numPr>
            <w:tabs>
              <w:tab w:pos="505" w:val="left" w:leader="none"/>
              <w:tab w:pos="8703" w:val="right" w:leader="dot"/>
            </w:tabs>
            <w:spacing w:line="240" w:lineRule="auto" w:before="234" w:after="0"/>
            <w:ind w:left="504" w:right="0" w:hanging="388"/>
            <w:jc w:val="left"/>
          </w:pPr>
          <w:hyperlink w:history="true" w:anchor="_TOC_250016">
            <w:r>
              <w:rPr/>
              <w:t>HABILIDAD LECTORA</w:t>
            </w:r>
            <w:r>
              <w:rPr>
                <w:spacing w:val="-6"/>
              </w:rPr>
              <w:t> </w:t>
            </w:r>
            <w:r>
              <w:rPr/>
              <w:t>EN</w:t>
            </w:r>
            <w:r>
              <w:rPr>
                <w:spacing w:val="2"/>
              </w:rPr>
              <w:t> </w:t>
            </w:r>
            <w:r>
              <w:rPr/>
              <w:t>L1</w:t>
              <w:tab/>
              <w:t>9</w:t>
            </w:r>
          </w:hyperlink>
        </w:p>
        <w:p>
          <w:pPr>
            <w:pStyle w:val="TOC2"/>
            <w:numPr>
              <w:ilvl w:val="2"/>
              <w:numId w:val="1"/>
            </w:numPr>
            <w:tabs>
              <w:tab w:pos="937" w:val="left" w:leader="none"/>
              <w:tab w:pos="8704" w:val="right" w:leader="dot"/>
            </w:tabs>
            <w:spacing w:line="240" w:lineRule="auto" w:before="4" w:after="0"/>
            <w:ind w:left="936" w:right="0" w:hanging="590"/>
            <w:jc w:val="left"/>
          </w:pPr>
          <w:hyperlink w:history="true" w:anchor="_TOC_250015">
            <w:r>
              <w:rPr/>
              <w:t>Modelos</w:t>
            </w:r>
            <w:r>
              <w:rPr>
                <w:spacing w:val="6"/>
              </w:rPr>
              <w:t> </w:t>
            </w:r>
            <w:r>
              <w:rPr/>
              <w:t>de</w:t>
            </w:r>
            <w:r>
              <w:rPr>
                <w:spacing w:val="-3"/>
              </w:rPr>
              <w:t> </w:t>
            </w:r>
            <w:r>
              <w:rPr/>
              <w:t>lectura</w:t>
              <w:tab/>
              <w:t>10</w:t>
            </w:r>
          </w:hyperlink>
        </w:p>
        <w:p>
          <w:pPr>
            <w:pStyle w:val="TOC3"/>
            <w:numPr>
              <w:ilvl w:val="3"/>
              <w:numId w:val="1"/>
            </w:numPr>
            <w:tabs>
              <w:tab w:pos="1360" w:val="left" w:leader="none"/>
              <w:tab w:pos="8704" w:val="right" w:leader="dot"/>
            </w:tabs>
            <w:spacing w:line="240" w:lineRule="auto" w:before="4" w:after="0"/>
            <w:ind w:left="1359" w:right="0" w:hanging="778"/>
            <w:jc w:val="left"/>
          </w:pPr>
          <w:hyperlink w:history="true" w:anchor="_TOC_250014">
            <w:r>
              <w:rPr/>
              <w:t>Modelo</w:t>
            </w:r>
            <w:r>
              <w:rPr>
                <w:spacing w:val="3"/>
              </w:rPr>
              <w:t> </w:t>
            </w:r>
            <w:r>
              <w:rPr/>
              <w:t>ascendente</w:t>
              <w:tab/>
              <w:t>10</w:t>
            </w:r>
          </w:hyperlink>
        </w:p>
        <w:p>
          <w:pPr>
            <w:pStyle w:val="TOC3"/>
            <w:numPr>
              <w:ilvl w:val="3"/>
              <w:numId w:val="1"/>
            </w:numPr>
            <w:tabs>
              <w:tab w:pos="1364" w:val="left" w:leader="none"/>
              <w:tab w:pos="8703" w:val="right" w:leader="dot"/>
            </w:tabs>
            <w:spacing w:line="240" w:lineRule="auto" w:before="4" w:after="0"/>
            <w:ind w:left="1364" w:right="0" w:hanging="783"/>
            <w:jc w:val="left"/>
          </w:pPr>
          <w:hyperlink w:history="true" w:anchor="_TOC_250013">
            <w:r>
              <w:rPr/>
              <w:t>Modelo</w:t>
            </w:r>
            <w:r>
              <w:rPr>
                <w:spacing w:val="3"/>
              </w:rPr>
              <w:t> </w:t>
            </w:r>
            <w:r>
              <w:rPr/>
              <w:t>descendente</w:t>
              <w:tab/>
            </w:r>
            <w:r>
              <w:rPr>
                <w:spacing w:val="-10"/>
              </w:rPr>
              <w:t>11</w:t>
            </w:r>
          </w:hyperlink>
        </w:p>
        <w:p>
          <w:pPr>
            <w:pStyle w:val="TOC3"/>
            <w:numPr>
              <w:ilvl w:val="3"/>
              <w:numId w:val="1"/>
            </w:numPr>
            <w:tabs>
              <w:tab w:pos="1360" w:val="left" w:leader="none"/>
              <w:tab w:pos="8704" w:val="right" w:leader="dot"/>
            </w:tabs>
            <w:spacing w:line="240" w:lineRule="auto" w:before="4" w:after="0"/>
            <w:ind w:left="1359" w:right="0" w:hanging="778"/>
            <w:jc w:val="left"/>
          </w:pPr>
          <w:hyperlink w:history="true" w:anchor="_TOC_250012">
            <w:r>
              <w:rPr/>
              <w:t>Modelos</w:t>
            </w:r>
            <w:r>
              <w:rPr>
                <w:spacing w:val="6"/>
              </w:rPr>
              <w:t> </w:t>
            </w:r>
            <w:r>
              <w:rPr/>
              <w:t>interactivos</w:t>
              <w:tab/>
              <w:t>13</w:t>
            </w:r>
          </w:hyperlink>
        </w:p>
        <w:p>
          <w:pPr>
            <w:pStyle w:val="TOC1"/>
            <w:numPr>
              <w:ilvl w:val="1"/>
              <w:numId w:val="1"/>
            </w:numPr>
            <w:tabs>
              <w:tab w:pos="505" w:val="left" w:leader="none"/>
              <w:tab w:pos="8703" w:val="right" w:leader="dot"/>
            </w:tabs>
            <w:spacing w:line="264" w:lineRule="exact" w:before="239" w:after="0"/>
            <w:ind w:left="504" w:right="0" w:hanging="388"/>
            <w:jc w:val="left"/>
          </w:pPr>
          <w:hyperlink w:history="true" w:anchor="_bookmark10">
            <w:r>
              <w:rPr/>
              <w:t>HABILIDAD LECTORA</w:t>
            </w:r>
            <w:r>
              <w:rPr>
                <w:spacing w:val="-5"/>
              </w:rPr>
              <w:t> </w:t>
            </w:r>
            <w:r>
              <w:rPr/>
              <w:t>EN</w:t>
            </w:r>
            <w:r>
              <w:rPr>
                <w:spacing w:val="2"/>
              </w:rPr>
              <w:t> </w:t>
            </w:r>
            <w:r>
              <w:rPr/>
              <w:t>L2</w:t>
              <w:tab/>
              <w:t>17</w:t>
            </w:r>
          </w:hyperlink>
        </w:p>
        <w:p>
          <w:pPr>
            <w:pStyle w:val="TOC2"/>
            <w:numPr>
              <w:ilvl w:val="2"/>
              <w:numId w:val="1"/>
            </w:numPr>
            <w:tabs>
              <w:tab w:pos="937" w:val="left" w:leader="none"/>
              <w:tab w:pos="8704" w:val="right" w:leader="dot"/>
            </w:tabs>
            <w:spacing w:line="264" w:lineRule="exact" w:before="0" w:after="0"/>
            <w:ind w:left="936" w:right="0" w:hanging="590"/>
            <w:jc w:val="left"/>
          </w:pPr>
          <w:hyperlink w:history="true" w:anchor="_bookmark11">
            <w:r>
              <w:rPr/>
              <w:t>Relación entre habilidad lectora en L1 y habilidad lectora</w:t>
            </w:r>
            <w:r>
              <w:rPr>
                <w:spacing w:val="36"/>
              </w:rPr>
              <w:t> </w:t>
            </w:r>
            <w:r>
              <w:rPr/>
              <w:t>en</w:t>
            </w:r>
            <w:r>
              <w:rPr>
                <w:spacing w:val="4"/>
              </w:rPr>
              <w:t> </w:t>
            </w:r>
            <w:r>
              <w:rPr/>
              <w:t>L2</w:t>
              <w:tab/>
              <w:t>17</w:t>
            </w:r>
          </w:hyperlink>
        </w:p>
        <w:p>
          <w:pPr>
            <w:pStyle w:val="TOC3"/>
            <w:numPr>
              <w:ilvl w:val="3"/>
              <w:numId w:val="1"/>
            </w:numPr>
            <w:tabs>
              <w:tab w:pos="1364" w:val="left" w:leader="none"/>
              <w:tab w:pos="8704" w:val="right" w:leader="dot"/>
            </w:tabs>
            <w:spacing w:line="240" w:lineRule="auto" w:before="4" w:after="0"/>
            <w:ind w:left="1364" w:right="0" w:hanging="783"/>
            <w:jc w:val="left"/>
          </w:pPr>
          <w:hyperlink w:history="true" w:anchor="_TOC_250011">
            <w:r>
              <w:rPr/>
              <w:t>Hipótesis de </w:t>
            </w:r>
            <w:r>
              <w:rPr>
                <w:spacing w:val="-5"/>
              </w:rPr>
              <w:t>la</w:t>
            </w:r>
            <w:r>
              <w:rPr>
                <w:spacing w:val="15"/>
              </w:rPr>
              <w:t> </w:t>
            </w:r>
            <w:r>
              <w:rPr/>
              <w:t>Interdependencia</w:t>
            </w:r>
            <w:r>
              <w:rPr>
                <w:spacing w:val="4"/>
              </w:rPr>
              <w:t> </w:t>
            </w:r>
            <w:r>
              <w:rPr/>
              <w:t>Lingüística</w:t>
              <w:tab/>
              <w:t>18</w:t>
            </w:r>
          </w:hyperlink>
        </w:p>
        <w:p>
          <w:pPr>
            <w:pStyle w:val="TOC3"/>
            <w:numPr>
              <w:ilvl w:val="3"/>
              <w:numId w:val="1"/>
            </w:numPr>
            <w:tabs>
              <w:tab w:pos="1364" w:val="left" w:leader="none"/>
              <w:tab w:pos="8704" w:val="right" w:leader="dot"/>
            </w:tabs>
            <w:spacing w:line="240" w:lineRule="auto" w:before="4" w:after="0"/>
            <w:ind w:left="1364" w:right="0" w:hanging="783"/>
            <w:jc w:val="left"/>
          </w:pPr>
          <w:hyperlink w:history="true" w:anchor="_TOC_250010">
            <w:r>
              <w:rPr/>
              <w:t>Hipótesis del</w:t>
            </w:r>
            <w:r>
              <w:rPr>
                <w:spacing w:val="1"/>
              </w:rPr>
              <w:t> </w:t>
            </w:r>
            <w:r>
              <w:rPr/>
              <w:t>Umbral</w:t>
            </w:r>
            <w:r>
              <w:rPr>
                <w:spacing w:val="-1"/>
              </w:rPr>
              <w:t> </w:t>
            </w:r>
            <w:r>
              <w:rPr/>
              <w:t>Lingüístico</w:t>
              <w:tab/>
              <w:t>19</w:t>
            </w:r>
          </w:hyperlink>
        </w:p>
        <w:p>
          <w:pPr>
            <w:pStyle w:val="TOC1"/>
            <w:numPr>
              <w:ilvl w:val="1"/>
              <w:numId w:val="1"/>
            </w:numPr>
            <w:tabs>
              <w:tab w:pos="505" w:val="left" w:leader="none"/>
              <w:tab w:pos="8703" w:val="right" w:leader="dot"/>
            </w:tabs>
            <w:spacing w:line="240" w:lineRule="auto" w:before="234" w:after="0"/>
            <w:ind w:left="504" w:right="0" w:hanging="388"/>
            <w:jc w:val="left"/>
          </w:pPr>
          <w:hyperlink w:history="true" w:anchor="_bookmark13">
            <w:r>
              <w:rPr/>
              <w:t>EVALUACIÓN DE COMPRENSIÓN</w:t>
            </w:r>
            <w:r>
              <w:rPr>
                <w:spacing w:val="10"/>
              </w:rPr>
              <w:t> </w:t>
            </w:r>
            <w:r>
              <w:rPr/>
              <w:t>DE</w:t>
            </w:r>
            <w:r>
              <w:rPr>
                <w:spacing w:val="1"/>
              </w:rPr>
              <w:t> </w:t>
            </w:r>
            <w:r>
              <w:rPr/>
              <w:t>LECTURA</w:t>
              <w:tab/>
              <w:t>21</w:t>
            </w:r>
          </w:hyperlink>
        </w:p>
        <w:p>
          <w:pPr>
            <w:pStyle w:val="TOC1"/>
            <w:numPr>
              <w:ilvl w:val="1"/>
              <w:numId w:val="1"/>
            </w:numPr>
            <w:tabs>
              <w:tab w:pos="505" w:val="left" w:leader="none"/>
              <w:tab w:pos="8703" w:val="right" w:leader="dot"/>
            </w:tabs>
            <w:spacing w:line="240" w:lineRule="auto" w:before="239" w:after="0"/>
            <w:ind w:left="504" w:right="0" w:hanging="388"/>
            <w:jc w:val="left"/>
          </w:pPr>
          <w:hyperlink w:history="true" w:anchor="_bookmark14">
            <w:r>
              <w:rPr/>
              <w:t>COMPETENCIA</w:t>
            </w:r>
            <w:r>
              <w:rPr>
                <w:spacing w:val="-7"/>
              </w:rPr>
              <w:t> </w:t>
            </w:r>
            <w:r>
              <w:rPr/>
              <w:t>LINGÜÍSTICA</w:t>
              <w:tab/>
              <w:t>23</w:t>
            </w:r>
          </w:hyperlink>
        </w:p>
        <w:p>
          <w:pPr>
            <w:pStyle w:val="TOC2"/>
            <w:numPr>
              <w:ilvl w:val="2"/>
              <w:numId w:val="1"/>
            </w:numPr>
            <w:tabs>
              <w:tab w:pos="932" w:val="left" w:leader="none"/>
              <w:tab w:pos="8704" w:val="right" w:leader="dot"/>
            </w:tabs>
            <w:spacing w:line="244" w:lineRule="auto" w:before="4" w:after="0"/>
            <w:ind w:left="346" w:right="117" w:firstLine="0"/>
            <w:jc w:val="left"/>
          </w:pPr>
          <w:r>
            <w:rPr/>
            <w:t>El vocabulario como elemento de la competencia lingüística y su </w:t>
          </w:r>
          <w:hyperlink w:history="true" w:anchor="_bookmark15">
            <w:r>
              <w:rPr/>
              <w:t>importancia en la comprensión</w:t>
            </w:r>
            <w:r>
              <w:rPr>
                <w:spacing w:val="13"/>
              </w:rPr>
              <w:t> </w:t>
            </w:r>
            <w:r>
              <w:rPr/>
              <w:t>de</w:t>
            </w:r>
            <w:r>
              <w:rPr>
                <w:spacing w:val="2"/>
              </w:rPr>
              <w:t> </w:t>
            </w:r>
            <w:r>
              <w:rPr/>
              <w:t>lectura</w:t>
              <w:tab/>
              <w:t>29</w:t>
            </w:r>
          </w:hyperlink>
        </w:p>
        <w:p>
          <w:pPr>
            <w:pStyle w:val="TOC1"/>
            <w:numPr>
              <w:ilvl w:val="1"/>
              <w:numId w:val="1"/>
            </w:numPr>
            <w:tabs>
              <w:tab w:pos="505" w:val="left" w:leader="none"/>
              <w:tab w:pos="8703" w:val="right" w:leader="dot"/>
            </w:tabs>
            <w:spacing w:line="240" w:lineRule="auto" w:before="234" w:after="0"/>
            <w:ind w:left="504" w:right="0" w:hanging="388"/>
            <w:jc w:val="left"/>
          </w:pPr>
          <w:hyperlink w:history="true" w:anchor="_bookmark17">
            <w:r>
              <w:rPr/>
              <w:t>EVALUACIÓN DE LA</w:t>
            </w:r>
            <w:r>
              <w:rPr>
                <w:spacing w:val="2"/>
              </w:rPr>
              <w:t> </w:t>
            </w:r>
            <w:r>
              <w:rPr/>
              <w:t>COMPETENCIA</w:t>
            </w:r>
            <w:r>
              <w:rPr>
                <w:spacing w:val="-6"/>
              </w:rPr>
              <w:t> </w:t>
            </w:r>
            <w:r>
              <w:rPr/>
              <w:t>LINGÜÍSTICA</w:t>
              <w:tab/>
              <w:t>30</w:t>
            </w:r>
          </w:hyperlink>
        </w:p>
        <w:p>
          <w:pPr>
            <w:pStyle w:val="TOC2"/>
            <w:numPr>
              <w:ilvl w:val="2"/>
              <w:numId w:val="1"/>
            </w:numPr>
            <w:tabs>
              <w:tab w:pos="937" w:val="left" w:leader="none"/>
              <w:tab w:pos="8703" w:val="right" w:leader="dot"/>
            </w:tabs>
            <w:spacing w:line="264" w:lineRule="exact" w:before="4" w:after="0"/>
            <w:ind w:left="936" w:right="0" w:hanging="590"/>
            <w:jc w:val="left"/>
          </w:pPr>
          <w:hyperlink w:history="true" w:anchor="_TOC_250009">
            <w:r>
              <w:rPr>
                <w:spacing w:val="-3"/>
              </w:rPr>
              <w:t>Vocabulary</w:t>
            </w:r>
            <w:r>
              <w:rPr>
                <w:spacing w:val="-4"/>
              </w:rPr>
              <w:t> </w:t>
            </w:r>
            <w:r>
              <w:rPr/>
              <w:t>Levels</w:t>
            </w:r>
            <w:r>
              <w:rPr>
                <w:spacing w:val="1"/>
              </w:rPr>
              <w:t> </w:t>
            </w:r>
            <w:r>
              <w:rPr>
                <w:spacing w:val="-7"/>
              </w:rPr>
              <w:t>Test</w:t>
              <w:tab/>
            </w:r>
            <w:r>
              <w:rPr/>
              <w:t>33</w:t>
            </w:r>
          </w:hyperlink>
        </w:p>
        <w:p>
          <w:pPr>
            <w:pStyle w:val="TOC2"/>
            <w:numPr>
              <w:ilvl w:val="2"/>
              <w:numId w:val="1"/>
            </w:numPr>
            <w:tabs>
              <w:tab w:pos="937" w:val="left" w:leader="none"/>
              <w:tab w:pos="8703" w:val="right" w:leader="dot"/>
            </w:tabs>
            <w:spacing w:line="264" w:lineRule="exact" w:before="0" w:after="0"/>
            <w:ind w:left="936" w:right="0" w:hanging="590"/>
            <w:jc w:val="left"/>
          </w:pPr>
          <w:hyperlink w:history="true" w:anchor="_TOC_250008">
            <w:r>
              <w:rPr/>
              <w:t>Cloze</w:t>
            </w:r>
            <w:r>
              <w:rPr>
                <w:spacing w:val="3"/>
              </w:rPr>
              <w:t> </w:t>
            </w:r>
            <w:r>
              <w:rPr/>
              <w:t>test</w:t>
              <w:tab/>
              <w:t>35</w:t>
            </w:r>
          </w:hyperlink>
        </w:p>
        <w:p>
          <w:pPr>
            <w:pStyle w:val="TOC1"/>
            <w:tabs>
              <w:tab w:pos="8703" w:val="right" w:leader="dot"/>
            </w:tabs>
            <w:spacing w:before="359"/>
            <w:ind w:left="115" w:firstLine="0"/>
          </w:pPr>
          <w:r>
            <w:rPr/>
            <w:t>CAPÍTULO</w:t>
          </w:r>
          <w:r>
            <w:rPr>
              <w:spacing w:val="-6"/>
            </w:rPr>
            <w:t> </w:t>
          </w:r>
          <w:r>
            <w:rPr/>
            <w:t>2</w:t>
            <w:tab/>
            <w:t>38</w:t>
          </w:r>
        </w:p>
        <w:p>
          <w:pPr>
            <w:pStyle w:val="TOC1"/>
            <w:numPr>
              <w:ilvl w:val="1"/>
              <w:numId w:val="2"/>
            </w:numPr>
            <w:tabs>
              <w:tab w:pos="505" w:val="left" w:leader="none"/>
              <w:tab w:pos="8703" w:val="right" w:leader="dot"/>
            </w:tabs>
            <w:spacing w:line="240" w:lineRule="auto" w:before="350" w:after="0"/>
            <w:ind w:left="504" w:right="0" w:hanging="388"/>
            <w:jc w:val="left"/>
          </w:pPr>
          <w:hyperlink w:history="true" w:anchor="_TOC_250007">
            <w:r>
              <w:rPr/>
              <w:t>METODOLOGÍA</w:t>
              <w:tab/>
              <w:t>38</w:t>
            </w:r>
          </w:hyperlink>
        </w:p>
        <w:p>
          <w:pPr>
            <w:pStyle w:val="TOC2"/>
            <w:numPr>
              <w:ilvl w:val="2"/>
              <w:numId w:val="2"/>
            </w:numPr>
            <w:tabs>
              <w:tab w:pos="1004" w:val="left" w:leader="none"/>
              <w:tab w:pos="8703" w:val="right" w:leader="dot"/>
            </w:tabs>
            <w:spacing w:line="264" w:lineRule="exact" w:before="9" w:after="0"/>
            <w:ind w:left="1004" w:right="0" w:hanging="658"/>
            <w:jc w:val="left"/>
          </w:pPr>
          <w:hyperlink w:history="true" w:anchor="_TOC_250006">
            <w:r>
              <w:rPr/>
              <w:t>Hipótesis</w:t>
              <w:tab/>
              <w:t>43</w:t>
            </w:r>
          </w:hyperlink>
        </w:p>
        <w:p>
          <w:pPr>
            <w:pStyle w:val="TOC3"/>
            <w:numPr>
              <w:ilvl w:val="3"/>
              <w:numId w:val="2"/>
            </w:numPr>
            <w:tabs>
              <w:tab w:pos="1427" w:val="left" w:leader="none"/>
              <w:tab w:pos="8703" w:val="right" w:leader="dot"/>
            </w:tabs>
            <w:spacing w:line="264" w:lineRule="exact" w:before="0" w:after="0"/>
            <w:ind w:left="1426" w:right="0" w:hanging="845"/>
            <w:jc w:val="left"/>
          </w:pPr>
          <w:hyperlink w:history="true" w:anchor="_bookmark20">
            <w:r>
              <w:rPr>
                <w:spacing w:val="-3"/>
              </w:rPr>
              <w:t>Variables</w:t>
              <w:tab/>
            </w:r>
            <w:r>
              <w:rPr/>
              <w:t>43</w:t>
            </w:r>
          </w:hyperlink>
        </w:p>
        <w:p>
          <w:pPr>
            <w:pStyle w:val="TOC1"/>
            <w:numPr>
              <w:ilvl w:val="1"/>
              <w:numId w:val="3"/>
            </w:numPr>
            <w:tabs>
              <w:tab w:pos="572" w:val="left" w:leader="none"/>
              <w:tab w:pos="8704" w:val="right" w:leader="dot"/>
            </w:tabs>
            <w:spacing w:line="240" w:lineRule="auto" w:before="239" w:after="0"/>
            <w:ind w:left="572" w:right="0" w:hanging="456"/>
            <w:jc w:val="left"/>
          </w:pPr>
          <w:hyperlink w:history="true" w:anchor="_TOC_250005">
            <w:r>
              <w:rPr/>
              <w:t>OBJETIVOS</w:t>
              <w:tab/>
              <w:t>43</w:t>
            </w:r>
          </w:hyperlink>
        </w:p>
        <w:p>
          <w:pPr>
            <w:pStyle w:val="TOC1"/>
            <w:numPr>
              <w:ilvl w:val="1"/>
              <w:numId w:val="3"/>
            </w:numPr>
            <w:tabs>
              <w:tab w:pos="572" w:val="left" w:leader="none"/>
              <w:tab w:pos="8704" w:val="right" w:leader="dot"/>
            </w:tabs>
            <w:spacing w:line="240" w:lineRule="auto" w:before="239" w:after="0"/>
            <w:ind w:left="572" w:right="0" w:hanging="456"/>
            <w:jc w:val="left"/>
          </w:pPr>
          <w:hyperlink w:history="true" w:anchor="_TOC_250004">
            <w:r>
              <w:rPr/>
              <w:t>MÉTODO</w:t>
            </w:r>
            <w:r>
              <w:rPr>
                <w:spacing w:val="4"/>
              </w:rPr>
              <w:t> </w:t>
            </w:r>
            <w:r>
              <w:rPr>
                <w:spacing w:val="-3"/>
              </w:rPr>
              <w:t>DE</w:t>
            </w:r>
            <w:r>
              <w:rPr>
                <w:spacing w:val="5"/>
              </w:rPr>
              <w:t> </w:t>
            </w:r>
            <w:r>
              <w:rPr/>
              <w:t>INVESTIGACIÓN</w:t>
              <w:tab/>
              <w:t>44</w:t>
            </w:r>
          </w:hyperlink>
        </w:p>
        <w:p>
          <w:pPr>
            <w:pStyle w:val="TOC2"/>
            <w:numPr>
              <w:ilvl w:val="2"/>
              <w:numId w:val="3"/>
            </w:numPr>
            <w:tabs>
              <w:tab w:pos="1004" w:val="left" w:leader="none"/>
              <w:tab w:pos="8703" w:val="right" w:leader="dot"/>
            </w:tabs>
            <w:spacing w:line="240" w:lineRule="auto" w:before="4" w:after="0"/>
            <w:ind w:left="1004" w:right="0" w:hanging="658"/>
            <w:jc w:val="left"/>
          </w:pPr>
          <w:hyperlink w:history="true" w:anchor="_TOC_250003">
            <w:r>
              <w:rPr/>
              <w:t>Diseño</w:t>
            </w:r>
            <w:r>
              <w:rPr>
                <w:spacing w:val="-3"/>
              </w:rPr>
              <w:t> </w:t>
            </w:r>
            <w:r>
              <w:rPr/>
              <w:t>de</w:t>
            </w:r>
            <w:r>
              <w:rPr>
                <w:spacing w:val="2"/>
              </w:rPr>
              <w:t> </w:t>
            </w:r>
            <w:r>
              <w:rPr/>
              <w:t>investigación</w:t>
              <w:tab/>
              <w:t>45</w:t>
            </w:r>
          </w:hyperlink>
        </w:p>
        <w:p>
          <w:pPr>
            <w:pStyle w:val="TOC2"/>
            <w:numPr>
              <w:ilvl w:val="2"/>
              <w:numId w:val="3"/>
            </w:numPr>
            <w:tabs>
              <w:tab w:pos="1000" w:val="left" w:leader="none"/>
              <w:tab w:pos="8703" w:val="right" w:leader="dot"/>
            </w:tabs>
            <w:spacing w:line="240" w:lineRule="auto" w:before="4" w:after="0"/>
            <w:ind w:left="999" w:right="0" w:hanging="653"/>
            <w:jc w:val="left"/>
          </w:pPr>
          <w:hyperlink w:history="true" w:anchor="_TOC_250002">
            <w:r>
              <w:rPr/>
              <w:t>Procedimiento para </w:t>
            </w:r>
            <w:r>
              <w:rPr>
                <w:spacing w:val="-5"/>
              </w:rPr>
              <w:t>la </w:t>
            </w:r>
            <w:r>
              <w:rPr/>
              <w:t>recolección</w:t>
            </w:r>
            <w:r>
              <w:rPr>
                <w:spacing w:val="24"/>
              </w:rPr>
              <w:t> </w:t>
            </w:r>
            <w:r>
              <w:rPr/>
              <w:t>de</w:t>
            </w:r>
            <w:r>
              <w:rPr>
                <w:spacing w:val="2"/>
              </w:rPr>
              <w:t> </w:t>
            </w:r>
            <w:r>
              <w:rPr/>
              <w:t>datos</w:t>
              <w:tab/>
              <w:t>46</w:t>
            </w:r>
          </w:hyperlink>
        </w:p>
        <w:p>
          <w:pPr>
            <w:pStyle w:val="TOC1"/>
            <w:numPr>
              <w:ilvl w:val="1"/>
              <w:numId w:val="3"/>
            </w:numPr>
            <w:tabs>
              <w:tab w:pos="572" w:val="left" w:leader="none"/>
              <w:tab w:pos="8704" w:val="right" w:leader="dot"/>
            </w:tabs>
            <w:spacing w:line="264" w:lineRule="exact" w:before="239" w:after="0"/>
            <w:ind w:left="572" w:right="0" w:hanging="456"/>
            <w:jc w:val="left"/>
          </w:pPr>
          <w:hyperlink w:history="true" w:anchor="_TOC_250001">
            <w:r>
              <w:rPr/>
              <w:t>INSTRUMENTACIÓN</w:t>
              <w:tab/>
              <w:t>46</w:t>
            </w:r>
          </w:hyperlink>
        </w:p>
        <w:p>
          <w:pPr>
            <w:pStyle w:val="TOC2"/>
            <w:numPr>
              <w:ilvl w:val="2"/>
              <w:numId w:val="3"/>
            </w:numPr>
            <w:tabs>
              <w:tab w:pos="1004" w:val="left" w:leader="none"/>
              <w:tab w:pos="8703" w:val="right" w:leader="dot"/>
            </w:tabs>
            <w:spacing w:line="264" w:lineRule="exact" w:before="0" w:after="0"/>
            <w:ind w:left="1004" w:right="0" w:hanging="658"/>
            <w:jc w:val="left"/>
          </w:pPr>
          <w:hyperlink w:history="true" w:anchor="_TOC_250000">
            <w:r>
              <w:rPr/>
              <w:t>Medición de la comprensión de lectura en </w:t>
            </w:r>
            <w:r>
              <w:rPr>
                <w:spacing w:val="-5"/>
              </w:rPr>
              <w:t>la</w:t>
            </w:r>
            <w:r>
              <w:rPr>
                <w:spacing w:val="38"/>
              </w:rPr>
              <w:t> </w:t>
            </w:r>
            <w:r>
              <w:rPr/>
              <w:t>lengua</w:t>
            </w:r>
            <w:r>
              <w:rPr>
                <w:spacing w:val="4"/>
              </w:rPr>
              <w:t> </w:t>
            </w:r>
            <w:r>
              <w:rPr/>
              <w:t>inglesa</w:t>
              <w:tab/>
              <w:t>47</w:t>
            </w:r>
          </w:hyperlink>
        </w:p>
      </w:sdtContent>
    </w:sdt>
    <w:p>
      <w:pPr>
        <w:pStyle w:val="ListParagraph"/>
        <w:numPr>
          <w:ilvl w:val="2"/>
          <w:numId w:val="3"/>
        </w:numPr>
        <w:tabs>
          <w:tab w:pos="1004" w:val="left" w:leader="none"/>
        </w:tabs>
        <w:spacing w:line="264" w:lineRule="exact" w:before="9" w:after="0"/>
        <w:ind w:left="1004" w:right="0" w:hanging="658"/>
        <w:jc w:val="left"/>
        <w:rPr>
          <w:sz w:val="23"/>
        </w:rPr>
      </w:pPr>
      <w:r>
        <w:rPr>
          <w:sz w:val="23"/>
        </w:rPr>
        <w:t>Instrumento para medir la comprensión de lectura en la lengua </w:t>
      </w:r>
      <w:r>
        <w:rPr>
          <w:spacing w:val="26"/>
          <w:sz w:val="23"/>
        </w:rPr>
        <w:t> </w:t>
      </w:r>
      <w:r>
        <w:rPr>
          <w:sz w:val="23"/>
        </w:rPr>
        <w:t>española</w:t>
      </w:r>
    </w:p>
    <w:p>
      <w:pPr>
        <w:pStyle w:val="BodyText"/>
        <w:spacing w:line="264" w:lineRule="exact"/>
        <w:ind w:left="355"/>
      </w:pPr>
      <w:r>
        <w:rPr/>
        <w:t>........................................................................................................................... </w:t>
      </w:r>
      <w:r>
        <w:rPr>
          <w:spacing w:val="61"/>
        </w:rPr>
        <w:t> </w:t>
      </w:r>
      <w:r>
        <w:rPr/>
        <w:t>48</w:t>
      </w:r>
    </w:p>
    <w:p>
      <w:pPr>
        <w:pStyle w:val="ListParagraph"/>
        <w:numPr>
          <w:ilvl w:val="2"/>
          <w:numId w:val="3"/>
        </w:numPr>
        <w:tabs>
          <w:tab w:pos="1004" w:val="left" w:leader="none"/>
        </w:tabs>
        <w:spacing w:line="240" w:lineRule="auto" w:before="9" w:after="0"/>
        <w:ind w:left="1004" w:right="0" w:hanging="658"/>
        <w:jc w:val="left"/>
        <w:rPr>
          <w:sz w:val="23"/>
        </w:rPr>
      </w:pPr>
      <w:r>
        <w:rPr>
          <w:sz w:val="23"/>
        </w:rPr>
        <w:t>Instrumento para medir la competencia lingüística en la lengua inglesa .</w:t>
      </w:r>
      <w:r>
        <w:rPr>
          <w:spacing w:val="49"/>
          <w:sz w:val="23"/>
        </w:rPr>
        <w:t> </w:t>
      </w:r>
      <w:r>
        <w:rPr>
          <w:sz w:val="23"/>
        </w:rPr>
        <w:t>52</w:t>
      </w:r>
    </w:p>
    <w:p>
      <w:pPr>
        <w:pStyle w:val="Heading3"/>
        <w:numPr>
          <w:ilvl w:val="1"/>
          <w:numId w:val="3"/>
        </w:numPr>
        <w:tabs>
          <w:tab w:pos="572" w:val="left" w:leader="none"/>
          <w:tab w:pos="8703" w:val="right" w:leader="dot"/>
        </w:tabs>
        <w:spacing w:line="240" w:lineRule="auto" w:before="234" w:after="0"/>
        <w:ind w:left="572" w:right="0" w:hanging="456"/>
        <w:jc w:val="left"/>
      </w:pPr>
      <w:r>
        <w:rPr/>
        <w:t>SUJETOS </w:t>
      </w:r>
      <w:r>
        <w:rPr>
          <w:spacing w:val="-3"/>
        </w:rPr>
        <w:t>DE </w:t>
      </w:r>
      <w:r>
        <w:rPr/>
        <w:t>LA</w:t>
      </w:r>
      <w:r>
        <w:rPr>
          <w:spacing w:val="-6"/>
        </w:rPr>
        <w:t> </w:t>
      </w:r>
      <w:r>
        <w:rPr/>
        <w:t>APLICACIÓN</w:t>
      </w:r>
      <w:r>
        <w:rPr>
          <w:spacing w:val="4"/>
        </w:rPr>
        <w:t> </w:t>
      </w:r>
      <w:r>
        <w:rPr>
          <w:spacing w:val="-3"/>
        </w:rPr>
        <w:t>INNOVADORA</w:t>
        <w:tab/>
      </w:r>
      <w:r>
        <w:rPr/>
        <w:t>56</w:t>
      </w:r>
    </w:p>
    <w:p>
      <w:pPr>
        <w:spacing w:after="0" w:line="240" w:lineRule="auto"/>
        <w:jc w:val="left"/>
        <w:sectPr>
          <w:pgSz w:w="11910" w:h="16840"/>
          <w:pgMar w:top="1580" w:bottom="280" w:left="1540" w:right="1540"/>
        </w:sectPr>
      </w:pPr>
    </w:p>
    <w:p>
      <w:pPr>
        <w:pStyle w:val="Heading3"/>
        <w:tabs>
          <w:tab w:pos="8703" w:val="right" w:leader="dot"/>
        </w:tabs>
        <w:spacing w:before="490"/>
        <w:ind w:left="115"/>
        <w:jc w:val="left"/>
      </w:pPr>
      <w:r>
        <w:rPr/>
        <w:t>CAPÍTULO</w:t>
      </w:r>
      <w:r>
        <w:rPr>
          <w:spacing w:val="-6"/>
        </w:rPr>
        <w:t> </w:t>
      </w:r>
      <w:r>
        <w:rPr/>
        <w:t>3</w:t>
        <w:tab/>
        <w:t>57</w:t>
      </w:r>
    </w:p>
    <w:p>
      <w:pPr>
        <w:pStyle w:val="Heading3"/>
        <w:numPr>
          <w:ilvl w:val="1"/>
          <w:numId w:val="4"/>
        </w:numPr>
        <w:tabs>
          <w:tab w:pos="496" w:val="left" w:leader="none"/>
          <w:tab w:pos="8703" w:val="right" w:leader="dot"/>
        </w:tabs>
        <w:spacing w:line="240" w:lineRule="auto" w:before="239" w:after="0"/>
        <w:ind w:left="495" w:right="0" w:hanging="379"/>
        <w:jc w:val="left"/>
      </w:pPr>
      <w:r>
        <w:rPr/>
        <w:t>ANÁLISIS</w:t>
      </w:r>
      <w:r>
        <w:rPr>
          <w:spacing w:val="5"/>
        </w:rPr>
        <w:t> </w:t>
      </w:r>
      <w:r>
        <w:rPr/>
        <w:t>DE</w:t>
      </w:r>
      <w:r>
        <w:rPr>
          <w:spacing w:val="5"/>
        </w:rPr>
        <w:t> </w:t>
      </w:r>
      <w:r>
        <w:rPr>
          <w:spacing w:val="-5"/>
        </w:rPr>
        <w:t>RESULTADOS</w:t>
        <w:tab/>
      </w:r>
      <w:r>
        <w:rPr/>
        <w:t>57</w:t>
      </w:r>
    </w:p>
    <w:p>
      <w:pPr>
        <w:pStyle w:val="Heading3"/>
        <w:numPr>
          <w:ilvl w:val="1"/>
          <w:numId w:val="4"/>
        </w:numPr>
        <w:tabs>
          <w:tab w:pos="505" w:val="left" w:leader="none"/>
          <w:tab w:pos="8703" w:val="right" w:leader="dot"/>
        </w:tabs>
        <w:spacing w:line="240" w:lineRule="auto" w:before="234" w:after="0"/>
        <w:ind w:left="504" w:right="0" w:hanging="388"/>
        <w:jc w:val="left"/>
      </w:pPr>
      <w:hyperlink w:history="true" w:anchor="_bookmark34">
        <w:r>
          <w:rPr/>
          <w:t>DISCUSIÓN</w:t>
        </w:r>
        <w:r>
          <w:rPr>
            <w:spacing w:val="3"/>
          </w:rPr>
          <w:t> </w:t>
        </w:r>
        <w:r>
          <w:rPr/>
          <w:t>DE </w:t>
        </w:r>
        <w:r>
          <w:rPr>
            <w:spacing w:val="-4"/>
          </w:rPr>
          <w:t>RESULTADOS</w:t>
          <w:tab/>
        </w:r>
        <w:r>
          <w:rPr/>
          <w:t>69</w:t>
        </w:r>
      </w:hyperlink>
    </w:p>
    <w:p>
      <w:pPr>
        <w:pStyle w:val="Heading3"/>
        <w:tabs>
          <w:tab w:pos="8703" w:val="right" w:leader="dot"/>
        </w:tabs>
        <w:spacing w:before="359"/>
        <w:ind w:left="115"/>
        <w:jc w:val="left"/>
      </w:pPr>
      <w:hyperlink w:history="true" w:anchor="_bookmark35">
        <w:r>
          <w:rPr/>
          <w:t>CONCLUSIONES</w:t>
          <w:tab/>
          <w:t>73</w:t>
        </w:r>
      </w:hyperlink>
    </w:p>
    <w:p>
      <w:pPr>
        <w:pStyle w:val="Heading3"/>
        <w:tabs>
          <w:tab w:pos="8703" w:val="right" w:leader="dot"/>
        </w:tabs>
        <w:spacing w:before="350"/>
        <w:ind w:left="115"/>
        <w:jc w:val="left"/>
      </w:pPr>
      <w:hyperlink w:history="true" w:anchor="_bookmark36">
        <w:r>
          <w:rPr/>
          <w:t>REFERENCIAS</w:t>
          <w:tab/>
          <w:t>78</w:t>
        </w:r>
      </w:hyperlink>
    </w:p>
    <w:p>
      <w:pPr>
        <w:pStyle w:val="Heading3"/>
        <w:tabs>
          <w:tab w:pos="8704" w:val="right" w:leader="dot"/>
        </w:tabs>
        <w:spacing w:before="359"/>
        <w:ind w:left="115"/>
        <w:jc w:val="left"/>
      </w:pPr>
      <w:hyperlink w:history="true" w:anchor="_bookmark37">
        <w:r>
          <w:rPr/>
          <w:t>ANEXOS</w:t>
          <w:tab/>
          <w:t>85</w:t>
        </w:r>
      </w:hyperlink>
    </w:p>
    <w:p>
      <w:pPr>
        <w:pStyle w:val="Heading3"/>
        <w:tabs>
          <w:tab w:pos="8704" w:val="right" w:leader="dot"/>
        </w:tabs>
        <w:spacing w:before="350"/>
        <w:ind w:left="115"/>
        <w:jc w:val="left"/>
      </w:pPr>
      <w:hyperlink w:history="true" w:anchor="_bookmark38">
        <w:r>
          <w:rPr/>
          <w:t>ANEXO A. </w:t>
        </w:r>
        <w:r>
          <w:rPr>
            <w:spacing w:val="-5"/>
          </w:rPr>
          <w:t>TABLAS </w:t>
        </w:r>
        <w:r>
          <w:rPr>
            <w:spacing w:val="-3"/>
          </w:rPr>
          <w:t>DE </w:t>
        </w:r>
        <w:r>
          <w:rPr/>
          <w:t>FRECUENCIAS DE</w:t>
        </w:r>
        <w:r>
          <w:rPr>
            <w:spacing w:val="31"/>
          </w:rPr>
          <w:t> </w:t>
        </w:r>
        <w:r>
          <w:rPr/>
          <w:t>LAS</w:t>
        </w:r>
        <w:r>
          <w:rPr>
            <w:spacing w:val="9"/>
          </w:rPr>
          <w:t> </w:t>
        </w:r>
        <w:r>
          <w:rPr>
            <w:spacing w:val="-3"/>
          </w:rPr>
          <w:t>VARIABLES</w:t>
          <w:tab/>
        </w:r>
        <w:r>
          <w:rPr/>
          <w:t>86</w:t>
        </w:r>
      </w:hyperlink>
    </w:p>
    <w:p>
      <w:pPr>
        <w:pStyle w:val="Heading3"/>
        <w:tabs>
          <w:tab w:pos="8704" w:val="right" w:leader="dot"/>
        </w:tabs>
        <w:spacing w:before="359"/>
        <w:ind w:left="115"/>
        <w:jc w:val="left"/>
      </w:pPr>
      <w:r>
        <w:rPr/>
        <w:t>ANEXO B. </w:t>
      </w:r>
      <w:r>
        <w:rPr>
          <w:spacing w:val="-3"/>
        </w:rPr>
        <w:t>ESTADÍSTICA </w:t>
      </w:r>
      <w:r>
        <w:rPr/>
        <w:t>BÁSICA </w:t>
      </w:r>
      <w:r>
        <w:rPr>
          <w:spacing w:val="-4"/>
        </w:rPr>
        <w:t>PARA </w:t>
      </w:r>
      <w:r>
        <w:rPr/>
        <w:t>LAS TRES</w:t>
      </w:r>
      <w:r>
        <w:rPr>
          <w:spacing w:val="-1"/>
        </w:rPr>
        <w:t> </w:t>
      </w:r>
      <w:r>
        <w:rPr/>
        <w:t>VARIABLES</w:t>
        <w:tab/>
        <w:t>89</w:t>
      </w:r>
    </w:p>
    <w:p>
      <w:pPr>
        <w:pStyle w:val="Heading3"/>
        <w:tabs>
          <w:tab w:pos="8703" w:val="right" w:leader="dot"/>
        </w:tabs>
        <w:spacing w:before="350"/>
        <w:ind w:left="115"/>
        <w:jc w:val="left"/>
      </w:pPr>
      <w:r>
        <w:rPr/>
        <w:t>ANEXO C. </w:t>
      </w:r>
      <w:r>
        <w:rPr>
          <w:spacing w:val="-5"/>
        </w:rPr>
        <w:t>ANOVA</w:t>
      </w:r>
      <w:r>
        <w:rPr>
          <w:spacing w:val="-11"/>
        </w:rPr>
        <w:t> </w:t>
      </w:r>
      <w:r>
        <w:rPr>
          <w:spacing w:val="-4"/>
        </w:rPr>
        <w:t>CUATRO</w:t>
      </w:r>
      <w:r>
        <w:rPr>
          <w:spacing w:val="5"/>
        </w:rPr>
        <w:t> </w:t>
      </w:r>
      <w:r>
        <w:rPr/>
        <w:t>GRUPOS</w:t>
        <w:tab/>
        <w:t>91</w:t>
      </w:r>
    </w:p>
    <w:p>
      <w:pPr>
        <w:pStyle w:val="Heading3"/>
        <w:tabs>
          <w:tab w:pos="8703" w:val="right" w:leader="dot"/>
        </w:tabs>
        <w:spacing w:line="244" w:lineRule="auto" w:before="354"/>
        <w:ind w:left="115" w:right="118"/>
        <w:jc w:val="left"/>
      </w:pPr>
      <w:r>
        <w:rPr/>
        <w:t>ANEXO D. PRUEBAS POST HOC. COMPRENSIÓN DE LECTURA EN  </w:t>
      </w:r>
      <w:r>
        <w:rPr>
          <w:spacing w:val="-3"/>
        </w:rPr>
        <w:t>ESPAÑOL.</w:t>
        <w:tab/>
      </w:r>
      <w:r>
        <w:rPr/>
        <w:t>93</w:t>
      </w:r>
    </w:p>
    <w:p>
      <w:pPr>
        <w:pStyle w:val="Heading3"/>
        <w:spacing w:before="349"/>
        <w:ind w:left="115" w:right="213"/>
        <w:jc w:val="left"/>
      </w:pPr>
      <w:r>
        <w:rPr/>
        <w:t>ANEXO E. PRUEBAS POST HOC. COMPETENCIA LINGÜÍSTICA EN  INGLÉS.</w:t>
      </w:r>
    </w:p>
    <w:p>
      <w:pPr>
        <w:pStyle w:val="Heading3"/>
        <w:spacing w:before="4"/>
        <w:ind w:left="159"/>
        <w:jc w:val="left"/>
      </w:pPr>
      <w:r>
        <w:rPr/>
        <w:t>..............................................................................................................................   95</w:t>
      </w:r>
    </w:p>
    <w:p>
      <w:pPr>
        <w:pStyle w:val="Heading3"/>
        <w:tabs>
          <w:tab w:pos="8703" w:val="right" w:leader="dot"/>
        </w:tabs>
        <w:spacing w:before="354"/>
        <w:ind w:left="115"/>
        <w:jc w:val="left"/>
      </w:pPr>
      <w:r>
        <w:rPr/>
        <w:t>ANEXO </w:t>
      </w:r>
      <w:r>
        <w:rPr>
          <w:spacing w:val="-12"/>
        </w:rPr>
        <w:t>F. </w:t>
      </w:r>
      <w:r>
        <w:rPr>
          <w:spacing w:val="-5"/>
        </w:rPr>
        <w:t>ANOVA</w:t>
      </w:r>
      <w:r>
        <w:rPr>
          <w:spacing w:val="-4"/>
        </w:rPr>
        <w:t> </w:t>
      </w:r>
      <w:r>
        <w:rPr/>
        <w:t>TRES</w:t>
      </w:r>
      <w:r>
        <w:rPr>
          <w:spacing w:val="5"/>
        </w:rPr>
        <w:t> </w:t>
      </w:r>
      <w:r>
        <w:rPr/>
        <w:t>GRUPOS</w:t>
        <w:tab/>
        <w:t>97</w:t>
      </w:r>
    </w:p>
    <w:p>
      <w:pPr>
        <w:pStyle w:val="Heading3"/>
        <w:tabs>
          <w:tab w:pos="8703" w:val="right" w:leader="dot"/>
        </w:tabs>
        <w:spacing w:before="354"/>
        <w:ind w:left="115"/>
        <w:jc w:val="left"/>
      </w:pPr>
      <w:r>
        <w:rPr/>
        <w:t>ANEXO </w:t>
      </w:r>
      <w:r>
        <w:rPr>
          <w:spacing w:val="-3"/>
        </w:rPr>
        <w:t>G. </w:t>
      </w:r>
      <w:r>
        <w:rPr>
          <w:spacing w:val="-4"/>
        </w:rPr>
        <w:t>ANOVA</w:t>
      </w:r>
      <w:r>
        <w:rPr>
          <w:spacing w:val="-8"/>
        </w:rPr>
        <w:t> </w:t>
      </w:r>
      <w:r>
        <w:rPr/>
        <w:t>DOS</w:t>
      </w:r>
      <w:r>
        <w:rPr>
          <w:spacing w:val="-4"/>
        </w:rPr>
        <w:t> </w:t>
      </w:r>
      <w:r>
        <w:rPr/>
        <w:t>GRUPOS</w:t>
        <w:tab/>
        <w:t>99</w:t>
      </w:r>
    </w:p>
    <w:p>
      <w:pPr>
        <w:pStyle w:val="Heading3"/>
        <w:tabs>
          <w:tab w:pos="8708" w:val="right" w:leader="dot"/>
        </w:tabs>
        <w:spacing w:line="244" w:lineRule="auto" w:before="354"/>
        <w:ind w:left="115" w:right="113"/>
        <w:jc w:val="left"/>
      </w:pPr>
      <w:r>
        <w:rPr/>
        <w:t>ANEXO H. </w:t>
      </w:r>
      <w:r>
        <w:rPr>
          <w:spacing w:val="-4"/>
        </w:rPr>
        <w:t>COMPARATIVO </w:t>
      </w:r>
      <w:r>
        <w:rPr>
          <w:spacing w:val="-3"/>
        </w:rPr>
        <w:t>DE </w:t>
      </w:r>
      <w:r>
        <w:rPr>
          <w:spacing w:val="-5"/>
        </w:rPr>
        <w:t>RESULTADOS </w:t>
      </w:r>
      <w:r>
        <w:rPr>
          <w:spacing w:val="-6"/>
        </w:rPr>
        <w:t>YAMASHITA </w:t>
      </w:r>
      <w:r>
        <w:rPr/>
        <w:t>(2002) Y ANDRADE (2009)</w:t>
        <w:tab/>
        <w:t>101</w:t>
      </w:r>
    </w:p>
    <w:p>
      <w:pPr>
        <w:pStyle w:val="Heading3"/>
        <w:tabs>
          <w:tab w:pos="8708" w:val="right" w:leader="dot"/>
        </w:tabs>
        <w:spacing w:line="244" w:lineRule="auto" w:before="349"/>
        <w:ind w:left="115" w:right="113"/>
        <w:jc w:val="left"/>
      </w:pPr>
      <w:r>
        <w:rPr/>
        <w:t>ANEXO I. INSTRUMENTO </w:t>
      </w:r>
      <w:r>
        <w:rPr>
          <w:spacing w:val="-3"/>
        </w:rPr>
        <w:t>DE </w:t>
      </w:r>
      <w:r>
        <w:rPr/>
        <w:t>COMPRESIÓN DE LECTURA EN </w:t>
      </w:r>
      <w:r>
        <w:rPr>
          <w:spacing w:val="3"/>
        </w:rPr>
        <w:t>LA </w:t>
      </w:r>
      <w:r>
        <w:rPr/>
        <w:t>LENGUA </w:t>
      </w:r>
      <w:r>
        <w:rPr>
          <w:spacing w:val="-3"/>
        </w:rPr>
        <w:t>ESPAÑOLA</w:t>
        <w:tab/>
      </w:r>
      <w:r>
        <w:rPr/>
        <w:t>103</w:t>
      </w:r>
    </w:p>
    <w:p>
      <w:pPr>
        <w:pStyle w:val="Heading3"/>
        <w:tabs>
          <w:tab w:pos="8703" w:val="right" w:leader="dot"/>
        </w:tabs>
        <w:spacing w:line="244" w:lineRule="auto" w:before="349"/>
        <w:ind w:left="115" w:right="118"/>
        <w:jc w:val="left"/>
      </w:pPr>
      <w:r>
        <w:rPr/>
        <w:t>ANEXO J. INSTRUMENTO </w:t>
      </w:r>
      <w:r>
        <w:rPr>
          <w:spacing w:val="-3"/>
        </w:rPr>
        <w:t>DE </w:t>
      </w:r>
      <w:r>
        <w:rPr/>
        <w:t>COMPETENCIA LINGÜÍSTICA EN </w:t>
      </w:r>
      <w:r>
        <w:rPr>
          <w:spacing w:val="3"/>
        </w:rPr>
        <w:t>LA </w:t>
      </w:r>
      <w:r>
        <w:rPr/>
        <w:t>LENGUA I</w:t>
      </w:r>
      <w:hyperlink w:history="true" w:anchor="_bookmark46">
        <w:r>
          <w:rPr/>
          <w:t>NGLESA:</w:t>
        </w:r>
        <w:r>
          <w:rPr>
            <w:spacing w:val="-4"/>
          </w:rPr>
          <w:t> </w:t>
        </w:r>
        <w:r>
          <w:rPr/>
          <w:t>VOCABULARIO</w:t>
          <w:tab/>
        </w:r>
        <w:r>
          <w:rPr>
            <w:spacing w:val="-5"/>
          </w:rPr>
          <w:t>114</w:t>
        </w:r>
      </w:hyperlink>
    </w:p>
    <w:p>
      <w:pPr>
        <w:pStyle w:val="Heading3"/>
        <w:tabs>
          <w:tab w:pos="8708" w:val="right" w:leader="dot"/>
        </w:tabs>
        <w:spacing w:line="244" w:lineRule="auto" w:before="349"/>
        <w:ind w:left="115" w:right="113"/>
        <w:jc w:val="left"/>
      </w:pPr>
      <w:r>
        <w:rPr/>
        <w:t>ANEXO K. INSTRUMENTO DE COMPETENCIA LINGÜÍSTICA </w:t>
      </w:r>
      <w:r>
        <w:rPr>
          <w:spacing w:val="3"/>
        </w:rPr>
        <w:t>EN </w:t>
      </w:r>
      <w:r>
        <w:rPr/>
        <w:t>LA LENGUA I</w:t>
      </w:r>
      <w:hyperlink w:history="true" w:anchor="_bookmark47">
        <w:r>
          <w:rPr/>
          <w:t>NGLESA:</w:t>
        </w:r>
        <w:r>
          <w:rPr>
            <w:spacing w:val="1"/>
          </w:rPr>
          <w:t> </w:t>
        </w:r>
        <w:r>
          <w:rPr/>
          <w:t>CLOZE</w:t>
        </w:r>
        <w:r>
          <w:rPr>
            <w:spacing w:val="5"/>
          </w:rPr>
          <w:t> </w:t>
        </w:r>
        <w:r>
          <w:rPr>
            <w:spacing w:val="-7"/>
          </w:rPr>
          <w:t>TEST</w:t>
          <w:tab/>
        </w:r>
        <w:r>
          <w:rPr/>
          <w:t>121</w:t>
        </w:r>
      </w:hyperlink>
    </w:p>
    <w:p>
      <w:pPr>
        <w:pStyle w:val="Heading3"/>
        <w:tabs>
          <w:tab w:pos="8708" w:val="right" w:leader="dot"/>
        </w:tabs>
        <w:spacing w:before="349"/>
        <w:ind w:left="115" w:right="113"/>
        <w:jc w:val="left"/>
      </w:pPr>
      <w:r>
        <w:rPr/>
        <w:t>ANEXO </w:t>
      </w:r>
      <w:r>
        <w:rPr>
          <w:spacing w:val="3"/>
        </w:rPr>
        <w:t>L. </w:t>
      </w:r>
      <w:r>
        <w:rPr/>
        <w:t>INSTRUMENTO </w:t>
      </w:r>
      <w:r>
        <w:rPr>
          <w:spacing w:val="-3"/>
        </w:rPr>
        <w:t>DE </w:t>
      </w:r>
      <w:r>
        <w:rPr/>
        <w:t>EVALUACIÓN DE COMPRENSIÓN DE   </w:t>
      </w:r>
      <w:hyperlink w:history="true" w:anchor="_bookmark48">
        <w:r>
          <w:rPr/>
          <w:t>LECTURA EN LA</w:t>
        </w:r>
        <w:r>
          <w:rPr>
            <w:spacing w:val="-19"/>
          </w:rPr>
          <w:t> </w:t>
        </w:r>
        <w:r>
          <w:rPr/>
          <w:t>LENGUA</w:t>
        </w:r>
        <w:r>
          <w:rPr>
            <w:spacing w:val="-8"/>
          </w:rPr>
          <w:t> </w:t>
        </w:r>
        <w:r>
          <w:rPr/>
          <w:t>INGLESA</w:t>
          <w:tab/>
          <w:t>124</w:t>
        </w:r>
      </w:hyperlink>
    </w:p>
    <w:p>
      <w:pPr>
        <w:spacing w:after="0"/>
        <w:jc w:val="left"/>
        <w:sectPr>
          <w:pgSz w:w="11910" w:h="16840"/>
          <w:pgMar w:top="1580" w:bottom="280" w:left="1540" w:right="1540"/>
        </w:sectPr>
      </w:pPr>
    </w:p>
    <w:p>
      <w:pPr>
        <w:pStyle w:val="BodyText"/>
        <w:rPr>
          <w:b/>
          <w:sz w:val="22"/>
        </w:rPr>
      </w:pPr>
    </w:p>
    <w:p>
      <w:pPr>
        <w:pStyle w:val="BodyText"/>
        <w:rPr>
          <w:b/>
          <w:sz w:val="22"/>
        </w:rPr>
      </w:pPr>
    </w:p>
    <w:p>
      <w:pPr>
        <w:pStyle w:val="BodyText"/>
        <w:spacing w:before="9"/>
        <w:rPr>
          <w:b/>
          <w:sz w:val="19"/>
        </w:rPr>
      </w:pPr>
    </w:p>
    <w:p>
      <w:pPr>
        <w:pStyle w:val="Heading3"/>
        <w:ind w:right="1016"/>
        <w:jc w:val="center"/>
      </w:pPr>
      <w:bookmarkStart w:name="_bookmark0" w:id="1"/>
      <w:bookmarkEnd w:id="1"/>
      <w:r>
        <w:rPr>
          <w:b w:val="0"/>
        </w:rPr>
      </w:r>
      <w:r>
        <w:rPr/>
        <w:t>Introducción.</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line="364" w:lineRule="auto"/>
        <w:ind w:left="115" w:right="100"/>
        <w:jc w:val="both"/>
      </w:pPr>
      <w:r>
        <w:rPr/>
        <w:t>El proceso de lectura tiene como componentes al texto mismo, al lector y al conocimiento del mundo que éste tiene. A pesar de la simplicidad, en cuanto al número de componentes se refiere, es un proceso muy complejo. Ha sido difícil,  sino imposible, descifrar hasta el momento el constructo que ayuda al ser humano   a comprender un texto. </w:t>
      </w:r>
      <w:r>
        <w:rPr>
          <w:spacing w:val="3"/>
        </w:rPr>
        <w:t>El </w:t>
      </w:r>
      <w:r>
        <w:rPr/>
        <w:t>proceso </w:t>
      </w:r>
      <w:r>
        <w:rPr>
          <w:spacing w:val="-3"/>
        </w:rPr>
        <w:t>es </w:t>
      </w:r>
      <w:r>
        <w:rPr/>
        <w:t>dinámico, </w:t>
      </w:r>
      <w:r>
        <w:rPr>
          <w:spacing w:val="-4"/>
        </w:rPr>
        <w:t>ya </w:t>
      </w:r>
      <w:r>
        <w:rPr/>
        <w:t>que se efectúa en medio de un vaivén </w:t>
      </w:r>
      <w:r>
        <w:rPr>
          <w:spacing w:val="-3"/>
        </w:rPr>
        <w:t>de </w:t>
      </w:r>
      <w:r>
        <w:rPr/>
        <w:t>ideas, predicciones, conceptualizaciones, juicios y prejuicios; es interactivo, puesto que el lector aporta sus ideas y conocimiento para el entendimiento del texto, a la vez que éste proporciona información al lector para  que incremente sus conocimientos del medio. </w:t>
      </w:r>
      <w:r>
        <w:rPr>
          <w:spacing w:val="-6"/>
        </w:rPr>
        <w:t>Todas </w:t>
      </w:r>
      <w:r>
        <w:rPr>
          <w:spacing w:val="-3"/>
        </w:rPr>
        <w:t>estas </w:t>
      </w:r>
      <w:r>
        <w:rPr/>
        <w:t>características </w:t>
      </w:r>
      <w:r>
        <w:rPr>
          <w:spacing w:val="2"/>
        </w:rPr>
        <w:t>son </w:t>
      </w:r>
      <w:r>
        <w:rPr/>
        <w:t>una muestra de </w:t>
      </w:r>
      <w:r>
        <w:rPr>
          <w:spacing w:val="-5"/>
        </w:rPr>
        <w:t>la </w:t>
      </w:r>
      <w:r>
        <w:rPr/>
        <w:t>complejidad que envuelve al proceso de </w:t>
      </w:r>
      <w:r>
        <w:rPr>
          <w:spacing w:val="31"/>
        </w:rPr>
        <w:t> </w:t>
      </w:r>
      <w:r>
        <w:rPr/>
        <w:t>lectura.</w:t>
      </w:r>
    </w:p>
    <w:p>
      <w:pPr>
        <w:pStyle w:val="BodyText"/>
        <w:rPr>
          <w:sz w:val="22"/>
        </w:rPr>
      </w:pPr>
    </w:p>
    <w:p>
      <w:pPr>
        <w:pStyle w:val="BodyText"/>
        <w:rPr>
          <w:sz w:val="22"/>
        </w:rPr>
      </w:pPr>
    </w:p>
    <w:p>
      <w:pPr>
        <w:pStyle w:val="BodyText"/>
        <w:spacing w:before="8"/>
        <w:rPr>
          <w:sz w:val="25"/>
        </w:rPr>
      </w:pPr>
    </w:p>
    <w:p>
      <w:pPr>
        <w:pStyle w:val="BodyText"/>
        <w:spacing w:line="364" w:lineRule="auto"/>
        <w:ind w:left="115" w:right="104"/>
        <w:jc w:val="both"/>
      </w:pPr>
      <w:r>
        <w:rPr/>
        <w:t>La lectura en segunda lengua y su constructo incrementan esta complejidad al incorporar el factor de la segunda lengua. El lector se enfrenta no solamente a nueva información, nuevas ideas o planteamientos, sino que también a todo lo que representa </w:t>
      </w:r>
      <w:r>
        <w:rPr>
          <w:spacing w:val="-3"/>
        </w:rPr>
        <w:t>un </w:t>
      </w:r>
      <w:r>
        <w:rPr/>
        <w:t>idioma distinto: estructuras gramaticales, aspectos culturales, léxico  y esquemas diferentes. Alderson (1984), seguido  por  varios  investigadores (Carrell, 1991; Hulstijn, 1991; Bernhardt &amp; Kamil, 1995; Lee &amp;  Schallert, 1997;  Kong 2006), se ha planteado el cuestionamiento acerca de cuál de </w:t>
      </w:r>
      <w:r>
        <w:rPr>
          <w:spacing w:val="-3"/>
        </w:rPr>
        <w:t>los </w:t>
      </w:r>
      <w:r>
        <w:rPr/>
        <w:t>siguientes factores tiene mayor peso en los problemas en </w:t>
      </w:r>
      <w:r>
        <w:rPr>
          <w:spacing w:val="-5"/>
        </w:rPr>
        <w:t>la </w:t>
      </w:r>
      <w:r>
        <w:rPr/>
        <w:t>comprensión del texto de un  lector en segunda lengua: </w:t>
      </w:r>
      <w:r>
        <w:rPr>
          <w:spacing w:val="-4"/>
        </w:rPr>
        <w:t>ya </w:t>
      </w:r>
      <w:r>
        <w:rPr/>
        <w:t>sea que su habilidad para leer en lengua materna es débil o que su conocimiento de la  segunda lengua, o competencia  lingüística,  </w:t>
      </w:r>
      <w:r>
        <w:rPr>
          <w:spacing w:val="-3"/>
        </w:rPr>
        <w:t>no </w:t>
      </w:r>
      <w:r>
        <w:rPr/>
        <w:t>es el suficiente para comprender el texto. Existen posturas en ambos sentidos, siendo los estudios </w:t>
      </w:r>
      <w:r>
        <w:rPr>
          <w:spacing w:val="-3"/>
        </w:rPr>
        <w:t>más </w:t>
      </w:r>
      <w:r>
        <w:rPr/>
        <w:t>convincentes aquellos que apoyan el supuesto de la falta de competencia lingüística en la segunda lengua en la comprensión del texto ((Carrell, 1991; Bernhardt &amp; Kamil, 1995; Lee &amp; </w:t>
      </w:r>
      <w:r>
        <w:rPr>
          <w:spacing w:val="3"/>
        </w:rPr>
        <w:t> </w:t>
      </w:r>
      <w:r>
        <w:rPr/>
        <w:t>Schallert.).</w:t>
      </w:r>
    </w:p>
    <w:p>
      <w:pPr>
        <w:spacing w:after="0" w:line="364" w:lineRule="auto"/>
        <w:jc w:val="both"/>
        <w:sectPr>
          <w:headerReference w:type="default" r:id="rId6"/>
          <w:pgSz w:w="11910" w:h="16840"/>
          <w:pgMar w:header="1424" w:footer="0" w:top="1840" w:bottom="280" w:left="1540" w:right="1540"/>
          <w:pgNumType w:start="1"/>
        </w:sectPr>
      </w:pPr>
    </w:p>
    <w:p>
      <w:pPr>
        <w:pStyle w:val="BodyText"/>
        <w:spacing w:before="11"/>
        <w:rPr>
          <w:sz w:val="16"/>
        </w:rPr>
      </w:pPr>
    </w:p>
    <w:p>
      <w:pPr>
        <w:pStyle w:val="BodyText"/>
        <w:spacing w:line="364" w:lineRule="auto" w:before="73"/>
        <w:ind w:left="115" w:right="100"/>
        <w:jc w:val="both"/>
      </w:pPr>
      <w:r>
        <w:rPr/>
        <w:t>Con la finalidad de aportar a la resolución de este planteamiento sobre </w:t>
      </w:r>
      <w:r>
        <w:rPr>
          <w:spacing w:val="4"/>
        </w:rPr>
        <w:t>si </w:t>
      </w:r>
      <w:r>
        <w:rPr/>
        <w:t>el problema de comprensión de lectura </w:t>
      </w:r>
      <w:r>
        <w:rPr>
          <w:spacing w:val="-3"/>
        </w:rPr>
        <w:t>es </w:t>
      </w:r>
      <w:r>
        <w:rPr/>
        <w:t>originado por </w:t>
      </w:r>
      <w:r>
        <w:rPr>
          <w:spacing w:val="-5"/>
        </w:rPr>
        <w:t>la </w:t>
      </w:r>
      <w:r>
        <w:rPr/>
        <w:t>habilidad lectora  en  primera lengua o la competencia lingüística en la segunda lengua,  </w:t>
      </w:r>
      <w:r>
        <w:rPr>
          <w:spacing w:val="-4"/>
        </w:rPr>
        <w:t>Yamashita  </w:t>
      </w:r>
      <w:r>
        <w:rPr/>
        <w:t>(2002) realiza un estudio para determinar si los estudiantes japoneses de inglés como lengua extranjera compensan una </w:t>
      </w:r>
      <w:r>
        <w:rPr>
          <w:spacing w:val="-3"/>
        </w:rPr>
        <w:t>baja </w:t>
      </w:r>
      <w:r>
        <w:rPr/>
        <w:t>habilidad lectora en primera lengua con una alta competencia lingüística en segunda lengua o por el contrario, compensan una baja competencia lingüística en segunda lengua </w:t>
      </w:r>
      <w:r>
        <w:rPr>
          <w:spacing w:val="2"/>
        </w:rPr>
        <w:t>con </w:t>
      </w:r>
      <w:r>
        <w:rPr/>
        <w:t>una alta habilidad lectora en lengua materna. Es </w:t>
      </w:r>
      <w:r>
        <w:rPr>
          <w:spacing w:val="-4"/>
        </w:rPr>
        <w:t>decir, </w:t>
      </w:r>
      <w:r>
        <w:rPr/>
        <w:t>trata de comprobar </w:t>
      </w:r>
      <w:r>
        <w:rPr>
          <w:spacing w:val="4"/>
        </w:rPr>
        <w:t>si </w:t>
      </w:r>
      <w:r>
        <w:rPr/>
        <w:t>compensan su escaso conocimiento de </w:t>
      </w:r>
      <w:r>
        <w:rPr>
          <w:spacing w:val="-5"/>
        </w:rPr>
        <w:t>la </w:t>
      </w:r>
      <w:r>
        <w:rPr/>
        <w:t>lengua inglesa con una alta habilidad lectora  en  japonés, su lengua materna, para obtener una comprensión de lectura exitosa </w:t>
      </w:r>
      <w:r>
        <w:rPr>
          <w:spacing w:val="-3"/>
        </w:rPr>
        <w:t>en </w:t>
      </w:r>
      <w:r>
        <w:rPr/>
        <w:t>inglés; o por otro lado, comprobar si compensan una baja habilidad lectora en japonés con una alta competencia lingüística en inglés y de esta manera lograr </w:t>
      </w:r>
      <w:r>
        <w:rPr>
          <w:spacing w:val="-5"/>
        </w:rPr>
        <w:t>la </w:t>
      </w:r>
      <w:r>
        <w:rPr/>
        <w:t>comprensión de un texto en inglés. </w:t>
      </w:r>
      <w:r>
        <w:rPr>
          <w:spacing w:val="-4"/>
        </w:rPr>
        <w:t>Yamashita </w:t>
      </w:r>
      <w:r>
        <w:rPr/>
        <w:t>(2002) afirma que sí se da  un proceso de compensación entre los estudiantes japoneses </w:t>
      </w:r>
      <w:r>
        <w:rPr>
          <w:spacing w:val="-3"/>
        </w:rPr>
        <w:t>de </w:t>
      </w:r>
      <w:r>
        <w:rPr/>
        <w:t>inglés, </w:t>
      </w:r>
      <w:r>
        <w:rPr>
          <w:spacing w:val="-5"/>
        </w:rPr>
        <w:t>lo  </w:t>
      </w:r>
      <w:r>
        <w:rPr/>
        <w:t>cual  deduce después de haber medido la comprensión de lectura en inglés, </w:t>
      </w:r>
      <w:r>
        <w:rPr>
          <w:spacing w:val="-5"/>
        </w:rPr>
        <w:t>la </w:t>
      </w:r>
      <w:r>
        <w:rPr/>
        <w:t>comprensión de lectura en japonés y la competencia lingüística en  inglés  para estos</w:t>
      </w:r>
      <w:r>
        <w:rPr>
          <w:spacing w:val="20"/>
        </w:rPr>
        <w:t> </w:t>
      </w:r>
      <w:r>
        <w:rPr/>
        <w:t>sujetos.</w:t>
      </w:r>
    </w:p>
    <w:p>
      <w:pPr>
        <w:pStyle w:val="BodyText"/>
        <w:rPr>
          <w:sz w:val="22"/>
        </w:rPr>
      </w:pPr>
    </w:p>
    <w:p>
      <w:pPr>
        <w:pStyle w:val="BodyText"/>
        <w:rPr>
          <w:sz w:val="22"/>
        </w:rPr>
      </w:pPr>
    </w:p>
    <w:p>
      <w:pPr>
        <w:pStyle w:val="BodyText"/>
        <w:spacing w:before="8"/>
        <w:rPr>
          <w:sz w:val="25"/>
        </w:rPr>
      </w:pPr>
    </w:p>
    <w:p>
      <w:pPr>
        <w:pStyle w:val="BodyText"/>
        <w:spacing w:line="364" w:lineRule="auto"/>
        <w:ind w:left="115" w:right="101"/>
        <w:jc w:val="both"/>
      </w:pPr>
      <w:r>
        <w:rPr/>
        <w:t>El presente trabajo es un estudio sobre el proceso de compensación entre los estudiantes mexicanos de lengua inglesa de la Facultad de Lenguas de la Universidad Autónoma del Estado de México (UAEM). En este estudio se midió la comprensión de lectura tanto en español, lengua materna ó L1, como en inglés, lengua extranjera ó L2, y la competencia lingüística en lengua  inglesa.</w:t>
      </w:r>
    </w:p>
    <w:p>
      <w:pPr>
        <w:pStyle w:val="BodyText"/>
        <w:rPr>
          <w:sz w:val="22"/>
        </w:rPr>
      </w:pPr>
    </w:p>
    <w:p>
      <w:pPr>
        <w:pStyle w:val="BodyText"/>
        <w:rPr>
          <w:sz w:val="22"/>
        </w:rPr>
      </w:pPr>
    </w:p>
    <w:p>
      <w:pPr>
        <w:pStyle w:val="BodyText"/>
        <w:spacing w:before="8"/>
        <w:rPr>
          <w:sz w:val="25"/>
        </w:rPr>
      </w:pPr>
    </w:p>
    <w:p>
      <w:pPr>
        <w:pStyle w:val="BodyText"/>
        <w:spacing w:line="364" w:lineRule="auto"/>
        <w:ind w:left="115" w:right="101"/>
        <w:jc w:val="both"/>
      </w:pPr>
      <w:r>
        <w:rPr/>
        <w:t>Este trabajo derivó de </w:t>
      </w:r>
      <w:r>
        <w:rPr>
          <w:spacing w:val="-5"/>
        </w:rPr>
        <w:t>la </w:t>
      </w:r>
      <w:r>
        <w:rPr/>
        <w:t>necesidad de analizar </w:t>
      </w:r>
      <w:r>
        <w:rPr>
          <w:spacing w:val="4"/>
        </w:rPr>
        <w:t>el </w:t>
      </w:r>
      <w:r>
        <w:rPr/>
        <w:t>constructo de comprensión de lectura que realizan </w:t>
      </w:r>
      <w:r>
        <w:rPr>
          <w:spacing w:val="-3"/>
        </w:rPr>
        <w:t>los </w:t>
      </w:r>
      <w:r>
        <w:rPr/>
        <w:t>estudiantes de la Facultad de Lenguas </w:t>
      </w:r>
      <w:r>
        <w:rPr>
          <w:spacing w:val="-3"/>
        </w:rPr>
        <w:t>de </w:t>
      </w:r>
      <w:r>
        <w:rPr/>
        <w:t>la UAEM,  quienes a decir de sus profesores tienen severas dificultades en este proceso </w:t>
      </w:r>
      <w:r>
        <w:rPr>
          <w:spacing w:val="-5"/>
        </w:rPr>
        <w:t>lo   </w:t>
      </w:r>
      <w:r>
        <w:rPr/>
        <w:t>que resulta en una educación deficiente y por ende en profesionales de poca proyección. El estudio </w:t>
      </w:r>
      <w:r>
        <w:rPr>
          <w:spacing w:val="-3"/>
        </w:rPr>
        <w:t>es </w:t>
      </w:r>
      <w:r>
        <w:rPr/>
        <w:t>de corte cuantitativo por </w:t>
      </w:r>
      <w:r>
        <w:rPr>
          <w:spacing w:val="-5"/>
        </w:rPr>
        <w:t>lo </w:t>
      </w:r>
      <w:r>
        <w:rPr/>
        <w:t>que el resultado no sería  </w:t>
      </w:r>
      <w:r>
        <w:rPr>
          <w:spacing w:val="58"/>
        </w:rPr>
        <w:t> </w:t>
      </w:r>
      <w:r>
        <w:rPr/>
        <w:t>más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2" w:lineRule="auto" w:before="73"/>
        <w:ind w:left="115" w:right="112"/>
        <w:jc w:val="both"/>
      </w:pPr>
      <w:r>
        <w:rPr/>
        <w:t>que una generalización o, tal como se expresa en el momento de describir los resultados obtenidos, un hallazgo estadísticamente, o no,  significativo.</w:t>
      </w:r>
    </w:p>
    <w:p>
      <w:pPr>
        <w:pStyle w:val="BodyText"/>
        <w:spacing w:before="9"/>
        <w:rPr>
          <w:sz w:val="17"/>
        </w:rPr>
      </w:pPr>
    </w:p>
    <w:p>
      <w:pPr>
        <w:pStyle w:val="BodyText"/>
        <w:spacing w:line="364" w:lineRule="auto"/>
        <w:ind w:left="115" w:right="99"/>
        <w:jc w:val="both"/>
      </w:pPr>
      <w:r>
        <w:rPr/>
        <w:t>Para </w:t>
      </w:r>
      <w:r>
        <w:rPr>
          <w:spacing w:val="-5"/>
        </w:rPr>
        <w:t>la </w:t>
      </w:r>
      <w:r>
        <w:rPr/>
        <w:t>medición de las variables que componen </w:t>
      </w:r>
      <w:r>
        <w:rPr>
          <w:spacing w:val="-5"/>
        </w:rPr>
        <w:t>la </w:t>
      </w:r>
      <w:r>
        <w:rPr/>
        <w:t>hipótesis  que  son:  comprensión de lectura en inglés, comprensión de lectura en español  y competencia lingüística en inglés; se elaboraron </w:t>
      </w:r>
      <w:r>
        <w:rPr>
          <w:spacing w:val="-3"/>
        </w:rPr>
        <w:t>tres </w:t>
      </w:r>
      <w:r>
        <w:rPr/>
        <w:t>instrumentos, dos para medir  </w:t>
      </w:r>
      <w:r>
        <w:rPr>
          <w:spacing w:val="-5"/>
        </w:rPr>
        <w:t>la </w:t>
      </w:r>
      <w:r>
        <w:rPr/>
        <w:t>competencia lingüística en inglés y uno para medir </w:t>
      </w:r>
      <w:r>
        <w:rPr>
          <w:spacing w:val="-5"/>
        </w:rPr>
        <w:t>la </w:t>
      </w:r>
      <w:r>
        <w:rPr/>
        <w:t>comprensión de lectura en español. En el caso de medición de </w:t>
      </w:r>
      <w:r>
        <w:rPr>
          <w:spacing w:val="-5"/>
        </w:rPr>
        <w:t>la </w:t>
      </w:r>
      <w:r>
        <w:rPr/>
        <w:t>comprensión de lectura en inglés se utilizó  un instrumento ya existente. Los </w:t>
      </w:r>
      <w:r>
        <w:rPr>
          <w:spacing w:val="-3"/>
        </w:rPr>
        <w:t>tres </w:t>
      </w:r>
      <w:r>
        <w:rPr/>
        <w:t>instrumentos elaborados fueron piloteados y aplicados a la población objetivo que, como </w:t>
      </w:r>
      <w:r>
        <w:rPr>
          <w:spacing w:val="4"/>
        </w:rPr>
        <w:t>se </w:t>
      </w:r>
      <w:r>
        <w:rPr/>
        <w:t>mencionó líneas arriba, fueron estudiantes de la Facultad de Lenguas de la UAEM, quienes tomaban, en el momento de la aplicación de los instrumentos, cursos de entre el nivel pre- intermedio al nivel avanzado de lengua inglesa. Una </w:t>
      </w:r>
      <w:r>
        <w:rPr>
          <w:spacing w:val="2"/>
        </w:rPr>
        <w:t>vez  </w:t>
      </w:r>
      <w:r>
        <w:rPr/>
        <w:t>aplicados  los  instrumentos </w:t>
      </w:r>
      <w:r>
        <w:rPr>
          <w:spacing w:val="4"/>
        </w:rPr>
        <w:t>se </w:t>
      </w:r>
      <w:r>
        <w:rPr/>
        <w:t>obtuvieron los resultados y se realizó el análisis estadístico que pudiese comprobar la existencia del proceso de compensación entre  los  estudiantes mexicanos de la lengua  inglesa.</w:t>
      </w:r>
    </w:p>
    <w:p>
      <w:pPr>
        <w:pStyle w:val="BodyText"/>
        <w:rPr>
          <w:sz w:val="22"/>
        </w:rPr>
      </w:pPr>
    </w:p>
    <w:p>
      <w:pPr>
        <w:pStyle w:val="BodyText"/>
        <w:rPr>
          <w:sz w:val="22"/>
        </w:rPr>
      </w:pPr>
    </w:p>
    <w:p>
      <w:pPr>
        <w:pStyle w:val="BodyText"/>
        <w:spacing w:before="8"/>
        <w:rPr>
          <w:sz w:val="25"/>
        </w:rPr>
      </w:pPr>
    </w:p>
    <w:p>
      <w:pPr>
        <w:pStyle w:val="BodyText"/>
        <w:spacing w:line="364" w:lineRule="auto"/>
        <w:ind w:left="115" w:right="102"/>
        <w:jc w:val="both"/>
      </w:pPr>
      <w:r>
        <w:rPr/>
        <w:t>El resultado del estudio no fue el que se esperaba. Después de realizar el análisis, no </w:t>
      </w:r>
      <w:r>
        <w:rPr>
          <w:spacing w:val="4"/>
        </w:rPr>
        <w:t>se </w:t>
      </w:r>
      <w:r>
        <w:rPr/>
        <w:t>mostró evidencia estadísticamente significativa </w:t>
      </w:r>
      <w:r>
        <w:rPr>
          <w:spacing w:val="-3"/>
        </w:rPr>
        <w:t>de </w:t>
      </w:r>
      <w:r>
        <w:rPr/>
        <w:t>que los estudiantes mexicanos de </w:t>
      </w:r>
      <w:r>
        <w:rPr>
          <w:spacing w:val="-5"/>
        </w:rPr>
        <w:t>la </w:t>
      </w:r>
      <w:r>
        <w:rPr/>
        <w:t>Facultad de Lenguas </w:t>
      </w:r>
      <w:r>
        <w:rPr>
          <w:spacing w:val="-3"/>
        </w:rPr>
        <w:t>de </w:t>
      </w:r>
      <w:r>
        <w:rPr/>
        <w:t>la UAEM lleven a cabo un proceso de compensación entre habilidad lectora en español y competencia lingüística  en inglés para lograr la comprensión de una lectura en lengua inglesa, </w:t>
      </w:r>
      <w:r>
        <w:rPr>
          <w:spacing w:val="-5"/>
        </w:rPr>
        <w:t>lo </w:t>
      </w:r>
      <w:r>
        <w:rPr/>
        <w:t>cual se contrapone a lo establecido por </w:t>
      </w:r>
      <w:r>
        <w:rPr>
          <w:spacing w:val="-3"/>
        </w:rPr>
        <w:t>Yamashita </w:t>
      </w:r>
      <w:r>
        <w:rPr/>
        <w:t>(2002). Se dieron algunas  diferencias  en cuanto a la determinación de los grupos y el proceso de análisis estadístico. Se propone para futuros trabajos un análisis más profundo de ambas  metodologías para determinar las razones exactas de </w:t>
      </w:r>
      <w:r>
        <w:rPr>
          <w:spacing w:val="-5"/>
        </w:rPr>
        <w:t>la </w:t>
      </w:r>
      <w:r>
        <w:rPr/>
        <w:t>variación, o quizá pueda deberse en realidad a que los estudiantes japoneses sí compensan y los mexicanos </w:t>
      </w:r>
      <w:r>
        <w:rPr>
          <w:spacing w:val="40"/>
        </w:rPr>
        <w:t> </w:t>
      </w:r>
      <w:r>
        <w:rPr/>
        <w:t>no.</w:t>
      </w:r>
    </w:p>
    <w:p>
      <w:pPr>
        <w:spacing w:after="0" w:line="364" w:lineRule="auto"/>
        <w:jc w:val="both"/>
        <w:sectPr>
          <w:headerReference w:type="default" r:id="rId7"/>
          <w:pgSz w:w="11910" w:h="16840"/>
          <w:pgMar w:header="1424" w:footer="0" w:top="1840" w:bottom="280" w:left="1540" w:right="1540"/>
          <w:pgNumType w:start="3"/>
        </w:sectPr>
      </w:pPr>
    </w:p>
    <w:p>
      <w:pPr>
        <w:pStyle w:val="BodyText"/>
        <w:spacing w:before="11"/>
        <w:rPr>
          <w:sz w:val="16"/>
        </w:rPr>
      </w:pPr>
    </w:p>
    <w:p>
      <w:pPr>
        <w:pStyle w:val="BodyText"/>
        <w:spacing w:line="364" w:lineRule="auto" w:before="73"/>
        <w:ind w:left="115" w:right="101"/>
        <w:jc w:val="both"/>
      </w:pPr>
      <w:r>
        <w:rPr/>
        <w:t>El trabajo que aquí se presenta se divide en </w:t>
      </w:r>
      <w:r>
        <w:rPr>
          <w:spacing w:val="-3"/>
        </w:rPr>
        <w:t>tres </w:t>
      </w:r>
      <w:r>
        <w:rPr/>
        <w:t>capítulos. </w:t>
      </w:r>
      <w:r>
        <w:rPr>
          <w:spacing w:val="3"/>
        </w:rPr>
        <w:t>El </w:t>
      </w:r>
      <w:r>
        <w:rPr/>
        <w:t>primer capítulo muestra el encuadre teórico. En primer lugar </w:t>
      </w:r>
      <w:r>
        <w:rPr>
          <w:spacing w:val="4"/>
        </w:rPr>
        <w:t>se </w:t>
      </w:r>
      <w:r>
        <w:rPr/>
        <w:t>describe el proceso de lectura, posturas </w:t>
      </w:r>
      <w:r>
        <w:rPr>
          <w:spacing w:val="-3"/>
        </w:rPr>
        <w:t>de </w:t>
      </w:r>
      <w:r>
        <w:rPr/>
        <w:t>distintos autores, así como definiciones  básicas  que fueron tomadas en cuenta al momento de realizar </w:t>
      </w:r>
      <w:r>
        <w:rPr>
          <w:spacing w:val="4"/>
        </w:rPr>
        <w:t>el </w:t>
      </w:r>
      <w:r>
        <w:rPr/>
        <w:t>trabajo. A continuación se describen los modelos de lectura, dando un enfoque a la lectura en lengua materna, para  después analizar las teorías sobre lectura en segunda lengua. Una vez analizado   el proceso de lectura, tanto en L1 como en L2, </w:t>
      </w:r>
      <w:r>
        <w:rPr>
          <w:spacing w:val="4"/>
        </w:rPr>
        <w:t>se </w:t>
      </w:r>
      <w:r>
        <w:rPr/>
        <w:t>estudia la evaluación de </w:t>
      </w:r>
      <w:r>
        <w:rPr>
          <w:spacing w:val="-5"/>
        </w:rPr>
        <w:t>la </w:t>
      </w:r>
      <w:r>
        <w:rPr/>
        <w:t>comprensión de lectura. Se mencionan los trabajos de distintos investigadores que han medido la comprensión de</w:t>
      </w:r>
      <w:r>
        <w:rPr>
          <w:spacing w:val="53"/>
        </w:rPr>
        <w:t> </w:t>
      </w:r>
      <w:r>
        <w:rPr/>
        <w:t>lectura.</w:t>
      </w:r>
    </w:p>
    <w:p>
      <w:pPr>
        <w:pStyle w:val="BodyText"/>
        <w:rPr>
          <w:sz w:val="22"/>
        </w:rPr>
      </w:pPr>
    </w:p>
    <w:p>
      <w:pPr>
        <w:pStyle w:val="BodyText"/>
        <w:rPr>
          <w:sz w:val="22"/>
        </w:rPr>
      </w:pPr>
    </w:p>
    <w:p>
      <w:pPr>
        <w:pStyle w:val="BodyText"/>
        <w:spacing w:before="1"/>
        <w:rPr>
          <w:sz w:val="26"/>
        </w:rPr>
      </w:pPr>
    </w:p>
    <w:p>
      <w:pPr>
        <w:pStyle w:val="BodyText"/>
        <w:spacing w:line="364" w:lineRule="auto"/>
        <w:ind w:left="115" w:right="99"/>
        <w:jc w:val="both"/>
      </w:pPr>
      <w:r>
        <w:rPr/>
        <w:t>Las siguientes dos partes de este capítulo describen </w:t>
      </w:r>
      <w:r>
        <w:rPr>
          <w:spacing w:val="-5"/>
        </w:rPr>
        <w:t>la </w:t>
      </w:r>
      <w:r>
        <w:rPr/>
        <w:t>competencia lingüística, dando algunos antecedentes y haciendo un recorrido por los trabajos de distintas autoridades en el tema </w:t>
      </w:r>
      <w:r>
        <w:rPr>
          <w:spacing w:val="-3"/>
        </w:rPr>
        <w:t>(Chomsky, </w:t>
      </w:r>
      <w:r>
        <w:rPr/>
        <w:t>1965; Hymes, 1972; etc.). Se pone especial énfasis en el modelo de competencia lingüística propuesto por Bachman (1990), cuyo trabajo tiene gran influencia en las conceptualizaciones realizadas en el presente. Se describen los elementos de la competencia lingüística que se consideran fundamentales para la elaboración de este estudio, como son en  general la competencia organizacional (Bachman, 1990) y en particular el vocabulario, la sintaxis, morfología, la fonología y la grafología. Una vez determinados </w:t>
      </w:r>
      <w:r>
        <w:rPr>
          <w:spacing w:val="-3"/>
        </w:rPr>
        <w:t>estos </w:t>
      </w:r>
      <w:r>
        <w:rPr/>
        <w:t>elementos, se procede a mencionar cómo  distintos  autores han medido el vocabulario y las habilidades morfosintácticas como parte de </w:t>
      </w:r>
      <w:r>
        <w:rPr>
          <w:spacing w:val="-5"/>
        </w:rPr>
        <w:t>la </w:t>
      </w:r>
      <w:r>
        <w:rPr/>
        <w:t>competencia lingüística, así como los fundamentos teóricos que sirvieron de base para </w:t>
      </w:r>
      <w:r>
        <w:rPr>
          <w:spacing w:val="-5"/>
        </w:rPr>
        <w:t>la </w:t>
      </w:r>
      <w:r>
        <w:rPr/>
        <w:t>elaboración de los instrumentos </w:t>
      </w:r>
      <w:r>
        <w:rPr>
          <w:spacing w:val="18"/>
        </w:rPr>
        <w:t> </w:t>
      </w:r>
      <w:r>
        <w:rPr/>
        <w:t>necesarios.</w:t>
      </w:r>
    </w:p>
    <w:p>
      <w:pPr>
        <w:pStyle w:val="BodyText"/>
        <w:rPr>
          <w:sz w:val="22"/>
        </w:rPr>
      </w:pPr>
    </w:p>
    <w:p>
      <w:pPr>
        <w:pStyle w:val="BodyText"/>
        <w:rPr>
          <w:sz w:val="22"/>
        </w:rPr>
      </w:pPr>
    </w:p>
    <w:p>
      <w:pPr>
        <w:pStyle w:val="BodyText"/>
        <w:spacing w:before="8"/>
        <w:rPr>
          <w:sz w:val="25"/>
        </w:rPr>
      </w:pPr>
    </w:p>
    <w:p>
      <w:pPr>
        <w:pStyle w:val="BodyText"/>
        <w:spacing w:line="364" w:lineRule="auto"/>
        <w:ind w:left="115" w:right="99"/>
        <w:jc w:val="both"/>
      </w:pPr>
      <w:r>
        <w:rPr/>
        <w:t>El capítulo dos describe </w:t>
      </w:r>
      <w:r>
        <w:rPr>
          <w:spacing w:val="-5"/>
        </w:rPr>
        <w:t>la </w:t>
      </w:r>
      <w:r>
        <w:rPr/>
        <w:t>metodología de trabajo seguida durante el proceso: el planteamiento del problema, de las hipótesis y </w:t>
      </w:r>
      <w:r>
        <w:rPr>
          <w:spacing w:val="-5"/>
        </w:rPr>
        <w:t>la </w:t>
      </w:r>
      <w:r>
        <w:rPr/>
        <w:t>descripción de las variables; el establecimiento de los objetivos, del diseño de </w:t>
      </w:r>
      <w:r>
        <w:rPr>
          <w:spacing w:val="-5"/>
        </w:rPr>
        <w:t>la  </w:t>
      </w:r>
      <w:r>
        <w:rPr/>
        <w:t>investigación, la  especificación del procedimiento de recolección de datos, la instrumentación y </w:t>
      </w:r>
      <w:r>
        <w:rPr>
          <w:spacing w:val="-5"/>
        </w:rPr>
        <w:t>la  </w:t>
      </w:r>
      <w:r>
        <w:rPr/>
        <w:t>descripción de  los sujetos. </w:t>
      </w:r>
      <w:r>
        <w:rPr>
          <w:spacing w:val="3"/>
        </w:rPr>
        <w:t>En </w:t>
      </w:r>
      <w:r>
        <w:rPr/>
        <w:t>el apartado 2.4 se describen los instrumentos, así como  </w:t>
      </w:r>
      <w:r>
        <w:rPr>
          <w:spacing w:val="52"/>
        </w:rPr>
        <w:t> </w:t>
      </w:r>
      <w:r>
        <w:rPr/>
        <w:t>el proceso</w:t>
      </w:r>
    </w:p>
    <w:p>
      <w:pPr>
        <w:spacing w:after="0" w:line="364" w:lineRule="auto"/>
        <w:jc w:val="both"/>
        <w:sectPr>
          <w:headerReference w:type="default" r:id="rId8"/>
          <w:pgSz w:w="11910" w:h="16840"/>
          <w:pgMar w:header="1424" w:footer="0" w:top="1840" w:bottom="280" w:left="1540" w:right="1540"/>
          <w:pgNumType w:start="4"/>
        </w:sectPr>
      </w:pPr>
    </w:p>
    <w:p>
      <w:pPr>
        <w:pStyle w:val="BodyText"/>
        <w:spacing w:before="11"/>
        <w:rPr>
          <w:sz w:val="16"/>
        </w:rPr>
      </w:pPr>
    </w:p>
    <w:p>
      <w:pPr>
        <w:pStyle w:val="BodyText"/>
        <w:spacing w:line="364" w:lineRule="auto" w:before="73"/>
        <w:ind w:left="115" w:right="102"/>
        <w:jc w:val="both"/>
      </w:pPr>
      <w:r>
        <w:rPr/>
        <w:t>de elaboración o de selección de cada uno </w:t>
      </w:r>
      <w:r>
        <w:rPr>
          <w:spacing w:val="-3"/>
        </w:rPr>
        <w:t>de </w:t>
      </w:r>
      <w:r>
        <w:rPr/>
        <w:t>ellos. En el capítulo tres </w:t>
      </w:r>
      <w:r>
        <w:rPr>
          <w:spacing w:val="4"/>
        </w:rPr>
        <w:t>se </w:t>
      </w:r>
      <w:r>
        <w:rPr/>
        <w:t>analizan los resultados obtenidos después del análisis estadístico. Se muestra tanto </w:t>
      </w:r>
      <w:r>
        <w:rPr>
          <w:spacing w:val="-5"/>
        </w:rPr>
        <w:t>la </w:t>
      </w:r>
      <w:r>
        <w:rPr/>
        <w:t>estadística descriptiva como la inferencial. Con base en este análisis  se discuten los resultados y se exponen las conclusiones, recomendaciones y posibilidades de futuros</w:t>
      </w:r>
      <w:r>
        <w:rPr>
          <w:spacing w:val="20"/>
        </w:rPr>
        <w:t> </w:t>
      </w:r>
      <w:r>
        <w:rPr/>
        <w:t>trabajos.</w:t>
      </w:r>
    </w:p>
    <w:p>
      <w:pPr>
        <w:pStyle w:val="BodyText"/>
        <w:rPr>
          <w:sz w:val="22"/>
        </w:rPr>
      </w:pPr>
    </w:p>
    <w:p>
      <w:pPr>
        <w:pStyle w:val="BodyText"/>
        <w:rPr>
          <w:sz w:val="22"/>
        </w:rPr>
      </w:pPr>
    </w:p>
    <w:p>
      <w:pPr>
        <w:pStyle w:val="BodyText"/>
        <w:spacing w:line="364" w:lineRule="auto" w:before="195"/>
        <w:ind w:left="115" w:right="101"/>
        <w:jc w:val="both"/>
      </w:pPr>
      <w:r>
        <w:rPr/>
        <w:t>Los datos que aporta este trabajo pueden ser utilizados por investigadores en diversos ámbitos. Aquellos que estudian la comprensión de lectura tanto  en  primera como en segunda lengua encontrarán datos que pudieran utilizarse para contribuir a la solución al planteamiento de Alderson (1984) sobre el origen de las dificultades </w:t>
      </w:r>
      <w:r>
        <w:rPr>
          <w:spacing w:val="-3"/>
        </w:rPr>
        <w:t>de </w:t>
      </w:r>
      <w:r>
        <w:rPr/>
        <w:t>comprensión de lectura del lector en segunda lengua. Asimismo, se presentan datos e información acerca de cada una de las variables planteadas, como </w:t>
      </w:r>
      <w:r>
        <w:rPr>
          <w:spacing w:val="2"/>
        </w:rPr>
        <w:t>son </w:t>
      </w:r>
      <w:r>
        <w:rPr/>
        <w:t>comprensión de lectura en L1, comprensión de lectura </w:t>
      </w:r>
      <w:r>
        <w:rPr>
          <w:spacing w:val="-3"/>
        </w:rPr>
        <w:t>en </w:t>
      </w:r>
      <w:r>
        <w:rPr/>
        <w:t>L2 y competencia lingüística en L2, o al menos algunos de sus componentes como vocabulario, morfología y sintaxis que pudieran ayudar o contribuir al desarrollo de nuevas líneas de</w:t>
      </w:r>
      <w:r>
        <w:rPr>
          <w:spacing w:val="34"/>
        </w:rPr>
        <w:t> </w:t>
      </w:r>
      <w:r>
        <w:rPr/>
        <w:t>investigación.</w:t>
      </w:r>
    </w:p>
    <w:p>
      <w:pPr>
        <w:spacing w:after="0" w:line="364" w:lineRule="auto"/>
        <w:jc w:val="both"/>
        <w:sectPr>
          <w:headerReference w:type="default" r:id="rId9"/>
          <w:pgSz w:w="11910" w:h="16840"/>
          <w:pgMar w:header="1424" w:footer="0" w:top="1840" w:bottom="280" w:left="1540" w:right="1540"/>
          <w:pgNumType w:start="5"/>
        </w:sectPr>
      </w:pPr>
    </w:p>
    <w:p>
      <w:pPr>
        <w:pStyle w:val="BodyText"/>
        <w:rPr>
          <w:sz w:val="20"/>
        </w:rPr>
      </w:pPr>
    </w:p>
    <w:p>
      <w:pPr>
        <w:pStyle w:val="BodyText"/>
        <w:spacing w:before="3"/>
        <w:rPr>
          <w:sz w:val="20"/>
        </w:rPr>
      </w:pPr>
    </w:p>
    <w:p>
      <w:pPr>
        <w:pStyle w:val="Heading3"/>
        <w:spacing w:before="74"/>
        <w:ind w:right="1015"/>
        <w:jc w:val="center"/>
      </w:pPr>
      <w:bookmarkStart w:name="_TOC_250018" w:id="2"/>
      <w:bookmarkStart w:name="_bookmark2" w:id="3"/>
      <w:r>
        <w:rPr>
          <w:b w:val="0"/>
        </w:rPr>
      </w:r>
      <w:bookmarkStart w:name="_bookmark1" w:id="4"/>
      <w:bookmarkEnd w:id="4"/>
      <w:r>
        <w:rPr>
          <w:b w:val="0"/>
        </w:rPr>
      </w:r>
      <w:bookmarkEnd w:id="2"/>
      <w:r>
        <w:rPr/>
        <w:t>Capítulo 1</w:t>
      </w:r>
    </w:p>
    <w:p>
      <w:pPr>
        <w:pStyle w:val="BodyText"/>
        <w:rPr>
          <w:b/>
          <w:sz w:val="22"/>
        </w:rPr>
      </w:pPr>
    </w:p>
    <w:p>
      <w:pPr>
        <w:spacing w:before="154"/>
        <w:ind w:left="1020" w:right="1010" w:firstLine="0"/>
        <w:jc w:val="center"/>
        <w:rPr>
          <w:b/>
          <w:sz w:val="23"/>
        </w:rPr>
      </w:pPr>
      <w:r>
        <w:rPr>
          <w:b/>
          <w:sz w:val="23"/>
        </w:rPr>
        <w:t>COMPRENSIÓN LECTORA Y COMPETENCIA</w:t>
      </w:r>
      <w:r>
        <w:rPr>
          <w:b/>
          <w:spacing w:val="50"/>
          <w:sz w:val="23"/>
        </w:rPr>
        <w:t> </w:t>
      </w:r>
      <w:r>
        <w:rPr>
          <w:b/>
          <w:sz w:val="23"/>
        </w:rPr>
        <w:t>LINGÜÍSTICA</w:t>
      </w:r>
    </w:p>
    <w:p>
      <w:pPr>
        <w:pStyle w:val="BodyText"/>
        <w:rPr>
          <w:b/>
          <w:sz w:val="22"/>
        </w:rPr>
      </w:pPr>
    </w:p>
    <w:p>
      <w:pPr>
        <w:pStyle w:val="BodyText"/>
        <w:rPr>
          <w:b/>
          <w:sz w:val="22"/>
        </w:rPr>
      </w:pPr>
    </w:p>
    <w:p>
      <w:pPr>
        <w:pStyle w:val="BodyText"/>
        <w:spacing w:before="9"/>
        <w:rPr>
          <w:b/>
          <w:sz w:val="19"/>
        </w:rPr>
      </w:pPr>
    </w:p>
    <w:p>
      <w:pPr>
        <w:pStyle w:val="Heading3"/>
        <w:numPr>
          <w:ilvl w:val="1"/>
          <w:numId w:val="5"/>
        </w:numPr>
        <w:tabs>
          <w:tab w:pos="505" w:val="left" w:leader="none"/>
        </w:tabs>
        <w:spacing w:line="240" w:lineRule="auto" w:before="0" w:after="0"/>
        <w:ind w:left="504" w:right="0" w:hanging="388"/>
        <w:jc w:val="both"/>
      </w:pPr>
      <w:bookmarkStart w:name="_TOC_250017" w:id="5"/>
      <w:r>
        <w:rPr/>
        <w:t>EL PROCESO DE</w:t>
      </w:r>
      <w:r>
        <w:rPr>
          <w:spacing w:val="41"/>
        </w:rPr>
        <w:t> </w:t>
      </w:r>
      <w:bookmarkEnd w:id="5"/>
      <w:r>
        <w:rPr/>
        <w:t>LECTURA</w:t>
      </w:r>
    </w:p>
    <w:p>
      <w:pPr>
        <w:pStyle w:val="BodyText"/>
        <w:rPr>
          <w:b/>
          <w:sz w:val="22"/>
        </w:rPr>
      </w:pPr>
    </w:p>
    <w:p>
      <w:pPr>
        <w:pStyle w:val="BodyText"/>
        <w:spacing w:before="6"/>
        <w:rPr>
          <w:b/>
          <w:sz w:val="25"/>
        </w:rPr>
      </w:pPr>
    </w:p>
    <w:p>
      <w:pPr>
        <w:pStyle w:val="BodyText"/>
        <w:spacing w:line="364" w:lineRule="auto"/>
        <w:ind w:left="115" w:right="101"/>
        <w:jc w:val="both"/>
      </w:pPr>
      <w:r>
        <w:rPr/>
        <w:t>El objetivo del proceso de lectura </w:t>
      </w:r>
      <w:r>
        <w:rPr>
          <w:spacing w:val="-3"/>
        </w:rPr>
        <w:t>es </w:t>
      </w:r>
      <w:r>
        <w:rPr/>
        <w:t>obtener un mensaje de un texto  (Nuttall,  1996), sin embargo, este concepto </w:t>
      </w:r>
      <w:r>
        <w:rPr>
          <w:spacing w:val="4"/>
        </w:rPr>
        <w:t>se </w:t>
      </w:r>
      <w:r>
        <w:rPr/>
        <w:t>podría ampliar tomando en cuenta otros factores como el propósito de la lectura, el tipo de fuente o </w:t>
      </w:r>
      <w:r>
        <w:rPr>
          <w:spacing w:val="-5"/>
        </w:rPr>
        <w:t>la </w:t>
      </w:r>
      <w:r>
        <w:rPr/>
        <w:t>intención del </w:t>
      </w:r>
      <w:r>
        <w:rPr>
          <w:spacing w:val="-3"/>
        </w:rPr>
        <w:t>lector. </w:t>
      </w:r>
      <w:r>
        <w:rPr/>
        <w:t>Carrell (1996:1) enfatiza la naturaleza interactiva del proceso de lectura.  Widdowson (1979) define la lectura como el proceso </w:t>
      </w:r>
      <w:r>
        <w:rPr>
          <w:spacing w:val="-3"/>
        </w:rPr>
        <w:t>de </w:t>
      </w:r>
      <w:r>
        <w:rPr/>
        <w:t>obtener información lingüística vía un medio impreso.  De  acuerdo con Alderson (2000:14) el proceso  de lectura envuelve una gran cantidad de actividad mental en la que usamos diversas estrategias de acuerdo con el texto y a lo que necesitamos de él. Estas estrategias pueden ser deliberadas o no, conscientes o </w:t>
      </w:r>
      <w:r>
        <w:rPr>
          <w:spacing w:val="31"/>
        </w:rPr>
        <w:t> </w:t>
      </w:r>
      <w:r>
        <w:rPr/>
        <w:t>inconscientes.</w:t>
      </w:r>
    </w:p>
    <w:p>
      <w:pPr>
        <w:pStyle w:val="BodyText"/>
        <w:rPr>
          <w:sz w:val="22"/>
        </w:rPr>
      </w:pPr>
    </w:p>
    <w:p>
      <w:pPr>
        <w:pStyle w:val="BodyText"/>
        <w:spacing w:before="155"/>
        <w:ind w:left="115"/>
        <w:jc w:val="both"/>
      </w:pPr>
      <w:r>
        <w:rPr/>
        <w:t>Booth (1998) menciona lo siguiente respecto al proceso de  lectura:</w:t>
      </w:r>
    </w:p>
    <w:p>
      <w:pPr>
        <w:pStyle w:val="BodyText"/>
        <w:rPr>
          <w:sz w:val="22"/>
        </w:rPr>
      </w:pPr>
    </w:p>
    <w:p>
      <w:pPr>
        <w:pStyle w:val="BodyText"/>
        <w:spacing w:before="1"/>
        <w:rPr>
          <w:sz w:val="25"/>
        </w:rPr>
      </w:pPr>
    </w:p>
    <w:p>
      <w:pPr>
        <w:spacing w:line="242" w:lineRule="auto" w:before="0"/>
        <w:ind w:left="663" w:right="103" w:firstLine="0"/>
        <w:jc w:val="both"/>
        <w:rPr>
          <w:sz w:val="23"/>
        </w:rPr>
      </w:pPr>
      <w:r>
        <w:rPr>
          <w:i/>
          <w:sz w:val="23"/>
        </w:rPr>
        <w:t>Reading is a complex </w:t>
      </w:r>
      <w:r>
        <w:rPr>
          <w:i/>
          <w:spacing w:val="-3"/>
          <w:sz w:val="23"/>
        </w:rPr>
        <w:t>activity. </w:t>
      </w:r>
      <w:r>
        <w:rPr>
          <w:i/>
          <w:sz w:val="23"/>
        </w:rPr>
        <w:t>How we approach and read a text depends on    </w:t>
      </w:r>
      <w:r>
        <w:rPr>
          <w:i/>
          <w:sz w:val="23"/>
        </w:rPr>
        <w:t>a number of factors including the choice of text, reading </w:t>
      </w:r>
      <w:r>
        <w:rPr>
          <w:i/>
          <w:spacing w:val="-3"/>
          <w:sz w:val="23"/>
        </w:rPr>
        <w:t>ability,  </w:t>
      </w:r>
      <w:r>
        <w:rPr>
          <w:i/>
          <w:sz w:val="23"/>
        </w:rPr>
        <w:t>prior  knowledge of the subject matter of the text and the reasons for reading. Good readers bring a host of strategies to print and </w:t>
      </w:r>
      <w:r>
        <w:rPr>
          <w:i/>
          <w:spacing w:val="2"/>
          <w:sz w:val="23"/>
        </w:rPr>
        <w:t>use </w:t>
      </w:r>
      <w:r>
        <w:rPr>
          <w:i/>
          <w:sz w:val="23"/>
        </w:rPr>
        <w:t>them with discretion  to  make meaning</w:t>
      </w:r>
      <w:r>
        <w:rPr>
          <w:sz w:val="23"/>
        </w:rPr>
        <w:t>. (Booth,</w:t>
      </w:r>
      <w:r>
        <w:rPr>
          <w:spacing w:val="49"/>
          <w:sz w:val="23"/>
        </w:rPr>
        <w:t> </w:t>
      </w:r>
      <w:r>
        <w:rPr>
          <w:sz w:val="23"/>
        </w:rPr>
        <w:t>1998:6).</w:t>
      </w:r>
    </w:p>
    <w:p>
      <w:pPr>
        <w:pStyle w:val="BodyText"/>
        <w:rPr>
          <w:sz w:val="22"/>
        </w:rPr>
      </w:pPr>
    </w:p>
    <w:p>
      <w:pPr>
        <w:pStyle w:val="BodyText"/>
        <w:spacing w:line="364" w:lineRule="auto" w:before="156"/>
        <w:ind w:left="115" w:right="102"/>
        <w:jc w:val="both"/>
      </w:pPr>
      <w:r>
        <w:rPr/>
        <w:t>Pareciera sencillo definir una actividad tan común y con tan pocos elementos integrantes del proceso. </w:t>
      </w:r>
      <w:r>
        <w:rPr>
          <w:spacing w:val="-3"/>
        </w:rPr>
        <w:t>Sin </w:t>
      </w:r>
      <w:r>
        <w:rPr/>
        <w:t>embargo, para Alderson (1984) no </w:t>
      </w:r>
      <w:r>
        <w:rPr>
          <w:spacing w:val="-3"/>
        </w:rPr>
        <w:t>es </w:t>
      </w:r>
      <w:r>
        <w:rPr/>
        <w:t>posible hacer  una simple definición de un concepto tan complejo como la lectura, debido a que  los objetivos al </w:t>
      </w:r>
      <w:r>
        <w:rPr>
          <w:spacing w:val="-4"/>
        </w:rPr>
        <w:t>leer, </w:t>
      </w:r>
      <w:r>
        <w:rPr/>
        <w:t>el tipo de texto, los distintos tipos de información, son tan diversos que </w:t>
      </w:r>
      <w:r>
        <w:rPr>
          <w:spacing w:val="-3"/>
        </w:rPr>
        <w:t>es </w:t>
      </w:r>
      <w:r>
        <w:rPr/>
        <w:t>imposible, e incluso trivial o banal, en sus palabras, hacer </w:t>
      </w:r>
      <w:r>
        <w:rPr>
          <w:spacing w:val="-5"/>
        </w:rPr>
        <w:t>la </w:t>
      </w:r>
      <w:r>
        <w:rPr/>
        <w:t>definición. A pesar de su crítica, menciona dos  elementos  indispensables  como son el lector y el</w:t>
      </w:r>
      <w:r>
        <w:rPr>
          <w:spacing w:val="24"/>
        </w:rPr>
        <w:t> </w:t>
      </w:r>
      <w:r>
        <w:rPr/>
        <w:t>texto.</w:t>
      </w:r>
    </w:p>
    <w:p>
      <w:pPr>
        <w:spacing w:after="0" w:line="364" w:lineRule="auto"/>
        <w:jc w:val="both"/>
        <w:sectPr>
          <w:headerReference w:type="default" r:id="rId10"/>
          <w:pgSz w:w="11910" w:h="16840"/>
          <w:pgMar w:header="1424" w:footer="0" w:top="1840" w:bottom="280" w:left="1540" w:right="1540"/>
          <w:pgNumType w:start="6"/>
        </w:sectPr>
      </w:pPr>
    </w:p>
    <w:p>
      <w:pPr>
        <w:pStyle w:val="BodyText"/>
        <w:spacing w:before="11"/>
        <w:rPr>
          <w:sz w:val="16"/>
        </w:rPr>
      </w:pPr>
    </w:p>
    <w:p>
      <w:pPr>
        <w:pStyle w:val="BodyText"/>
        <w:spacing w:line="364" w:lineRule="auto" w:before="73"/>
        <w:ind w:left="115" w:right="100"/>
        <w:jc w:val="both"/>
      </w:pPr>
      <w:r>
        <w:rPr/>
        <w:t>Swaffar, </w:t>
      </w:r>
      <w:r>
        <w:rPr>
          <w:i/>
        </w:rPr>
        <w:t>et al</w:t>
      </w:r>
      <w:r>
        <w:rPr/>
        <w:t>, (1991:24) declaran que existe una interactividad entre el texto y el lector y que esta interactividad cuenta con ocho  componentes:</w:t>
      </w:r>
    </w:p>
    <w:p>
      <w:pPr>
        <w:pStyle w:val="ListParagraph"/>
        <w:numPr>
          <w:ilvl w:val="2"/>
          <w:numId w:val="5"/>
        </w:numPr>
        <w:tabs>
          <w:tab w:pos="816" w:val="left" w:leader="none"/>
          <w:tab w:pos="817" w:val="left" w:leader="none"/>
        </w:tabs>
        <w:spacing w:line="360" w:lineRule="auto" w:before="0" w:after="0"/>
        <w:ind w:left="816" w:right="107" w:hanging="350"/>
        <w:jc w:val="left"/>
        <w:rPr>
          <w:sz w:val="23"/>
        </w:rPr>
      </w:pPr>
      <w:r>
        <w:rPr>
          <w:sz w:val="23"/>
        </w:rPr>
        <w:t>Factores descendentes del </w:t>
      </w:r>
      <w:r>
        <w:rPr>
          <w:spacing w:val="-3"/>
          <w:sz w:val="23"/>
        </w:rPr>
        <w:t>lector, </w:t>
      </w:r>
      <w:r>
        <w:rPr>
          <w:sz w:val="23"/>
        </w:rPr>
        <w:t>que son la formación y las perspectivas  del</w:t>
      </w:r>
      <w:r>
        <w:rPr>
          <w:spacing w:val="16"/>
          <w:sz w:val="23"/>
        </w:rPr>
        <w:t> </w:t>
      </w:r>
      <w:r>
        <w:rPr>
          <w:spacing w:val="-3"/>
          <w:sz w:val="23"/>
        </w:rPr>
        <w:t>lector.</w:t>
      </w:r>
    </w:p>
    <w:p>
      <w:pPr>
        <w:pStyle w:val="ListParagraph"/>
        <w:numPr>
          <w:ilvl w:val="2"/>
          <w:numId w:val="5"/>
        </w:numPr>
        <w:tabs>
          <w:tab w:pos="816" w:val="left" w:leader="none"/>
          <w:tab w:pos="817" w:val="left" w:leader="none"/>
        </w:tabs>
        <w:spacing w:line="360" w:lineRule="auto" w:before="4" w:after="0"/>
        <w:ind w:left="816" w:right="108" w:hanging="350"/>
        <w:jc w:val="left"/>
        <w:rPr>
          <w:sz w:val="23"/>
        </w:rPr>
      </w:pPr>
      <w:r>
        <w:rPr>
          <w:sz w:val="23"/>
        </w:rPr>
        <w:t>Factores descendentes del texto, esquema, estructura, y secuencia episódica.</w:t>
      </w:r>
    </w:p>
    <w:p>
      <w:pPr>
        <w:pStyle w:val="ListParagraph"/>
        <w:numPr>
          <w:ilvl w:val="2"/>
          <w:numId w:val="5"/>
        </w:numPr>
        <w:tabs>
          <w:tab w:pos="816" w:val="left" w:leader="none"/>
          <w:tab w:pos="817" w:val="left" w:leader="none"/>
        </w:tabs>
        <w:spacing w:line="357" w:lineRule="auto" w:before="9" w:after="0"/>
        <w:ind w:left="816" w:right="99" w:hanging="350"/>
        <w:jc w:val="left"/>
        <w:rPr>
          <w:sz w:val="23"/>
        </w:rPr>
      </w:pPr>
      <w:r>
        <w:rPr>
          <w:sz w:val="23"/>
        </w:rPr>
        <w:t>Factores ascendentes del lector y el texto, detalles ilustrativos, rasgos del lenguaje </w:t>
      </w:r>
      <w:r>
        <w:rPr>
          <w:spacing w:val="3"/>
          <w:sz w:val="23"/>
        </w:rPr>
        <w:t>del </w:t>
      </w:r>
      <w:r>
        <w:rPr>
          <w:sz w:val="23"/>
        </w:rPr>
        <w:t>texto, y la competencia del</w:t>
      </w:r>
      <w:r>
        <w:rPr>
          <w:spacing w:val="52"/>
          <w:sz w:val="23"/>
        </w:rPr>
        <w:t> </w:t>
      </w:r>
      <w:r>
        <w:rPr>
          <w:spacing w:val="-3"/>
          <w:sz w:val="23"/>
        </w:rPr>
        <w:t>lector.</w:t>
      </w:r>
    </w:p>
    <w:p>
      <w:pPr>
        <w:pStyle w:val="BodyText"/>
        <w:rPr>
          <w:sz w:val="22"/>
        </w:rPr>
      </w:pPr>
    </w:p>
    <w:p>
      <w:pPr>
        <w:pStyle w:val="BodyText"/>
        <w:spacing w:line="364" w:lineRule="auto" w:before="163"/>
        <w:ind w:left="115" w:right="107"/>
        <w:jc w:val="both"/>
      </w:pPr>
      <w:r>
        <w:rPr/>
        <w:t>Por ende, los elementos que intervienen, a pesar de ser pocos, tienen varias características que hay que considerar para entender el  proceso.</w:t>
      </w:r>
    </w:p>
    <w:p>
      <w:pPr>
        <w:pStyle w:val="BodyText"/>
        <w:rPr>
          <w:sz w:val="22"/>
        </w:rPr>
      </w:pPr>
    </w:p>
    <w:p>
      <w:pPr>
        <w:pStyle w:val="BodyText"/>
        <w:spacing w:line="364" w:lineRule="auto" w:before="155"/>
        <w:ind w:left="115" w:right="100"/>
        <w:jc w:val="both"/>
      </w:pPr>
      <w:r>
        <w:rPr/>
        <w:t>Es así que el proceso de lectura conjunta muchas cosas que suceden a la vez. El lector no sólo identifica las palabras sino que piensa acerca del texto en el  momento de leerlo. Además el proceso varía de persona a persona  e  incluso puede variar en cada persona al leer distintos tipos de </w:t>
      </w:r>
      <w:r>
        <w:rPr>
          <w:spacing w:val="19"/>
        </w:rPr>
        <w:t> </w:t>
      </w:r>
      <w:r>
        <w:rPr/>
        <w:t>texto.</w:t>
      </w:r>
    </w:p>
    <w:p>
      <w:pPr>
        <w:pStyle w:val="BodyText"/>
        <w:rPr>
          <w:sz w:val="22"/>
        </w:rPr>
      </w:pPr>
    </w:p>
    <w:p>
      <w:pPr>
        <w:pStyle w:val="BodyText"/>
        <w:spacing w:line="364" w:lineRule="auto" w:before="150"/>
        <w:ind w:left="115" w:right="103"/>
        <w:jc w:val="both"/>
      </w:pPr>
      <w:r>
        <w:rPr/>
        <w:t>Para explicar el fenómeno Alderson (2000:3-4) toma en consideración al  </w:t>
      </w:r>
      <w:r>
        <w:rPr>
          <w:i/>
        </w:rPr>
        <w:t>proceso   </w:t>
      </w:r>
      <w:r>
        <w:rPr/>
        <w:t>y </w:t>
      </w:r>
      <w:r>
        <w:rPr>
          <w:spacing w:val="4"/>
        </w:rPr>
        <w:t>al </w:t>
      </w:r>
      <w:r>
        <w:rPr>
          <w:i/>
        </w:rPr>
        <w:t>producto</w:t>
      </w:r>
      <w:r>
        <w:rPr/>
        <w:t>. El proceso </w:t>
      </w:r>
      <w:r>
        <w:rPr>
          <w:spacing w:val="-3"/>
        </w:rPr>
        <w:t>es </w:t>
      </w:r>
      <w:r>
        <w:rPr/>
        <w:t>la interacción entre el lector y el texto, en el que el lector no sólo visualiza las letras y palabras y las codifica, sino que también piensa  y hace conclusiones de lo que está leyendo. Generalmente se lleva a cabo de manera silenciosa, interna y privada. El resultado de este proceso es lo que se conoce como producto. Es común comparar este producto con el texto, </w:t>
      </w:r>
      <w:r>
        <w:rPr>
          <w:spacing w:val="2"/>
        </w:rPr>
        <w:t>con </w:t>
      </w:r>
      <w:r>
        <w:rPr>
          <w:spacing w:val="-5"/>
        </w:rPr>
        <w:t>la </w:t>
      </w:r>
      <w:r>
        <w:rPr/>
        <w:t>finalidad de conocer más acerca del proceso </w:t>
      </w:r>
      <w:r>
        <w:rPr>
          <w:spacing w:val="-11"/>
        </w:rPr>
        <w:t>y, </w:t>
      </w:r>
      <w:r>
        <w:rPr/>
        <w:t>a pesar de las diferencias individuales de los lectores, lo que éstos obtienen de </w:t>
      </w:r>
      <w:r>
        <w:rPr>
          <w:spacing w:val="-5"/>
        </w:rPr>
        <w:t>la </w:t>
      </w:r>
      <w:r>
        <w:rPr/>
        <w:t>lectura generalmente es </w:t>
      </w:r>
      <w:r>
        <w:rPr>
          <w:spacing w:val="-3"/>
        </w:rPr>
        <w:t>similar.</w:t>
      </w:r>
    </w:p>
    <w:p>
      <w:pPr>
        <w:pStyle w:val="BodyText"/>
        <w:rPr>
          <w:sz w:val="22"/>
        </w:rPr>
      </w:pPr>
    </w:p>
    <w:p>
      <w:pPr>
        <w:pStyle w:val="BodyText"/>
        <w:spacing w:line="367" w:lineRule="auto" w:before="150"/>
        <w:ind w:left="115" w:right="106"/>
        <w:jc w:val="both"/>
      </w:pPr>
      <w:r>
        <w:rPr/>
        <w:t>Al llevar a cabo de manera exitosa el proceso, esto </w:t>
      </w:r>
      <w:r>
        <w:rPr>
          <w:spacing w:val="-3"/>
        </w:rPr>
        <w:t>es </w:t>
      </w:r>
      <w:r>
        <w:rPr/>
        <w:t>obteniendo </w:t>
      </w:r>
      <w:r>
        <w:rPr>
          <w:spacing w:val="-3"/>
        </w:rPr>
        <w:t>un </w:t>
      </w:r>
      <w:r>
        <w:rPr/>
        <w:t>producto, podría decirse que el lector cuenta con una habilidad lectora. Los términos competencia lectora y habilidad lectora pueden </w:t>
      </w:r>
      <w:r>
        <w:rPr>
          <w:spacing w:val="2"/>
        </w:rPr>
        <w:t>ser </w:t>
      </w:r>
      <w:r>
        <w:rPr/>
        <w:t>usados </w:t>
      </w:r>
      <w:r>
        <w:rPr>
          <w:spacing w:val="-3"/>
        </w:rPr>
        <w:t>de </w:t>
      </w:r>
      <w:r>
        <w:rPr/>
        <w:t>manera indistinta, como sugiere  Koda (2005:4),  quien  define  al lector exitoso como  aquel que</w:t>
      </w:r>
      <w:r>
        <w:rPr>
          <w:spacing w:val="51"/>
        </w:rPr>
        <w:t> </w:t>
      </w:r>
      <w:r>
        <w:rPr/>
        <w:t>tiene</w:t>
      </w:r>
    </w:p>
    <w:p>
      <w:pPr>
        <w:spacing w:after="0" w:line="367" w:lineRule="auto"/>
        <w:jc w:val="both"/>
        <w:sectPr>
          <w:pgSz w:w="11910" w:h="16840"/>
          <w:pgMar w:header="1424" w:footer="0" w:top="1840" w:bottom="280" w:left="1540" w:right="1540"/>
        </w:sectPr>
      </w:pPr>
    </w:p>
    <w:p>
      <w:pPr>
        <w:pStyle w:val="BodyText"/>
        <w:spacing w:before="11"/>
        <w:rPr>
          <w:sz w:val="16"/>
        </w:rPr>
      </w:pPr>
    </w:p>
    <w:p>
      <w:pPr>
        <w:spacing w:line="364" w:lineRule="auto" w:before="73"/>
        <w:ind w:left="115" w:right="103" w:firstLine="0"/>
        <w:jc w:val="both"/>
        <w:rPr>
          <w:sz w:val="23"/>
        </w:rPr>
      </w:pPr>
      <w:r>
        <w:rPr>
          <w:sz w:val="23"/>
        </w:rPr>
        <w:t>una relación interactiva entre la información del texto y el conocimiento previo del </w:t>
      </w:r>
      <w:r>
        <w:rPr>
          <w:spacing w:val="-3"/>
          <w:sz w:val="23"/>
        </w:rPr>
        <w:t>lector. </w:t>
      </w:r>
      <w:r>
        <w:rPr>
          <w:sz w:val="23"/>
        </w:rPr>
        <w:t>Koda divide el proceso </w:t>
      </w:r>
      <w:r>
        <w:rPr>
          <w:spacing w:val="-3"/>
          <w:sz w:val="23"/>
        </w:rPr>
        <w:t>de </w:t>
      </w:r>
      <w:r>
        <w:rPr>
          <w:sz w:val="23"/>
        </w:rPr>
        <w:t>lectura en tres fases: </w:t>
      </w:r>
      <w:r>
        <w:rPr>
          <w:i/>
          <w:sz w:val="23"/>
        </w:rPr>
        <w:t>codificación, construcción </w:t>
      </w:r>
      <w:r>
        <w:rPr>
          <w:i/>
          <w:sz w:val="23"/>
        </w:rPr>
        <w:t>significado-texto y la asimilación de la información con conocimiento previo</w:t>
      </w:r>
      <w:r>
        <w:rPr>
          <w:sz w:val="23"/>
        </w:rPr>
        <w:t>. En </w:t>
      </w:r>
      <w:r>
        <w:rPr>
          <w:spacing w:val="-5"/>
          <w:sz w:val="23"/>
        </w:rPr>
        <w:t>la </w:t>
      </w:r>
      <w:r>
        <w:rPr>
          <w:sz w:val="23"/>
        </w:rPr>
        <w:t>primera, la información lingüística se extrae del texto; en la  segunda </w:t>
      </w:r>
      <w:r>
        <w:rPr>
          <w:spacing w:val="4"/>
          <w:sz w:val="23"/>
        </w:rPr>
        <w:t>se </w:t>
      </w:r>
      <w:r>
        <w:rPr>
          <w:sz w:val="23"/>
        </w:rPr>
        <w:t>integran  las ideas para revelar el mensaje del texto; y por último, </w:t>
      </w:r>
      <w:r>
        <w:rPr>
          <w:spacing w:val="-5"/>
          <w:sz w:val="23"/>
        </w:rPr>
        <w:t>la  </w:t>
      </w:r>
      <w:r>
        <w:rPr>
          <w:sz w:val="23"/>
        </w:rPr>
        <w:t>información  obtenida  del texto se conjunta </w:t>
      </w:r>
      <w:r>
        <w:rPr>
          <w:spacing w:val="2"/>
          <w:sz w:val="23"/>
        </w:rPr>
        <w:t>con </w:t>
      </w:r>
      <w:r>
        <w:rPr>
          <w:sz w:val="23"/>
        </w:rPr>
        <w:t>el conocimiento previo para crear una idea en el </w:t>
      </w:r>
      <w:r>
        <w:rPr>
          <w:spacing w:val="38"/>
          <w:sz w:val="23"/>
        </w:rPr>
        <w:t> </w:t>
      </w:r>
      <w:r>
        <w:rPr>
          <w:spacing w:val="-3"/>
          <w:sz w:val="23"/>
        </w:rPr>
        <w:t>lector.</w:t>
      </w:r>
    </w:p>
    <w:p>
      <w:pPr>
        <w:pStyle w:val="BodyText"/>
        <w:rPr>
          <w:sz w:val="22"/>
        </w:rPr>
      </w:pPr>
    </w:p>
    <w:p>
      <w:pPr>
        <w:spacing w:line="364" w:lineRule="auto" w:before="160"/>
        <w:ind w:left="115" w:right="101" w:firstLine="0"/>
        <w:jc w:val="both"/>
        <w:rPr>
          <w:sz w:val="23"/>
        </w:rPr>
      </w:pPr>
      <w:r>
        <w:rPr>
          <w:sz w:val="23"/>
        </w:rPr>
        <w:t>Carver (2000:311) menciona </w:t>
      </w:r>
      <w:r>
        <w:rPr>
          <w:spacing w:val="-5"/>
          <w:sz w:val="23"/>
        </w:rPr>
        <w:t>lo </w:t>
      </w:r>
      <w:r>
        <w:rPr>
          <w:sz w:val="23"/>
        </w:rPr>
        <w:t>siguiente en este mismo tenor:</w:t>
      </w:r>
      <w:r>
        <w:rPr>
          <w:i/>
          <w:sz w:val="23"/>
        </w:rPr>
        <w:t>“Efficient reading </w:t>
      </w:r>
      <w:r>
        <w:rPr>
          <w:i/>
          <w:sz w:val="23"/>
        </w:rPr>
        <w:t>does not result from precise perception and identification of all elements, but from skill in selecting the fewest, most productive cues necessary to produce guesses which are right the first time”. </w:t>
      </w:r>
      <w:r>
        <w:rPr>
          <w:sz w:val="23"/>
        </w:rPr>
        <w:t>En otras palabras, un lector que identifica las partes del texto que le sean </w:t>
      </w:r>
      <w:r>
        <w:rPr>
          <w:spacing w:val="-3"/>
          <w:sz w:val="23"/>
        </w:rPr>
        <w:t>más </w:t>
      </w:r>
      <w:r>
        <w:rPr>
          <w:sz w:val="23"/>
        </w:rPr>
        <w:t>útiles para lograr el propósito de su lectura y que usa su conocimiento previo para formarse una opinión, una idea sobre el texto u obtener   </w:t>
      </w:r>
      <w:r>
        <w:rPr>
          <w:spacing w:val="-5"/>
          <w:sz w:val="23"/>
        </w:rPr>
        <w:t>la </w:t>
      </w:r>
      <w:r>
        <w:rPr>
          <w:sz w:val="23"/>
        </w:rPr>
        <w:t>información que necesita, es más eficiente que aquel lector que requiere de un proceso más detallado, en el que la codificación se realice de manera más minuciosa y cuya construcción de significado-texto requiera de una mayor profundización en los elementos del texto para poder lograr su </w:t>
      </w:r>
      <w:r>
        <w:rPr>
          <w:spacing w:val="26"/>
          <w:sz w:val="23"/>
        </w:rPr>
        <w:t> </w:t>
      </w:r>
      <w:r>
        <w:rPr>
          <w:sz w:val="23"/>
        </w:rPr>
        <w:t>objetivo.</w:t>
      </w:r>
    </w:p>
    <w:p>
      <w:pPr>
        <w:pStyle w:val="BodyText"/>
        <w:rPr>
          <w:sz w:val="22"/>
        </w:rPr>
      </w:pPr>
    </w:p>
    <w:p>
      <w:pPr>
        <w:pStyle w:val="BodyText"/>
        <w:spacing w:line="367" w:lineRule="auto" w:before="150"/>
        <w:ind w:left="115" w:right="108"/>
        <w:jc w:val="both"/>
      </w:pPr>
      <w:r>
        <w:rPr/>
        <w:t>Para Alderson (2000:18) </w:t>
      </w:r>
      <w:r>
        <w:rPr>
          <w:spacing w:val="-5"/>
        </w:rPr>
        <w:t>lo </w:t>
      </w:r>
      <w:r>
        <w:rPr/>
        <w:t>que distingue a los buenos de los malos lectores es </w:t>
      </w:r>
      <w:r>
        <w:rPr>
          <w:spacing w:val="-5"/>
        </w:rPr>
        <w:t>la </w:t>
      </w:r>
      <w:r>
        <w:rPr/>
        <w:t>velocidad de fijación o la automaticidad del reconocimiento de palabras y la  precisión con la que se lleva a cabo dicha fijación, y </w:t>
      </w:r>
      <w:r>
        <w:rPr>
          <w:spacing w:val="17"/>
        </w:rPr>
        <w:t> </w:t>
      </w:r>
      <w:r>
        <w:rPr/>
        <w:t>añade:</w:t>
      </w:r>
    </w:p>
    <w:p>
      <w:pPr>
        <w:pStyle w:val="BodyText"/>
        <w:rPr>
          <w:sz w:val="22"/>
        </w:rPr>
      </w:pPr>
    </w:p>
    <w:p>
      <w:pPr>
        <w:spacing w:line="244" w:lineRule="auto" w:before="148"/>
        <w:ind w:left="663" w:right="104" w:firstLine="0"/>
        <w:jc w:val="both"/>
        <w:rPr>
          <w:sz w:val="23"/>
        </w:rPr>
      </w:pPr>
      <w:r>
        <w:rPr>
          <w:i/>
          <w:sz w:val="23"/>
        </w:rPr>
        <w:t>… </w:t>
      </w:r>
      <w:r>
        <w:rPr>
          <w:i/>
          <w:spacing w:val="-5"/>
          <w:sz w:val="23"/>
        </w:rPr>
        <w:t>it </w:t>
      </w:r>
      <w:r>
        <w:rPr>
          <w:i/>
          <w:sz w:val="23"/>
        </w:rPr>
        <w:t>is clear that word recognition and specially the automaticity with  which  </w:t>
      </w:r>
      <w:r>
        <w:rPr>
          <w:i/>
          <w:sz w:val="23"/>
        </w:rPr>
        <w:t>this proceeds, is central to fluent reading, and readers’ ability  rapidly  to  identify words and meanings at ‘lower levels’ is likely </w:t>
      </w:r>
      <w:r>
        <w:rPr>
          <w:i/>
          <w:spacing w:val="-4"/>
          <w:sz w:val="23"/>
        </w:rPr>
        <w:t>to </w:t>
      </w:r>
      <w:r>
        <w:rPr>
          <w:i/>
          <w:sz w:val="23"/>
        </w:rPr>
        <w:t>be key to  </w:t>
      </w:r>
      <w:r>
        <w:rPr>
          <w:i/>
          <w:spacing w:val="-4"/>
          <w:sz w:val="23"/>
        </w:rPr>
        <w:t>any</w:t>
      </w:r>
      <w:r>
        <w:rPr>
          <w:i/>
          <w:spacing w:val="55"/>
          <w:sz w:val="23"/>
        </w:rPr>
        <w:t> </w:t>
      </w:r>
      <w:r>
        <w:rPr>
          <w:i/>
          <w:sz w:val="23"/>
        </w:rPr>
        <w:t>diagnosis of reading problems or abilities. </w:t>
      </w:r>
      <w:r>
        <w:rPr>
          <w:sz w:val="23"/>
        </w:rPr>
        <w:t>(Alderson, </w:t>
      </w:r>
      <w:r>
        <w:rPr>
          <w:spacing w:val="25"/>
          <w:sz w:val="23"/>
        </w:rPr>
        <w:t> </w:t>
      </w:r>
      <w:r>
        <w:rPr>
          <w:sz w:val="23"/>
        </w:rPr>
        <w:t>2000:80).</w:t>
      </w:r>
    </w:p>
    <w:p>
      <w:pPr>
        <w:pStyle w:val="BodyText"/>
        <w:rPr>
          <w:sz w:val="22"/>
        </w:rPr>
      </w:pPr>
    </w:p>
    <w:p>
      <w:pPr>
        <w:pStyle w:val="BodyText"/>
        <w:spacing w:line="364" w:lineRule="auto" w:before="144"/>
        <w:ind w:left="115" w:right="103"/>
        <w:jc w:val="both"/>
        <w:rPr>
          <w:i/>
        </w:rPr>
      </w:pPr>
      <w:r>
        <w:rPr/>
        <w:t>Esto no contradice los planteamientos de Koda (2005) y Carver (2000) ya que este reconocimiento de palabras de manera más automática contribuye a una mejor y más eficiente identificación de los elementos necesarios para la construcción del significado-texto, en otras palabras una mejor codificación. El mismo Koda (2005) define  de  manera  similar  al  lector  exitoso:  “</w:t>
      </w:r>
      <w:r>
        <w:rPr>
          <w:i/>
        </w:rPr>
        <w:t>Succesful  comprehension  emerges</w:t>
      </w:r>
    </w:p>
    <w:p>
      <w:pPr>
        <w:spacing w:after="0" w:line="364" w:lineRule="auto"/>
        <w:jc w:val="both"/>
        <w:sectPr>
          <w:pgSz w:w="11910" w:h="16840"/>
          <w:pgMar w:header="1424" w:footer="0" w:top="1840" w:bottom="280" w:left="1540" w:right="1540"/>
        </w:sectPr>
      </w:pPr>
    </w:p>
    <w:p>
      <w:pPr>
        <w:pStyle w:val="BodyText"/>
        <w:spacing w:before="11"/>
        <w:rPr>
          <w:i/>
          <w:sz w:val="16"/>
        </w:rPr>
      </w:pPr>
    </w:p>
    <w:p>
      <w:pPr>
        <w:spacing w:line="364" w:lineRule="auto" w:before="73"/>
        <w:ind w:left="115" w:right="107" w:firstLine="0"/>
        <w:jc w:val="both"/>
        <w:rPr>
          <w:sz w:val="23"/>
        </w:rPr>
      </w:pPr>
      <w:bookmarkStart w:name="_bookmark3" w:id="6"/>
      <w:bookmarkEnd w:id="6"/>
      <w:r>
        <w:rPr/>
      </w:r>
      <w:r>
        <w:rPr>
          <w:i/>
          <w:sz w:val="23"/>
        </w:rPr>
        <w:t>from the integrative interaction of derived text info and pre-existing reader </w:t>
      </w:r>
      <w:r>
        <w:rPr>
          <w:i/>
          <w:sz w:val="23"/>
        </w:rPr>
        <w:t>knowledge</w:t>
      </w:r>
      <w:r>
        <w:rPr>
          <w:sz w:val="23"/>
        </w:rPr>
        <w:t>” (Koda, 2005:4).</w:t>
      </w:r>
    </w:p>
    <w:p>
      <w:pPr>
        <w:pStyle w:val="BodyText"/>
        <w:spacing w:line="369" w:lineRule="auto"/>
        <w:ind w:left="115" w:right="108"/>
        <w:jc w:val="both"/>
      </w:pPr>
      <w:r>
        <w:rPr/>
        <w:t>Booth (1998:8) explica el proceso de lectura como resultado del uso de cuatro sistemas, pragmático, semántico, sintáctico y  fonografémico:</w:t>
      </w:r>
    </w:p>
    <w:p>
      <w:pPr>
        <w:pStyle w:val="BodyText"/>
        <w:rPr>
          <w:sz w:val="22"/>
        </w:rPr>
      </w:pPr>
    </w:p>
    <w:p>
      <w:pPr>
        <w:spacing w:line="244" w:lineRule="auto" w:before="145"/>
        <w:ind w:left="663" w:right="101" w:firstLine="0"/>
        <w:jc w:val="both"/>
        <w:rPr>
          <w:i/>
          <w:sz w:val="23"/>
        </w:rPr>
      </w:pPr>
      <w:r>
        <w:rPr>
          <w:i/>
          <w:sz w:val="23"/>
        </w:rPr>
        <w:t>Reading </w:t>
      </w:r>
      <w:r>
        <w:rPr>
          <w:i/>
          <w:spacing w:val="-5"/>
          <w:sz w:val="23"/>
        </w:rPr>
        <w:t>is </w:t>
      </w:r>
      <w:r>
        <w:rPr>
          <w:i/>
          <w:sz w:val="23"/>
        </w:rPr>
        <w:t>an interactive process </w:t>
      </w:r>
      <w:r>
        <w:rPr>
          <w:i/>
          <w:spacing w:val="-5"/>
          <w:sz w:val="23"/>
        </w:rPr>
        <w:t>in </w:t>
      </w:r>
      <w:r>
        <w:rPr>
          <w:i/>
          <w:sz w:val="23"/>
        </w:rPr>
        <w:t>which the reader uses a variety of </w:t>
      </w:r>
      <w:r>
        <w:rPr>
          <w:i/>
          <w:sz w:val="23"/>
        </w:rPr>
        <w:t>strategies for ensuring that comprehension occurs. In order to make meaning with print all readers blend four cueing systems: pragmatic,  semantic,  syntactic and phonographemic. Pragmatic and semantic cues help readers to anticipate meaning of text; syntactic cues help readers use syntax and language patterns to predict words and phrases; phonics cues help readers </w:t>
      </w:r>
      <w:r>
        <w:rPr>
          <w:i/>
          <w:spacing w:val="2"/>
          <w:sz w:val="23"/>
        </w:rPr>
        <w:t>test </w:t>
      </w:r>
      <w:r>
        <w:rPr>
          <w:i/>
          <w:sz w:val="23"/>
        </w:rPr>
        <w:t>predictions for unrecognized or confusing words </w:t>
      </w:r>
      <w:r>
        <w:rPr>
          <w:i/>
          <w:spacing w:val="-5"/>
          <w:sz w:val="23"/>
        </w:rPr>
        <w:t>in </w:t>
      </w:r>
      <w:r>
        <w:rPr>
          <w:i/>
          <w:sz w:val="23"/>
        </w:rPr>
        <w:t>order to confirm or construct</w:t>
      </w:r>
      <w:r>
        <w:rPr>
          <w:i/>
          <w:spacing w:val="47"/>
          <w:sz w:val="23"/>
        </w:rPr>
        <w:t> </w:t>
      </w:r>
      <w:r>
        <w:rPr>
          <w:i/>
          <w:sz w:val="23"/>
        </w:rPr>
        <w:t>meaning.(Booth:1998:8).</w:t>
      </w:r>
    </w:p>
    <w:p>
      <w:pPr>
        <w:pStyle w:val="BodyText"/>
        <w:rPr>
          <w:i/>
          <w:sz w:val="22"/>
        </w:rPr>
      </w:pPr>
    </w:p>
    <w:p>
      <w:pPr>
        <w:pStyle w:val="BodyText"/>
        <w:spacing w:line="364" w:lineRule="auto" w:before="149"/>
        <w:ind w:left="115" w:right="101"/>
        <w:jc w:val="both"/>
      </w:pPr>
      <w:r>
        <w:rPr/>
        <w:t>Es </w:t>
      </w:r>
      <w:r>
        <w:rPr>
          <w:spacing w:val="-4"/>
        </w:rPr>
        <w:t>decir, </w:t>
      </w:r>
      <w:r>
        <w:rPr/>
        <w:t>los sistemas sintáctico y fonografémico ayudan a realizar la codificación  del texto, a identificar palabras y oraciones; el fonografémico a reconocer palabras relacionando la grafía con sonidos y el sintáctico identificando elementos de las oraciones, como sustantivo, adjetivo, verbo, etc. y sus funciones. No obstante,  como lo explica Booth, reconocer palabras no implica su entendimiento, para </w:t>
      </w:r>
      <w:r>
        <w:rPr>
          <w:spacing w:val="-3"/>
        </w:rPr>
        <w:t>ello   </w:t>
      </w:r>
      <w:r>
        <w:rPr/>
        <w:t>se requiere del conocimiento previo del mundo para aportar un sentido  o  significado a las palabras. Es aquí precisamente donde interviene el sistema semántico que </w:t>
      </w:r>
      <w:r>
        <w:rPr>
          <w:spacing w:val="-3"/>
        </w:rPr>
        <w:t>es </w:t>
      </w:r>
      <w:r>
        <w:rPr/>
        <w:t>el que auxilia a hacer este vínculo entre el reconocimiento de las palabras y oraciones y su entendimiento o relación con el mundo. El sistema pragmático ubica este entendimiento en </w:t>
      </w:r>
      <w:r>
        <w:rPr>
          <w:spacing w:val="-3"/>
        </w:rPr>
        <w:t>un </w:t>
      </w:r>
      <w:r>
        <w:rPr/>
        <w:t>contexto específico y termina por ayudarle al lector al logro de </w:t>
      </w:r>
      <w:r>
        <w:rPr>
          <w:spacing w:val="-5"/>
        </w:rPr>
        <w:t>la  </w:t>
      </w:r>
      <w:r>
        <w:rPr/>
        <w:t>construcción del significado-texto y </w:t>
      </w:r>
      <w:r>
        <w:rPr>
          <w:spacing w:val="-5"/>
        </w:rPr>
        <w:t>la  </w:t>
      </w:r>
      <w:r>
        <w:rPr/>
        <w:t>asimilación  de </w:t>
      </w:r>
      <w:r>
        <w:rPr>
          <w:spacing w:val="-5"/>
        </w:rPr>
        <w:t>la</w:t>
      </w:r>
      <w:r>
        <w:rPr>
          <w:spacing w:val="26"/>
        </w:rPr>
        <w:t> </w:t>
      </w:r>
      <w:r>
        <w:rPr/>
        <w:t>información.</w:t>
      </w:r>
    </w:p>
    <w:p>
      <w:pPr>
        <w:pStyle w:val="BodyText"/>
        <w:rPr>
          <w:sz w:val="22"/>
        </w:rPr>
      </w:pPr>
    </w:p>
    <w:p>
      <w:pPr>
        <w:pStyle w:val="BodyText"/>
        <w:spacing w:before="2"/>
        <w:rPr>
          <w:sz w:val="30"/>
        </w:rPr>
      </w:pPr>
    </w:p>
    <w:p>
      <w:pPr>
        <w:pStyle w:val="Heading3"/>
        <w:numPr>
          <w:ilvl w:val="1"/>
          <w:numId w:val="5"/>
        </w:numPr>
        <w:tabs>
          <w:tab w:pos="505" w:val="left" w:leader="none"/>
        </w:tabs>
        <w:spacing w:line="240" w:lineRule="auto" w:before="0" w:after="0"/>
        <w:ind w:left="504" w:right="0" w:hanging="388"/>
        <w:jc w:val="both"/>
      </w:pPr>
      <w:bookmarkStart w:name="_TOC_250016" w:id="7"/>
      <w:r>
        <w:rPr/>
        <w:t>HABILIDAD LECTORA EN</w:t>
      </w:r>
      <w:r>
        <w:rPr>
          <w:spacing w:val="32"/>
        </w:rPr>
        <w:t> </w:t>
      </w:r>
      <w:bookmarkEnd w:id="7"/>
      <w:r>
        <w:rPr/>
        <w:t>L1</w:t>
      </w:r>
    </w:p>
    <w:p>
      <w:pPr>
        <w:pStyle w:val="BodyText"/>
        <w:rPr>
          <w:b/>
          <w:sz w:val="22"/>
        </w:rPr>
      </w:pPr>
    </w:p>
    <w:p>
      <w:pPr>
        <w:pStyle w:val="BodyText"/>
        <w:spacing w:before="6"/>
        <w:rPr>
          <w:b/>
          <w:sz w:val="25"/>
        </w:rPr>
      </w:pPr>
    </w:p>
    <w:p>
      <w:pPr>
        <w:pStyle w:val="BodyText"/>
        <w:spacing w:line="364" w:lineRule="auto"/>
        <w:ind w:left="115" w:right="101"/>
        <w:jc w:val="both"/>
        <w:rPr>
          <w:i/>
        </w:rPr>
      </w:pPr>
      <w:r>
        <w:rPr/>
        <w:t>El </w:t>
      </w:r>
      <w:r>
        <w:rPr>
          <w:i/>
        </w:rPr>
        <w:t>producto </w:t>
      </w:r>
      <w:r>
        <w:rPr/>
        <w:t>mencionado anteriormente también es llamado </w:t>
      </w:r>
      <w:r>
        <w:rPr>
          <w:i/>
        </w:rPr>
        <w:t>proposición  </w:t>
      </w:r>
      <w:r>
        <w:rPr/>
        <w:t>por  </w:t>
      </w:r>
      <w:r>
        <w:rPr>
          <w:spacing w:val="-3"/>
        </w:rPr>
        <w:t>Swaffar, </w:t>
      </w:r>
      <w:r>
        <w:rPr>
          <w:i/>
        </w:rPr>
        <w:t>et al </w:t>
      </w:r>
      <w:r>
        <w:rPr/>
        <w:t>(1991:23), aunque otros autores utilizan el término  en  forma  diferente. Swaffar, </w:t>
      </w:r>
      <w:r>
        <w:rPr>
          <w:i/>
        </w:rPr>
        <w:t>et al</w:t>
      </w:r>
      <w:r>
        <w:rPr/>
        <w:t>, mencionan que el producto </w:t>
      </w:r>
      <w:r>
        <w:rPr>
          <w:spacing w:val="-3"/>
        </w:rPr>
        <w:t>es </w:t>
      </w:r>
      <w:r>
        <w:rPr/>
        <w:t>la  base  de  </w:t>
      </w:r>
      <w:r>
        <w:rPr>
          <w:spacing w:val="-4"/>
        </w:rPr>
        <w:t>las </w:t>
      </w:r>
      <w:r>
        <w:rPr/>
        <w:t>implicaciones</w:t>
      </w:r>
      <w:r>
        <w:rPr>
          <w:spacing w:val="50"/>
        </w:rPr>
        <w:t> </w:t>
      </w:r>
      <w:r>
        <w:rPr/>
        <w:t>que</w:t>
      </w:r>
      <w:r>
        <w:rPr>
          <w:spacing w:val="36"/>
        </w:rPr>
        <w:t> </w:t>
      </w:r>
      <w:r>
        <w:rPr/>
        <w:t>puede</w:t>
      </w:r>
      <w:r>
        <w:rPr>
          <w:spacing w:val="45"/>
        </w:rPr>
        <w:t> </w:t>
      </w:r>
      <w:r>
        <w:rPr/>
        <w:t>tener</w:t>
      </w:r>
      <w:r>
        <w:rPr>
          <w:spacing w:val="38"/>
        </w:rPr>
        <w:t> </w:t>
      </w:r>
      <w:r>
        <w:rPr/>
        <w:t>un</w:t>
      </w:r>
      <w:r>
        <w:rPr>
          <w:spacing w:val="40"/>
        </w:rPr>
        <w:t> </w:t>
      </w:r>
      <w:r>
        <w:rPr/>
        <w:t>texto</w:t>
      </w:r>
      <w:r>
        <w:rPr>
          <w:spacing w:val="40"/>
        </w:rPr>
        <w:t> </w:t>
      </w:r>
      <w:r>
        <w:rPr/>
        <w:t>en</w:t>
      </w:r>
      <w:r>
        <w:rPr>
          <w:spacing w:val="40"/>
        </w:rPr>
        <w:t> </w:t>
      </w:r>
      <w:r>
        <w:rPr/>
        <w:t>el</w:t>
      </w:r>
      <w:r>
        <w:rPr>
          <w:spacing w:val="41"/>
        </w:rPr>
        <w:t> </w:t>
      </w:r>
      <w:r>
        <w:rPr>
          <w:spacing w:val="-3"/>
        </w:rPr>
        <w:t>lector.</w:t>
      </w:r>
      <w:r>
        <w:rPr>
          <w:spacing w:val="44"/>
        </w:rPr>
        <w:t> </w:t>
      </w:r>
      <w:r>
        <w:rPr/>
        <w:t>El</w:t>
      </w:r>
      <w:r>
        <w:rPr>
          <w:spacing w:val="42"/>
        </w:rPr>
        <w:t> </w:t>
      </w:r>
      <w:r>
        <w:rPr/>
        <w:t>lector</w:t>
      </w:r>
      <w:r>
        <w:rPr>
          <w:spacing w:val="40"/>
        </w:rPr>
        <w:t> </w:t>
      </w:r>
      <w:r>
        <w:rPr/>
        <w:t>crea</w:t>
      </w:r>
      <w:r>
        <w:rPr>
          <w:spacing w:val="40"/>
        </w:rPr>
        <w:t> </w:t>
      </w:r>
      <w:r>
        <w:rPr/>
        <w:t>un</w:t>
      </w:r>
      <w:r>
        <w:rPr>
          <w:spacing w:val="40"/>
        </w:rPr>
        <w:t> </w:t>
      </w:r>
      <w:r>
        <w:rPr>
          <w:i/>
        </w:rPr>
        <w:t>esquema,</w:t>
      </w:r>
    </w:p>
    <w:p>
      <w:pPr>
        <w:spacing w:after="0" w:line="364" w:lineRule="auto"/>
        <w:jc w:val="both"/>
        <w:sectPr>
          <w:pgSz w:w="11910" w:h="16840"/>
          <w:pgMar w:header="1424" w:footer="0" w:top="1840" w:bottom="280" w:left="1540" w:right="1540"/>
        </w:sectPr>
      </w:pPr>
    </w:p>
    <w:p>
      <w:pPr>
        <w:pStyle w:val="BodyText"/>
        <w:spacing w:before="11"/>
        <w:rPr>
          <w:i/>
          <w:sz w:val="16"/>
        </w:rPr>
      </w:pPr>
    </w:p>
    <w:p>
      <w:pPr>
        <w:pStyle w:val="BodyText"/>
        <w:spacing w:line="364" w:lineRule="auto" w:before="73"/>
        <w:ind w:left="115" w:right="101"/>
        <w:jc w:val="both"/>
      </w:pPr>
      <w:bookmarkStart w:name="_bookmark5" w:id="8"/>
      <w:bookmarkEnd w:id="8"/>
      <w:r>
        <w:rPr/>
      </w:r>
      <w:bookmarkStart w:name="_bookmark4" w:id="9"/>
      <w:bookmarkEnd w:id="9"/>
      <w:r>
        <w:rPr/>
      </w:r>
      <w:r>
        <w:rPr/>
        <w:t>(una representación mental del estado de las cosas, de acuerdo </w:t>
      </w:r>
      <w:r>
        <w:rPr>
          <w:i/>
        </w:rPr>
        <w:t>a  </w:t>
      </w:r>
      <w:r>
        <w:rPr/>
        <w:t>Moore,  2009:39), dependiendo de qué tan relevantes son estas  proposiciones  o de qué  tan claros son sus objetivos. Cuando el lector no encuentra una coherencia o sus objetivos son imprecisos, la lectura se vuelve desordenada y requiere  de  una mayor dependencia en las letras, las palabras, y las oraciones. Estas situaciones han sido estudiadas de manera constante y el resultado de estas investigaciones son los modelos de lectura ascendente, descendente y los </w:t>
      </w:r>
      <w:r>
        <w:rPr>
          <w:spacing w:val="27"/>
        </w:rPr>
        <w:t> </w:t>
      </w:r>
      <w:r>
        <w:rPr/>
        <w:t>interactivos.</w:t>
      </w:r>
    </w:p>
    <w:p>
      <w:pPr>
        <w:pStyle w:val="BodyText"/>
        <w:rPr>
          <w:sz w:val="22"/>
        </w:rPr>
      </w:pPr>
    </w:p>
    <w:p>
      <w:pPr>
        <w:pStyle w:val="BodyText"/>
        <w:spacing w:before="2"/>
        <w:rPr>
          <w:sz w:val="30"/>
        </w:rPr>
      </w:pPr>
    </w:p>
    <w:p>
      <w:pPr>
        <w:pStyle w:val="Heading3"/>
        <w:numPr>
          <w:ilvl w:val="2"/>
          <w:numId w:val="6"/>
        </w:numPr>
        <w:tabs>
          <w:tab w:pos="702" w:val="left" w:leader="none"/>
        </w:tabs>
        <w:spacing w:line="240" w:lineRule="auto" w:before="0" w:after="0"/>
        <w:ind w:left="701" w:right="0" w:hanging="585"/>
        <w:jc w:val="both"/>
      </w:pPr>
      <w:bookmarkStart w:name="_TOC_250015" w:id="10"/>
      <w:r>
        <w:rPr/>
        <w:t>Modelos </w:t>
      </w:r>
      <w:r>
        <w:rPr>
          <w:spacing w:val="3"/>
        </w:rPr>
        <w:t>de</w:t>
      </w:r>
      <w:r>
        <w:rPr>
          <w:spacing w:val="22"/>
        </w:rPr>
        <w:t> </w:t>
      </w:r>
      <w:bookmarkEnd w:id="10"/>
      <w:r>
        <w:rPr/>
        <w:t>lectura</w:t>
      </w:r>
    </w:p>
    <w:p>
      <w:pPr>
        <w:pStyle w:val="BodyText"/>
        <w:rPr>
          <w:b/>
          <w:sz w:val="22"/>
        </w:rPr>
      </w:pPr>
    </w:p>
    <w:p>
      <w:pPr>
        <w:pStyle w:val="BodyText"/>
        <w:rPr>
          <w:b/>
          <w:sz w:val="22"/>
        </w:rPr>
      </w:pPr>
    </w:p>
    <w:p>
      <w:pPr>
        <w:pStyle w:val="BodyText"/>
        <w:spacing w:before="2"/>
        <w:rPr>
          <w:b/>
          <w:sz w:val="20"/>
        </w:rPr>
      </w:pPr>
    </w:p>
    <w:p>
      <w:pPr>
        <w:pStyle w:val="Heading4"/>
        <w:numPr>
          <w:ilvl w:val="3"/>
          <w:numId w:val="6"/>
        </w:numPr>
        <w:tabs>
          <w:tab w:pos="894" w:val="left" w:leader="none"/>
        </w:tabs>
        <w:spacing w:line="240" w:lineRule="auto" w:before="0" w:after="0"/>
        <w:ind w:left="893" w:right="0" w:hanging="777"/>
        <w:jc w:val="both"/>
        <w:rPr>
          <w:i/>
        </w:rPr>
      </w:pPr>
      <w:bookmarkStart w:name="_TOC_250014" w:id="11"/>
      <w:r>
        <w:rPr>
          <w:i/>
        </w:rPr>
        <w:t>Modelo</w:t>
      </w:r>
      <w:r>
        <w:rPr>
          <w:i/>
          <w:spacing w:val="30"/>
        </w:rPr>
        <w:t> </w:t>
      </w:r>
      <w:bookmarkEnd w:id="11"/>
      <w:r>
        <w:rPr>
          <w:i/>
        </w:rPr>
        <w:t>ascendente</w:t>
      </w:r>
    </w:p>
    <w:p>
      <w:pPr>
        <w:pStyle w:val="BodyText"/>
        <w:rPr>
          <w:b/>
          <w:i/>
          <w:sz w:val="22"/>
        </w:rPr>
      </w:pPr>
    </w:p>
    <w:p>
      <w:pPr>
        <w:pStyle w:val="BodyText"/>
        <w:spacing w:before="1"/>
        <w:rPr>
          <w:b/>
          <w:i/>
          <w:sz w:val="25"/>
        </w:rPr>
      </w:pPr>
    </w:p>
    <w:p>
      <w:pPr>
        <w:pStyle w:val="BodyText"/>
        <w:spacing w:line="364" w:lineRule="auto"/>
        <w:ind w:left="115" w:right="99"/>
        <w:jc w:val="both"/>
      </w:pPr>
      <w:r>
        <w:rPr/>
        <w:t>Para conocer acerca de la comprensión de lectura </w:t>
      </w:r>
      <w:r>
        <w:rPr>
          <w:spacing w:val="-3"/>
        </w:rPr>
        <w:t>es </w:t>
      </w:r>
      <w:r>
        <w:rPr/>
        <w:t>esencial tomar en cuenta </w:t>
      </w:r>
      <w:r>
        <w:rPr>
          <w:spacing w:val="-5"/>
        </w:rPr>
        <w:t>lo </w:t>
      </w:r>
      <w:r>
        <w:rPr/>
        <w:t>que el lector hace al momento de </w:t>
      </w:r>
      <w:r>
        <w:rPr>
          <w:spacing w:val="-4"/>
        </w:rPr>
        <w:t>leer. </w:t>
      </w:r>
      <w:r>
        <w:rPr/>
        <w:t>Existen diferentes teorías  y modelos  en  este sentido. El modelo ascendente (</w:t>
      </w:r>
      <w:r>
        <w:rPr>
          <w:i/>
        </w:rPr>
        <w:t>Bottom-up</w:t>
      </w:r>
      <w:r>
        <w:rPr/>
        <w:t>) propone que el lector toma los elementos del texto para entender el significado del mismo. Es un modelo seriado que </w:t>
      </w:r>
      <w:r>
        <w:rPr>
          <w:spacing w:val="-3"/>
        </w:rPr>
        <w:t>inicia </w:t>
      </w:r>
      <w:r>
        <w:rPr/>
        <w:t>en la palabra impresa y termina </w:t>
      </w:r>
      <w:r>
        <w:rPr>
          <w:spacing w:val="2"/>
        </w:rPr>
        <w:t>con </w:t>
      </w:r>
      <w:r>
        <w:rPr>
          <w:spacing w:val="-5"/>
        </w:rPr>
        <w:t>la </w:t>
      </w:r>
      <w:r>
        <w:rPr/>
        <w:t>decodificación de significado (Alderson: 2000</w:t>
      </w:r>
      <w:r>
        <w:rPr>
          <w:color w:val="0000FF"/>
        </w:rPr>
        <w:t>; </w:t>
      </w:r>
      <w:r>
        <w:rPr/>
        <w:t>Barnett: 1989). El lector lleva a cabo dos tareas durante el  proceso: decodificar y comprender. En este sentido, Moore (2009:37) explica: “</w:t>
      </w:r>
      <w:r>
        <w:rPr>
          <w:i/>
        </w:rPr>
        <w:t>El </w:t>
      </w:r>
      <w:r>
        <w:rPr>
          <w:i/>
        </w:rPr>
        <w:t>lector decodifica cada palabra del texto, lo almacena en su memoria a corto plazo    y al haber terminado de comprender los significados de las palabras  que  componen una oración, se comprende la oración</w:t>
      </w:r>
      <w:r>
        <w:rPr/>
        <w:t>.” La comprensión del texto se basa exclusivamente </w:t>
      </w:r>
      <w:r>
        <w:rPr>
          <w:spacing w:val="-3"/>
        </w:rPr>
        <w:t>en </w:t>
      </w:r>
      <w:r>
        <w:rPr/>
        <w:t>la información contenida en él y no contempla el conocimiento que tiene el lector del mundo, ni sus propósitos al  realizar  el  proceso. Algunos autores que desarrollaron estos  modelos  ascendentes  de manera teórica son Gough (1972), LaBerge y Samuels (1974, 1983) y  Carver (1977).</w:t>
      </w:r>
    </w:p>
    <w:p>
      <w:pPr>
        <w:pStyle w:val="BodyText"/>
        <w:rPr>
          <w:sz w:val="22"/>
        </w:rPr>
      </w:pPr>
    </w:p>
    <w:p>
      <w:pPr>
        <w:pStyle w:val="BodyText"/>
        <w:spacing w:before="155"/>
        <w:ind w:left="115"/>
        <w:jc w:val="both"/>
      </w:pPr>
      <w:r>
        <w:rPr/>
        <w:t>Respecto al proceso ascendente, Alderson (2000) comenta lo  siguiente:</w:t>
      </w:r>
    </w:p>
    <w:p>
      <w:pPr>
        <w:spacing w:after="0"/>
        <w:jc w:val="both"/>
        <w:sectPr>
          <w:pgSz w:w="11910" w:h="16840"/>
          <w:pgMar w:header="1424" w:footer="0" w:top="1840" w:bottom="280" w:left="1540" w:right="1540"/>
        </w:sectPr>
      </w:pPr>
    </w:p>
    <w:p>
      <w:pPr>
        <w:pStyle w:val="BodyText"/>
        <w:spacing w:before="11"/>
        <w:rPr>
          <w:sz w:val="16"/>
        </w:rPr>
      </w:pPr>
    </w:p>
    <w:p>
      <w:pPr>
        <w:spacing w:line="244" w:lineRule="auto" w:before="73"/>
        <w:ind w:left="663" w:right="103" w:firstLine="0"/>
        <w:jc w:val="both"/>
        <w:rPr>
          <w:sz w:val="23"/>
        </w:rPr>
      </w:pPr>
      <w:bookmarkStart w:name="_bookmark6" w:id="12"/>
      <w:bookmarkEnd w:id="12"/>
      <w:r>
        <w:rPr/>
      </w:r>
      <w:r>
        <w:rPr>
          <w:i/>
          <w:sz w:val="23"/>
        </w:rPr>
        <w:t>Bottom-up approaches are serial models, where the reader begins with the </w:t>
      </w:r>
      <w:r>
        <w:rPr>
          <w:i/>
          <w:sz w:val="23"/>
        </w:rPr>
        <w:t>written word, recognizes graphic stimuli, decodes them to sound, recognizes words and decodes meanings. Each component  involves  subprocesses  which take place independently from each </w:t>
      </w:r>
      <w:r>
        <w:rPr>
          <w:i/>
          <w:spacing w:val="-3"/>
          <w:sz w:val="23"/>
        </w:rPr>
        <w:t>other, </w:t>
      </w:r>
      <w:r>
        <w:rPr>
          <w:i/>
          <w:sz w:val="23"/>
        </w:rPr>
        <w:t>and build upon prior subprocesses</w:t>
      </w:r>
      <w:r>
        <w:rPr>
          <w:sz w:val="23"/>
        </w:rPr>
        <w:t>. (Alderson,</w:t>
      </w:r>
      <w:r>
        <w:rPr>
          <w:spacing w:val="52"/>
          <w:sz w:val="23"/>
        </w:rPr>
        <w:t> </w:t>
      </w:r>
      <w:r>
        <w:rPr>
          <w:sz w:val="23"/>
        </w:rPr>
        <w:t>2000:16).</w:t>
      </w:r>
    </w:p>
    <w:p>
      <w:pPr>
        <w:pStyle w:val="BodyText"/>
        <w:rPr>
          <w:sz w:val="22"/>
        </w:rPr>
      </w:pPr>
    </w:p>
    <w:p>
      <w:pPr>
        <w:pStyle w:val="BodyText"/>
        <w:spacing w:line="364" w:lineRule="auto" w:before="149"/>
        <w:ind w:left="115" w:right="99"/>
        <w:jc w:val="both"/>
      </w:pPr>
      <w:r>
        <w:rPr/>
        <w:t>Este modelo de lectura tiene sus limitaciones. </w:t>
      </w:r>
      <w:r>
        <w:rPr>
          <w:spacing w:val="2"/>
        </w:rPr>
        <w:t>Por </w:t>
      </w:r>
      <w:r>
        <w:rPr/>
        <w:t>un lado, deja fuera el conocimiento del </w:t>
      </w:r>
      <w:r>
        <w:rPr>
          <w:spacing w:val="-3"/>
        </w:rPr>
        <w:t>lector, </w:t>
      </w:r>
      <w:r>
        <w:rPr/>
        <w:t>situación que tomarían los teóricos que propondrían más tarde en los modelos descendentes. La forma lineal de estos modelos </w:t>
      </w:r>
      <w:r>
        <w:rPr>
          <w:spacing w:val="-3"/>
        </w:rPr>
        <w:t>es </w:t>
      </w:r>
      <w:r>
        <w:rPr/>
        <w:t>otra limitante. Por ejemplo, el modelo de LaBerge y Samuels (1983) no incluye un nivel en el que </w:t>
      </w:r>
      <w:r>
        <w:rPr>
          <w:spacing w:val="4"/>
        </w:rPr>
        <w:t>se </w:t>
      </w:r>
      <w:r>
        <w:rPr/>
        <w:t>puedan hacer modificaciones al analizar la información para obtener significado. </w:t>
      </w:r>
      <w:r>
        <w:rPr>
          <w:spacing w:val="3"/>
        </w:rPr>
        <w:t>El </w:t>
      </w:r>
      <w:r>
        <w:rPr/>
        <w:t>modelo ascendente puede aplicarse a lectores de L2 cuyo nivel de competencia o conocimiento del entorno no les permita obtener significado del  texto, sin embargo, no explica el proceso seguido por  los  lectores  </w:t>
      </w:r>
      <w:r>
        <w:rPr>
          <w:spacing w:val="-3"/>
        </w:rPr>
        <w:t>más </w:t>
      </w:r>
      <w:r>
        <w:rPr/>
        <w:t>aventajados. En otras palabras, el modelo aplica para lectores cuyo escaso conocimiento del entorno o baja competencia lingüística no les permite hacer predicciones o deducciones acerca del texto, sino que dependen, en  gran  parte,  de </w:t>
      </w:r>
      <w:r>
        <w:rPr>
          <w:spacing w:val="-5"/>
        </w:rPr>
        <w:t>la </w:t>
      </w:r>
      <w:r>
        <w:rPr/>
        <w:t>información aportada por éste para crear una idea o comprenderlo, aunque aquellos que sí se valen de dichos recursos para lograr este fin no son contemplados en el</w:t>
      </w:r>
      <w:r>
        <w:rPr>
          <w:spacing w:val="33"/>
        </w:rPr>
        <w:t> </w:t>
      </w:r>
      <w:r>
        <w:rPr/>
        <w:t>modelo.</w:t>
      </w:r>
    </w:p>
    <w:p>
      <w:pPr>
        <w:pStyle w:val="BodyText"/>
        <w:rPr>
          <w:sz w:val="22"/>
        </w:rPr>
      </w:pPr>
    </w:p>
    <w:p>
      <w:pPr>
        <w:pStyle w:val="BodyText"/>
        <w:spacing w:before="9"/>
        <w:rPr>
          <w:sz w:val="29"/>
        </w:rPr>
      </w:pPr>
    </w:p>
    <w:p>
      <w:pPr>
        <w:pStyle w:val="Heading4"/>
        <w:numPr>
          <w:ilvl w:val="3"/>
          <w:numId w:val="6"/>
        </w:numPr>
        <w:tabs>
          <w:tab w:pos="894" w:val="left" w:leader="none"/>
        </w:tabs>
        <w:spacing w:line="240" w:lineRule="auto" w:before="0" w:after="0"/>
        <w:ind w:left="893" w:right="0" w:hanging="777"/>
        <w:jc w:val="both"/>
        <w:rPr>
          <w:i/>
        </w:rPr>
      </w:pPr>
      <w:bookmarkStart w:name="_TOC_250013" w:id="13"/>
      <w:r>
        <w:rPr>
          <w:i/>
        </w:rPr>
        <w:t>Modelo</w:t>
      </w:r>
      <w:r>
        <w:rPr>
          <w:i/>
          <w:spacing w:val="34"/>
        </w:rPr>
        <w:t> </w:t>
      </w:r>
      <w:bookmarkEnd w:id="13"/>
      <w:r>
        <w:rPr>
          <w:i/>
        </w:rPr>
        <w:t>descendente</w:t>
      </w:r>
    </w:p>
    <w:p>
      <w:pPr>
        <w:pStyle w:val="BodyText"/>
        <w:rPr>
          <w:b/>
          <w:i/>
          <w:sz w:val="22"/>
        </w:rPr>
      </w:pPr>
    </w:p>
    <w:p>
      <w:pPr>
        <w:pStyle w:val="BodyText"/>
        <w:spacing w:before="6"/>
        <w:rPr>
          <w:b/>
          <w:i/>
          <w:sz w:val="25"/>
        </w:rPr>
      </w:pPr>
    </w:p>
    <w:p>
      <w:pPr>
        <w:pStyle w:val="BodyText"/>
        <w:spacing w:line="364" w:lineRule="auto"/>
        <w:ind w:left="115" w:right="104"/>
        <w:jc w:val="both"/>
      </w:pPr>
      <w:r>
        <w:rPr/>
        <w:t>El modelo descendente plantea que el lector hace uso de </w:t>
      </w:r>
      <w:r>
        <w:rPr>
          <w:spacing w:val="-3"/>
        </w:rPr>
        <w:t>sus </w:t>
      </w:r>
      <w:r>
        <w:rPr/>
        <w:t>conocimientos sintácticos, semánticos y pragmáticos para reducir su dependencia del texto (Goodman, 1975; Samuels &amp; Kamil,  1988). A diferencia del modelo ascendente  que </w:t>
      </w:r>
      <w:r>
        <w:rPr>
          <w:spacing w:val="-3"/>
        </w:rPr>
        <w:t>es  </w:t>
      </w:r>
      <w:r>
        <w:rPr/>
        <w:t>guiado por el texto, el descendente es un proceso conducido por el </w:t>
      </w:r>
      <w:r>
        <w:rPr>
          <w:spacing w:val="-3"/>
        </w:rPr>
        <w:t>lector,  </w:t>
      </w:r>
      <w:r>
        <w:rPr/>
        <w:t>en el que éste usa su conocimiento del mundo o de la estructura del texto para predecir lo que pudiese venir a continuación </w:t>
      </w:r>
      <w:r>
        <w:rPr>
          <w:spacing w:val="-3"/>
        </w:rPr>
        <w:t>en </w:t>
      </w:r>
      <w:r>
        <w:rPr/>
        <w:t>la </w:t>
      </w:r>
      <w:r>
        <w:rPr>
          <w:spacing w:val="22"/>
        </w:rPr>
        <w:t> </w:t>
      </w:r>
      <w:r>
        <w:rPr/>
        <w:t>lectura.</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r>
        <w:rPr/>
        <w:t>Este modelo tiene </w:t>
      </w:r>
      <w:r>
        <w:rPr>
          <w:spacing w:val="4"/>
        </w:rPr>
        <w:t>su </w:t>
      </w:r>
      <w:r>
        <w:rPr/>
        <w:t>origen en la teoría del esquema (</w:t>
      </w:r>
      <w:r>
        <w:rPr>
          <w:i/>
        </w:rPr>
        <w:t>schema theory</w:t>
      </w:r>
      <w:r>
        <w:rPr/>
        <w:t>). El término esquema se </w:t>
      </w:r>
      <w:r>
        <w:rPr>
          <w:spacing w:val="-5"/>
        </w:rPr>
        <w:t>le </w:t>
      </w:r>
      <w:r>
        <w:rPr/>
        <w:t>atribuye a Bartlett (1932), quien lo utiliza para explicar </w:t>
      </w:r>
      <w:r>
        <w:rPr>
          <w:spacing w:val="-5"/>
        </w:rPr>
        <w:t>la </w:t>
      </w:r>
      <w:r>
        <w:rPr/>
        <w:t>interpretación cultural de historias (Banton Smith, 2002:438). Alderson (2000) describe los esquemas como estructuras o cadenas </w:t>
      </w:r>
      <w:r>
        <w:rPr>
          <w:spacing w:val="-3"/>
        </w:rPr>
        <w:t>de </w:t>
      </w:r>
      <w:r>
        <w:rPr/>
        <w:t>información almacenadas  en el cerebro, que actúan como filtros de la información entrante y donde </w:t>
      </w:r>
      <w:r>
        <w:rPr>
          <w:spacing w:val="-5"/>
        </w:rPr>
        <w:t>la </w:t>
      </w:r>
      <w:r>
        <w:rPr/>
        <w:t>relevancia de dichos esquemas determinará el éxito de una </w:t>
      </w:r>
      <w:r>
        <w:rPr>
          <w:spacing w:val="29"/>
        </w:rPr>
        <w:t> </w:t>
      </w:r>
      <w:r>
        <w:rPr/>
        <w:t>lectura.</w:t>
      </w:r>
    </w:p>
    <w:p>
      <w:pPr>
        <w:pStyle w:val="BodyText"/>
        <w:rPr>
          <w:sz w:val="22"/>
        </w:rPr>
      </w:pPr>
    </w:p>
    <w:p>
      <w:pPr>
        <w:spacing w:line="364" w:lineRule="auto" w:before="160"/>
        <w:ind w:left="115" w:right="107" w:firstLine="0"/>
        <w:jc w:val="both"/>
        <w:rPr>
          <w:sz w:val="23"/>
        </w:rPr>
      </w:pPr>
      <w:r>
        <w:rPr>
          <w:sz w:val="23"/>
        </w:rPr>
        <w:t>La relación entre la teoría del esquema y la lectura queda definida de forma muy clara en las siguientes líneas: </w:t>
      </w:r>
      <w:r>
        <w:rPr>
          <w:i/>
          <w:sz w:val="23"/>
        </w:rPr>
        <w:t>“The fundamental idea underlying schema theory is </w:t>
      </w:r>
      <w:r>
        <w:rPr>
          <w:i/>
          <w:sz w:val="23"/>
        </w:rPr>
        <w:t>that reading comprehension involves integrating new knowledge in the text with old prior knowledge” </w:t>
      </w:r>
      <w:r>
        <w:rPr>
          <w:sz w:val="23"/>
        </w:rPr>
        <w:t>(Carver, 2000:39).</w:t>
      </w:r>
    </w:p>
    <w:p>
      <w:pPr>
        <w:pStyle w:val="BodyText"/>
        <w:rPr>
          <w:sz w:val="22"/>
        </w:rPr>
      </w:pPr>
    </w:p>
    <w:p>
      <w:pPr>
        <w:pStyle w:val="BodyText"/>
        <w:spacing w:before="155"/>
        <w:ind w:left="115"/>
        <w:jc w:val="both"/>
      </w:pPr>
      <w:r>
        <w:rPr/>
        <w:t>Schmitt (2000) explica los esquemas de la siguiente  forma:</w:t>
      </w:r>
    </w:p>
    <w:p>
      <w:pPr>
        <w:pStyle w:val="BodyText"/>
        <w:rPr>
          <w:sz w:val="22"/>
        </w:rPr>
      </w:pPr>
    </w:p>
    <w:p>
      <w:pPr>
        <w:pStyle w:val="BodyText"/>
        <w:spacing w:before="1"/>
        <w:rPr>
          <w:sz w:val="25"/>
        </w:rPr>
      </w:pPr>
    </w:p>
    <w:p>
      <w:pPr>
        <w:spacing w:line="242" w:lineRule="auto" w:before="0"/>
        <w:ind w:left="663" w:right="103" w:firstLine="0"/>
        <w:jc w:val="both"/>
        <w:rPr>
          <w:sz w:val="23"/>
        </w:rPr>
      </w:pPr>
      <w:r>
        <w:rPr>
          <w:i/>
          <w:sz w:val="23"/>
        </w:rPr>
        <w:t>It seems that one way context exerts its influence on encyclopedic knowledge </w:t>
      </w:r>
      <w:r>
        <w:rPr>
          <w:i/>
          <w:sz w:val="23"/>
        </w:rPr>
        <w:t>is via schemas. Schema is knowledge of how things </w:t>
      </w:r>
      <w:r>
        <w:rPr>
          <w:i/>
          <w:spacing w:val="-5"/>
          <w:sz w:val="23"/>
        </w:rPr>
        <w:t>in </w:t>
      </w:r>
      <w:r>
        <w:rPr>
          <w:i/>
          <w:sz w:val="23"/>
        </w:rPr>
        <w:t>a specific area of the real world behave and are organized. Schema can be activated either by a word itself in isolation or by the context it is embedded in. When a particular schema is activated all the encyclopedic knowledge related to this area becomes available, even before the other words related to the schema are encountered. Once the context has activated a certain schema, the schema constrains how each word´s core meaning can be extended into figurative meaning and which parts of encyclopedic knowledge are allowed to remain activated. If there </w:t>
      </w:r>
      <w:r>
        <w:rPr>
          <w:i/>
          <w:spacing w:val="-5"/>
          <w:sz w:val="23"/>
        </w:rPr>
        <w:t>is </w:t>
      </w:r>
      <w:r>
        <w:rPr>
          <w:i/>
          <w:sz w:val="23"/>
        </w:rPr>
        <w:t>not enough context to activate a schema, then the mind must hypothesize a probable one. </w:t>
      </w:r>
      <w:r>
        <w:rPr>
          <w:sz w:val="23"/>
        </w:rPr>
        <w:t>(Schmitt, </w:t>
      </w:r>
      <w:r>
        <w:rPr>
          <w:spacing w:val="16"/>
          <w:sz w:val="23"/>
        </w:rPr>
        <w:t> </w:t>
      </w:r>
      <w:r>
        <w:rPr>
          <w:sz w:val="23"/>
        </w:rPr>
        <w:t>2000:28)</w:t>
      </w:r>
    </w:p>
    <w:p>
      <w:pPr>
        <w:pStyle w:val="BodyText"/>
        <w:rPr>
          <w:sz w:val="22"/>
        </w:rPr>
      </w:pPr>
    </w:p>
    <w:p>
      <w:pPr>
        <w:pStyle w:val="BodyText"/>
        <w:rPr>
          <w:sz w:val="22"/>
        </w:rPr>
      </w:pPr>
    </w:p>
    <w:p>
      <w:pPr>
        <w:pStyle w:val="BodyText"/>
        <w:spacing w:line="364" w:lineRule="auto" w:before="167"/>
        <w:ind w:left="115" w:right="99"/>
        <w:jc w:val="both"/>
      </w:pPr>
      <w:r>
        <w:rPr/>
        <w:t>De acuerdo con esta cita, el lector cuenta con un conocimiento previo y recupera parte de esta información almacenada al relacionarla </w:t>
      </w:r>
      <w:r>
        <w:rPr>
          <w:spacing w:val="2"/>
        </w:rPr>
        <w:t>con </w:t>
      </w:r>
      <w:r>
        <w:rPr/>
        <w:t>la proporcionada por el texto, o lo que es lo mismo, al ser activado su “esquema”. Este proceso a la </w:t>
      </w:r>
      <w:r>
        <w:rPr>
          <w:spacing w:val="2"/>
        </w:rPr>
        <w:t>vez </w:t>
      </w:r>
      <w:r>
        <w:rPr>
          <w:spacing w:val="-5"/>
        </w:rPr>
        <w:t>le </w:t>
      </w:r>
      <w:r>
        <w:rPr/>
        <w:t>permite al lector hacer una interpretación del texto. Schmitt señala que en  ocasiones la información no </w:t>
      </w:r>
      <w:r>
        <w:rPr>
          <w:spacing w:val="-3"/>
        </w:rPr>
        <w:t>es </w:t>
      </w:r>
      <w:r>
        <w:rPr/>
        <w:t>suficiente para hacer esta relación por lo que el lector desarrolla sus propias teorías sobre lo que quiere decir la </w:t>
      </w:r>
      <w:r>
        <w:rPr>
          <w:spacing w:val="28"/>
        </w:rPr>
        <w:t> </w:t>
      </w:r>
      <w:r>
        <w:rPr/>
        <w:t>lectura.</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99"/>
        <w:jc w:val="both"/>
      </w:pPr>
      <w:bookmarkStart w:name="_bookmark7" w:id="14"/>
      <w:bookmarkEnd w:id="14"/>
      <w:r>
        <w:rPr/>
      </w:r>
      <w:r>
        <w:rPr/>
        <w:t>El modelo descendente fue planteado por Goodman (1967,1975) y Smith (1971). Ambos autores proponen como parte del proceso la predicción o anticipación. El lector podrá, gracias a su esquema, prever lo que encontrará más adelante en el texto. Sin embargo, lo anterior ha recibido críticas ya que ningún modelo ofrece   una posible respuesta al hecho que se presenta cuando un lector desconoce </w:t>
      </w:r>
      <w:r>
        <w:rPr>
          <w:spacing w:val="-5"/>
        </w:rPr>
        <w:t>la </w:t>
      </w:r>
      <w:r>
        <w:rPr/>
        <w:t>mayoría del vocabulario incluido en un texto, como </w:t>
      </w:r>
      <w:r>
        <w:rPr>
          <w:spacing w:val="-5"/>
        </w:rPr>
        <w:t>lo </w:t>
      </w:r>
      <w:r>
        <w:rPr/>
        <w:t>hacen los </w:t>
      </w:r>
      <w:r>
        <w:rPr>
          <w:spacing w:val="-3"/>
        </w:rPr>
        <w:t>modelos </w:t>
      </w:r>
      <w:r>
        <w:rPr/>
        <w:t>ascendentes.</w:t>
      </w:r>
    </w:p>
    <w:p>
      <w:pPr>
        <w:pStyle w:val="BodyText"/>
        <w:rPr>
          <w:sz w:val="22"/>
        </w:rPr>
      </w:pPr>
    </w:p>
    <w:p>
      <w:pPr>
        <w:pStyle w:val="BodyText"/>
        <w:spacing w:line="364" w:lineRule="auto" w:before="155"/>
        <w:ind w:left="115" w:right="103"/>
        <w:jc w:val="both"/>
      </w:pPr>
      <w:r>
        <w:rPr/>
        <w:t>Ambos modelos, ascendente y descendente, </w:t>
      </w:r>
      <w:r>
        <w:rPr>
          <w:spacing w:val="2"/>
        </w:rPr>
        <w:t>son </w:t>
      </w:r>
      <w:r>
        <w:rPr/>
        <w:t>usados por el lector y varían de acuerdo al texto, al lector y al propósito de </w:t>
      </w:r>
      <w:r>
        <w:rPr>
          <w:spacing w:val="-5"/>
        </w:rPr>
        <w:t>la </w:t>
      </w:r>
      <w:r>
        <w:rPr/>
        <w:t>lectura. En ocasiones  un  lector  tratará de entender un texto del cual no tenga conocimientos previos,  lo  que  reduce la velocidad </w:t>
      </w:r>
      <w:r>
        <w:rPr>
          <w:spacing w:val="-3"/>
        </w:rPr>
        <w:t>de </w:t>
      </w:r>
      <w:r>
        <w:rPr/>
        <w:t>reconocimiento de palabras, </w:t>
      </w:r>
      <w:r>
        <w:rPr>
          <w:spacing w:val="-5"/>
        </w:rPr>
        <w:t>la </w:t>
      </w:r>
      <w:r>
        <w:rPr/>
        <w:t>capacidad del lector de pronosticar y hace más difícil </w:t>
      </w:r>
      <w:r>
        <w:rPr>
          <w:spacing w:val="-5"/>
        </w:rPr>
        <w:t>la </w:t>
      </w:r>
      <w:r>
        <w:rPr/>
        <w:t>fijación de éstas. En otras ocasiones, este mismo lector con conocimiento acerca de </w:t>
      </w:r>
      <w:r>
        <w:rPr>
          <w:spacing w:val="-5"/>
        </w:rPr>
        <w:t>lo </w:t>
      </w:r>
      <w:r>
        <w:rPr/>
        <w:t>que está leyendo activa su esquema,  reconoce las palabras a mayor velocidad, de manera más precisa  y  puede  predecir </w:t>
      </w:r>
      <w:r>
        <w:rPr>
          <w:spacing w:val="2"/>
        </w:rPr>
        <w:t>con </w:t>
      </w:r>
      <w:r>
        <w:rPr/>
        <w:t>cierto éxito. De lo anterior puede concluirse que los modelos son complementarios, que ambos se ocupan de distintas condiciones o características de los lectores. </w:t>
      </w:r>
      <w:r>
        <w:rPr>
          <w:spacing w:val="-3"/>
        </w:rPr>
        <w:t>Los </w:t>
      </w:r>
      <w:r>
        <w:rPr/>
        <w:t>ascendentes para lectores con menor conocimiento léxico y contextual, mientras los descendentes </w:t>
      </w:r>
      <w:r>
        <w:rPr>
          <w:spacing w:val="4"/>
        </w:rPr>
        <w:t>se </w:t>
      </w:r>
      <w:r>
        <w:rPr/>
        <w:t>enfocan en lectores que se valen de sus conocimientos sobre el tema o experiencia personal para desarrollar de manera más independiente sus hipótesis respecto a los textos. Estos  modelos tuvieron  gran impacto en la teoría de lectura en segunda lengua y dieron pie al desarrollo   de los modelos interactivos que se explican a </w:t>
      </w:r>
      <w:r>
        <w:rPr>
          <w:spacing w:val="16"/>
        </w:rPr>
        <w:t> </w:t>
      </w:r>
      <w:r>
        <w:rPr/>
        <w:t>continuación.</w:t>
      </w:r>
    </w:p>
    <w:p>
      <w:pPr>
        <w:pStyle w:val="BodyText"/>
        <w:rPr>
          <w:sz w:val="22"/>
        </w:rPr>
      </w:pPr>
    </w:p>
    <w:p>
      <w:pPr>
        <w:pStyle w:val="BodyText"/>
        <w:spacing w:before="7"/>
        <w:rPr>
          <w:sz w:val="30"/>
        </w:rPr>
      </w:pPr>
    </w:p>
    <w:p>
      <w:pPr>
        <w:pStyle w:val="Heading4"/>
        <w:numPr>
          <w:ilvl w:val="3"/>
          <w:numId w:val="6"/>
        </w:numPr>
        <w:tabs>
          <w:tab w:pos="894" w:val="left" w:leader="none"/>
        </w:tabs>
        <w:spacing w:line="240" w:lineRule="auto" w:before="0" w:after="0"/>
        <w:ind w:left="893" w:right="0" w:hanging="777"/>
        <w:jc w:val="both"/>
        <w:rPr>
          <w:i/>
        </w:rPr>
      </w:pPr>
      <w:bookmarkStart w:name="_TOC_250012" w:id="15"/>
      <w:r>
        <w:rPr>
          <w:i/>
        </w:rPr>
        <w:t>Modelos</w:t>
      </w:r>
      <w:r>
        <w:rPr>
          <w:i/>
          <w:spacing w:val="35"/>
        </w:rPr>
        <w:t> </w:t>
      </w:r>
      <w:bookmarkEnd w:id="15"/>
      <w:r>
        <w:rPr>
          <w:i/>
        </w:rPr>
        <w:t>interactivos</w:t>
      </w:r>
    </w:p>
    <w:p>
      <w:pPr>
        <w:pStyle w:val="BodyText"/>
        <w:rPr>
          <w:b/>
          <w:i/>
          <w:sz w:val="22"/>
        </w:rPr>
      </w:pPr>
    </w:p>
    <w:p>
      <w:pPr>
        <w:pStyle w:val="BodyText"/>
        <w:spacing w:before="1"/>
        <w:rPr>
          <w:b/>
          <w:i/>
          <w:sz w:val="25"/>
        </w:rPr>
      </w:pPr>
    </w:p>
    <w:p>
      <w:pPr>
        <w:pStyle w:val="BodyText"/>
        <w:spacing w:line="364" w:lineRule="auto"/>
        <w:ind w:left="115" w:right="101"/>
        <w:jc w:val="both"/>
      </w:pPr>
      <w:r>
        <w:rPr/>
        <w:t>Los modelos interactivos surgen a partir de las limitaciones de los modelos ascendente y descendente, que no integran todos los elementos, ni reflejan en su totalidad lo que es el proceso de lectura. Stanovich (1980) cuestiona de manera profunda ambos modelos. Sin embargo, los modelos interactivos toman partes de los  anteriores,  ascendentes  y  descendentes  como  lo  expone  Barnett (1989:13):</w:t>
      </w:r>
    </w:p>
    <w:p>
      <w:pPr>
        <w:spacing w:after="0" w:line="364" w:lineRule="auto"/>
        <w:jc w:val="both"/>
        <w:sectPr>
          <w:pgSz w:w="11910" w:h="16840"/>
          <w:pgMar w:header="1424" w:footer="0" w:top="1840" w:bottom="280" w:left="1540" w:right="1540"/>
        </w:sectPr>
      </w:pPr>
    </w:p>
    <w:p>
      <w:pPr>
        <w:pStyle w:val="BodyText"/>
        <w:spacing w:before="11"/>
        <w:rPr>
          <w:sz w:val="16"/>
        </w:rPr>
      </w:pPr>
    </w:p>
    <w:p>
      <w:pPr>
        <w:spacing w:line="364" w:lineRule="auto" w:before="73"/>
        <w:ind w:left="115" w:right="103" w:firstLine="0"/>
        <w:jc w:val="both"/>
        <w:rPr>
          <w:i/>
          <w:sz w:val="23"/>
        </w:rPr>
      </w:pPr>
      <w:r>
        <w:rPr>
          <w:i/>
          <w:sz w:val="23"/>
        </w:rPr>
        <w:t>“…as in top-down models, the reader uses his or her expectations and previous </w:t>
      </w:r>
      <w:r>
        <w:rPr>
          <w:i/>
          <w:sz w:val="23"/>
        </w:rPr>
        <w:t>understanding to guess about text content, but as </w:t>
      </w:r>
      <w:r>
        <w:rPr>
          <w:i/>
          <w:spacing w:val="-5"/>
          <w:sz w:val="23"/>
        </w:rPr>
        <w:t>in </w:t>
      </w:r>
      <w:r>
        <w:rPr>
          <w:i/>
          <w:sz w:val="23"/>
        </w:rPr>
        <w:t>bottom-up models, </w:t>
      </w:r>
      <w:r>
        <w:rPr>
          <w:i/>
          <w:spacing w:val="-3"/>
          <w:sz w:val="23"/>
        </w:rPr>
        <w:t>the </w:t>
      </w:r>
      <w:r>
        <w:rPr>
          <w:i/>
          <w:sz w:val="23"/>
        </w:rPr>
        <w:t>reader   </w:t>
      </w:r>
      <w:r>
        <w:rPr>
          <w:i/>
          <w:spacing w:val="-5"/>
          <w:sz w:val="23"/>
        </w:rPr>
        <w:t>is </w:t>
      </w:r>
      <w:r>
        <w:rPr>
          <w:i/>
          <w:sz w:val="23"/>
        </w:rPr>
        <w:t>still dependent upon what </w:t>
      </w:r>
      <w:r>
        <w:rPr>
          <w:i/>
          <w:spacing w:val="-5"/>
          <w:sz w:val="23"/>
        </w:rPr>
        <w:t>is </w:t>
      </w:r>
      <w:r>
        <w:rPr>
          <w:i/>
          <w:sz w:val="23"/>
        </w:rPr>
        <w:t>in the </w:t>
      </w:r>
      <w:r>
        <w:rPr>
          <w:i/>
          <w:spacing w:val="24"/>
          <w:sz w:val="23"/>
        </w:rPr>
        <w:t> </w:t>
      </w:r>
      <w:r>
        <w:rPr>
          <w:i/>
          <w:sz w:val="23"/>
        </w:rPr>
        <w:t>text.”</w:t>
      </w:r>
    </w:p>
    <w:p>
      <w:pPr>
        <w:pStyle w:val="BodyText"/>
        <w:rPr>
          <w:i/>
          <w:sz w:val="22"/>
        </w:rPr>
      </w:pPr>
    </w:p>
    <w:p>
      <w:pPr>
        <w:pStyle w:val="BodyText"/>
        <w:spacing w:line="364" w:lineRule="auto" w:before="160"/>
        <w:ind w:left="115" w:right="103"/>
        <w:jc w:val="both"/>
      </w:pPr>
      <w:r>
        <w:rPr/>
        <w:t>Los modelos interactivos de lectura proponen el </w:t>
      </w:r>
      <w:r>
        <w:rPr>
          <w:spacing w:val="2"/>
        </w:rPr>
        <w:t>uso </w:t>
      </w:r>
      <w:r>
        <w:rPr/>
        <w:t>de diversas fuentes como el conocimiento sintáctico, semántico, ortográfico y léxico (Rumelhart, 1977) que el lector usa para procesar información y al mismo tiempo formula hipótesis sobre el significado del texto. Los procesos en distintos niveles se auxilian el uno al otro de manera simultánea (Dechant, 1991). Es </w:t>
      </w:r>
      <w:r>
        <w:rPr>
          <w:spacing w:val="-4"/>
        </w:rPr>
        <w:t>decir,  </w:t>
      </w:r>
      <w:r>
        <w:rPr/>
        <w:t>los procesos que se llevan a cabo   en un nivel alto, como </w:t>
      </w:r>
      <w:r>
        <w:rPr>
          <w:spacing w:val="-3"/>
        </w:rPr>
        <w:t>es </w:t>
      </w:r>
      <w:r>
        <w:rPr/>
        <w:t>la deducción de significado y los que se realizan en un nivel menor, como es </w:t>
      </w:r>
      <w:r>
        <w:rPr>
          <w:spacing w:val="-5"/>
        </w:rPr>
        <w:t>la </w:t>
      </w:r>
      <w:r>
        <w:rPr/>
        <w:t>identificación de palabras, </w:t>
      </w:r>
      <w:r>
        <w:rPr>
          <w:spacing w:val="4"/>
        </w:rPr>
        <w:t>se </w:t>
      </w:r>
      <w:r>
        <w:rPr/>
        <w:t>complementan, lo que ayuda al individuo a obtener significado del texto. Debido a esta interacción,  la lectura  deja a un lado su carácter pasivo, por un papel mucho más activo  y también  cambia de ser un proceso lineal, como en los modelos descritos anteriormente, a  un proceso </w:t>
      </w:r>
      <w:r>
        <w:rPr>
          <w:spacing w:val="-3"/>
        </w:rPr>
        <w:t>en </w:t>
      </w:r>
      <w:r>
        <w:rPr/>
        <w:t>paralelo, como explica Alderson (2000:18). </w:t>
      </w:r>
      <w:r>
        <w:rPr>
          <w:spacing w:val="2"/>
        </w:rPr>
        <w:t>Por </w:t>
      </w:r>
      <w:r>
        <w:rPr/>
        <w:t>ejemplo, en el  modelo ascendente el procesamiento es de forma lineal, un paso sigue al otro.  Inicia </w:t>
      </w:r>
      <w:r>
        <w:rPr>
          <w:spacing w:val="2"/>
        </w:rPr>
        <w:t>con </w:t>
      </w:r>
      <w:r>
        <w:rPr>
          <w:spacing w:val="-5"/>
        </w:rPr>
        <w:t>la </w:t>
      </w:r>
      <w:r>
        <w:rPr/>
        <w:t>identificación de las palabras escritas, reconoce el estímulo gráfico, </w:t>
      </w:r>
      <w:r>
        <w:rPr>
          <w:spacing w:val="-5"/>
        </w:rPr>
        <w:t>lo </w:t>
      </w:r>
      <w:r>
        <w:rPr/>
        <w:t>decodifica en sonido, reconoce las palabras y finalmente decodifica en un significado (Alderson, </w:t>
      </w:r>
      <w:r>
        <w:rPr>
          <w:spacing w:val="-3"/>
        </w:rPr>
        <w:t>2000:116). </w:t>
      </w:r>
      <w:r>
        <w:rPr/>
        <w:t>A diferencia de este proceso en serie o lineal, en los modelos interactivos los componentes, como el conocimiento previo y el estímulo visual, interactúan entre sí de manera  alterna.</w:t>
      </w:r>
    </w:p>
    <w:p>
      <w:pPr>
        <w:pStyle w:val="BodyText"/>
        <w:rPr>
          <w:sz w:val="22"/>
        </w:rPr>
      </w:pPr>
    </w:p>
    <w:p>
      <w:pPr>
        <w:pStyle w:val="BodyText"/>
        <w:spacing w:line="364" w:lineRule="auto" w:before="150"/>
        <w:ind w:left="115" w:right="103"/>
        <w:jc w:val="both"/>
      </w:pPr>
      <w:r>
        <w:rPr/>
        <w:t>Uno de los modelos interactivos más reconocidos </w:t>
      </w:r>
      <w:r>
        <w:rPr>
          <w:spacing w:val="-3"/>
        </w:rPr>
        <w:t>es </w:t>
      </w:r>
      <w:r>
        <w:rPr/>
        <w:t>el propuesto por Rumelhart (1977). Rumelhart plantea un </w:t>
      </w:r>
      <w:r>
        <w:rPr>
          <w:i/>
        </w:rPr>
        <w:t>sintetizador de patrones</w:t>
      </w:r>
      <w:r>
        <w:rPr/>
        <w:t>, en el que convergen las palabras extraídas del texto, que </w:t>
      </w:r>
      <w:r>
        <w:rPr>
          <w:spacing w:val="2"/>
        </w:rPr>
        <w:t>son </w:t>
      </w:r>
      <w:r>
        <w:rPr/>
        <w:t>acumuladas en el </w:t>
      </w:r>
      <w:r>
        <w:rPr>
          <w:i/>
        </w:rPr>
        <w:t>almacén de información </w:t>
      </w:r>
      <w:r>
        <w:rPr>
          <w:i/>
        </w:rPr>
        <w:t>visual </w:t>
      </w:r>
      <w:r>
        <w:rPr/>
        <w:t>y </w:t>
      </w:r>
      <w:r>
        <w:rPr>
          <w:spacing w:val="-3"/>
        </w:rPr>
        <w:t>los </w:t>
      </w:r>
      <w:r>
        <w:rPr/>
        <w:t>conocimientos previos sintáctico, semántico, ortográfico y léxico para formular interpretaciones del texto. Es </w:t>
      </w:r>
      <w:r>
        <w:rPr>
          <w:spacing w:val="-3"/>
        </w:rPr>
        <w:t>en </w:t>
      </w:r>
      <w:r>
        <w:rPr/>
        <w:t>el mecanismo llamado </w:t>
      </w:r>
      <w:r>
        <w:rPr>
          <w:i/>
        </w:rPr>
        <w:t>centro  de  </w:t>
      </w:r>
      <w:r>
        <w:rPr>
          <w:i/>
        </w:rPr>
        <w:t>mensajes </w:t>
      </w:r>
      <w:r>
        <w:rPr/>
        <w:t>donde se recibe, almacena, y re-dirige la información provista cuando </w:t>
      </w:r>
      <w:r>
        <w:rPr>
          <w:spacing w:val="-3"/>
        </w:rPr>
        <w:t>es </w:t>
      </w:r>
      <w:r>
        <w:rPr/>
        <w:t>requerida (Samuels &amp; Kamil, 1988, en Carrell, Devine &amp; </w:t>
      </w:r>
      <w:r>
        <w:rPr>
          <w:spacing w:val="-4"/>
        </w:rPr>
        <w:t>Eskey, </w:t>
      </w:r>
      <w:r>
        <w:rPr/>
        <w:t>1988</w:t>
      </w:r>
      <w:r>
        <w:rPr>
          <w:color w:val="0000FF"/>
        </w:rPr>
        <w:t>:</w:t>
      </w:r>
      <w:r>
        <w:rPr/>
        <w:t>29). Las hipótesis  formuladas  en  el  sintetizador  de  patrones  entran  en  este  centro  </w:t>
      </w:r>
      <w:r>
        <w:rPr>
          <w:spacing w:val="62"/>
        </w:rPr>
        <w:t> </w:t>
      </w:r>
      <w:r>
        <w:rPr/>
        <w:t>de</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4"/>
        <w:jc w:val="both"/>
      </w:pPr>
      <w:r>
        <w:rPr/>
        <w:t>mensajes donde </w:t>
      </w:r>
      <w:r>
        <w:rPr>
          <w:spacing w:val="4"/>
        </w:rPr>
        <w:t>se </w:t>
      </w:r>
      <w:r>
        <w:rPr>
          <w:spacing w:val="-3"/>
        </w:rPr>
        <w:t>analizan </w:t>
      </w:r>
      <w:r>
        <w:rPr/>
        <w:t>y luego confirman o desechan, para recibir una nueva hipótesis (Rumelhart,</w:t>
      </w:r>
      <w:r>
        <w:rPr>
          <w:spacing w:val="51"/>
        </w:rPr>
        <w:t> </w:t>
      </w:r>
      <w:r>
        <w:rPr/>
        <w:t>1977:589-590).</w:t>
      </w:r>
    </w:p>
    <w:p>
      <w:pPr>
        <w:pStyle w:val="BodyText"/>
        <w:rPr>
          <w:sz w:val="22"/>
        </w:rPr>
      </w:pPr>
    </w:p>
    <w:p>
      <w:pPr>
        <w:spacing w:line="364" w:lineRule="auto" w:before="155"/>
        <w:ind w:left="115" w:right="102" w:firstLine="0"/>
        <w:jc w:val="both"/>
        <w:rPr>
          <w:sz w:val="23"/>
        </w:rPr>
      </w:pPr>
      <w:r>
        <w:rPr>
          <w:sz w:val="23"/>
        </w:rPr>
        <w:t>La contribución más importante en cuanto a modelos interactivos de lectura puede atribuirse a Stanovich (1980), quien, en su </w:t>
      </w:r>
      <w:r>
        <w:rPr>
          <w:i/>
          <w:sz w:val="23"/>
        </w:rPr>
        <w:t>modelo interactivo compensatorio, </w:t>
      </w:r>
      <w:r>
        <w:rPr>
          <w:sz w:val="23"/>
        </w:rPr>
        <w:t>amplía las propuestas de Rumelhart (1977) y sugiere: </w:t>
      </w:r>
      <w:r>
        <w:rPr>
          <w:i/>
          <w:sz w:val="23"/>
        </w:rPr>
        <w:t>“The compensatory </w:t>
      </w:r>
      <w:r>
        <w:rPr>
          <w:i/>
          <w:sz w:val="23"/>
        </w:rPr>
        <w:t>assumption states that a deficit in any knowledge source results in a heavier  reliance on other knowledge sources, regardless </w:t>
      </w:r>
      <w:r>
        <w:rPr>
          <w:i/>
          <w:spacing w:val="-3"/>
          <w:sz w:val="23"/>
        </w:rPr>
        <w:t>of </w:t>
      </w:r>
      <w:r>
        <w:rPr>
          <w:i/>
          <w:sz w:val="23"/>
        </w:rPr>
        <w:t>their level in the processing hierarchy</w:t>
      </w:r>
      <w:r>
        <w:rPr>
          <w:sz w:val="23"/>
        </w:rPr>
        <w:t>”. (Stanovich,</w:t>
      </w:r>
      <w:r>
        <w:rPr>
          <w:spacing w:val="46"/>
          <w:sz w:val="23"/>
        </w:rPr>
        <w:t> </w:t>
      </w:r>
      <w:r>
        <w:rPr>
          <w:sz w:val="23"/>
        </w:rPr>
        <w:t>1980:63)</w:t>
      </w:r>
    </w:p>
    <w:p>
      <w:pPr>
        <w:pStyle w:val="BodyText"/>
        <w:rPr>
          <w:sz w:val="22"/>
        </w:rPr>
      </w:pPr>
    </w:p>
    <w:p>
      <w:pPr>
        <w:pStyle w:val="BodyText"/>
        <w:spacing w:line="364" w:lineRule="auto" w:before="155"/>
        <w:ind w:left="115" w:right="103"/>
        <w:jc w:val="both"/>
      </w:pPr>
      <w:r>
        <w:rPr/>
        <w:t>Esto es, la debilidad en una parte del proceso será equilibrada por la fortaleza de otra. Cuando un procesador (ortográfico o sintáctico) no funciona correctamente o no tiene información suficiente otro procesador compensará esta deficiencia  (Tracey &amp; </w:t>
      </w:r>
      <w:r>
        <w:rPr>
          <w:spacing w:val="-3"/>
        </w:rPr>
        <w:t>Morrow, </w:t>
      </w:r>
      <w:r>
        <w:rPr/>
        <w:t>2006:150). De aquí surge la posibilidad de que un lector de segunda lengua eficiente pueda usar sus habilidades y estrategias lectoras en L1 para compensar debilidades lingüísticas en </w:t>
      </w:r>
      <w:r>
        <w:rPr>
          <w:spacing w:val="-3"/>
        </w:rPr>
        <w:t>L2 </w:t>
      </w:r>
      <w:r>
        <w:rPr/>
        <w:t>(Barnett, </w:t>
      </w:r>
      <w:r>
        <w:rPr>
          <w:spacing w:val="30"/>
        </w:rPr>
        <w:t> </w:t>
      </w:r>
      <w:r>
        <w:rPr/>
        <w:t>1989:27).</w:t>
      </w:r>
    </w:p>
    <w:p>
      <w:pPr>
        <w:pStyle w:val="BodyText"/>
        <w:rPr>
          <w:sz w:val="22"/>
        </w:rPr>
      </w:pPr>
    </w:p>
    <w:p>
      <w:pPr>
        <w:pStyle w:val="BodyText"/>
        <w:spacing w:line="364" w:lineRule="auto" w:before="160"/>
        <w:ind w:left="115" w:right="102"/>
        <w:jc w:val="both"/>
      </w:pPr>
      <w:r>
        <w:rPr/>
        <w:t>Samuels y Kamil (en Carrell, Devine &amp; </w:t>
      </w:r>
      <w:r>
        <w:rPr>
          <w:spacing w:val="-4"/>
        </w:rPr>
        <w:t>Eskey, </w:t>
      </w:r>
      <w:r>
        <w:rPr/>
        <w:t>1988:32) explican cómo un  lector  con pobres habilidades lectoras, pero con conocimiento del tema </w:t>
      </w:r>
      <w:r>
        <w:rPr>
          <w:spacing w:val="3"/>
        </w:rPr>
        <w:t>del </w:t>
      </w:r>
      <w:r>
        <w:rPr/>
        <w:t>texto, puede utilizar </w:t>
      </w:r>
      <w:r>
        <w:rPr>
          <w:spacing w:val="2"/>
        </w:rPr>
        <w:t>sus </w:t>
      </w:r>
      <w:r>
        <w:rPr/>
        <w:t>estrategias ascendentes para obtener significado o sentido del escrito;   y por otro lado, cómo un lector con habilidades de reconocimiento de palabras altamente desarrolladas se podría basar en éstas, y no en  su  nivel  de  competencia lingüística, para entender el</w:t>
      </w:r>
      <w:r>
        <w:rPr>
          <w:spacing w:val="63"/>
        </w:rPr>
        <w:t> </w:t>
      </w:r>
      <w:r>
        <w:rPr/>
        <w:t>texto.</w:t>
      </w:r>
    </w:p>
    <w:p>
      <w:pPr>
        <w:pStyle w:val="BodyText"/>
        <w:rPr>
          <w:sz w:val="22"/>
        </w:rPr>
      </w:pPr>
    </w:p>
    <w:p>
      <w:pPr>
        <w:pStyle w:val="BodyText"/>
        <w:spacing w:line="364" w:lineRule="auto" w:before="160"/>
        <w:ind w:left="115" w:right="103"/>
        <w:jc w:val="both"/>
      </w:pPr>
      <w:r>
        <w:rPr/>
        <w:t>Se han realizado diversos estudios para confirmar este mecanismo de compensación propuesto por Stanovich (1980) y los resultados han sido satisfactorios (Stahl et al, 1989,1991; Zwaan &amp; Brown, 1996; Yamashita, 2002), a pesar del cuestionamiento de Alderson (1984) en este  sentido.</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1"/>
        <w:jc w:val="both"/>
      </w:pPr>
      <w:r>
        <w:rPr/>
        <w:t>En resumen, los modelos interactivos proponen el uso de habilidades ascendentes y descendentes en </w:t>
      </w:r>
      <w:r>
        <w:rPr>
          <w:spacing w:val="-3"/>
        </w:rPr>
        <w:t>un </w:t>
      </w:r>
      <w:r>
        <w:rPr/>
        <w:t>proceso cíclico entre </w:t>
      </w:r>
      <w:r>
        <w:rPr>
          <w:spacing w:val="4"/>
        </w:rPr>
        <w:t>el </w:t>
      </w:r>
      <w:r>
        <w:rPr/>
        <w:t>texto y el </w:t>
      </w:r>
      <w:r>
        <w:rPr>
          <w:spacing w:val="-3"/>
        </w:rPr>
        <w:t>lector. </w:t>
      </w:r>
      <w:r>
        <w:rPr/>
        <w:t>Éste toma información proporcionada por el primero para activar sus esquemas y hacer predicciones e ideas </w:t>
      </w:r>
      <w:r>
        <w:rPr>
          <w:spacing w:val="2"/>
        </w:rPr>
        <w:t>con </w:t>
      </w:r>
      <w:r>
        <w:rPr/>
        <w:t>respecto al texto. Dichas suposiciones </w:t>
      </w:r>
      <w:r>
        <w:rPr>
          <w:spacing w:val="2"/>
        </w:rPr>
        <w:t>son </w:t>
      </w:r>
      <w:r>
        <w:rPr/>
        <w:t>comprobadas  o desechadas una vez que el lector vuelve al texto y </w:t>
      </w:r>
      <w:r>
        <w:rPr>
          <w:spacing w:val="2"/>
        </w:rPr>
        <w:t>así </w:t>
      </w:r>
      <w:r>
        <w:rPr/>
        <w:t>se completa el ciclo. De acuerdo con esto, al usar tanto sus habilidades ascendentes como descendentes,  el lector complementa o compensa las deficiencias de unas y de otras. Es </w:t>
      </w:r>
      <w:r>
        <w:rPr>
          <w:spacing w:val="-4"/>
        </w:rPr>
        <w:t>decir, </w:t>
      </w:r>
      <w:r>
        <w:rPr/>
        <w:t>el lector se vale de la información proporcionada por el texto así como de su conocimiento del mundo, o enciclopédico como le llama Schmitt, para hacer sus suposiciones y obtener una interpretación del texto y de acuerdo </w:t>
      </w:r>
      <w:r>
        <w:rPr>
          <w:spacing w:val="2"/>
        </w:rPr>
        <w:t>con </w:t>
      </w:r>
      <w:r>
        <w:rPr/>
        <w:t>Stanovich (1980), Samuels &amp; Kamil (1988), Zwaan &amp; Brown (1996) y </w:t>
      </w:r>
      <w:r>
        <w:rPr>
          <w:spacing w:val="-3"/>
        </w:rPr>
        <w:t>Yamashita </w:t>
      </w:r>
      <w:r>
        <w:rPr/>
        <w:t>(2002), </w:t>
      </w:r>
      <w:r>
        <w:rPr>
          <w:spacing w:val="-5"/>
        </w:rPr>
        <w:t>la </w:t>
      </w:r>
      <w:r>
        <w:rPr/>
        <w:t>debilidad del lector en unas de la habilidades, ascendentes o descendentes, se balancean con la fortaleza en las otras, lo que da origen al concepto de </w:t>
      </w:r>
      <w:r>
        <w:rPr>
          <w:i/>
        </w:rPr>
        <w:t>compensación</w:t>
      </w:r>
      <w:r>
        <w:rPr/>
        <w:t>, básico en la conformación del presente </w:t>
      </w:r>
      <w:r>
        <w:rPr>
          <w:spacing w:val="23"/>
        </w:rPr>
        <w:t> </w:t>
      </w:r>
      <w:r>
        <w:rPr/>
        <w:t>proyecto.</w:t>
      </w:r>
    </w:p>
    <w:p>
      <w:pPr>
        <w:pStyle w:val="BodyText"/>
        <w:rPr>
          <w:sz w:val="22"/>
        </w:rPr>
      </w:pPr>
    </w:p>
    <w:p>
      <w:pPr>
        <w:pStyle w:val="BodyText"/>
        <w:spacing w:line="364" w:lineRule="auto" w:before="150"/>
        <w:ind w:left="115" w:right="100"/>
        <w:jc w:val="both"/>
      </w:pPr>
      <w:r>
        <w:rPr/>
        <w:t>Durante este trabajo se utilizará el término competencia lectora o habilidad lectora, de manera indistinta, como lo hace Koda (2005:4), quien utiliza el término </w:t>
      </w:r>
      <w:r>
        <w:rPr>
          <w:i/>
        </w:rPr>
        <w:t>competencia </w:t>
      </w:r>
      <w:r>
        <w:rPr/>
        <w:t>para referirse al conocimiento lingüístico, las habilidades de procesamiento y las habilidades cognitivas. Este autor también puntualiza que existen varias definiciones para el término pero en esencia todas llevan a que una lectura exitosa será aquella en la que el lector logre una comprensión de la interacción derivada de la información del texto y el conocimiento previo del </w:t>
      </w:r>
      <w:r>
        <w:rPr>
          <w:spacing w:val="-3"/>
        </w:rPr>
        <w:t>lector. </w:t>
      </w:r>
      <w:r>
        <w:rPr/>
        <w:t>En otras palabras, el término competencia o habilidad lectora podría definir a </w:t>
      </w:r>
      <w:r>
        <w:rPr>
          <w:spacing w:val="-5"/>
        </w:rPr>
        <w:t>la </w:t>
      </w:r>
      <w:r>
        <w:rPr/>
        <w:t>capacidad del lector de llevar a cabo una lectura de manera exitosa, valiéndose </w:t>
      </w:r>
      <w:r>
        <w:rPr>
          <w:spacing w:val="-3"/>
        </w:rPr>
        <w:t>de </w:t>
      </w:r>
      <w:r>
        <w:rPr/>
        <w:t>los elementos que han sido mencionados durante este capítulo: la información proveniente del texto, donde el lector hace uso </w:t>
      </w:r>
      <w:r>
        <w:rPr>
          <w:spacing w:val="-3"/>
        </w:rPr>
        <w:t>de </w:t>
      </w:r>
      <w:r>
        <w:rPr/>
        <w:t>su conocimiento del  lenguaje para construir el significado; y el conocimiento del mundo que tiene el  </w:t>
      </w:r>
      <w:r>
        <w:rPr>
          <w:spacing w:val="-3"/>
        </w:rPr>
        <w:t>lector,  </w:t>
      </w:r>
      <w:r>
        <w:rPr/>
        <w:t>el  cual utiliza para activar sus esquemas </w:t>
      </w:r>
      <w:r>
        <w:rPr>
          <w:spacing w:val="-13"/>
        </w:rPr>
        <w:t>y, </w:t>
      </w:r>
      <w:r>
        <w:rPr/>
        <w:t>de igual manera, construir </w:t>
      </w:r>
      <w:r>
        <w:rPr>
          <w:spacing w:val="60"/>
        </w:rPr>
        <w:t> </w:t>
      </w:r>
      <w:r>
        <w:rPr/>
        <w:t>significado.</w:t>
      </w:r>
    </w:p>
    <w:p>
      <w:pPr>
        <w:spacing w:after="0" w:line="364" w:lineRule="auto"/>
        <w:jc w:val="both"/>
        <w:sectPr>
          <w:pgSz w:w="11910" w:h="16840"/>
          <w:pgMar w:header="1424" w:footer="0" w:top="1840" w:bottom="280" w:left="1540" w:right="1540"/>
        </w:sectPr>
      </w:pPr>
    </w:p>
    <w:p>
      <w:pPr>
        <w:pStyle w:val="BodyText"/>
        <w:spacing w:before="6"/>
        <w:rPr>
          <w:sz w:val="16"/>
        </w:rPr>
      </w:pPr>
    </w:p>
    <w:p>
      <w:pPr>
        <w:pStyle w:val="Heading3"/>
        <w:numPr>
          <w:ilvl w:val="1"/>
          <w:numId w:val="7"/>
        </w:numPr>
        <w:tabs>
          <w:tab w:pos="505" w:val="left" w:leader="none"/>
        </w:tabs>
        <w:spacing w:line="240" w:lineRule="auto" w:before="74" w:after="0"/>
        <w:ind w:left="504" w:right="0" w:hanging="388"/>
        <w:jc w:val="both"/>
      </w:pPr>
      <w:bookmarkStart w:name="_bookmark9" w:id="16"/>
      <w:bookmarkEnd w:id="16"/>
      <w:r>
        <w:rPr>
          <w:b w:val="0"/>
        </w:rPr>
      </w:r>
      <w:bookmarkStart w:name="_bookmark8" w:id="17"/>
      <w:bookmarkEnd w:id="17"/>
      <w:r>
        <w:rPr>
          <w:b w:val="0"/>
        </w:rPr>
      </w:r>
      <w:bookmarkStart w:name="_bookmark8" w:id="18"/>
      <w:bookmarkEnd w:id="18"/>
      <w:r>
        <w:rPr/>
        <w:t>HAB</w:t>
      </w:r>
      <w:r>
        <w:rPr/>
        <w:t>ILIDAD LECTORA EN</w:t>
      </w:r>
      <w:r>
        <w:rPr>
          <w:spacing w:val="32"/>
        </w:rPr>
        <w:t> </w:t>
      </w:r>
      <w:r>
        <w:rPr/>
        <w:t>L2</w:t>
      </w:r>
    </w:p>
    <w:p>
      <w:pPr>
        <w:pStyle w:val="BodyText"/>
        <w:rPr>
          <w:b/>
          <w:sz w:val="22"/>
        </w:rPr>
      </w:pPr>
    </w:p>
    <w:p>
      <w:pPr>
        <w:pStyle w:val="BodyText"/>
        <w:rPr>
          <w:b/>
          <w:sz w:val="22"/>
        </w:rPr>
      </w:pPr>
    </w:p>
    <w:p>
      <w:pPr>
        <w:pStyle w:val="BodyText"/>
        <w:spacing w:before="9"/>
        <w:rPr>
          <w:b/>
          <w:sz w:val="19"/>
        </w:rPr>
      </w:pPr>
    </w:p>
    <w:p>
      <w:pPr>
        <w:pStyle w:val="Heading3"/>
        <w:numPr>
          <w:ilvl w:val="2"/>
          <w:numId w:val="7"/>
        </w:numPr>
        <w:tabs>
          <w:tab w:pos="702" w:val="left" w:leader="none"/>
        </w:tabs>
        <w:spacing w:line="240" w:lineRule="auto" w:before="0" w:after="0"/>
        <w:ind w:left="701" w:right="0" w:hanging="585"/>
        <w:jc w:val="both"/>
      </w:pPr>
      <w:r>
        <w:rPr/>
        <w:t>Relación entre habilidad lectora en L1 y habilidad lectora en </w:t>
      </w:r>
      <w:r>
        <w:rPr>
          <w:spacing w:val="20"/>
        </w:rPr>
        <w:t> </w:t>
      </w:r>
      <w:r>
        <w:rPr/>
        <w:t>L2</w:t>
      </w:r>
    </w:p>
    <w:p>
      <w:pPr>
        <w:pStyle w:val="BodyText"/>
        <w:rPr>
          <w:b/>
          <w:sz w:val="22"/>
        </w:rPr>
      </w:pPr>
    </w:p>
    <w:p>
      <w:pPr>
        <w:pStyle w:val="BodyText"/>
        <w:spacing w:before="6"/>
        <w:rPr>
          <w:b/>
          <w:sz w:val="25"/>
        </w:rPr>
      </w:pPr>
    </w:p>
    <w:p>
      <w:pPr>
        <w:pStyle w:val="BodyText"/>
        <w:spacing w:line="364" w:lineRule="auto"/>
        <w:ind w:left="115" w:right="103"/>
        <w:jc w:val="both"/>
      </w:pPr>
      <w:r>
        <w:rPr/>
        <w:t>Alderson (2000:23) pone sobre la mesa la pregunta: ¿Un buen lector en L1 lo es también en L2? Él mismo da una posible respuesta al exponer el hecho de que es necesario alcanzar un nivel lingüístico en L2 antes de poder transferir  las habilidades lectoras de L1 a L2. Por lo tanto, resultados pobres en la comprensión de lectura en L2 son debidos a conocimiento insuficiente de L2 y no a la habilidad lectora en L1, a decir del mismo Alderson. Para Alderson (2000: 80) cuando la lectura se realiza en segunda lengua o lengua extranjera el lector utiliza su conocimiento lingüístico de la primera lengua, así como el de la segunda y la relación entre ambas lenguas en todos los niveles  lingüísticos.</w:t>
      </w:r>
    </w:p>
    <w:p>
      <w:pPr>
        <w:pStyle w:val="BodyText"/>
        <w:rPr>
          <w:sz w:val="22"/>
        </w:rPr>
      </w:pPr>
    </w:p>
    <w:p>
      <w:pPr>
        <w:spacing w:line="364" w:lineRule="auto" w:before="155"/>
        <w:ind w:left="115" w:right="98" w:firstLine="0"/>
        <w:jc w:val="both"/>
        <w:rPr>
          <w:sz w:val="23"/>
        </w:rPr>
      </w:pPr>
      <w:r>
        <w:rPr>
          <w:sz w:val="23"/>
        </w:rPr>
        <w:t>Koda (2005:6) sugiere que antes de buscar una relación entre la lectura en L1 y </w:t>
      </w:r>
      <w:r>
        <w:rPr>
          <w:spacing w:val="-5"/>
          <w:sz w:val="23"/>
        </w:rPr>
        <w:t>la </w:t>
      </w:r>
      <w:r>
        <w:rPr>
          <w:sz w:val="23"/>
        </w:rPr>
        <w:t>lectura en L2 </w:t>
      </w:r>
      <w:r>
        <w:rPr>
          <w:spacing w:val="-3"/>
          <w:sz w:val="23"/>
        </w:rPr>
        <w:t>es </w:t>
      </w:r>
      <w:r>
        <w:rPr>
          <w:sz w:val="23"/>
        </w:rPr>
        <w:t>necesario definir el grupo de estudio. Esto debido a que los individuos que realizan la lectura en L2 </w:t>
      </w:r>
      <w:r>
        <w:rPr>
          <w:spacing w:val="-5"/>
          <w:sz w:val="23"/>
        </w:rPr>
        <w:t>la </w:t>
      </w:r>
      <w:r>
        <w:rPr>
          <w:sz w:val="23"/>
        </w:rPr>
        <w:t>llevan a cabo por razones muy diversas   y de igual manera da inicio en distintas edades y </w:t>
      </w:r>
      <w:r>
        <w:rPr>
          <w:spacing w:val="2"/>
          <w:sz w:val="23"/>
        </w:rPr>
        <w:t>con </w:t>
      </w:r>
      <w:r>
        <w:rPr>
          <w:sz w:val="23"/>
        </w:rPr>
        <w:t>diferentes grados </w:t>
      </w:r>
      <w:r>
        <w:rPr>
          <w:spacing w:val="-3"/>
          <w:sz w:val="23"/>
        </w:rPr>
        <w:t>de </w:t>
      </w:r>
      <w:r>
        <w:rPr>
          <w:sz w:val="23"/>
        </w:rPr>
        <w:t>conocimiento de la segunda lengua, del mundo y de alfabetismo en L1. El autor agrega: </w:t>
      </w:r>
      <w:r>
        <w:rPr>
          <w:i/>
          <w:sz w:val="23"/>
        </w:rPr>
        <w:t>“the developmental profiles may deviate in three critical dimensions: L1 </w:t>
      </w:r>
      <w:r>
        <w:rPr>
          <w:i/>
          <w:sz w:val="23"/>
        </w:rPr>
        <w:t>literacy, cognitive maturity and conceptual sophistication. Each of these categories interacts with contextual variations relating to where, how and why L2 literacy is being pursued”</w:t>
      </w:r>
      <w:r>
        <w:rPr>
          <w:sz w:val="23"/>
        </w:rPr>
        <w:t>. (Koda, 2005:7). Lo anterior es explicado por el autor </w:t>
      </w:r>
      <w:r>
        <w:rPr>
          <w:spacing w:val="2"/>
          <w:sz w:val="23"/>
        </w:rPr>
        <w:t>con  </w:t>
      </w:r>
      <w:r>
        <w:rPr>
          <w:sz w:val="23"/>
        </w:rPr>
        <w:t>el  ejemplo de </w:t>
      </w:r>
      <w:r>
        <w:rPr>
          <w:spacing w:val="-5"/>
          <w:sz w:val="23"/>
        </w:rPr>
        <w:t>la </w:t>
      </w:r>
      <w:r>
        <w:rPr>
          <w:sz w:val="23"/>
        </w:rPr>
        <w:t>notable diferencia en competencia lectora entre niños de habla china de seis años de edad, adquiriendo habilidades lectoras en inglés como segunda lengua, en una escuela pública estadounidense y un adulto de habla inglesa tomando un curso de chino, como requisito </w:t>
      </w:r>
      <w:r>
        <w:rPr>
          <w:spacing w:val="-3"/>
          <w:sz w:val="23"/>
        </w:rPr>
        <w:t>de </w:t>
      </w:r>
      <w:r>
        <w:rPr>
          <w:sz w:val="23"/>
        </w:rPr>
        <w:t>segunda lengua </w:t>
      </w:r>
      <w:r>
        <w:rPr>
          <w:spacing w:val="-3"/>
          <w:sz w:val="23"/>
        </w:rPr>
        <w:t>en </w:t>
      </w:r>
      <w:r>
        <w:rPr>
          <w:sz w:val="23"/>
        </w:rPr>
        <w:t>una universidad estadounidense.</w:t>
      </w:r>
    </w:p>
    <w:p>
      <w:pPr>
        <w:spacing w:after="0" w:line="364" w:lineRule="auto"/>
        <w:jc w:val="both"/>
        <w:rPr>
          <w:sz w:val="23"/>
        </w:rPr>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2"/>
        <w:jc w:val="both"/>
      </w:pPr>
      <w:bookmarkStart w:name="_bookmark10" w:id="19"/>
      <w:bookmarkEnd w:id="19"/>
      <w:r>
        <w:rPr/>
      </w:r>
      <w:r>
        <w:rPr/>
        <w:t>El autor (Koda, 2005:7) menciona algunas diferencias entre el lector en L1 y L2.    En su etapa inicial el lector en </w:t>
      </w:r>
      <w:r>
        <w:rPr>
          <w:spacing w:val="-3"/>
        </w:rPr>
        <w:t>L1 </w:t>
      </w:r>
      <w:r>
        <w:rPr/>
        <w:t>difiere del lector en L2 en que este último puede hacer uso de su experiencia en alfabetismo en L1, </w:t>
      </w:r>
      <w:r>
        <w:rPr>
          <w:spacing w:val="-5"/>
        </w:rPr>
        <w:t>lo  </w:t>
      </w:r>
      <w:r>
        <w:rPr/>
        <w:t>cual facilita su desarrollo.  Otra diferencia es que el lector principiante de L1 tiene bases sólidas  en  su  lengua, mientras que el lector en L2 inicia el proceso de lectura con escaso conocimiento de la lengua. Adicionalmente, la instrucción en lectura en L1 enfatiza  </w:t>
      </w:r>
      <w:r>
        <w:rPr>
          <w:spacing w:val="-5"/>
        </w:rPr>
        <w:t>la </w:t>
      </w:r>
      <w:r>
        <w:rPr/>
        <w:t>codificación, la primera parte del proceso </w:t>
      </w:r>
      <w:r>
        <w:rPr>
          <w:spacing w:val="-3"/>
        </w:rPr>
        <w:t>de </w:t>
      </w:r>
      <w:r>
        <w:rPr/>
        <w:t>lectura, mientras el lector en </w:t>
      </w:r>
      <w:r>
        <w:rPr>
          <w:spacing w:val="-3"/>
        </w:rPr>
        <w:t>L2 </w:t>
      </w:r>
      <w:r>
        <w:rPr/>
        <w:t>en   </w:t>
      </w:r>
      <w:r>
        <w:rPr>
          <w:spacing w:val="-5"/>
        </w:rPr>
        <w:t>la </w:t>
      </w:r>
      <w:r>
        <w:rPr/>
        <w:t>construcción de un</w:t>
      </w:r>
      <w:r>
        <w:rPr>
          <w:spacing w:val="60"/>
        </w:rPr>
        <w:t> </w:t>
      </w:r>
      <w:r>
        <w:rPr/>
        <w:t>significado.</w:t>
      </w:r>
    </w:p>
    <w:p>
      <w:pPr>
        <w:pStyle w:val="BodyText"/>
        <w:rPr>
          <w:sz w:val="22"/>
        </w:rPr>
      </w:pPr>
    </w:p>
    <w:p>
      <w:pPr>
        <w:spacing w:line="364" w:lineRule="auto" w:before="150"/>
        <w:ind w:left="115" w:right="101" w:firstLine="0"/>
        <w:jc w:val="both"/>
        <w:rPr>
          <w:sz w:val="23"/>
        </w:rPr>
      </w:pPr>
      <w:r>
        <w:rPr>
          <w:sz w:val="23"/>
        </w:rPr>
        <w:t>En el estudio de </w:t>
      </w:r>
      <w:r>
        <w:rPr>
          <w:spacing w:val="-5"/>
          <w:sz w:val="23"/>
        </w:rPr>
        <w:t>la </w:t>
      </w:r>
      <w:r>
        <w:rPr>
          <w:sz w:val="23"/>
        </w:rPr>
        <w:t>relación entre la lectura en L1 y L2 </w:t>
      </w:r>
      <w:r>
        <w:rPr>
          <w:spacing w:val="2"/>
          <w:sz w:val="23"/>
        </w:rPr>
        <w:t>son </w:t>
      </w:r>
      <w:r>
        <w:rPr>
          <w:sz w:val="23"/>
        </w:rPr>
        <w:t>dos las hipótesis; </w:t>
      </w:r>
      <w:r>
        <w:rPr>
          <w:i/>
          <w:sz w:val="23"/>
        </w:rPr>
        <w:t>Hipótesis de la Interdependencia Lingüística </w:t>
      </w:r>
      <w:r>
        <w:rPr>
          <w:sz w:val="23"/>
        </w:rPr>
        <w:t>e </w:t>
      </w:r>
      <w:r>
        <w:rPr>
          <w:i/>
          <w:sz w:val="23"/>
        </w:rPr>
        <w:t>Hipótesis  del Umbral Lingüístico</w:t>
      </w:r>
      <w:r>
        <w:rPr>
          <w:sz w:val="23"/>
        </w:rPr>
        <w:t>,  que marcan la pauta y a continuación serán </w:t>
      </w:r>
      <w:r>
        <w:rPr>
          <w:spacing w:val="11"/>
          <w:sz w:val="23"/>
        </w:rPr>
        <w:t> </w:t>
      </w:r>
      <w:r>
        <w:rPr>
          <w:sz w:val="23"/>
        </w:rPr>
        <w:t>tratadas.</w:t>
      </w:r>
    </w:p>
    <w:p>
      <w:pPr>
        <w:pStyle w:val="BodyText"/>
        <w:rPr>
          <w:sz w:val="22"/>
        </w:rPr>
      </w:pPr>
    </w:p>
    <w:p>
      <w:pPr>
        <w:pStyle w:val="BodyText"/>
        <w:spacing w:before="2"/>
        <w:rPr>
          <w:sz w:val="30"/>
        </w:rPr>
      </w:pPr>
    </w:p>
    <w:p>
      <w:pPr>
        <w:pStyle w:val="Heading4"/>
        <w:numPr>
          <w:ilvl w:val="3"/>
          <w:numId w:val="7"/>
        </w:numPr>
        <w:tabs>
          <w:tab w:pos="899" w:val="left" w:leader="none"/>
        </w:tabs>
        <w:spacing w:line="240" w:lineRule="auto" w:before="0" w:after="0"/>
        <w:ind w:left="898" w:right="0" w:hanging="782"/>
        <w:jc w:val="both"/>
        <w:rPr>
          <w:i/>
        </w:rPr>
      </w:pPr>
      <w:bookmarkStart w:name="_TOC_250011" w:id="20"/>
      <w:r>
        <w:rPr>
          <w:i/>
        </w:rPr>
        <w:t>Hipótesis de la Interdependencia </w:t>
      </w:r>
      <w:r>
        <w:rPr>
          <w:i/>
          <w:spacing w:val="1"/>
        </w:rPr>
        <w:t> </w:t>
      </w:r>
      <w:bookmarkEnd w:id="20"/>
      <w:r>
        <w:rPr>
          <w:i/>
        </w:rPr>
        <w:t>Lingüística</w:t>
      </w:r>
    </w:p>
    <w:p>
      <w:pPr>
        <w:pStyle w:val="BodyText"/>
        <w:rPr>
          <w:b/>
          <w:i/>
          <w:sz w:val="22"/>
        </w:rPr>
      </w:pPr>
    </w:p>
    <w:p>
      <w:pPr>
        <w:pStyle w:val="BodyText"/>
        <w:spacing w:before="1"/>
        <w:rPr>
          <w:b/>
          <w:i/>
          <w:sz w:val="25"/>
        </w:rPr>
      </w:pPr>
    </w:p>
    <w:p>
      <w:pPr>
        <w:pStyle w:val="BodyText"/>
        <w:spacing w:line="364" w:lineRule="auto"/>
        <w:ind w:left="115" w:right="103"/>
        <w:jc w:val="both"/>
      </w:pPr>
      <w:r>
        <w:rPr/>
        <w:t>Al hablar de </w:t>
      </w:r>
      <w:r>
        <w:rPr>
          <w:spacing w:val="-5"/>
        </w:rPr>
        <w:t>la </w:t>
      </w:r>
      <w:r>
        <w:rPr/>
        <w:t>relación entre habilidad lectora en L1 y habilidad lectora en L2 es difícil hacer a un lado la competencia lingüística. Como vimos en el apartado </w:t>
      </w:r>
      <w:r>
        <w:rPr>
          <w:spacing w:val="-3"/>
        </w:rPr>
        <w:t>anterior, </w:t>
      </w:r>
      <w:r>
        <w:rPr/>
        <w:t>Alderson (2000) opina que </w:t>
      </w:r>
      <w:r>
        <w:rPr>
          <w:spacing w:val="-3"/>
        </w:rPr>
        <w:t>es </w:t>
      </w:r>
      <w:r>
        <w:rPr/>
        <w:t>un elemento fundamental en este análisis. Considerando la relevancia de </w:t>
      </w:r>
      <w:r>
        <w:rPr>
          <w:spacing w:val="-5"/>
        </w:rPr>
        <w:t>la </w:t>
      </w:r>
      <w:r>
        <w:rPr/>
        <w:t>competencia  lingüística,  se  desarrolló  </w:t>
      </w:r>
      <w:r>
        <w:rPr>
          <w:spacing w:val="-5"/>
        </w:rPr>
        <w:t>la </w:t>
      </w:r>
      <w:r>
        <w:rPr>
          <w:i/>
        </w:rPr>
        <w:t>Hipótesis de la Interdependencia Lingüística (</w:t>
      </w:r>
      <w:r>
        <w:rPr/>
        <w:t>LIH, por sus siglas en inglés:  </w:t>
      </w:r>
      <w:r>
        <w:rPr>
          <w:i/>
        </w:rPr>
        <w:t>Linguistic Interdependence Hypothesis</w:t>
      </w:r>
      <w:r>
        <w:rPr/>
        <w:t>). Cummins (1978) desarrolla esta hipótesis  y aporta los elementos más importantes al estudiar niños en programas bilingües con énfasis en instrucción en lengua nativa. No obstante, se ha llevado al campo   de </w:t>
      </w:r>
      <w:r>
        <w:rPr>
          <w:spacing w:val="-5"/>
        </w:rPr>
        <w:t>la </w:t>
      </w:r>
      <w:r>
        <w:rPr/>
        <w:t>comprensión de lectura con resultados satisfactorios, </w:t>
      </w:r>
      <w:r>
        <w:rPr>
          <w:spacing w:val="-4"/>
        </w:rPr>
        <w:t>ya </w:t>
      </w:r>
      <w:r>
        <w:rPr/>
        <w:t>que como el mismo Cummins (2000) comenta, los dos enfoques de la hipótesis, el aprendizaje  de  niños bilingües y </w:t>
      </w:r>
      <w:r>
        <w:rPr>
          <w:spacing w:val="4"/>
        </w:rPr>
        <w:t>el </w:t>
      </w:r>
      <w:r>
        <w:rPr/>
        <w:t>de estudiantes </w:t>
      </w:r>
      <w:r>
        <w:rPr>
          <w:spacing w:val="-3"/>
        </w:rPr>
        <w:t>de </w:t>
      </w:r>
      <w:r>
        <w:rPr/>
        <w:t>una segunda lengua, no sólo no están peleados sino que </w:t>
      </w:r>
      <w:r>
        <w:rPr>
          <w:spacing w:val="4"/>
        </w:rPr>
        <w:t>se</w:t>
      </w:r>
      <w:r>
        <w:rPr>
          <w:spacing w:val="40"/>
        </w:rPr>
        <w:t> </w:t>
      </w:r>
      <w:r>
        <w:rPr/>
        <w:t>complementan.</w:t>
      </w:r>
    </w:p>
    <w:p>
      <w:pPr>
        <w:pStyle w:val="BodyText"/>
        <w:rPr>
          <w:sz w:val="22"/>
        </w:rPr>
      </w:pPr>
    </w:p>
    <w:p>
      <w:pPr>
        <w:spacing w:line="367" w:lineRule="auto" w:before="150"/>
        <w:ind w:left="115" w:right="103" w:firstLine="0"/>
        <w:jc w:val="both"/>
        <w:rPr>
          <w:sz w:val="23"/>
        </w:rPr>
      </w:pPr>
      <w:r>
        <w:rPr>
          <w:sz w:val="23"/>
        </w:rPr>
        <w:t>Bernhardt y Kamil (1995) profundizan en el tema y simplifican la Hipótesis de la Interdependencia Lingüística de la siguiente manera: “</w:t>
      </w:r>
      <w:r>
        <w:rPr>
          <w:i/>
          <w:sz w:val="23"/>
        </w:rPr>
        <w:t>Reading performance in a </w:t>
      </w:r>
      <w:r>
        <w:rPr>
          <w:i/>
          <w:sz w:val="23"/>
        </w:rPr>
        <w:t>second-language   is   largely   shared   with   reading   ability   in   a   first language</w:t>
      </w:r>
      <w:r>
        <w:rPr>
          <w:sz w:val="23"/>
        </w:rPr>
        <w:t>”</w:t>
      </w:r>
    </w:p>
    <w:p>
      <w:pPr>
        <w:spacing w:after="0" w:line="367" w:lineRule="auto"/>
        <w:jc w:val="both"/>
        <w:rPr>
          <w:sz w:val="23"/>
        </w:rPr>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1"/>
        <w:jc w:val="both"/>
      </w:pPr>
      <w:bookmarkStart w:name="_bookmark11" w:id="21"/>
      <w:bookmarkEnd w:id="21"/>
      <w:r>
        <w:rPr/>
      </w:r>
      <w:r>
        <w:rPr/>
        <w:t>(Bernhardt &amp; Kamil, 1995:17). De acuerdo con estos autores, la hipótesis plantea que lectura y escritura se transfieren a otro idioma y que a pesar de parecer  distintas superficialmente en L1 y L2, </w:t>
      </w:r>
      <w:r>
        <w:rPr>
          <w:spacing w:val="-3"/>
        </w:rPr>
        <w:t>en </w:t>
      </w:r>
      <w:r>
        <w:rPr/>
        <w:t>el fondo </w:t>
      </w:r>
      <w:r>
        <w:rPr>
          <w:spacing w:val="2"/>
        </w:rPr>
        <w:t>son </w:t>
      </w:r>
      <w:r>
        <w:rPr>
          <w:spacing w:val="-3"/>
        </w:rPr>
        <w:t>las </w:t>
      </w:r>
      <w:r>
        <w:rPr/>
        <w:t>mismas. Así que, cuando se adquieren para una lengua, desde ese momento están disponibles para </w:t>
      </w:r>
      <w:r>
        <w:rPr>
          <w:spacing w:val="-5"/>
        </w:rPr>
        <w:t>la </w:t>
      </w:r>
      <w:r>
        <w:rPr/>
        <w:t>otra, sin necesidad de volver a adquirirlas.  Koda (2005:22-23) explica de igual manera   el planteamiento de Cummins: “</w:t>
      </w:r>
      <w:r>
        <w:rPr>
          <w:i/>
        </w:rPr>
        <w:t>The main contention, </w:t>
      </w:r>
      <w:r>
        <w:rPr>
          <w:i/>
          <w:spacing w:val="-5"/>
        </w:rPr>
        <w:t>in </w:t>
      </w:r>
      <w:r>
        <w:rPr>
          <w:i/>
        </w:rPr>
        <w:t>short, is that L2 reading </w:t>
      </w:r>
      <w:r>
        <w:rPr>
          <w:i/>
        </w:rPr>
        <w:t>success depends heavily </w:t>
      </w:r>
      <w:r>
        <w:rPr>
          <w:i/>
          <w:spacing w:val="-3"/>
        </w:rPr>
        <w:t>on </w:t>
      </w:r>
      <w:r>
        <w:rPr>
          <w:i/>
        </w:rPr>
        <w:t>previously acquired L1 literacy competence</w:t>
      </w:r>
      <w:r>
        <w:rPr/>
        <w:t>.” (Koda, 2005:22). Sin embargo, este autor menciona estudios (Bernhardt &amp; Kamil, 1995; Carrell, 1991; Bossers, 1991) que sugieren que la relación entre la lectura en L1 y L2 no </w:t>
      </w:r>
      <w:r>
        <w:rPr>
          <w:spacing w:val="-3"/>
        </w:rPr>
        <w:t>es </w:t>
      </w:r>
      <w:r>
        <w:rPr/>
        <w:t>tan directa como se pensaba en </w:t>
      </w:r>
      <w:r>
        <w:rPr>
          <w:spacing w:val="-5"/>
        </w:rPr>
        <w:t>la </w:t>
      </w:r>
      <w:r>
        <w:rPr/>
        <w:t>propuesta inicial de Cummins y por ende </w:t>
      </w:r>
      <w:r>
        <w:rPr>
          <w:spacing w:val="-3"/>
        </w:rPr>
        <w:t>es </w:t>
      </w:r>
      <w:r>
        <w:rPr/>
        <w:t>necesaria más investigación en este </w:t>
      </w:r>
      <w:r>
        <w:rPr>
          <w:spacing w:val="12"/>
        </w:rPr>
        <w:t> </w:t>
      </w:r>
      <w:r>
        <w:rPr/>
        <w:t>sentido.</w:t>
      </w:r>
    </w:p>
    <w:p>
      <w:pPr>
        <w:pStyle w:val="BodyText"/>
        <w:rPr>
          <w:sz w:val="22"/>
        </w:rPr>
      </w:pPr>
    </w:p>
    <w:p>
      <w:pPr>
        <w:pStyle w:val="BodyText"/>
        <w:spacing w:line="364" w:lineRule="auto" w:before="155"/>
        <w:ind w:left="115" w:right="102"/>
        <w:jc w:val="both"/>
      </w:pPr>
      <w:r>
        <w:rPr/>
        <w:t>Volviendo a la pregunta de Alderson (1984) sobre el origen del problema en </w:t>
      </w:r>
      <w:r>
        <w:rPr>
          <w:spacing w:val="-5"/>
        </w:rPr>
        <w:t>la </w:t>
      </w:r>
      <w:r>
        <w:rPr/>
        <w:t>comprensión de lectura en L2, la hipótesis de la interdependencia lingüística  sugiere que el problema es de lectura en general (Heredia &amp; Altarriba, 2002:170) y  a pesar </w:t>
      </w:r>
      <w:r>
        <w:rPr>
          <w:spacing w:val="-3"/>
        </w:rPr>
        <w:t>de </w:t>
      </w:r>
      <w:r>
        <w:rPr/>
        <w:t>que varios estudios comprueban la hipótesis, no hay elementos suficientes o contundentes para comprobar el efecto de ésta en la comprensión de lectura, siendo la competencia lingüística </w:t>
      </w:r>
      <w:r>
        <w:rPr>
          <w:spacing w:val="-3"/>
        </w:rPr>
        <w:t>un </w:t>
      </w:r>
      <w:r>
        <w:rPr/>
        <w:t>factor de mayor peso, como veremos   a</w:t>
      </w:r>
      <w:r>
        <w:rPr>
          <w:spacing w:val="22"/>
        </w:rPr>
        <w:t> </w:t>
      </w:r>
      <w:r>
        <w:rPr/>
        <w:t>continuación.</w:t>
      </w:r>
    </w:p>
    <w:p>
      <w:pPr>
        <w:pStyle w:val="BodyText"/>
        <w:rPr>
          <w:sz w:val="22"/>
        </w:rPr>
      </w:pPr>
    </w:p>
    <w:p>
      <w:pPr>
        <w:pStyle w:val="BodyText"/>
        <w:spacing w:before="7"/>
        <w:rPr>
          <w:sz w:val="30"/>
        </w:rPr>
      </w:pPr>
    </w:p>
    <w:p>
      <w:pPr>
        <w:pStyle w:val="Heading4"/>
        <w:numPr>
          <w:ilvl w:val="3"/>
          <w:numId w:val="7"/>
        </w:numPr>
        <w:tabs>
          <w:tab w:pos="899" w:val="left" w:leader="none"/>
        </w:tabs>
        <w:spacing w:line="240" w:lineRule="auto" w:before="0" w:after="0"/>
        <w:ind w:left="898" w:right="0" w:hanging="782"/>
        <w:jc w:val="both"/>
        <w:rPr>
          <w:i/>
        </w:rPr>
      </w:pPr>
      <w:bookmarkStart w:name="_TOC_250010" w:id="22"/>
      <w:r>
        <w:rPr>
          <w:i/>
        </w:rPr>
        <w:t>Hipótesis del Umbral</w:t>
      </w:r>
      <w:r>
        <w:rPr>
          <w:i/>
          <w:spacing w:val="48"/>
        </w:rPr>
        <w:t> </w:t>
      </w:r>
      <w:bookmarkEnd w:id="22"/>
      <w:r>
        <w:rPr>
          <w:i/>
        </w:rPr>
        <w:t>Lingüístico</w:t>
      </w:r>
    </w:p>
    <w:p>
      <w:pPr>
        <w:pStyle w:val="BodyText"/>
        <w:rPr>
          <w:b/>
          <w:i/>
          <w:sz w:val="22"/>
        </w:rPr>
      </w:pPr>
    </w:p>
    <w:p>
      <w:pPr>
        <w:pStyle w:val="BodyText"/>
        <w:spacing w:before="1"/>
        <w:rPr>
          <w:b/>
          <w:i/>
          <w:sz w:val="25"/>
        </w:rPr>
      </w:pPr>
    </w:p>
    <w:p>
      <w:pPr>
        <w:spacing w:line="364" w:lineRule="auto" w:before="0"/>
        <w:ind w:left="115" w:right="103" w:firstLine="0"/>
        <w:jc w:val="both"/>
        <w:rPr>
          <w:i/>
          <w:sz w:val="23"/>
        </w:rPr>
      </w:pPr>
      <w:r>
        <w:rPr>
          <w:sz w:val="23"/>
        </w:rPr>
        <w:t>La Hipótesis del Umbral Lingüístico (</w:t>
      </w:r>
      <w:r>
        <w:rPr>
          <w:i/>
          <w:sz w:val="23"/>
        </w:rPr>
        <w:t>Linguistic Threshold Hypothesis</w:t>
      </w:r>
      <w:r>
        <w:rPr>
          <w:sz w:val="23"/>
        </w:rPr>
        <w:t>) tiene su  origen en la Hipótesis del Corto Circuito (Clarke, 1979). Clarke habla de un techo lingüístico que </w:t>
      </w:r>
      <w:r>
        <w:rPr>
          <w:spacing w:val="-3"/>
          <w:sz w:val="23"/>
        </w:rPr>
        <w:t>es </w:t>
      </w:r>
      <w:r>
        <w:rPr>
          <w:sz w:val="23"/>
        </w:rPr>
        <w:t>necesario alcanzar y que </w:t>
      </w:r>
      <w:r>
        <w:rPr>
          <w:spacing w:val="-3"/>
          <w:sz w:val="23"/>
        </w:rPr>
        <w:t>es </w:t>
      </w:r>
      <w:r>
        <w:rPr>
          <w:sz w:val="23"/>
        </w:rPr>
        <w:t>equivalente al término </w:t>
      </w:r>
      <w:r>
        <w:rPr>
          <w:i/>
          <w:sz w:val="23"/>
        </w:rPr>
        <w:t>threshold </w:t>
      </w:r>
      <w:r>
        <w:rPr>
          <w:sz w:val="23"/>
        </w:rPr>
        <w:t>(umbral) utilizado por Cummins (1979). Esta hipótesis sugiere que con la finalidad de transferir las habilidades lectoras en L1 a L2 debe ser alcanzado cierto nivel de competencia lingüística. Hulstijn dice lo siguiente: </w:t>
      </w:r>
      <w:r>
        <w:rPr>
          <w:i/>
          <w:sz w:val="23"/>
        </w:rPr>
        <w:t>“L1  reading  performance can </w:t>
      </w:r>
      <w:r>
        <w:rPr>
          <w:i/>
          <w:sz w:val="23"/>
        </w:rPr>
        <w:t>only begin to correlate substantially with L2 reading after knowledge of L2 </w:t>
      </w:r>
      <w:r>
        <w:rPr>
          <w:i/>
          <w:spacing w:val="-4"/>
          <w:sz w:val="23"/>
        </w:rPr>
        <w:t>has </w:t>
      </w:r>
      <w:r>
        <w:rPr>
          <w:i/>
          <w:sz w:val="23"/>
        </w:rPr>
        <w:t>attained a threshold”</w:t>
      </w:r>
      <w:r>
        <w:rPr>
          <w:i/>
          <w:spacing w:val="33"/>
          <w:sz w:val="23"/>
        </w:rPr>
        <w:t> </w:t>
      </w:r>
      <w:r>
        <w:rPr>
          <w:sz w:val="23"/>
        </w:rPr>
        <w:t>(1991:9)</w:t>
      </w:r>
      <w:r>
        <w:rPr>
          <w:i/>
          <w:sz w:val="23"/>
        </w:rPr>
        <w:t>.</w:t>
      </w:r>
    </w:p>
    <w:p>
      <w:pPr>
        <w:spacing w:after="0" w:line="364" w:lineRule="auto"/>
        <w:jc w:val="both"/>
        <w:rPr>
          <w:sz w:val="23"/>
        </w:rPr>
        <w:sectPr>
          <w:pgSz w:w="11910" w:h="16840"/>
          <w:pgMar w:header="1424" w:footer="0" w:top="1840" w:bottom="280" w:left="1540" w:right="1540"/>
        </w:sectPr>
      </w:pPr>
    </w:p>
    <w:p>
      <w:pPr>
        <w:pStyle w:val="BodyText"/>
        <w:spacing w:before="11"/>
        <w:rPr>
          <w:i/>
          <w:sz w:val="16"/>
        </w:rPr>
      </w:pPr>
    </w:p>
    <w:p>
      <w:pPr>
        <w:pStyle w:val="BodyText"/>
        <w:spacing w:line="364" w:lineRule="auto" w:before="73"/>
        <w:ind w:left="115" w:right="102"/>
        <w:jc w:val="both"/>
      </w:pPr>
      <w:r>
        <w:rPr/>
        <w:t>Clarke (1979) y Cziko (1980) hicieron estudios comparando los resultados en comprensión de lectura en L2 con los de buenos y malos lectores </w:t>
      </w:r>
      <w:r>
        <w:rPr>
          <w:spacing w:val="-3"/>
        </w:rPr>
        <w:t>en </w:t>
      </w:r>
      <w:r>
        <w:rPr/>
        <w:t>L1, y  concluyen que las habilidades lectoras </w:t>
      </w:r>
      <w:r>
        <w:rPr>
          <w:spacing w:val="-3"/>
        </w:rPr>
        <w:t>en </w:t>
      </w:r>
      <w:r>
        <w:rPr/>
        <w:t>L1 no compensan </w:t>
      </w:r>
      <w:r>
        <w:rPr>
          <w:spacing w:val="-5"/>
        </w:rPr>
        <w:t>la  </w:t>
      </w:r>
      <w:r>
        <w:rPr/>
        <w:t>falta  de conocimiento de L2. Alderson (1984) y Bernhardt (1991) cuestionan algunos procesos metodológicos de estos estudios, sin embargo, su trascendencia </w:t>
      </w:r>
      <w:r>
        <w:rPr>
          <w:spacing w:val="-3"/>
        </w:rPr>
        <w:t>es </w:t>
      </w:r>
      <w:r>
        <w:rPr/>
        <w:t>innegable. Koda simplifica la teoría de </w:t>
      </w:r>
      <w:r>
        <w:rPr>
          <w:spacing w:val="-5"/>
        </w:rPr>
        <w:t>la </w:t>
      </w:r>
      <w:r>
        <w:rPr/>
        <w:t>siguiente forma: “limited L2 knowledge inhibits L2 learners from using their previously acquired L1 skills” (Koda, </w:t>
      </w:r>
      <w:r>
        <w:rPr>
          <w:spacing w:val="40"/>
        </w:rPr>
        <w:t> </w:t>
      </w:r>
      <w:r>
        <w:rPr/>
        <w:t>2005:23).</w:t>
      </w:r>
    </w:p>
    <w:p>
      <w:pPr>
        <w:pStyle w:val="BodyText"/>
        <w:rPr>
          <w:sz w:val="22"/>
        </w:rPr>
      </w:pPr>
    </w:p>
    <w:p>
      <w:pPr>
        <w:pStyle w:val="BodyText"/>
        <w:spacing w:before="155"/>
        <w:ind w:left="115"/>
        <w:jc w:val="both"/>
      </w:pPr>
      <w:r>
        <w:rPr/>
        <w:t>Bernhardt y Kamil (1995) mencionan respecto a la hipótesis lo  siguiente:</w:t>
      </w:r>
    </w:p>
    <w:p>
      <w:pPr>
        <w:pStyle w:val="BodyText"/>
        <w:rPr>
          <w:sz w:val="22"/>
        </w:rPr>
      </w:pPr>
    </w:p>
    <w:p>
      <w:pPr>
        <w:pStyle w:val="BodyText"/>
        <w:spacing w:before="1"/>
        <w:rPr>
          <w:sz w:val="25"/>
        </w:rPr>
      </w:pPr>
    </w:p>
    <w:p>
      <w:pPr>
        <w:spacing w:line="244" w:lineRule="auto" w:before="0"/>
        <w:ind w:left="663" w:right="103" w:firstLine="0"/>
        <w:jc w:val="both"/>
        <w:rPr>
          <w:sz w:val="23"/>
        </w:rPr>
      </w:pPr>
      <w:r>
        <w:rPr>
          <w:i/>
          <w:sz w:val="23"/>
        </w:rPr>
        <w:t>“A lack of second language linguistic knowledge ultimately ‘short circuited’ the </w:t>
      </w:r>
      <w:r>
        <w:rPr>
          <w:i/>
          <w:sz w:val="23"/>
        </w:rPr>
        <w:t>first language reading knowledge. In other words, a given amount of second language grammatical/linguistic knowledge was necessary in order to get first language reading knowledge to engage”.  </w:t>
      </w:r>
      <w:r>
        <w:rPr>
          <w:sz w:val="23"/>
        </w:rPr>
        <w:t>(1995:17).</w:t>
      </w:r>
    </w:p>
    <w:p>
      <w:pPr>
        <w:pStyle w:val="BodyText"/>
        <w:rPr>
          <w:sz w:val="22"/>
        </w:rPr>
      </w:pPr>
    </w:p>
    <w:p>
      <w:pPr>
        <w:pStyle w:val="BodyText"/>
        <w:rPr>
          <w:sz w:val="22"/>
        </w:rPr>
      </w:pPr>
    </w:p>
    <w:p>
      <w:pPr>
        <w:pStyle w:val="BodyText"/>
        <w:spacing w:line="364" w:lineRule="auto" w:before="165"/>
        <w:ind w:left="115" w:right="103"/>
        <w:jc w:val="both"/>
      </w:pPr>
      <w:r>
        <w:rPr/>
        <w:t>Sobre esta teoría podría cuestionarse qué o cuál es la cantidad de conocimiento lingüístico o gramatical para alcanzar ese umbral, como lo puntualiza Koda (2005:23-24), quien además sugiere analizar </w:t>
      </w:r>
      <w:r>
        <w:rPr>
          <w:spacing w:val="2"/>
        </w:rPr>
        <w:t>con </w:t>
      </w:r>
      <w:r>
        <w:rPr>
          <w:spacing w:val="-3"/>
        </w:rPr>
        <w:t>más </w:t>
      </w:r>
      <w:r>
        <w:rPr/>
        <w:t>detalle los componentes de  </w:t>
      </w:r>
      <w:r>
        <w:rPr>
          <w:spacing w:val="-5"/>
        </w:rPr>
        <w:t>la </w:t>
      </w:r>
      <w:r>
        <w:rPr/>
        <w:t>competencia lingüística y otros factores que podrían influir en </w:t>
      </w:r>
      <w:r>
        <w:rPr>
          <w:spacing w:val="-5"/>
        </w:rPr>
        <w:t>la </w:t>
      </w:r>
      <w:r>
        <w:rPr/>
        <w:t>competencia lectora como la codificación o los modos de lectura de acuerdo al propósito del </w:t>
      </w:r>
      <w:r>
        <w:rPr>
          <w:spacing w:val="-3"/>
        </w:rPr>
        <w:t>lector.</w:t>
      </w:r>
    </w:p>
    <w:p>
      <w:pPr>
        <w:pStyle w:val="BodyText"/>
        <w:rPr>
          <w:sz w:val="22"/>
        </w:rPr>
      </w:pPr>
    </w:p>
    <w:p>
      <w:pPr>
        <w:pStyle w:val="BodyText"/>
        <w:spacing w:line="364" w:lineRule="auto" w:before="160"/>
        <w:ind w:left="115" w:right="103"/>
        <w:jc w:val="both"/>
      </w:pPr>
      <w:r>
        <w:rPr/>
        <w:t>Alderson (1984, 2000), enfatiza la  importancia tanto de la habilidad de lectura en  L1 como de la competencia lingüística en L2. Bernhardt y Kamil  (1995),  demuestran la importancia de ambos factores (habilidad lectora en L1  y competencia lingüística en L2) y dicen que el resultado de la comprensión de  lectura en </w:t>
      </w:r>
      <w:r>
        <w:rPr>
          <w:spacing w:val="-3"/>
        </w:rPr>
        <w:t>L2 </w:t>
      </w:r>
      <w:r>
        <w:rPr>
          <w:spacing w:val="4"/>
        </w:rPr>
        <w:t>se </w:t>
      </w:r>
      <w:r>
        <w:rPr/>
        <w:t>derivará de la combinación de dos lenguas y de dos habilidades lectoras, por </w:t>
      </w:r>
      <w:r>
        <w:rPr>
          <w:spacing w:val="-5"/>
        </w:rPr>
        <w:t>lo </w:t>
      </w:r>
      <w:r>
        <w:rPr/>
        <w:t>tanto sería imposible buscar resultados  por  separado.  Sin embargo, la mayoría de los resultados de los estudios, como lo  menciona  Alderson, apuntan a un peso superior de la competencia lingüística en </w:t>
      </w:r>
      <w:r>
        <w:rPr>
          <w:spacing w:val="40"/>
        </w:rPr>
        <w:t> </w:t>
      </w:r>
      <w:r>
        <w:rPr/>
        <w:t>L2.</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1"/>
        <w:jc w:val="both"/>
      </w:pPr>
      <w:bookmarkStart w:name="_bookmark12" w:id="23"/>
      <w:bookmarkEnd w:id="23"/>
      <w:r>
        <w:rPr/>
      </w:r>
      <w:r>
        <w:rPr/>
        <w:t>Carrell (1991) también hizo un estudio relevante, en el cual se  </w:t>
      </w:r>
      <w:r>
        <w:rPr>
          <w:spacing w:val="-3"/>
        </w:rPr>
        <w:t>midió  </w:t>
      </w:r>
      <w:r>
        <w:rPr>
          <w:spacing w:val="-5"/>
        </w:rPr>
        <w:t>la  </w:t>
      </w:r>
      <w:r>
        <w:rPr/>
        <w:t>comprensión de lectura en L1 y L2 de nativo-hablantes tanto de español como de inglés. Para quienes el español era su lengua nativa e inglés segunda lengua, las habilidades lectoras </w:t>
      </w:r>
      <w:r>
        <w:rPr>
          <w:spacing w:val="-3"/>
        </w:rPr>
        <w:t>en L1 </w:t>
      </w:r>
      <w:r>
        <w:rPr/>
        <w:t>fueron </w:t>
      </w:r>
      <w:r>
        <w:rPr>
          <w:spacing w:val="-3"/>
        </w:rPr>
        <w:t>más </w:t>
      </w:r>
      <w:r>
        <w:rPr/>
        <w:t>trascendentes  que  la  competencia lingüística en L2; por otro lado, el grupo en el que el inglés era L1 y el español, L2, mostró un mayor peso de la competencia lingüística en L2 que habilidad lectora en L1. De esto podemos concluir que, no obstante la competencia lingüística parece representar un factor más importante, para ciertos individuos en ciertos contextos   el fenómeno puede presentarse de otra</w:t>
      </w:r>
      <w:r>
        <w:rPr>
          <w:spacing w:val="58"/>
        </w:rPr>
        <w:t> </w:t>
      </w:r>
      <w:r>
        <w:rPr/>
        <w:t>manera.</w:t>
      </w:r>
    </w:p>
    <w:p>
      <w:pPr>
        <w:pStyle w:val="BodyText"/>
        <w:rPr>
          <w:sz w:val="22"/>
        </w:rPr>
      </w:pPr>
    </w:p>
    <w:p>
      <w:pPr>
        <w:pStyle w:val="BodyText"/>
        <w:rPr>
          <w:sz w:val="22"/>
        </w:rPr>
      </w:pPr>
    </w:p>
    <w:p>
      <w:pPr>
        <w:pStyle w:val="Heading3"/>
        <w:numPr>
          <w:ilvl w:val="1"/>
          <w:numId w:val="8"/>
        </w:numPr>
        <w:tabs>
          <w:tab w:pos="505" w:val="left" w:leader="none"/>
        </w:tabs>
        <w:spacing w:line="240" w:lineRule="auto" w:before="152" w:after="0"/>
        <w:ind w:left="504" w:right="0" w:hanging="388"/>
        <w:jc w:val="both"/>
      </w:pPr>
      <w:r>
        <w:rPr/>
        <w:t>EVALUACIÓN DE COMPRENSIÓN DE</w:t>
      </w:r>
      <w:r>
        <w:rPr>
          <w:spacing w:val="59"/>
        </w:rPr>
        <w:t> </w:t>
      </w:r>
      <w:r>
        <w:rPr/>
        <w:t>LECTURA</w:t>
      </w:r>
    </w:p>
    <w:p>
      <w:pPr>
        <w:pStyle w:val="BodyText"/>
        <w:rPr>
          <w:b/>
          <w:sz w:val="22"/>
        </w:rPr>
      </w:pPr>
    </w:p>
    <w:p>
      <w:pPr>
        <w:pStyle w:val="BodyText"/>
        <w:spacing w:before="6"/>
        <w:rPr>
          <w:b/>
          <w:sz w:val="25"/>
        </w:rPr>
      </w:pPr>
    </w:p>
    <w:p>
      <w:pPr>
        <w:pStyle w:val="BodyText"/>
        <w:spacing w:line="364" w:lineRule="auto"/>
        <w:ind w:left="115" w:right="100"/>
        <w:jc w:val="both"/>
      </w:pPr>
      <w:r>
        <w:rPr/>
        <w:t>Para la evaluación de la comprensión de lectura existen distintas técnicas y  algunas consideraciones que tomar en cuenta. Para Alderson (2000:203-204) no existe un método que satisfaga todos los propósitos que pudiesen tenerse al  evaluar </w:t>
      </w:r>
      <w:r>
        <w:rPr>
          <w:spacing w:val="-5"/>
        </w:rPr>
        <w:t>la </w:t>
      </w:r>
      <w:r>
        <w:rPr/>
        <w:t>comprensión de lectura. Los reactivos de tipo opción múltiple han sido usados de manera tradicional, al grado de que algunos autores no utilizan otras alternativas.</w:t>
      </w:r>
    </w:p>
    <w:p>
      <w:pPr>
        <w:pStyle w:val="BodyText"/>
        <w:rPr>
          <w:sz w:val="22"/>
        </w:rPr>
      </w:pPr>
    </w:p>
    <w:p>
      <w:pPr>
        <w:pStyle w:val="BodyText"/>
        <w:spacing w:line="364" w:lineRule="auto" w:before="155"/>
        <w:ind w:left="115" w:right="99"/>
        <w:jc w:val="both"/>
      </w:pPr>
      <w:r>
        <w:rPr/>
        <w:t>Para evaluar la comprensión de lectura sería primordial determinar a qué nos referimos por comprensión. Devine (1986) reseña las  dificultades para encontrar  un término adecuado. Swaffar </w:t>
      </w:r>
      <w:r>
        <w:rPr>
          <w:i/>
        </w:rPr>
        <w:t>et al</w:t>
      </w:r>
      <w:r>
        <w:rPr/>
        <w:t>, (1991:22) definen </w:t>
      </w:r>
      <w:r>
        <w:rPr>
          <w:i/>
        </w:rPr>
        <w:t>comprensión </w:t>
      </w:r>
      <w:r>
        <w:rPr/>
        <w:t>como el constructo de una representación mental para componentes entrantes </w:t>
      </w:r>
      <w:r>
        <w:rPr>
          <w:spacing w:val="-3"/>
        </w:rPr>
        <w:t>de </w:t>
      </w:r>
      <w:r>
        <w:rPr/>
        <w:t>información verbal, pero ¿cómo evaluar el constructo de una representación  verbal?</w:t>
      </w:r>
    </w:p>
    <w:p>
      <w:pPr>
        <w:pStyle w:val="BodyText"/>
        <w:rPr>
          <w:sz w:val="22"/>
        </w:rPr>
      </w:pPr>
    </w:p>
    <w:p>
      <w:pPr>
        <w:pStyle w:val="BodyText"/>
        <w:spacing w:line="364" w:lineRule="auto" w:before="160"/>
        <w:ind w:left="115" w:right="103"/>
        <w:jc w:val="both"/>
      </w:pPr>
      <w:r>
        <w:rPr/>
        <w:t>El proceso de evaluación de </w:t>
      </w:r>
      <w:r>
        <w:rPr>
          <w:spacing w:val="-5"/>
        </w:rPr>
        <w:t>la </w:t>
      </w:r>
      <w:r>
        <w:rPr/>
        <w:t>comprensión de lectura </w:t>
      </w:r>
      <w:r>
        <w:rPr>
          <w:spacing w:val="-3"/>
        </w:rPr>
        <w:t>es  </w:t>
      </w:r>
      <w:r>
        <w:rPr/>
        <w:t>complejo. Existe una  gran cantidad de variables que afectan los resultados. En primer </w:t>
      </w:r>
      <w:r>
        <w:rPr>
          <w:spacing w:val="-4"/>
        </w:rPr>
        <w:t>lugar, </w:t>
      </w:r>
      <w:r>
        <w:rPr/>
        <w:t>la dificultad tanto del reactivo como del texto, y cada uno de estos elementos se ve afectado a su vez por otros. Entre los factores que tienen influencia en la dificultad  del  reactivo (Alderson, 2000) tenemos  el lenguaje usado en las  preguntas,  el tipo  </w:t>
      </w:r>
      <w:r>
        <w:rPr>
          <w:spacing w:val="53"/>
        </w:rPr>
        <w:t> </w:t>
      </w:r>
      <w:r>
        <w:rPr/>
        <w:t>de</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5"/>
        <w:jc w:val="both"/>
      </w:pPr>
      <w:r>
        <w:rPr/>
        <w:t>preguntas, las habilidades de lectura, el papel de la gramática, el papel del vocabulario, el uso del diccionario en el examen y la  inteligencia.</w:t>
      </w:r>
    </w:p>
    <w:p>
      <w:pPr>
        <w:pStyle w:val="BodyText"/>
        <w:rPr>
          <w:sz w:val="22"/>
        </w:rPr>
      </w:pPr>
    </w:p>
    <w:p>
      <w:pPr>
        <w:spacing w:line="364" w:lineRule="auto" w:before="155"/>
        <w:ind w:left="115" w:right="98" w:firstLine="0"/>
        <w:jc w:val="both"/>
        <w:rPr>
          <w:sz w:val="23"/>
        </w:rPr>
      </w:pPr>
      <w:r>
        <w:rPr>
          <w:sz w:val="23"/>
        </w:rPr>
        <w:t>El conocimiento previo </w:t>
      </w:r>
      <w:r>
        <w:rPr>
          <w:spacing w:val="2"/>
          <w:sz w:val="23"/>
        </w:rPr>
        <w:t>del </w:t>
      </w:r>
      <w:r>
        <w:rPr>
          <w:sz w:val="23"/>
        </w:rPr>
        <w:t>tema o </w:t>
      </w:r>
      <w:r>
        <w:rPr>
          <w:spacing w:val="2"/>
          <w:sz w:val="23"/>
        </w:rPr>
        <w:t>del </w:t>
      </w:r>
      <w:r>
        <w:rPr>
          <w:sz w:val="23"/>
        </w:rPr>
        <w:t>contenido de un texto (</w:t>
      </w:r>
      <w:r>
        <w:rPr>
          <w:i/>
          <w:sz w:val="23"/>
        </w:rPr>
        <w:t>schema</w:t>
      </w:r>
      <w:r>
        <w:rPr>
          <w:sz w:val="23"/>
        </w:rPr>
        <w:t>) tendrá un efecto en la dificultad del texto y por lo tanto en el resultado de la evaluación. Alderson hace la siguiente aportación en este sentido: “</w:t>
      </w:r>
      <w:r>
        <w:rPr>
          <w:i/>
          <w:sz w:val="23"/>
        </w:rPr>
        <w:t>On relatively easy texts, </w:t>
      </w:r>
      <w:r>
        <w:rPr>
          <w:i/>
          <w:sz w:val="23"/>
        </w:rPr>
        <w:t>linguistic proficiency might be sufficient to answer test questions adequately, whereas more difficult texts might require more subject matter  knowledge,  or  higher linguistic proficiency</w:t>
      </w:r>
      <w:r>
        <w:rPr>
          <w:sz w:val="23"/>
        </w:rPr>
        <w:t>” (Alderson,</w:t>
      </w:r>
      <w:r>
        <w:rPr>
          <w:spacing w:val="62"/>
          <w:sz w:val="23"/>
        </w:rPr>
        <w:t> </w:t>
      </w:r>
      <w:r>
        <w:rPr>
          <w:sz w:val="23"/>
        </w:rPr>
        <w:t>2000:104).</w:t>
      </w:r>
    </w:p>
    <w:p>
      <w:pPr>
        <w:pStyle w:val="BodyText"/>
        <w:rPr>
          <w:sz w:val="22"/>
        </w:rPr>
      </w:pPr>
    </w:p>
    <w:p>
      <w:pPr>
        <w:pStyle w:val="BodyText"/>
        <w:spacing w:line="364" w:lineRule="auto" w:before="155"/>
        <w:ind w:left="115" w:right="104"/>
        <w:jc w:val="both"/>
      </w:pPr>
      <w:r>
        <w:rPr/>
        <w:t>Un aspecto a considerar en </w:t>
      </w:r>
      <w:r>
        <w:rPr>
          <w:spacing w:val="-5"/>
        </w:rPr>
        <w:t>la </w:t>
      </w:r>
      <w:r>
        <w:rPr/>
        <w:t>evaluación de la comprensión de lectura </w:t>
      </w:r>
      <w:r>
        <w:rPr>
          <w:spacing w:val="-3"/>
        </w:rPr>
        <w:t>es </w:t>
      </w:r>
      <w:r>
        <w:rPr/>
        <w:t>indudablemente el tipo de competencia a </w:t>
      </w:r>
      <w:r>
        <w:rPr>
          <w:spacing w:val="-4"/>
        </w:rPr>
        <w:t>evaluar. </w:t>
      </w:r>
      <w:r>
        <w:rPr/>
        <w:t>Cummins (1980) propone, como veremos más adelante, </w:t>
      </w:r>
      <w:r>
        <w:rPr>
          <w:spacing w:val="-4"/>
        </w:rPr>
        <w:t>dos</w:t>
      </w:r>
      <w:r>
        <w:rPr>
          <w:spacing w:val="55"/>
        </w:rPr>
        <w:t> </w:t>
      </w:r>
      <w:r>
        <w:rPr/>
        <w:t>tipos de competencia lingüística: académica y conversacional. Alderson (2000) considera esto en el siguiente  extracto:</w:t>
      </w:r>
    </w:p>
    <w:p>
      <w:pPr>
        <w:pStyle w:val="BodyText"/>
        <w:rPr>
          <w:sz w:val="22"/>
        </w:rPr>
      </w:pPr>
    </w:p>
    <w:p>
      <w:pPr>
        <w:spacing w:line="244" w:lineRule="auto" w:before="150"/>
        <w:ind w:left="663" w:right="98" w:firstLine="0"/>
        <w:jc w:val="both"/>
        <w:rPr>
          <w:i/>
          <w:sz w:val="23"/>
        </w:rPr>
      </w:pPr>
      <w:r>
        <w:rPr>
          <w:i/>
          <w:sz w:val="23"/>
        </w:rPr>
        <w:t>“There </w:t>
      </w:r>
      <w:r>
        <w:rPr>
          <w:i/>
          <w:spacing w:val="-3"/>
          <w:sz w:val="23"/>
        </w:rPr>
        <w:t>may, </w:t>
      </w:r>
      <w:r>
        <w:rPr>
          <w:i/>
          <w:sz w:val="23"/>
        </w:rPr>
        <w:t>however, be a big difference between second-language readers </w:t>
      </w:r>
      <w:r>
        <w:rPr>
          <w:i/>
          <w:spacing w:val="2"/>
          <w:sz w:val="23"/>
        </w:rPr>
        <w:t>who </w:t>
      </w:r>
      <w:r>
        <w:rPr>
          <w:i/>
          <w:sz w:val="23"/>
        </w:rPr>
        <w:t>have highly developed reading (and problem-solving) skills already through their first language, and second-language readers who, for whatever reason, have had little or no formal education. This  is  presumably  important for interpreting the outcomes of second-language reading assessment. The implication for assessment is clearly that conversational language proficiency needs to be distinguished from academic language proficiency, and that measurement needs  to take into account the  range of cognitive  demands  and contextual support involved in particular language tasks or activities” </w:t>
      </w:r>
      <w:r>
        <w:rPr>
          <w:sz w:val="23"/>
        </w:rPr>
        <w:t>(Alderson,</w:t>
      </w:r>
      <w:r>
        <w:rPr>
          <w:spacing w:val="29"/>
          <w:sz w:val="23"/>
        </w:rPr>
        <w:t> </w:t>
      </w:r>
      <w:r>
        <w:rPr>
          <w:sz w:val="23"/>
        </w:rPr>
        <w:t>2000:24)</w:t>
      </w:r>
      <w:r>
        <w:rPr>
          <w:i/>
          <w:sz w:val="23"/>
        </w:rPr>
        <w:t>.</w:t>
      </w:r>
    </w:p>
    <w:p>
      <w:pPr>
        <w:pStyle w:val="BodyText"/>
        <w:rPr>
          <w:i/>
          <w:sz w:val="22"/>
        </w:rPr>
      </w:pPr>
    </w:p>
    <w:p>
      <w:pPr>
        <w:pStyle w:val="BodyText"/>
        <w:spacing w:line="364" w:lineRule="auto" w:before="149"/>
        <w:ind w:left="115" w:right="104"/>
        <w:jc w:val="both"/>
      </w:pPr>
      <w:r>
        <w:rPr/>
        <w:t>Alderson (2000) menciona como elementos importantes la confiabilidad y validez  de los instrumentos de evaluación. El método debe tener una mínima  ingerencia  en los resultados del examen. El evaluador debe tomar en cuenta </w:t>
      </w:r>
      <w:r>
        <w:rPr>
          <w:spacing w:val="-5"/>
        </w:rPr>
        <w:t>lo </w:t>
      </w:r>
      <w:r>
        <w:rPr/>
        <w:t>que está calificando, ya que </w:t>
      </w:r>
      <w:r>
        <w:rPr>
          <w:spacing w:val="-3"/>
        </w:rPr>
        <w:t>es </w:t>
      </w:r>
      <w:r>
        <w:rPr/>
        <w:t>probable que en lugar de evaluar las habilidades lectoras caiga uno en evaluar otros aspectos lingüísticos o incluso de otra índole, como pueden ser habilidades lingüísticas, habilidades de razonamiento, inteligencia y conocimientos previos sobre el</w:t>
      </w:r>
      <w:r>
        <w:rPr>
          <w:spacing w:val="45"/>
        </w:rPr>
        <w:t> </w:t>
      </w:r>
      <w:r>
        <w:rPr/>
        <w:t>tema.</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1"/>
        <w:jc w:val="both"/>
      </w:pPr>
      <w:bookmarkStart w:name="_bookmark13" w:id="24"/>
      <w:bookmarkEnd w:id="24"/>
      <w:r>
        <w:rPr/>
      </w:r>
      <w:r>
        <w:rPr/>
        <w:t>En el momento de </w:t>
      </w:r>
      <w:r>
        <w:rPr>
          <w:spacing w:val="-3"/>
        </w:rPr>
        <w:t>evaluar, </w:t>
      </w:r>
      <w:r>
        <w:rPr/>
        <w:t>retomando el concepto de ‘producto’ descrito en </w:t>
      </w:r>
      <w:r>
        <w:rPr>
          <w:spacing w:val="-5"/>
        </w:rPr>
        <w:t>la  </w:t>
      </w:r>
      <w:r>
        <w:rPr/>
        <w:t>primer parte de este trabajo, hemos de considerar lo citado por Alderson   </w:t>
      </w:r>
      <w:r>
        <w:rPr>
          <w:spacing w:val="18"/>
        </w:rPr>
        <w:t> </w:t>
      </w:r>
      <w:r>
        <w:rPr/>
        <w:t>(2000:7),</w:t>
      </w:r>
    </w:p>
    <w:p>
      <w:pPr>
        <w:pStyle w:val="BodyText"/>
        <w:spacing w:line="367" w:lineRule="auto"/>
        <w:ind w:left="115" w:right="103"/>
        <w:jc w:val="both"/>
      </w:pPr>
      <w:r>
        <w:rPr/>
        <w:t>¿cuál producto es correcto y cuál es incorrecto? Generalmente aquel producto que va de acuerdo con el punto de vista del autor es el considerado correcto, sin embargo, hay quienes afirman que cualquier producto es  adecuado.</w:t>
      </w:r>
    </w:p>
    <w:p>
      <w:pPr>
        <w:pStyle w:val="BodyText"/>
        <w:rPr>
          <w:sz w:val="22"/>
        </w:rPr>
      </w:pPr>
    </w:p>
    <w:p>
      <w:pPr>
        <w:pStyle w:val="BodyText"/>
        <w:spacing w:before="6"/>
        <w:rPr>
          <w:sz w:val="29"/>
        </w:rPr>
      </w:pPr>
    </w:p>
    <w:p>
      <w:pPr>
        <w:pStyle w:val="Heading3"/>
        <w:numPr>
          <w:ilvl w:val="1"/>
          <w:numId w:val="8"/>
        </w:numPr>
        <w:tabs>
          <w:tab w:pos="505" w:val="left" w:leader="none"/>
        </w:tabs>
        <w:spacing w:line="240" w:lineRule="auto" w:before="0" w:after="0"/>
        <w:ind w:left="504" w:right="0" w:hanging="388"/>
        <w:jc w:val="both"/>
      </w:pPr>
      <w:r>
        <w:rPr/>
        <w:t>COMPETENCIA</w:t>
      </w:r>
      <w:r>
        <w:rPr>
          <w:spacing w:val="36"/>
        </w:rPr>
        <w:t> </w:t>
      </w:r>
      <w:r>
        <w:rPr/>
        <w:t>LINGÜÍSTICA</w:t>
      </w:r>
    </w:p>
    <w:p>
      <w:pPr>
        <w:pStyle w:val="BodyText"/>
        <w:rPr>
          <w:b/>
          <w:sz w:val="22"/>
        </w:rPr>
      </w:pPr>
    </w:p>
    <w:p>
      <w:pPr>
        <w:pStyle w:val="BodyText"/>
        <w:spacing w:before="1"/>
        <w:rPr>
          <w:b/>
          <w:sz w:val="25"/>
        </w:rPr>
      </w:pPr>
    </w:p>
    <w:p>
      <w:pPr>
        <w:pStyle w:val="BodyText"/>
        <w:spacing w:line="364" w:lineRule="auto"/>
        <w:ind w:left="115" w:right="101"/>
        <w:jc w:val="both"/>
      </w:pPr>
      <w:r>
        <w:rPr/>
        <w:t>Otro aspecto fundamental en este trabajo es </w:t>
      </w:r>
      <w:r>
        <w:rPr>
          <w:spacing w:val="-5"/>
        </w:rPr>
        <w:t>la </w:t>
      </w:r>
      <w:r>
        <w:rPr/>
        <w:t>competencia lingüística. </w:t>
      </w:r>
      <w:r>
        <w:rPr>
          <w:spacing w:val="-3"/>
        </w:rPr>
        <w:t>Yamashita </w:t>
      </w:r>
      <w:r>
        <w:rPr/>
        <w:t>(2002) se refiere a la competencia lingüística en L2: “</w:t>
      </w:r>
      <w:r>
        <w:rPr>
          <w:i/>
        </w:rPr>
        <w:t>It relates to knowledge of </w:t>
      </w:r>
      <w:r>
        <w:rPr>
          <w:i/>
        </w:rPr>
        <w:t>language and ability to use the language in different modes (speaking, listening, reading, writing) </w:t>
      </w:r>
      <w:r>
        <w:rPr>
          <w:i/>
          <w:spacing w:val="-5"/>
        </w:rPr>
        <w:t>in </w:t>
      </w:r>
      <w:r>
        <w:rPr>
          <w:i/>
        </w:rPr>
        <w:t>contextually appropriate ways</w:t>
      </w:r>
      <w:r>
        <w:rPr/>
        <w:t>” </w:t>
      </w:r>
      <w:r>
        <w:rPr>
          <w:spacing w:val="-3"/>
        </w:rPr>
        <w:t>(Yamashita, </w:t>
      </w:r>
      <w:r>
        <w:rPr/>
        <w:t>2002:83). El término competencia (</w:t>
      </w:r>
      <w:r>
        <w:rPr>
          <w:i/>
        </w:rPr>
        <w:t>competence</w:t>
      </w:r>
      <w:r>
        <w:rPr/>
        <w:t>) fue originalmente acuñado por  Noam  Chomsky (1965:3) quien hace la distinción entre ésta y la actuación (</w:t>
      </w:r>
      <w:r>
        <w:rPr>
          <w:i/>
        </w:rPr>
        <w:t>performance</w:t>
      </w:r>
      <w:r>
        <w:rPr/>
        <w:t>). Siendo </w:t>
      </w:r>
      <w:r>
        <w:rPr>
          <w:spacing w:val="-5"/>
        </w:rPr>
        <w:t>la </w:t>
      </w:r>
      <w:r>
        <w:rPr/>
        <w:t>primera el conocimiento inconsciente del lenguaje de un hablante ideal en un contexto en el que interviniesen sólo hablantes homogéneos. La actuación  se refiere </w:t>
      </w:r>
      <w:r>
        <w:rPr>
          <w:spacing w:val="4"/>
        </w:rPr>
        <w:t>al </w:t>
      </w:r>
      <w:r>
        <w:rPr>
          <w:spacing w:val="2"/>
        </w:rPr>
        <w:t>uso </w:t>
      </w:r>
      <w:r>
        <w:rPr/>
        <w:t>real de este lenguaje. Es </w:t>
      </w:r>
      <w:r>
        <w:rPr>
          <w:spacing w:val="-3"/>
        </w:rPr>
        <w:t>decir, </w:t>
      </w:r>
      <w:r>
        <w:rPr/>
        <w:t>la competencia es el conocimiento de un hablante acerca de las reglas de un lenguaje en una situación en la que no hubiese ningún tipo de interferencia, o como el mismo Chomsky (1965) les llama: condiciones gramaticalmente irrelevantes como limitaciones de memoria, distracciones y errores. Siendo ésta una situación inexistente, Chomsky sugiere el término actuación para referirse al uso del lenguaje para entablar comunicación y relacionarse socialmente y donde existen todas aquellas situaciones </w:t>
      </w:r>
      <w:r>
        <w:rPr>
          <w:spacing w:val="-4"/>
        </w:rPr>
        <w:t>ya</w:t>
      </w:r>
      <w:r>
        <w:rPr>
          <w:spacing w:val="55"/>
        </w:rPr>
        <w:t> </w:t>
      </w:r>
      <w:r>
        <w:rPr/>
        <w:t>mencionadas que afectan la producción del  mismo.</w:t>
      </w:r>
    </w:p>
    <w:p>
      <w:pPr>
        <w:pStyle w:val="BodyText"/>
        <w:rPr>
          <w:sz w:val="22"/>
        </w:rPr>
      </w:pPr>
    </w:p>
    <w:p>
      <w:pPr>
        <w:pStyle w:val="BodyText"/>
        <w:spacing w:line="364" w:lineRule="auto" w:before="155"/>
        <w:ind w:left="115" w:right="100"/>
        <w:jc w:val="both"/>
      </w:pPr>
      <w:r>
        <w:rPr/>
        <w:t>Ante la necesidad de integrar el aspecto social al de competencia, Dell Hymes (1972) propone el término </w:t>
      </w:r>
      <w:r>
        <w:rPr>
          <w:i/>
        </w:rPr>
        <w:t>competencia comunicativa</w:t>
      </w:r>
      <w:r>
        <w:rPr/>
        <w:t>, que difiere  de  Chomsky en  </w:t>
      </w:r>
      <w:r>
        <w:rPr>
          <w:spacing w:val="-5"/>
        </w:rPr>
        <w:t>lo </w:t>
      </w:r>
      <w:r>
        <w:rPr/>
        <w:t>limitado del concepto </w:t>
      </w:r>
      <w:r>
        <w:rPr>
          <w:spacing w:val="-3"/>
        </w:rPr>
        <w:t>de </w:t>
      </w:r>
      <w:r>
        <w:rPr/>
        <w:t>este último y afirma que competencia es más que el conocimiento, es también la habilidad al usarse </w:t>
      </w:r>
      <w:r>
        <w:rPr>
          <w:spacing w:val="-3"/>
        </w:rPr>
        <w:t>en </w:t>
      </w:r>
      <w:r>
        <w:rPr/>
        <w:t>contexto. El término de Hymes (1972) incluye además del conocimiento gramatical, el conocimiento del contexto y de cómo y cuándo debe ser usado el</w:t>
      </w:r>
      <w:r>
        <w:rPr>
          <w:spacing w:val="59"/>
        </w:rPr>
        <w:t> </w:t>
      </w:r>
      <w:r>
        <w:rPr/>
        <w:t>lenguaje.</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1"/>
        <w:jc w:val="both"/>
      </w:pPr>
      <w:r>
        <w:rPr/>
        <w:t>Canale y Swain (1980) desarrollaron un marco teórico para la competencia lingüística, haciendo una distinción entre competencia  </w:t>
      </w:r>
      <w:r>
        <w:rPr>
          <w:i/>
        </w:rPr>
        <w:t>gramatical, sociolingüística,  </w:t>
      </w:r>
      <w:r>
        <w:rPr>
          <w:i/>
        </w:rPr>
        <w:t>y estratégica</w:t>
      </w:r>
      <w:r>
        <w:rPr/>
        <w:t>. Más tarde, Canale (1983) depuró este marco agregando a las </w:t>
      </w:r>
      <w:r>
        <w:rPr>
          <w:spacing w:val="-3"/>
        </w:rPr>
        <w:t>tres </w:t>
      </w:r>
      <w:r>
        <w:rPr/>
        <w:t>competencias anteriores la </w:t>
      </w:r>
      <w:r>
        <w:rPr>
          <w:i/>
        </w:rPr>
        <w:t>discursiva</w:t>
      </w:r>
      <w:r>
        <w:rPr/>
        <w:t>. Canale (1984) explica: la competencia gramatical se refiere al dominio de reglas del lenguaje, es </w:t>
      </w:r>
      <w:r>
        <w:rPr>
          <w:spacing w:val="-3"/>
        </w:rPr>
        <w:t>decir, </w:t>
      </w:r>
      <w:r>
        <w:rPr/>
        <w:t>reglas de  formación de palabras y oraciones, significado, pronunciación y ortografía; </w:t>
      </w:r>
      <w:r>
        <w:rPr>
          <w:spacing w:val="-5"/>
        </w:rPr>
        <w:t>la </w:t>
      </w:r>
      <w:r>
        <w:rPr/>
        <w:t>competencia sociolingüística se refiere al dominio del uso apropiado de formas y significados del lenguaje en diferentes contextos  sociolingüísticos;  por  competencia estratégica debemos entender, el dominio de estrategias que ayudan  a compensar en caso de que una competencia o desempeño limitados causen una ruptura en la comunicación; la competencia discursiva </w:t>
      </w:r>
      <w:r>
        <w:rPr>
          <w:spacing w:val="-3"/>
        </w:rPr>
        <w:t>es </w:t>
      </w:r>
      <w:r>
        <w:rPr/>
        <w:t>el dominio de </w:t>
      </w:r>
      <w:r>
        <w:rPr>
          <w:spacing w:val="-5"/>
        </w:rPr>
        <w:t>la </w:t>
      </w:r>
      <w:r>
        <w:rPr/>
        <w:t>interpretación de la combinación de formas, significados, reglas de coherencia, y elementos de cohesión para producir y entender un discurso </w:t>
      </w:r>
      <w:r>
        <w:rPr>
          <w:spacing w:val="-3"/>
        </w:rPr>
        <w:t>de </w:t>
      </w:r>
      <w:r>
        <w:rPr/>
        <w:t>acuerdo al género en el que éste se</w:t>
      </w:r>
      <w:r>
        <w:rPr>
          <w:spacing w:val="36"/>
        </w:rPr>
        <w:t> </w:t>
      </w:r>
      <w:r>
        <w:rPr/>
        <w:t>produce.</w:t>
      </w:r>
    </w:p>
    <w:p>
      <w:pPr>
        <w:pStyle w:val="BodyText"/>
        <w:rPr>
          <w:sz w:val="22"/>
        </w:rPr>
      </w:pPr>
    </w:p>
    <w:p>
      <w:pPr>
        <w:spacing w:line="364" w:lineRule="auto" w:before="150"/>
        <w:ind w:left="115" w:right="102" w:firstLine="0"/>
        <w:jc w:val="both"/>
        <w:rPr>
          <w:sz w:val="23"/>
        </w:rPr>
      </w:pPr>
      <w:r>
        <w:rPr>
          <w:sz w:val="23"/>
        </w:rPr>
        <w:t>Cummins (1980) propone dos tipos de competencia  lingüística:  </w:t>
      </w:r>
      <w:r>
        <w:rPr>
          <w:i/>
          <w:sz w:val="23"/>
        </w:rPr>
        <w:t>habilidades  </w:t>
      </w:r>
      <w:r>
        <w:rPr>
          <w:i/>
          <w:sz w:val="23"/>
        </w:rPr>
        <w:t>básicas de comunicación interpersonal </w:t>
      </w:r>
      <w:r>
        <w:rPr>
          <w:sz w:val="23"/>
        </w:rPr>
        <w:t>(BICS, por sus siglas en inglés: </w:t>
      </w:r>
      <w:r>
        <w:rPr>
          <w:i/>
          <w:sz w:val="23"/>
        </w:rPr>
        <w:t>Basic </w:t>
      </w:r>
      <w:r>
        <w:rPr>
          <w:i/>
          <w:sz w:val="23"/>
        </w:rPr>
        <w:t>Interpersonal Communication Skills</w:t>
      </w:r>
      <w:r>
        <w:rPr>
          <w:sz w:val="23"/>
        </w:rPr>
        <w:t>), que </w:t>
      </w:r>
      <w:r>
        <w:rPr>
          <w:spacing w:val="4"/>
          <w:sz w:val="23"/>
        </w:rPr>
        <w:t>se </w:t>
      </w:r>
      <w:r>
        <w:rPr>
          <w:spacing w:val="-3"/>
          <w:sz w:val="23"/>
        </w:rPr>
        <w:t>da </w:t>
      </w:r>
      <w:r>
        <w:rPr>
          <w:sz w:val="23"/>
        </w:rPr>
        <w:t>en un cierto contexto,  en situaciones interpersonales y poco demandantes cognitivamente, en cuanto al uso del lenguaje; y la </w:t>
      </w:r>
      <w:r>
        <w:rPr>
          <w:i/>
          <w:sz w:val="23"/>
        </w:rPr>
        <w:t>competencia de lenguaje académico/cognitiva  </w:t>
      </w:r>
      <w:r>
        <w:rPr>
          <w:spacing w:val="-6"/>
          <w:sz w:val="23"/>
        </w:rPr>
        <w:t>(CALP,  </w:t>
      </w:r>
      <w:r>
        <w:rPr>
          <w:sz w:val="23"/>
        </w:rPr>
        <w:t>también por sus siglas en inglés: </w:t>
      </w:r>
      <w:r>
        <w:rPr>
          <w:i/>
          <w:sz w:val="23"/>
        </w:rPr>
        <w:t>Cognitive/Academic Language Proficiency</w:t>
      </w:r>
      <w:r>
        <w:rPr>
          <w:sz w:val="23"/>
        </w:rPr>
        <w:t>), que se </w:t>
      </w:r>
      <w:r>
        <w:rPr>
          <w:spacing w:val="-3"/>
          <w:sz w:val="23"/>
        </w:rPr>
        <w:t>da </w:t>
      </w:r>
      <w:r>
        <w:rPr>
          <w:sz w:val="23"/>
        </w:rPr>
        <w:t>en un contexto reducido y que requiere de un uso cognitivo del lenguaje. La primera (BICS), es </w:t>
      </w:r>
      <w:r>
        <w:rPr>
          <w:spacing w:val="-3"/>
          <w:sz w:val="23"/>
        </w:rPr>
        <w:t>aquella </w:t>
      </w:r>
      <w:r>
        <w:rPr>
          <w:sz w:val="23"/>
        </w:rPr>
        <w:t>que se da cara a cara y en la que la comunicación se ayuda de señales dentro de un contexto. La segunda (CALP), </w:t>
      </w:r>
      <w:r>
        <w:rPr>
          <w:spacing w:val="-3"/>
          <w:sz w:val="23"/>
        </w:rPr>
        <w:t>es </w:t>
      </w:r>
      <w:r>
        <w:rPr>
          <w:sz w:val="23"/>
        </w:rPr>
        <w:t>típica de contextos académicos e involucra señales lingüísticas </w:t>
      </w:r>
      <w:r>
        <w:rPr>
          <w:spacing w:val="-3"/>
          <w:sz w:val="23"/>
        </w:rPr>
        <w:t>en </w:t>
      </w:r>
      <w:r>
        <w:rPr>
          <w:sz w:val="23"/>
        </w:rPr>
        <w:t>la obtención del significado (Harley </w:t>
      </w:r>
      <w:r>
        <w:rPr>
          <w:i/>
          <w:sz w:val="23"/>
        </w:rPr>
        <w:t>et al</w:t>
      </w:r>
      <w:r>
        <w:rPr>
          <w:sz w:val="23"/>
        </w:rPr>
        <w:t>,</w:t>
      </w:r>
      <w:r>
        <w:rPr>
          <w:spacing w:val="25"/>
          <w:sz w:val="23"/>
        </w:rPr>
        <w:t> </w:t>
      </w:r>
      <w:r>
        <w:rPr>
          <w:spacing w:val="-3"/>
          <w:sz w:val="23"/>
        </w:rPr>
        <w:t>1990:11).</w:t>
      </w:r>
    </w:p>
    <w:p>
      <w:pPr>
        <w:pStyle w:val="BodyText"/>
        <w:rPr>
          <w:sz w:val="22"/>
        </w:rPr>
      </w:pPr>
    </w:p>
    <w:p>
      <w:pPr>
        <w:pStyle w:val="BodyText"/>
        <w:spacing w:line="364" w:lineRule="auto" w:before="155"/>
        <w:ind w:left="115" w:right="104"/>
        <w:jc w:val="both"/>
      </w:pPr>
      <w:r>
        <w:rPr/>
        <w:t>Bachman (1990) desarrolló una propuesta con la finalidad de incorporar un marco de referencia teórico </w:t>
      </w:r>
      <w:r>
        <w:rPr>
          <w:spacing w:val="2"/>
        </w:rPr>
        <w:t>con </w:t>
      </w:r>
      <w:r>
        <w:rPr/>
        <w:t>respecto a lo que es la competencia  lingüística basándose en estudios previos realizados por Canale y Swain (1980), Bachman y Palmer (1982) y Canale (1983). </w:t>
      </w:r>
      <w:r>
        <w:rPr>
          <w:spacing w:val="3"/>
        </w:rPr>
        <w:t>El </w:t>
      </w:r>
      <w:r>
        <w:rPr/>
        <w:t>autor explica la intención de su </w:t>
      </w:r>
      <w:r>
        <w:rPr>
          <w:spacing w:val="26"/>
        </w:rPr>
        <w:t> </w:t>
      </w:r>
      <w:r>
        <w:rPr/>
        <w:t>propuesta:</w:t>
      </w:r>
    </w:p>
    <w:p>
      <w:pPr>
        <w:spacing w:after="0" w:line="364" w:lineRule="auto"/>
        <w:jc w:val="both"/>
        <w:sectPr>
          <w:pgSz w:w="11910" w:h="16840"/>
          <w:pgMar w:header="1424" w:footer="0" w:top="1840" w:bottom="280" w:left="1540" w:right="1540"/>
        </w:sectPr>
      </w:pPr>
    </w:p>
    <w:p>
      <w:pPr>
        <w:pStyle w:val="BodyText"/>
        <w:rPr>
          <w:sz w:val="20"/>
        </w:rPr>
      </w:pPr>
    </w:p>
    <w:p>
      <w:pPr>
        <w:pStyle w:val="BodyText"/>
        <w:rPr>
          <w:sz w:val="20"/>
        </w:rPr>
      </w:pPr>
    </w:p>
    <w:p>
      <w:pPr>
        <w:pStyle w:val="BodyText"/>
        <w:spacing w:before="4"/>
        <w:rPr>
          <w:sz w:val="18"/>
        </w:rPr>
      </w:pPr>
    </w:p>
    <w:p>
      <w:pPr>
        <w:pStyle w:val="BodyText"/>
        <w:spacing w:line="244" w:lineRule="auto" w:before="1"/>
        <w:ind w:left="663" w:right="103"/>
        <w:jc w:val="both"/>
      </w:pPr>
      <w:r>
        <w:rPr/>
        <w:t>If we are to develop and use language tests appropriately, for the purposes    for which they are intended, we must base them on clear definitions  of both  the abilities we wish to measure and the means by which we observe and measure these abilities (Bachman </w:t>
      </w:r>
      <w:r>
        <w:rPr>
          <w:spacing w:val="1"/>
        </w:rPr>
        <w:t> </w:t>
      </w:r>
      <w:r>
        <w:rPr/>
        <w:t>1990:81).</w:t>
      </w:r>
    </w:p>
    <w:p>
      <w:pPr>
        <w:pStyle w:val="BodyText"/>
        <w:rPr>
          <w:sz w:val="22"/>
        </w:rPr>
      </w:pPr>
    </w:p>
    <w:p>
      <w:pPr>
        <w:pStyle w:val="BodyText"/>
        <w:spacing w:line="364" w:lineRule="auto" w:before="144"/>
        <w:ind w:left="115" w:right="106"/>
        <w:jc w:val="both"/>
      </w:pPr>
      <w:r>
        <w:rPr/>
        <w:t>Bachman sugiere que la competencia lingüística puede dividirse en dos componentes: competencia organizacional y competencia pragmática. La primera incluye los elementos estructurales necesarios para la producción y comprensión  de lenguaje. La segunda se refiere a los signos y sus referentes necesarios para utilizarse en un proceso comunicativo. Lo anterior sigue la línea marcada por los trabajos realizados previamente sobre competencia comunicativa  de  </w:t>
      </w:r>
      <w:r>
        <w:rPr>
          <w:spacing w:val="-3"/>
        </w:rPr>
        <w:t>Hymes </w:t>
      </w:r>
      <w:r>
        <w:rPr/>
        <w:t>(1972), Munby (1978), etc. contemplando </w:t>
      </w:r>
      <w:r>
        <w:rPr>
          <w:spacing w:val="-5"/>
        </w:rPr>
        <w:t>la </w:t>
      </w:r>
      <w:r>
        <w:rPr/>
        <w:t>integración del contexto a </w:t>
      </w:r>
      <w:r>
        <w:rPr>
          <w:spacing w:val="-5"/>
        </w:rPr>
        <w:t>la </w:t>
      </w:r>
      <w:r>
        <w:rPr/>
        <w:t>competencia lingüística. La figura 1 es </w:t>
      </w:r>
      <w:r>
        <w:rPr>
          <w:spacing w:val="-4"/>
        </w:rPr>
        <w:t>una</w:t>
      </w:r>
      <w:r>
        <w:rPr>
          <w:spacing w:val="55"/>
        </w:rPr>
        <w:t> </w:t>
      </w:r>
      <w:r>
        <w:rPr/>
        <w:t>presentación vertical </w:t>
      </w:r>
      <w:r>
        <w:rPr>
          <w:spacing w:val="2"/>
        </w:rPr>
        <w:t>del  </w:t>
      </w:r>
      <w:r>
        <w:rPr/>
        <w:t>modelo  original de Bachman</w:t>
      </w:r>
      <w:r>
        <w:rPr>
          <w:spacing w:val="39"/>
        </w:rPr>
        <w:t> </w:t>
      </w:r>
      <w:r>
        <w:rPr/>
        <w:t>(1990:87):</w:t>
      </w:r>
    </w:p>
    <w:p>
      <w:pPr>
        <w:pStyle w:val="BodyText"/>
        <w:rPr>
          <w:sz w:val="22"/>
        </w:rPr>
      </w:pPr>
    </w:p>
    <w:p>
      <w:pPr>
        <w:pStyle w:val="BodyText"/>
        <w:spacing w:line="364" w:lineRule="auto" w:before="155"/>
        <w:ind w:left="115" w:right="101"/>
        <w:jc w:val="both"/>
      </w:pPr>
      <w:r>
        <w:rPr/>
        <w:t>La competencia organizacional se compone de dos tipos de competencias: </w:t>
      </w:r>
      <w:r>
        <w:rPr>
          <w:spacing w:val="-5"/>
        </w:rPr>
        <w:t>la </w:t>
      </w:r>
      <w:r>
        <w:rPr/>
        <w:t>competencia gramatical y </w:t>
      </w:r>
      <w:r>
        <w:rPr>
          <w:spacing w:val="-5"/>
        </w:rPr>
        <w:t>la </w:t>
      </w:r>
      <w:r>
        <w:rPr/>
        <w:t>competencia textual; a </w:t>
      </w:r>
      <w:r>
        <w:rPr>
          <w:spacing w:val="4"/>
        </w:rPr>
        <w:t>su </w:t>
      </w:r>
      <w:r>
        <w:rPr>
          <w:spacing w:val="2"/>
        </w:rPr>
        <w:t>vez </w:t>
      </w:r>
      <w:r>
        <w:rPr/>
        <w:t>la competencia gramatical se integra del vocabulario, morfología, sintaxis,  grafología  y fonología. La integración y el </w:t>
      </w:r>
      <w:r>
        <w:rPr>
          <w:spacing w:val="2"/>
        </w:rPr>
        <w:t>uso </w:t>
      </w:r>
      <w:r>
        <w:rPr/>
        <w:t>de de estos elementos permite  </w:t>
      </w:r>
      <w:r>
        <w:rPr>
          <w:spacing w:val="-5"/>
        </w:rPr>
        <w:t>la  </w:t>
      </w:r>
      <w:r>
        <w:rPr/>
        <w:t>elaboración  de enunciados que demuestran la competencia gramatical de un individuo, y </w:t>
      </w:r>
      <w:r>
        <w:rPr>
          <w:spacing w:val="-5"/>
        </w:rPr>
        <w:t>le </w:t>
      </w:r>
      <w:r>
        <w:rPr/>
        <w:t>permiten establecer comunicación. Por otra parte,  la competencia  textual agrupa los aspectos de cohesión y organización retórica. Éstos se refieren a las reglas necesarias para agrupar enunciados </w:t>
      </w:r>
      <w:r>
        <w:rPr>
          <w:spacing w:val="-3"/>
        </w:rPr>
        <w:t>en </w:t>
      </w:r>
      <w:r>
        <w:rPr/>
        <w:t>un texto y cubre aspectos semánticos, como la referencia y la forma de presentar información nueva y  conocida  (Bachman, 1990:88), así como, métodos de organización de un texto  o  de  párrafos, léase narración, descripción,  clasificación,  idea  principal,  idea secundaria, conclusión, etc. Bachman no limita esta competencia a </w:t>
      </w:r>
      <w:r>
        <w:rPr>
          <w:spacing w:val="-5"/>
        </w:rPr>
        <w:t>la  </w:t>
      </w:r>
      <w:r>
        <w:rPr/>
        <w:t>escritura  sino que también incluye el discurso conversacional y las habilidades requeridas para el establecimeinto, mantenimiento y terminación de una conversación (Bachman,</w:t>
      </w:r>
      <w:r>
        <w:rPr>
          <w:spacing w:val="29"/>
        </w:rPr>
        <w:t> </w:t>
      </w:r>
      <w:r>
        <w:rPr/>
        <w:t>1990:88).</w:t>
      </w:r>
    </w:p>
    <w:p>
      <w:pPr>
        <w:spacing w:after="0" w:line="364" w:lineRule="auto"/>
        <w:jc w:val="both"/>
        <w:sectPr>
          <w:pgSz w:w="11910" w:h="16840"/>
          <w:pgMar w:header="1424" w:footer="0" w:top="1840" w:bottom="280" w:left="1540" w:right="1540"/>
        </w:sectPr>
      </w:pPr>
    </w:p>
    <w:p>
      <w:pPr>
        <w:pStyle w:val="BodyText"/>
        <w:rPr>
          <w:sz w:val="20"/>
        </w:rPr>
      </w:pPr>
    </w:p>
    <w:p>
      <w:pPr>
        <w:pStyle w:val="BodyText"/>
        <w:rPr>
          <w:sz w:val="20"/>
        </w:rPr>
      </w:pPr>
    </w:p>
    <w:p>
      <w:pPr>
        <w:pStyle w:val="BodyText"/>
        <w:spacing w:before="4"/>
        <w:rPr>
          <w:sz w:val="18"/>
        </w:rPr>
      </w:pPr>
    </w:p>
    <w:p>
      <w:pPr>
        <w:spacing w:before="1"/>
        <w:ind w:left="1020" w:right="1013" w:firstLine="0"/>
        <w:jc w:val="center"/>
        <w:rPr>
          <w:i/>
          <w:sz w:val="23"/>
        </w:rPr>
      </w:pPr>
      <w:r>
        <w:rPr>
          <w:i/>
          <w:sz w:val="23"/>
        </w:rPr>
        <w:t>Figura 1). Componentes de la competencia  lingüística.</w:t>
      </w:r>
    </w:p>
    <w:p>
      <w:pPr>
        <w:spacing w:before="133"/>
        <w:ind w:left="1020" w:right="1013" w:firstLine="0"/>
        <w:jc w:val="center"/>
        <w:rPr>
          <w:i/>
          <w:sz w:val="19"/>
        </w:rPr>
      </w:pPr>
      <w:r>
        <w:rPr>
          <w:i/>
          <w:w w:val="105"/>
          <w:sz w:val="19"/>
        </w:rPr>
        <w:t>Tomado de Bachman (1990:87)</w:t>
      </w:r>
    </w:p>
    <w:p>
      <w:pPr>
        <w:pStyle w:val="BodyText"/>
        <w:rPr>
          <w:i/>
          <w:sz w:val="20"/>
        </w:rPr>
      </w:pPr>
    </w:p>
    <w:p>
      <w:pPr>
        <w:pStyle w:val="BodyText"/>
        <w:spacing w:before="8"/>
        <w:rPr>
          <w:i/>
          <w:sz w:val="22"/>
        </w:rPr>
      </w:pPr>
      <w:r>
        <w:rPr/>
        <w:drawing>
          <wp:anchor distT="0" distB="0" distL="0" distR="0" allowOverlap="1" layoutInCell="1" locked="0" behindDoc="0" simplePos="0" relativeHeight="1048">
            <wp:simplePos x="0" y="0"/>
            <wp:positionH relativeFrom="page">
              <wp:posOffset>1069847</wp:posOffset>
            </wp:positionH>
            <wp:positionV relativeFrom="paragraph">
              <wp:posOffset>191106</wp:posOffset>
            </wp:positionV>
            <wp:extent cx="4583739" cy="6405753"/>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1" cstate="print"/>
                    <a:stretch>
                      <a:fillRect/>
                    </a:stretch>
                  </pic:blipFill>
                  <pic:spPr>
                    <a:xfrm>
                      <a:off x="0" y="0"/>
                      <a:ext cx="4583739" cy="6405753"/>
                    </a:xfrm>
                    <a:prstGeom prst="rect">
                      <a:avLst/>
                    </a:prstGeom>
                  </pic:spPr>
                </pic:pic>
              </a:graphicData>
            </a:graphic>
          </wp:anchor>
        </w:drawing>
      </w:r>
    </w:p>
    <w:p>
      <w:pPr>
        <w:spacing w:after="0"/>
        <w:rPr>
          <w:sz w:val="22"/>
        </w:rPr>
        <w:sectPr>
          <w:pgSz w:w="11910" w:h="16840"/>
          <w:pgMar w:header="1424" w:footer="0" w:top="1840" w:bottom="280" w:left="1540" w:right="1540"/>
        </w:sectPr>
      </w:pPr>
    </w:p>
    <w:p>
      <w:pPr>
        <w:pStyle w:val="BodyText"/>
        <w:rPr>
          <w:i/>
          <w:sz w:val="20"/>
        </w:rPr>
      </w:pPr>
    </w:p>
    <w:p>
      <w:pPr>
        <w:pStyle w:val="BodyText"/>
        <w:rPr>
          <w:i/>
          <w:sz w:val="20"/>
        </w:rPr>
      </w:pPr>
    </w:p>
    <w:p>
      <w:pPr>
        <w:pStyle w:val="BodyText"/>
        <w:spacing w:before="4"/>
        <w:rPr>
          <w:i/>
          <w:sz w:val="18"/>
        </w:rPr>
      </w:pPr>
    </w:p>
    <w:p>
      <w:pPr>
        <w:pStyle w:val="BodyText"/>
        <w:spacing w:line="364" w:lineRule="auto" w:before="1"/>
        <w:ind w:left="115" w:right="103"/>
        <w:jc w:val="both"/>
      </w:pPr>
      <w:r>
        <w:rPr/>
        <w:t>La relación de las competencias mencionadas, como parte </w:t>
      </w:r>
      <w:r>
        <w:rPr>
          <w:spacing w:val="-3"/>
        </w:rPr>
        <w:t>de </w:t>
      </w:r>
      <w:r>
        <w:rPr>
          <w:spacing w:val="-5"/>
        </w:rPr>
        <w:t>la </w:t>
      </w:r>
      <w:r>
        <w:rPr/>
        <w:t>competencia organizacional, </w:t>
      </w:r>
      <w:r>
        <w:rPr>
          <w:spacing w:val="2"/>
        </w:rPr>
        <w:t>con </w:t>
      </w:r>
      <w:r>
        <w:rPr/>
        <w:t>los interlocutores y con </w:t>
      </w:r>
      <w:r>
        <w:rPr>
          <w:spacing w:val="-3"/>
        </w:rPr>
        <w:t>un </w:t>
      </w:r>
      <w:r>
        <w:rPr/>
        <w:t>contexto da pie a lo que Bachman (1990) ha llamado competencia pragmática. La competencia pragmática está integrada por la competencia elocutiva y </w:t>
      </w:r>
      <w:r>
        <w:rPr>
          <w:spacing w:val="-5"/>
        </w:rPr>
        <w:t>la </w:t>
      </w:r>
      <w:r>
        <w:rPr/>
        <w:t>competencia sociolingüística. La competencia elocutiva está íntimamente relacionada con los actos </w:t>
      </w:r>
      <w:r>
        <w:rPr>
          <w:spacing w:val="-3"/>
        </w:rPr>
        <w:t>de </w:t>
      </w:r>
      <w:r>
        <w:rPr/>
        <w:t>habla  (Searle, 1969), es </w:t>
      </w:r>
      <w:r>
        <w:rPr>
          <w:spacing w:val="-3"/>
        </w:rPr>
        <w:t>decir, </w:t>
      </w:r>
      <w:r>
        <w:rPr/>
        <w:t>las intenciones del hablante y </w:t>
      </w:r>
      <w:r>
        <w:rPr>
          <w:spacing w:val="4"/>
        </w:rPr>
        <w:t>se </w:t>
      </w:r>
      <w:r>
        <w:rPr/>
        <w:t>compone de distintas funciones de lenguaje. Éstas pueden </w:t>
      </w:r>
      <w:r>
        <w:rPr>
          <w:spacing w:val="2"/>
        </w:rPr>
        <w:t>ser </w:t>
      </w:r>
      <w:r>
        <w:rPr/>
        <w:t>ideacionales, manipulativas, heurísticas e imaginativas. Al emitir un enunciado, el individuo tiene una intención que </w:t>
      </w:r>
      <w:r>
        <w:rPr>
          <w:spacing w:val="-3"/>
        </w:rPr>
        <w:t>es </w:t>
      </w:r>
      <w:r>
        <w:rPr/>
        <w:t>expresada a través de un acto de habla que tiene una función. De igual manera, </w:t>
      </w:r>
      <w:r>
        <w:rPr>
          <w:spacing w:val="-5"/>
        </w:rPr>
        <w:t>la </w:t>
      </w:r>
      <w:r>
        <w:rPr/>
        <w:t>capacidad de interpretar estos actos de habla es parte de  la  competencia  elocutiva.</w:t>
      </w:r>
    </w:p>
    <w:p>
      <w:pPr>
        <w:pStyle w:val="BodyText"/>
        <w:rPr>
          <w:sz w:val="22"/>
        </w:rPr>
      </w:pPr>
    </w:p>
    <w:p>
      <w:pPr>
        <w:pStyle w:val="BodyText"/>
        <w:spacing w:line="364" w:lineRule="auto" w:before="155"/>
        <w:ind w:left="115" w:right="103"/>
        <w:jc w:val="both"/>
      </w:pPr>
      <w:r>
        <w:rPr/>
        <w:t>Por otro lado, </w:t>
      </w:r>
      <w:r>
        <w:rPr>
          <w:spacing w:val="-5"/>
        </w:rPr>
        <w:t>la </w:t>
      </w:r>
      <w:r>
        <w:rPr/>
        <w:t>competencia sociolingüística </w:t>
      </w:r>
      <w:r>
        <w:rPr>
          <w:spacing w:val="4"/>
        </w:rPr>
        <w:t>se </w:t>
      </w:r>
      <w:r>
        <w:rPr/>
        <w:t>refiere a la  capacidad  de  distinguir entre variaciones de lenguaje causadas por factores sociales y las habilidades que componen esta competencia son: sensibilidad a las diferencias de dialecto o variedad, sensibilidad a las diferencias en registro, sensibilidad a </w:t>
      </w:r>
      <w:r>
        <w:rPr>
          <w:spacing w:val="-5"/>
        </w:rPr>
        <w:t>la </w:t>
      </w:r>
      <w:r>
        <w:rPr/>
        <w:t>naturalidad y la habilidad para interpretar referencias culturales y formas de habla (Bachman, 1990:95). Estas habilidades nos ayudan a identificar, como sugiere Bachman, rasgos del lenguaje exclusivos para un contexto </w:t>
      </w:r>
      <w:r>
        <w:rPr>
          <w:spacing w:val="23"/>
        </w:rPr>
        <w:t> </w:t>
      </w:r>
      <w:r>
        <w:rPr/>
        <w:t>específico.</w:t>
      </w:r>
    </w:p>
    <w:p>
      <w:pPr>
        <w:pStyle w:val="BodyText"/>
        <w:rPr>
          <w:sz w:val="22"/>
        </w:rPr>
      </w:pPr>
    </w:p>
    <w:p>
      <w:pPr>
        <w:pStyle w:val="BodyText"/>
        <w:spacing w:line="364" w:lineRule="auto" w:before="160"/>
        <w:ind w:left="115" w:right="99"/>
        <w:jc w:val="both"/>
      </w:pPr>
      <w:r>
        <w:rPr/>
        <w:t>Puede inferirse del modelo de Bachman sobre </w:t>
      </w:r>
      <w:r>
        <w:rPr>
          <w:spacing w:val="-5"/>
        </w:rPr>
        <w:t>la </w:t>
      </w:r>
      <w:r>
        <w:rPr/>
        <w:t>competencia lingüística que </w:t>
      </w:r>
      <w:r>
        <w:rPr>
          <w:spacing w:val="-5"/>
        </w:rPr>
        <w:t>la </w:t>
      </w:r>
      <w:r>
        <w:rPr/>
        <w:t>competencia organizacional y sus componentes tienen la mayor importancia en el proceso de comprensión de lectura. Por otro lado, la competencia pragmática que es </w:t>
      </w:r>
      <w:r>
        <w:rPr>
          <w:spacing w:val="-5"/>
        </w:rPr>
        <w:t>la </w:t>
      </w:r>
      <w:r>
        <w:rPr/>
        <w:t>que ayuda a establecer </w:t>
      </w:r>
      <w:r>
        <w:rPr>
          <w:spacing w:val="-5"/>
        </w:rPr>
        <w:t>la </w:t>
      </w:r>
      <w:r>
        <w:rPr/>
        <w:t>comunicación </w:t>
      </w:r>
      <w:r>
        <w:rPr>
          <w:spacing w:val="2"/>
        </w:rPr>
        <w:t>con </w:t>
      </w:r>
      <w:r>
        <w:rPr/>
        <w:t>otros individuos, o en otras palabras se encarga del aspecto social de la competencia lingüística, no es tan relevante en el proceso </w:t>
      </w:r>
      <w:r>
        <w:rPr>
          <w:spacing w:val="-3"/>
        </w:rPr>
        <w:t>de </w:t>
      </w:r>
      <w:r>
        <w:rPr/>
        <w:t>comprensión </w:t>
      </w:r>
      <w:r>
        <w:rPr>
          <w:spacing w:val="-3"/>
        </w:rPr>
        <w:t>de </w:t>
      </w:r>
      <w:r>
        <w:rPr/>
        <w:t>lectura </w:t>
      </w:r>
      <w:r>
        <w:rPr>
          <w:spacing w:val="-4"/>
        </w:rPr>
        <w:t>ya </w:t>
      </w:r>
      <w:r>
        <w:rPr/>
        <w:t>que al </w:t>
      </w:r>
      <w:r>
        <w:rPr>
          <w:spacing w:val="2"/>
        </w:rPr>
        <w:t>ser </w:t>
      </w:r>
      <w:r>
        <w:rPr/>
        <w:t>un proceso individual, que se limita a una relación entre el lector y el texto, los aspectos comunicativo y social se ven</w:t>
      </w:r>
      <w:r>
        <w:rPr>
          <w:spacing w:val="58"/>
        </w:rPr>
        <w:t> </w:t>
      </w:r>
      <w:r>
        <w:rPr/>
        <w:t>reducidos.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1"/>
        <w:jc w:val="both"/>
      </w:pPr>
      <w:r>
        <w:rPr/>
        <w:t>La competencia lingüística no puede limitarse al léxico y a </w:t>
      </w:r>
      <w:r>
        <w:rPr>
          <w:spacing w:val="-5"/>
        </w:rPr>
        <w:t>la </w:t>
      </w:r>
      <w:r>
        <w:rPr/>
        <w:t>gramática, como </w:t>
      </w:r>
      <w:r>
        <w:rPr>
          <w:spacing w:val="-5"/>
        </w:rPr>
        <w:t>lo </w:t>
      </w:r>
      <w:r>
        <w:rPr/>
        <w:t>expresan </w:t>
      </w:r>
      <w:r>
        <w:rPr>
          <w:spacing w:val="-2"/>
        </w:rPr>
        <w:t>Harley </w:t>
      </w:r>
      <w:r>
        <w:rPr>
          <w:i/>
        </w:rPr>
        <w:t>et al</w:t>
      </w:r>
      <w:r>
        <w:rPr/>
        <w:t>. (1990:7-10) y Cook (2003:41), o como proponen algunos autores como Parrott (1993:249), ya que hay que tomar en cuenta otros aspectos como las competencias gramatical, discursiva y sociolingüística, como lo han demostrado otros trabajos (Oller 1981; Canale and Swain 1980; Canale 1983, Bachman 1990, Bachman and Palmer 1996). No obstante, representan una parte fundamental en </w:t>
      </w:r>
      <w:r>
        <w:rPr>
          <w:spacing w:val="-5"/>
        </w:rPr>
        <w:t>la  </w:t>
      </w:r>
      <w:r>
        <w:rPr/>
        <w:t>comprensión de lectura, tal como </w:t>
      </w:r>
      <w:r>
        <w:rPr>
          <w:spacing w:val="-5"/>
        </w:rPr>
        <w:t>lo  </w:t>
      </w:r>
      <w:r>
        <w:rPr/>
        <w:t>evidencian estudios como   el realizado por Lee &amp; Schallert (1997) y Nation &amp; Coady (1988). Koda (2004:4) utiliza el término para referirse al conocimiento lingüístico, habilidades de procesamiento y habilidades cognitivas. Genesee &amp; Upshur (1996) conceptualizan  </w:t>
      </w:r>
      <w:r>
        <w:rPr>
          <w:spacing w:val="-5"/>
        </w:rPr>
        <w:t>la </w:t>
      </w:r>
      <w:r>
        <w:rPr/>
        <w:t>competencia lingüística de la siguiente </w:t>
      </w:r>
      <w:r>
        <w:rPr>
          <w:spacing w:val="20"/>
        </w:rPr>
        <w:t> </w:t>
      </w:r>
      <w:r>
        <w:rPr/>
        <w:t>forma:</w:t>
      </w:r>
    </w:p>
    <w:p>
      <w:pPr>
        <w:pStyle w:val="BodyText"/>
        <w:rPr>
          <w:sz w:val="22"/>
        </w:rPr>
      </w:pPr>
    </w:p>
    <w:p>
      <w:pPr>
        <w:spacing w:line="242" w:lineRule="auto" w:before="155"/>
        <w:ind w:left="663" w:right="101" w:firstLine="0"/>
        <w:jc w:val="both"/>
        <w:rPr>
          <w:sz w:val="23"/>
        </w:rPr>
      </w:pPr>
      <w:r>
        <w:rPr>
          <w:i/>
          <w:sz w:val="23"/>
        </w:rPr>
        <w:t>Linguistic competence refers to the underlying linguistic abilities or knowledge </w:t>
      </w:r>
      <w:r>
        <w:rPr>
          <w:i/>
          <w:sz w:val="23"/>
        </w:rPr>
        <w:t>of language that language learners have acquired. It is an abstraction that cannot be observed directly; we </w:t>
      </w:r>
      <w:r>
        <w:rPr>
          <w:i/>
          <w:spacing w:val="2"/>
          <w:sz w:val="23"/>
        </w:rPr>
        <w:t>can </w:t>
      </w:r>
      <w:r>
        <w:rPr>
          <w:i/>
          <w:sz w:val="23"/>
        </w:rPr>
        <w:t>observe only linguistic performance directly. Linguistic competence </w:t>
      </w:r>
      <w:r>
        <w:rPr>
          <w:i/>
          <w:spacing w:val="-5"/>
          <w:sz w:val="23"/>
        </w:rPr>
        <w:t>is </w:t>
      </w:r>
      <w:r>
        <w:rPr>
          <w:i/>
          <w:sz w:val="23"/>
        </w:rPr>
        <w:t>inferred on the basis of linguistic  performance, which is an individual’s ability to use language appropriately or correctly </w:t>
      </w:r>
      <w:r>
        <w:rPr>
          <w:i/>
          <w:spacing w:val="-5"/>
          <w:sz w:val="23"/>
        </w:rPr>
        <w:t>in </w:t>
      </w:r>
      <w:r>
        <w:rPr>
          <w:i/>
          <w:sz w:val="23"/>
        </w:rPr>
        <w:t>a variety of situations. Grammatical competence, pragmatic competence, sociolinguistic competence, strategic competence and communicative competence are all examples of linguistic competence that second language theoreticians and testers have been interested in. </w:t>
      </w:r>
      <w:r>
        <w:rPr>
          <w:sz w:val="23"/>
        </w:rPr>
        <w:t>(Genesee &amp; </w:t>
      </w:r>
      <w:r>
        <w:rPr>
          <w:spacing w:val="-3"/>
          <w:sz w:val="23"/>
        </w:rPr>
        <w:t>Upshur,</w:t>
      </w:r>
      <w:r>
        <w:rPr>
          <w:spacing w:val="39"/>
          <w:sz w:val="23"/>
        </w:rPr>
        <w:t> </w:t>
      </w:r>
      <w:r>
        <w:rPr>
          <w:sz w:val="23"/>
        </w:rPr>
        <w:t>1996:152).</w:t>
      </w:r>
    </w:p>
    <w:p>
      <w:pPr>
        <w:pStyle w:val="BodyText"/>
        <w:rPr>
          <w:sz w:val="22"/>
        </w:rPr>
      </w:pPr>
    </w:p>
    <w:p>
      <w:pPr>
        <w:pStyle w:val="BodyText"/>
        <w:spacing w:line="364" w:lineRule="auto" w:before="156"/>
        <w:ind w:left="115" w:right="102"/>
        <w:jc w:val="both"/>
      </w:pPr>
      <w:r>
        <w:rPr/>
        <w:t>Es </w:t>
      </w:r>
      <w:r>
        <w:rPr>
          <w:spacing w:val="-5"/>
        </w:rPr>
        <w:t>decir, </w:t>
      </w:r>
      <w:r>
        <w:rPr/>
        <w:t>la competencia lingüística en L2 </w:t>
      </w:r>
      <w:r>
        <w:rPr>
          <w:spacing w:val="-3"/>
        </w:rPr>
        <w:t>es </w:t>
      </w:r>
      <w:r>
        <w:rPr/>
        <w:t>el conocimiento del lenguaje que un aprendiente de segunda lengua ha obtenido. Esta competencia no es posible de </w:t>
      </w:r>
      <w:r>
        <w:rPr>
          <w:spacing w:val="-3"/>
        </w:rPr>
        <w:t>percibir, </w:t>
      </w:r>
      <w:r>
        <w:rPr/>
        <w:t>sino es a través del desempeño o actuación lingüística y ésta tiene </w:t>
      </w:r>
      <w:r>
        <w:rPr>
          <w:spacing w:val="-5"/>
        </w:rPr>
        <w:t>la </w:t>
      </w:r>
      <w:r>
        <w:rPr/>
        <w:t>cualidad de ser medible por medio de sus componentes (Bachman 1990). Con  base en esto y en el modelo de Bachman (1990) de competencia lingüística y para los fines de este trabajo se </w:t>
      </w:r>
      <w:r>
        <w:rPr>
          <w:spacing w:val="-3"/>
        </w:rPr>
        <w:t>ha </w:t>
      </w:r>
      <w:r>
        <w:rPr/>
        <w:t>determinado medir </w:t>
      </w:r>
      <w:r>
        <w:rPr>
          <w:spacing w:val="-5"/>
        </w:rPr>
        <w:t>la </w:t>
      </w:r>
      <w:r>
        <w:rPr/>
        <w:t>competencia lingüística considerando los componentes de la competencia gramatical del modelo de Bachman: Vocabulario, morfología, sintaxis y grafología y fonología. Lo anterior no significa que la competencia textual, cohesión y organización retórica, sea un componente de menor importancia, no obstante, queda cubierto al momento de evaluar la competencia lectora y </w:t>
      </w:r>
      <w:r>
        <w:rPr>
          <w:spacing w:val="-3"/>
        </w:rPr>
        <w:t>es </w:t>
      </w:r>
      <w:r>
        <w:rPr/>
        <w:t>donde la competencia textual tiene una participación más relevante o de mayor </w:t>
      </w:r>
      <w:r>
        <w:rPr>
          <w:spacing w:val="2"/>
        </w:rPr>
        <w:t> </w:t>
      </w:r>
      <w:r>
        <w:rPr/>
        <w:t>peso.</w:t>
      </w:r>
    </w:p>
    <w:p>
      <w:pPr>
        <w:spacing w:after="0" w:line="364" w:lineRule="auto"/>
        <w:jc w:val="both"/>
        <w:sectPr>
          <w:pgSz w:w="11910" w:h="16840"/>
          <w:pgMar w:header="1424" w:footer="0" w:top="1840" w:bottom="280" w:left="1540" w:right="1540"/>
        </w:sectPr>
      </w:pPr>
    </w:p>
    <w:p>
      <w:pPr>
        <w:pStyle w:val="BodyText"/>
        <w:rPr>
          <w:sz w:val="20"/>
        </w:rPr>
      </w:pPr>
    </w:p>
    <w:p>
      <w:pPr>
        <w:pStyle w:val="BodyText"/>
        <w:rPr>
          <w:sz w:val="20"/>
        </w:rPr>
      </w:pPr>
    </w:p>
    <w:p>
      <w:pPr>
        <w:pStyle w:val="BodyText"/>
        <w:spacing w:before="4"/>
        <w:rPr>
          <w:sz w:val="18"/>
        </w:rPr>
      </w:pPr>
    </w:p>
    <w:p>
      <w:pPr>
        <w:pStyle w:val="BodyText"/>
        <w:spacing w:line="364" w:lineRule="auto" w:before="1"/>
        <w:ind w:left="115" w:right="104"/>
        <w:jc w:val="both"/>
      </w:pPr>
      <w:bookmarkStart w:name="_bookmark14" w:id="25"/>
      <w:bookmarkEnd w:id="25"/>
      <w:r>
        <w:rPr/>
      </w:r>
      <w:r>
        <w:rPr/>
        <w:t>De los elementos integrantes de la competencia organizacional el vocabulario es fundamental en el proceso de comprensión de lectura, por lo que en seguida se profundizará en ello.</w:t>
      </w:r>
    </w:p>
    <w:p>
      <w:pPr>
        <w:pStyle w:val="BodyText"/>
        <w:rPr>
          <w:sz w:val="22"/>
        </w:rPr>
      </w:pPr>
    </w:p>
    <w:p>
      <w:pPr>
        <w:pStyle w:val="BodyText"/>
        <w:spacing w:before="2"/>
        <w:rPr>
          <w:sz w:val="30"/>
        </w:rPr>
      </w:pPr>
    </w:p>
    <w:p>
      <w:pPr>
        <w:pStyle w:val="Heading3"/>
        <w:numPr>
          <w:ilvl w:val="2"/>
          <w:numId w:val="8"/>
        </w:numPr>
        <w:tabs>
          <w:tab w:pos="697" w:val="left" w:leader="none"/>
        </w:tabs>
        <w:spacing w:line="244" w:lineRule="auto" w:before="0" w:after="0"/>
        <w:ind w:left="116" w:right="903" w:firstLine="0"/>
        <w:jc w:val="left"/>
      </w:pPr>
      <w:r>
        <w:rPr/>
        <w:t>El vocabulario como elemento de la competencia lingüística y su importancia en la comprensión de</w:t>
      </w:r>
      <w:r>
        <w:rPr>
          <w:spacing w:val="60"/>
        </w:rPr>
        <w:t> </w:t>
      </w:r>
      <w:r>
        <w:rPr/>
        <w:t>lectura</w:t>
      </w:r>
    </w:p>
    <w:p>
      <w:pPr>
        <w:pStyle w:val="BodyText"/>
        <w:rPr>
          <w:b/>
          <w:sz w:val="22"/>
        </w:rPr>
      </w:pPr>
    </w:p>
    <w:p>
      <w:pPr>
        <w:pStyle w:val="BodyText"/>
        <w:spacing w:line="364" w:lineRule="auto" w:before="149"/>
        <w:ind w:left="115" w:right="101"/>
        <w:jc w:val="both"/>
      </w:pPr>
      <w:r>
        <w:rPr>
          <w:spacing w:val="-4"/>
        </w:rPr>
        <w:t>Varios </w:t>
      </w:r>
      <w:r>
        <w:rPr/>
        <w:t>autores </w:t>
      </w:r>
      <w:r>
        <w:rPr>
          <w:spacing w:val="4"/>
        </w:rPr>
        <w:t>se </w:t>
      </w:r>
      <w:r>
        <w:rPr/>
        <w:t>han referido al vocabulario  como un elemento importante tanto  en el proceso de comprensión de lectura (Nation, 1990; Coady &amp; Huckin, 1997; Schmitt, 2000; Alderson, 2000; Read, 2000; Nation, 2001; Koda, 2005), como en </w:t>
      </w:r>
      <w:r>
        <w:rPr>
          <w:spacing w:val="-5"/>
        </w:rPr>
        <w:t>la </w:t>
      </w:r>
      <w:r>
        <w:rPr/>
        <w:t>competencia lingüística (Bachman, 1990; Bachman &amp; </w:t>
      </w:r>
      <w:r>
        <w:rPr>
          <w:spacing w:val="-4"/>
        </w:rPr>
        <w:t>Palmer, </w:t>
      </w:r>
      <w:r>
        <w:rPr/>
        <w:t>1996; Koda, 2005). Como se mencionó en el apartado </w:t>
      </w:r>
      <w:r>
        <w:rPr>
          <w:spacing w:val="-3"/>
        </w:rPr>
        <w:t>anterior, </w:t>
      </w:r>
      <w:r>
        <w:rPr/>
        <w:t>Bachman (1990:87) ubica al conocimiento de vocabulario junto </w:t>
      </w:r>
      <w:r>
        <w:rPr>
          <w:spacing w:val="2"/>
        </w:rPr>
        <w:t>con </w:t>
      </w:r>
      <w:r>
        <w:rPr/>
        <w:t>los conocimientos morfológicos, sintácticos, fonológicos y grafológicos, como componente de la competencia gramatical dentro de la competencia organizacional, que a su vez es junto con la competencia pragmática los dos grandes integrantes de la competencia </w:t>
      </w:r>
      <w:r>
        <w:rPr>
          <w:spacing w:val="37"/>
        </w:rPr>
        <w:t> </w:t>
      </w:r>
      <w:r>
        <w:rPr/>
        <w:t>lingüística.</w:t>
      </w:r>
    </w:p>
    <w:p>
      <w:pPr>
        <w:pStyle w:val="BodyText"/>
        <w:rPr>
          <w:sz w:val="22"/>
        </w:rPr>
      </w:pPr>
    </w:p>
    <w:p>
      <w:pPr>
        <w:pStyle w:val="BodyText"/>
        <w:spacing w:line="364" w:lineRule="auto" w:before="155"/>
        <w:ind w:left="115" w:right="103"/>
        <w:jc w:val="both"/>
      </w:pPr>
      <w:r>
        <w:rPr/>
        <w:t>En años recientes se ha dado mayor importancia al vocabulario como un componente de gran peso en la competencia lingüística y en las habilidades lingüísticas como lectura, escritura, producción oral y comprensión auditiva (Read, 2000; Alderson 2006). Anteriormente se le consideraba como una herramienta que facilitaba la enseñanza de las otras habilidades (Koda, 2000). No obstante, hoy en día y gracias a los trabajos de autores como Read (2000), o Alderson (2006), se le ha dado más importancia al desarrollo del conocimiento del vocabulario de una lengua extranjera.</w:t>
      </w:r>
    </w:p>
    <w:p>
      <w:pPr>
        <w:pStyle w:val="BodyText"/>
        <w:rPr>
          <w:sz w:val="22"/>
        </w:rPr>
      </w:pPr>
    </w:p>
    <w:p>
      <w:pPr>
        <w:pStyle w:val="BodyText"/>
        <w:spacing w:line="364" w:lineRule="auto" w:before="155"/>
        <w:ind w:left="115" w:right="108"/>
        <w:jc w:val="both"/>
      </w:pPr>
      <w:r>
        <w:rPr/>
        <w:t>La importancia del vocabulario en la comprensión de lectura y </w:t>
      </w:r>
      <w:r>
        <w:rPr>
          <w:spacing w:val="4"/>
        </w:rPr>
        <w:t>su </w:t>
      </w:r>
      <w:r>
        <w:rPr/>
        <w:t>estrecha relación con ésta </w:t>
      </w:r>
      <w:r>
        <w:rPr>
          <w:spacing w:val="-3"/>
        </w:rPr>
        <w:t>es </w:t>
      </w:r>
      <w:r>
        <w:rPr/>
        <w:t>destacada por Koda</w:t>
      </w:r>
      <w:r>
        <w:rPr>
          <w:spacing w:val="60"/>
        </w:rPr>
        <w:t> </w:t>
      </w:r>
      <w:r>
        <w:rPr/>
        <w:t>(2005):</w:t>
      </w:r>
    </w:p>
    <w:p>
      <w:pPr>
        <w:spacing w:after="0" w:line="364" w:lineRule="auto"/>
        <w:jc w:val="both"/>
        <w:sectPr>
          <w:pgSz w:w="11910" w:h="16840"/>
          <w:pgMar w:header="1424" w:footer="0" w:top="1840" w:bottom="280" w:left="1540" w:right="1540"/>
        </w:sectPr>
      </w:pPr>
    </w:p>
    <w:p>
      <w:pPr>
        <w:pStyle w:val="BodyText"/>
        <w:spacing w:before="11"/>
        <w:rPr>
          <w:sz w:val="16"/>
        </w:rPr>
      </w:pPr>
    </w:p>
    <w:p>
      <w:pPr>
        <w:spacing w:line="242" w:lineRule="auto" w:before="73"/>
        <w:ind w:left="663" w:right="103" w:firstLine="0"/>
        <w:jc w:val="both"/>
        <w:rPr>
          <w:sz w:val="23"/>
        </w:rPr>
      </w:pPr>
      <w:bookmarkStart w:name="_bookmark15" w:id="26"/>
      <w:bookmarkEnd w:id="26"/>
      <w:r>
        <w:rPr/>
      </w:r>
      <w:r>
        <w:rPr>
          <w:i/>
          <w:sz w:val="23"/>
        </w:rPr>
        <w:t>The common assumption is that vocabulary knowledge engenders reading </w:t>
      </w:r>
      <w:r>
        <w:rPr>
          <w:i/>
          <w:sz w:val="23"/>
        </w:rPr>
        <w:t>comprehension, but the close scrutiny described in this chapter makes it plain that the relationship is considerably more complex. Both necessitate similar competencies, and they are functionally interdependent – that is, although knowledge of word meanings is essential to comprehension, vocabulary knowledge expands, in the main, through reading. </w:t>
      </w:r>
      <w:r>
        <w:rPr>
          <w:sz w:val="23"/>
        </w:rPr>
        <w:t>(Koda,  2005:68).</w:t>
      </w:r>
    </w:p>
    <w:p>
      <w:pPr>
        <w:pStyle w:val="BodyText"/>
        <w:rPr>
          <w:sz w:val="22"/>
        </w:rPr>
      </w:pPr>
    </w:p>
    <w:p>
      <w:pPr>
        <w:pStyle w:val="BodyText"/>
        <w:spacing w:line="364" w:lineRule="auto" w:before="152"/>
        <w:ind w:left="115" w:right="104"/>
        <w:jc w:val="both"/>
      </w:pPr>
      <w:r>
        <w:rPr/>
        <w:t>Más adelante el autor (Koda, 2005:69) explica que la relación interdependiente  entre el vocabulario y </w:t>
      </w:r>
      <w:r>
        <w:rPr>
          <w:spacing w:val="-5"/>
        </w:rPr>
        <w:t>la </w:t>
      </w:r>
      <w:r>
        <w:rPr/>
        <w:t>comprensión de lectura cambia en el transcurso de su evolución. En un principio el vocabulario ayuda a la comprensión pero en etapas más adelante cuando el vocabulario es de </w:t>
      </w:r>
      <w:r>
        <w:rPr>
          <w:spacing w:val="-3"/>
        </w:rPr>
        <w:t>mayor </w:t>
      </w:r>
      <w:r>
        <w:rPr/>
        <w:t>tamaño se requiere de la lectura   y </w:t>
      </w:r>
      <w:r>
        <w:rPr>
          <w:spacing w:val="-5"/>
        </w:rPr>
        <w:t>la </w:t>
      </w:r>
      <w:r>
        <w:rPr/>
        <w:t>información que ésta proporciona para aprender nuevas </w:t>
      </w:r>
      <w:r>
        <w:rPr>
          <w:spacing w:val="45"/>
        </w:rPr>
        <w:t> </w:t>
      </w:r>
      <w:r>
        <w:rPr/>
        <w:t>palabras.</w:t>
      </w:r>
    </w:p>
    <w:p>
      <w:pPr>
        <w:pStyle w:val="BodyText"/>
        <w:rPr>
          <w:sz w:val="22"/>
        </w:rPr>
      </w:pPr>
    </w:p>
    <w:p>
      <w:pPr>
        <w:pStyle w:val="BodyText"/>
        <w:spacing w:line="364" w:lineRule="auto" w:before="155"/>
        <w:ind w:left="115" w:right="102"/>
        <w:jc w:val="both"/>
      </w:pPr>
      <w:r>
        <w:rPr>
          <w:spacing w:val="-4"/>
        </w:rPr>
        <w:t>Varios </w:t>
      </w:r>
      <w:r>
        <w:rPr/>
        <w:t>estudios han demostrado la importancia del vocabulario, o del tamaño y conocimiento de éste, tanto en los resultados en comprensión de lectura como en  </w:t>
      </w:r>
      <w:r>
        <w:rPr>
          <w:spacing w:val="-5"/>
        </w:rPr>
        <w:t>la </w:t>
      </w:r>
      <w:r>
        <w:rPr/>
        <w:t>medición de la competencia lingüística (Meara &amp; Jones, 1988; Hazenberg &amp; Hulstijn, 1996; Qian, 1998; Hu &amp; Nation, 2000). Por ejemplo, Hazenberg &amp; Hulstijn (1996) demostraron que para que un estudiante comprenda el 95% de un texto escrito en segunda lengua debe conocer al menos 10,000 palabras en  este  idioma, </w:t>
      </w:r>
      <w:r>
        <w:rPr>
          <w:spacing w:val="-5"/>
        </w:rPr>
        <w:t>lo </w:t>
      </w:r>
      <w:r>
        <w:rPr/>
        <w:t>que demuestra la relevancia del vocabulario en la comprensión  de  lectura y el peso de este componente en la competencia lingüística. Qian (1998) encontró que el tamaño y profundidad del conocimiento del vocabulario tienen una alta correlación y que ambos resultados correlacionan significativamente </w:t>
      </w:r>
      <w:r>
        <w:rPr>
          <w:spacing w:val="2"/>
        </w:rPr>
        <w:t>con </w:t>
      </w:r>
      <w:r>
        <w:rPr>
          <w:spacing w:val="-5"/>
        </w:rPr>
        <w:t>la </w:t>
      </w:r>
      <w:r>
        <w:rPr/>
        <w:t>comprensión de lectura (Koda, 2005:57). Hu &amp; Nation (2000) determinaron  que  para una adecuada comprensión de lectura es necesario conocer el 98% de las palabras en el texto, un menor porcentaje resulta en una comprensión </w:t>
      </w:r>
      <w:r>
        <w:rPr>
          <w:spacing w:val="47"/>
        </w:rPr>
        <w:t> </w:t>
      </w:r>
      <w:r>
        <w:rPr/>
        <w:t>insuficiente.</w:t>
      </w:r>
    </w:p>
    <w:p>
      <w:pPr>
        <w:pStyle w:val="BodyText"/>
        <w:rPr>
          <w:sz w:val="22"/>
        </w:rPr>
      </w:pPr>
    </w:p>
    <w:p>
      <w:pPr>
        <w:pStyle w:val="BodyText"/>
        <w:spacing w:before="2"/>
        <w:rPr>
          <w:sz w:val="30"/>
        </w:rPr>
      </w:pPr>
    </w:p>
    <w:p>
      <w:pPr>
        <w:pStyle w:val="Heading3"/>
        <w:numPr>
          <w:ilvl w:val="1"/>
          <w:numId w:val="8"/>
        </w:numPr>
        <w:tabs>
          <w:tab w:pos="505" w:val="left" w:leader="none"/>
        </w:tabs>
        <w:spacing w:line="240" w:lineRule="auto" w:before="0" w:after="0"/>
        <w:ind w:left="504" w:right="0" w:hanging="388"/>
        <w:jc w:val="both"/>
      </w:pPr>
      <w:r>
        <w:rPr/>
        <w:t>EVALUACIÓN DE LA COMPETENCIA</w:t>
      </w:r>
      <w:r>
        <w:rPr>
          <w:spacing w:val="42"/>
        </w:rPr>
        <w:t> </w:t>
      </w:r>
      <w:r>
        <w:rPr/>
        <w:t>LINGÜÍSTICA</w:t>
      </w:r>
    </w:p>
    <w:p>
      <w:pPr>
        <w:pStyle w:val="BodyText"/>
        <w:rPr>
          <w:b/>
          <w:sz w:val="22"/>
        </w:rPr>
      </w:pPr>
    </w:p>
    <w:p>
      <w:pPr>
        <w:pStyle w:val="BodyText"/>
        <w:spacing w:before="6"/>
        <w:rPr>
          <w:b/>
          <w:sz w:val="25"/>
        </w:rPr>
      </w:pPr>
    </w:p>
    <w:p>
      <w:pPr>
        <w:pStyle w:val="BodyText"/>
        <w:spacing w:line="364" w:lineRule="auto"/>
        <w:ind w:left="115" w:right="103"/>
        <w:jc w:val="both"/>
      </w:pPr>
      <w:r>
        <w:rPr/>
        <w:t>En varios trabajos de investigación se ha evaluado la competencia lingüística con diversos fines. Lee &amp; Schallert (1997) midieron el conocimiento de vocabulario mediante un test de opción múltiple cuyos reactivos incluían el conocimiento de sinónimos,  antónimos,  definiciones  y  analogías;  también  midieron  la    habilidad</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r>
        <w:rPr/>
        <w:t>gramatical, principalmente el aspecto sintáctico, a través de un test diseñado para que el estudiante determinara si un elemento era  usado  correcta  o incorrectamente en una oración. Carrell (1991) determinó el grado de competencia lingüística de acuerdo al nivel de estudios de lengua  que  cursaban  los participantes en su investigación. </w:t>
      </w:r>
      <w:r>
        <w:rPr>
          <w:spacing w:val="-3"/>
        </w:rPr>
        <w:t>Yamashita </w:t>
      </w:r>
      <w:r>
        <w:rPr/>
        <w:t>(2002) también mide </w:t>
      </w:r>
      <w:r>
        <w:rPr>
          <w:spacing w:val="-5"/>
        </w:rPr>
        <w:t>la </w:t>
      </w:r>
      <w:r>
        <w:rPr/>
        <w:t>competencia lingüística basándose en los mismos componentes que Lee &amp; Schallert, conocimiento de vocabulario y de estructura gramatical. Para medir la gramática </w:t>
      </w:r>
      <w:r>
        <w:rPr>
          <w:spacing w:val="-3"/>
        </w:rPr>
        <w:t>Yamashita </w:t>
      </w:r>
      <w:r>
        <w:rPr/>
        <w:t>(2002:86) utiliza la sección dos del </w:t>
      </w:r>
      <w:r>
        <w:rPr>
          <w:i/>
          <w:spacing w:val="-4"/>
        </w:rPr>
        <w:t>Test </w:t>
      </w:r>
      <w:r>
        <w:rPr>
          <w:i/>
        </w:rPr>
        <w:t>of English </w:t>
      </w:r>
      <w:r>
        <w:rPr>
          <w:i/>
          <w:spacing w:val="-3"/>
        </w:rPr>
        <w:t>as </w:t>
      </w:r>
      <w:r>
        <w:rPr>
          <w:i/>
        </w:rPr>
        <w:t>a Foreign  </w:t>
      </w:r>
      <w:r>
        <w:rPr>
          <w:i/>
        </w:rPr>
        <w:t>Language </w:t>
      </w:r>
      <w:r>
        <w:rPr/>
        <w:t>(TOEFL) que </w:t>
      </w:r>
      <w:r>
        <w:rPr>
          <w:spacing w:val="4"/>
        </w:rPr>
        <w:t>se </w:t>
      </w:r>
      <w:r>
        <w:rPr/>
        <w:t>compone de dos tareas: Complementación  de oraciones, donde se pide que el individuo  seleccione una estructura adecuada   para completar una oración dada; y la otra parte es de reconocimiento de errores, donde el individuo debe seleccionar una palabra o frase que esté incluida en una oración y que no sea</w:t>
      </w:r>
      <w:r>
        <w:rPr>
          <w:spacing w:val="44"/>
        </w:rPr>
        <w:t> </w:t>
      </w:r>
      <w:r>
        <w:rPr/>
        <w:t>correcta.</w:t>
      </w:r>
    </w:p>
    <w:p>
      <w:pPr>
        <w:pStyle w:val="BodyText"/>
        <w:rPr>
          <w:sz w:val="22"/>
        </w:rPr>
      </w:pPr>
    </w:p>
    <w:p>
      <w:pPr>
        <w:pStyle w:val="BodyText"/>
        <w:spacing w:line="364" w:lineRule="auto" w:before="155"/>
        <w:ind w:left="115" w:right="101"/>
        <w:jc w:val="both"/>
      </w:pPr>
      <w:r>
        <w:rPr/>
        <w:t>En cuanto a medir el vocabulario se refiere, Koda (2005:55-56) hace una clasificación de mediciones de vocabulario en L2  en  tres categorías: evaluación  del vocabulario como un aspecto integral de la competencia lingüística en general; estimación del tamaño de vocabulario o el número de palabras conocidas; y </w:t>
      </w:r>
      <w:r>
        <w:rPr>
          <w:spacing w:val="-5"/>
        </w:rPr>
        <w:t>la </w:t>
      </w:r>
      <w:r>
        <w:rPr/>
        <w:t>medición de la profundidad de vocabulario, en otras palabras que tan bien se conoce cada palabra. La primera categoría, que mide  el conocimiento  lingüístico, es con frecuencia medida </w:t>
      </w:r>
      <w:r>
        <w:rPr>
          <w:spacing w:val="2"/>
        </w:rPr>
        <w:t>con </w:t>
      </w:r>
      <w:r>
        <w:rPr/>
        <w:t>reactivos </w:t>
      </w:r>
      <w:r>
        <w:rPr>
          <w:spacing w:val="-3"/>
        </w:rPr>
        <w:t>de </w:t>
      </w:r>
      <w:r>
        <w:rPr/>
        <w:t>opción múltiple que incluyen sustitución de sinónimos, relación </w:t>
      </w:r>
      <w:r>
        <w:rPr>
          <w:spacing w:val="2"/>
        </w:rPr>
        <w:t>con </w:t>
      </w:r>
      <w:r>
        <w:rPr/>
        <w:t>equivalentes en L1 y completar definiciones (Koda, 2005:56).</w:t>
      </w:r>
    </w:p>
    <w:p>
      <w:pPr>
        <w:pStyle w:val="BodyText"/>
        <w:rPr>
          <w:sz w:val="22"/>
        </w:rPr>
      </w:pPr>
    </w:p>
    <w:p>
      <w:pPr>
        <w:pStyle w:val="BodyText"/>
        <w:spacing w:line="364" w:lineRule="auto" w:before="160"/>
        <w:ind w:left="115" w:right="99"/>
        <w:jc w:val="both"/>
      </w:pPr>
      <w:r>
        <w:rPr/>
        <w:t>La siguiente categoría mide el tamaño de vocabulario. De acuerdo con Koda (2005:56), son dos los instrumentos más usados para hacer esta medición: El </w:t>
      </w:r>
      <w:r>
        <w:rPr>
          <w:i/>
        </w:rPr>
        <w:t>Eurocentres’ Vocabulary </w:t>
      </w:r>
      <w:r>
        <w:rPr>
          <w:i/>
          <w:spacing w:val="-3"/>
        </w:rPr>
        <w:t>Size Test</w:t>
      </w:r>
      <w:r>
        <w:rPr>
          <w:spacing w:val="-3"/>
        </w:rPr>
        <w:t>, </w:t>
      </w:r>
      <w:r>
        <w:rPr/>
        <w:t>desarrollado por </w:t>
      </w:r>
      <w:r>
        <w:rPr>
          <w:i/>
        </w:rPr>
        <w:t>Meara and  Associates</w:t>
      </w:r>
      <w:r>
        <w:rPr/>
        <w:t>, presenta un listado de palabras las cuales tienen que ser identificadas por el estudiante, éste indica </w:t>
      </w:r>
      <w:r>
        <w:rPr>
          <w:spacing w:val="4"/>
        </w:rPr>
        <w:t>si </w:t>
      </w:r>
      <w:r>
        <w:rPr/>
        <w:t>conoce o no </w:t>
      </w:r>
      <w:r>
        <w:rPr>
          <w:spacing w:val="-5"/>
        </w:rPr>
        <w:t>la </w:t>
      </w:r>
      <w:r>
        <w:rPr/>
        <w:t>palabra. Para incrementar el grado de dificultad y la validez del instrumento, palabras no-existentes en inglés se agregan  a  la  lista,  por  lo  que  si  el  estudiante  selecciona  alguna  de  estas  palabras </w:t>
      </w:r>
      <w:r>
        <w:rPr>
          <w:spacing w:val="2"/>
        </w:rPr>
        <w:t> </w:t>
      </w:r>
      <w:r>
        <w:rPr/>
        <w:t>su</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r>
        <w:rPr/>
        <w:t>puntaje disminuye (Read, 2000:126-131). Este instrumento también es utilizado como examen </w:t>
      </w:r>
      <w:r>
        <w:rPr>
          <w:spacing w:val="-3"/>
        </w:rPr>
        <w:t>de </w:t>
      </w:r>
      <w:r>
        <w:rPr/>
        <w:t>ubicación para estudiantes de L2 debido a que se considera que el vocabulario es un elemento  fundamental en el nivel de competencia lingüística  </w:t>
      </w:r>
      <w:r>
        <w:rPr>
          <w:spacing w:val="-4"/>
        </w:rPr>
        <w:t>ya</w:t>
      </w:r>
      <w:r>
        <w:rPr>
          <w:spacing w:val="55"/>
        </w:rPr>
        <w:t> </w:t>
      </w:r>
      <w:r>
        <w:rPr/>
        <w:t>que, de acuerdo con Meara &amp; Jones (1988:80) el número de  palabras  conocidas </w:t>
      </w:r>
      <w:r>
        <w:rPr>
          <w:spacing w:val="-3"/>
        </w:rPr>
        <w:t>es </w:t>
      </w:r>
      <w:r>
        <w:rPr/>
        <w:t>directamente proporcional al nivel de competencia o al rango de indicadores</w:t>
      </w:r>
      <w:r>
        <w:rPr>
          <w:spacing w:val="37"/>
        </w:rPr>
        <w:t> </w:t>
      </w:r>
      <w:r>
        <w:rPr/>
        <w:t>lingüísticos.</w:t>
      </w:r>
    </w:p>
    <w:p>
      <w:pPr>
        <w:pStyle w:val="BodyText"/>
        <w:rPr>
          <w:sz w:val="22"/>
        </w:rPr>
      </w:pPr>
    </w:p>
    <w:p>
      <w:pPr>
        <w:pStyle w:val="BodyText"/>
        <w:spacing w:line="364" w:lineRule="auto" w:before="160"/>
        <w:ind w:left="115" w:right="98"/>
        <w:jc w:val="both"/>
      </w:pPr>
      <w:r>
        <w:rPr/>
        <w:t>Como tercer categoría Koda (2005:56-57) menciona la  profundidad  del  vocabulario. Lo que </w:t>
      </w:r>
      <w:r>
        <w:rPr>
          <w:spacing w:val="4"/>
        </w:rPr>
        <w:t>se </w:t>
      </w:r>
      <w:r>
        <w:rPr/>
        <w:t>mide aquí es  qué tan bien se conoce una palabra, dando  un enfoque a la calidad sobre la cantidad. De hecho, autores como Read (2000) utilizan </w:t>
      </w:r>
      <w:r>
        <w:rPr>
          <w:spacing w:val="2"/>
        </w:rPr>
        <w:t>este </w:t>
      </w:r>
      <w:r>
        <w:rPr/>
        <w:t>término, </w:t>
      </w:r>
      <w:r>
        <w:rPr>
          <w:i/>
        </w:rPr>
        <w:t>calidad</w:t>
      </w:r>
      <w:r>
        <w:rPr/>
        <w:t>, por encima de </w:t>
      </w:r>
      <w:r>
        <w:rPr>
          <w:i/>
        </w:rPr>
        <w:t>profundidad</w:t>
      </w:r>
      <w:r>
        <w:rPr/>
        <w:t>. Koda  (2005:57)  menciona que el conocimiento de las propiedades morfosintácticas de una palabra es una característica del conocimiento de </w:t>
      </w:r>
      <w:r>
        <w:rPr>
          <w:spacing w:val="-5"/>
        </w:rPr>
        <w:t>la </w:t>
      </w:r>
      <w:r>
        <w:rPr/>
        <w:t>profundidad de una </w:t>
      </w:r>
      <w:r>
        <w:rPr>
          <w:spacing w:val="46"/>
        </w:rPr>
        <w:t> </w:t>
      </w:r>
      <w:r>
        <w:rPr/>
        <w:t>palabra.</w:t>
      </w:r>
    </w:p>
    <w:p>
      <w:pPr>
        <w:pStyle w:val="BodyText"/>
        <w:rPr>
          <w:sz w:val="22"/>
        </w:rPr>
      </w:pPr>
    </w:p>
    <w:p>
      <w:pPr>
        <w:pStyle w:val="BodyText"/>
        <w:spacing w:line="364" w:lineRule="auto" w:before="155"/>
        <w:ind w:left="115" w:right="99"/>
        <w:jc w:val="both"/>
      </w:pPr>
      <w:r>
        <w:rPr/>
        <w:t>Dos instrumentos destacan en cuanto a evaluación de la profundidad del  vocabulario </w:t>
      </w:r>
      <w:r>
        <w:rPr>
          <w:spacing w:val="4"/>
        </w:rPr>
        <w:t>se </w:t>
      </w:r>
      <w:r>
        <w:rPr/>
        <w:t>refiere; uno diseñado por Read (2000:180) el </w:t>
      </w:r>
      <w:r>
        <w:rPr>
          <w:i/>
        </w:rPr>
        <w:t>Word-Associates test</w:t>
      </w:r>
      <w:r>
        <w:rPr/>
        <w:t>, en el que el sujeto tiene, precisamente, que hacer relaciones entre palabras. Se </w:t>
      </w:r>
      <w:r>
        <w:rPr>
          <w:spacing w:val="-3"/>
        </w:rPr>
        <w:t>da </w:t>
      </w:r>
      <w:r>
        <w:rPr/>
        <w:t>una palabra principal y una lista de ocho palabras más para ésta de las cuales el sujeto tiene que elegir cuatro que tengan alguna relación. El resto de las palabras no tiene relación alguna. De acuerdo a Read (2000:181) la relación entre las palabras puede ser de tres formas: Paradigmática, las palabras son sinónimos o similares; sintagmática, las  palabras  ocurren con frecuencia en la misma frase,  son </w:t>
      </w:r>
      <w:r>
        <w:rPr>
          <w:i/>
        </w:rPr>
        <w:t>colocaciones</w:t>
      </w:r>
      <w:r>
        <w:rPr/>
        <w:t>; y analítica, la palabra representa un aspecto de </w:t>
      </w:r>
      <w:r>
        <w:rPr>
          <w:spacing w:val="-5"/>
        </w:rPr>
        <w:t>la </w:t>
      </w:r>
      <w:r>
        <w:rPr/>
        <w:t>palabra principal o es un componente de </w:t>
      </w:r>
      <w:r>
        <w:rPr>
          <w:spacing w:val="-3"/>
        </w:rPr>
        <w:t>ella </w:t>
      </w:r>
      <w:r>
        <w:rPr/>
        <w:t>por lo que </w:t>
      </w:r>
      <w:r>
        <w:rPr>
          <w:spacing w:val="-3"/>
        </w:rPr>
        <w:t>es </w:t>
      </w:r>
      <w:r>
        <w:rPr/>
        <w:t>probable que sea parte de su definición en un</w:t>
      </w:r>
      <w:r>
        <w:rPr>
          <w:spacing w:val="31"/>
        </w:rPr>
        <w:t> </w:t>
      </w:r>
      <w:r>
        <w:rPr/>
        <w:t>diccionario.</w:t>
      </w:r>
    </w:p>
    <w:p>
      <w:pPr>
        <w:pStyle w:val="BodyText"/>
        <w:rPr>
          <w:sz w:val="22"/>
        </w:rPr>
      </w:pPr>
    </w:p>
    <w:p>
      <w:pPr>
        <w:pStyle w:val="BodyText"/>
        <w:spacing w:line="364" w:lineRule="auto" w:before="150"/>
        <w:ind w:left="115" w:right="102"/>
        <w:jc w:val="both"/>
      </w:pPr>
      <w:r>
        <w:rPr/>
        <w:t>El segundo instrumento </w:t>
      </w:r>
      <w:r>
        <w:rPr>
          <w:spacing w:val="-3"/>
        </w:rPr>
        <w:t>es </w:t>
      </w:r>
      <w:r>
        <w:rPr/>
        <w:t>la Escala de Conocimiento de Vocabulario (</w:t>
      </w:r>
      <w:r>
        <w:rPr>
          <w:i/>
        </w:rPr>
        <w:t>Vocabulary </w:t>
      </w:r>
      <w:r>
        <w:rPr>
          <w:i/>
        </w:rPr>
        <w:t>Knowledge Scale ó </w:t>
      </w:r>
      <w:r>
        <w:rPr/>
        <w:t>VKS), diseñada por Paribakht &amp; Wesche  (1997), donde la   tarea a realizar por </w:t>
      </w:r>
      <w:r>
        <w:rPr>
          <w:spacing w:val="4"/>
        </w:rPr>
        <w:t>el </w:t>
      </w:r>
      <w:r>
        <w:rPr/>
        <w:t>sujeto es indicar el nivel de conocimiento de una palabra, dada en una lista, a través de una escala de cinco puntos que va desde el desconocimiento   de  una  palabra  hasta  la  posibilidad  de   usarla  semántica   </w:t>
      </w:r>
      <w:r>
        <w:rPr>
          <w:spacing w:val="43"/>
        </w:rPr>
        <w:t> </w:t>
      </w:r>
      <w:r>
        <w:rPr/>
        <w:t>y</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2"/>
        <w:jc w:val="both"/>
      </w:pPr>
      <w:bookmarkStart w:name="_bookmark16" w:id="27"/>
      <w:bookmarkEnd w:id="27"/>
      <w:r>
        <w:rPr/>
      </w:r>
      <w:r>
        <w:rPr/>
        <w:t>gramaticalmente de manera correcta. La indicación del conocimiento de una  palabra requiere de una comprobación por medio de un ejemplo, </w:t>
      </w:r>
      <w:r>
        <w:rPr>
          <w:spacing w:val="-4"/>
        </w:rPr>
        <w:t>ya </w:t>
      </w:r>
      <w:r>
        <w:rPr>
          <w:spacing w:val="55"/>
        </w:rPr>
        <w:t> </w:t>
      </w:r>
      <w:r>
        <w:rPr/>
        <w:t>sea  mencionar un sinónimo o traducción, o hacer una oración completa (Read, 2000:132-134). Este instrumento ha sido  usado  principalmente  para  medir avances </w:t>
      </w:r>
      <w:r>
        <w:rPr>
          <w:spacing w:val="-3"/>
        </w:rPr>
        <w:t>en </w:t>
      </w:r>
      <w:r>
        <w:rPr/>
        <w:t>aplicación de técnicas </w:t>
      </w:r>
      <w:r>
        <w:rPr>
          <w:spacing w:val="-3"/>
        </w:rPr>
        <w:t>de </w:t>
      </w:r>
      <w:r>
        <w:rPr/>
        <w:t>enseñanza de vocabulario, sin embargo, no contempla el uso de distintos significados </w:t>
      </w:r>
      <w:r>
        <w:rPr>
          <w:spacing w:val="-3"/>
        </w:rPr>
        <w:t>de </w:t>
      </w:r>
      <w:r>
        <w:rPr/>
        <w:t>la </w:t>
      </w:r>
      <w:r>
        <w:rPr>
          <w:spacing w:val="14"/>
        </w:rPr>
        <w:t> </w:t>
      </w:r>
      <w:r>
        <w:rPr/>
        <w:t>palabra.</w:t>
      </w:r>
    </w:p>
    <w:p>
      <w:pPr>
        <w:pStyle w:val="BodyText"/>
        <w:rPr>
          <w:sz w:val="22"/>
        </w:rPr>
      </w:pPr>
    </w:p>
    <w:p>
      <w:pPr>
        <w:pStyle w:val="BodyText"/>
        <w:spacing w:line="364" w:lineRule="auto" w:before="160"/>
        <w:ind w:left="115" w:right="103"/>
        <w:jc w:val="both"/>
      </w:pPr>
      <w:r>
        <w:rPr>
          <w:spacing w:val="-3"/>
        </w:rPr>
        <w:t>Yamashita </w:t>
      </w:r>
      <w:r>
        <w:rPr/>
        <w:t>(2002:86) utiliza dos instrumentos para medir vocabulario en </w:t>
      </w:r>
      <w:r>
        <w:rPr>
          <w:spacing w:val="4"/>
        </w:rPr>
        <w:t>su </w:t>
      </w:r>
      <w:r>
        <w:rPr/>
        <w:t>trabajo sobre compensación: La primera parte de la tercera sección del  TOEFL,  el  ejercicio de sinónimos. Aquí se requiere que el sujeto </w:t>
      </w:r>
      <w:r>
        <w:rPr>
          <w:spacing w:val="-3"/>
        </w:rPr>
        <w:t>elija </w:t>
      </w:r>
      <w:r>
        <w:rPr/>
        <w:t>un sinónimo para una palabra indicada dentro de una oración. El segundo instrumento </w:t>
      </w:r>
      <w:r>
        <w:rPr>
          <w:spacing w:val="-3"/>
        </w:rPr>
        <w:t>es </w:t>
      </w:r>
      <w:r>
        <w:rPr/>
        <w:t>el </w:t>
      </w:r>
      <w:r>
        <w:rPr>
          <w:i/>
        </w:rPr>
        <w:t>Nation´s </w:t>
      </w:r>
      <w:r>
        <w:rPr>
          <w:i/>
        </w:rPr>
        <w:t>Vocabulary Levels </w:t>
      </w:r>
      <w:r>
        <w:rPr>
          <w:i/>
          <w:spacing w:val="-4"/>
        </w:rPr>
        <w:t>Test</w:t>
      </w:r>
      <w:r>
        <w:rPr>
          <w:spacing w:val="-4"/>
        </w:rPr>
        <w:t>.</w:t>
      </w:r>
      <w:r>
        <w:rPr>
          <w:spacing w:val="55"/>
        </w:rPr>
        <w:t> </w:t>
      </w:r>
      <w:r>
        <w:rPr/>
        <w:t>Siendo este último el seleccionado para medir el vocabulario durante este trabajo, se profundizará sobre él en </w:t>
      </w:r>
      <w:r>
        <w:rPr>
          <w:spacing w:val="31"/>
        </w:rPr>
        <w:t> </w:t>
      </w:r>
      <w:r>
        <w:rPr/>
        <w:t>seguida.</w:t>
      </w:r>
    </w:p>
    <w:p>
      <w:pPr>
        <w:pStyle w:val="BodyText"/>
        <w:rPr>
          <w:sz w:val="22"/>
        </w:rPr>
      </w:pPr>
    </w:p>
    <w:p>
      <w:pPr>
        <w:pStyle w:val="BodyText"/>
        <w:spacing w:before="2"/>
        <w:rPr>
          <w:sz w:val="30"/>
        </w:rPr>
      </w:pPr>
    </w:p>
    <w:p>
      <w:pPr>
        <w:pStyle w:val="Heading3"/>
        <w:numPr>
          <w:ilvl w:val="2"/>
          <w:numId w:val="8"/>
        </w:numPr>
        <w:tabs>
          <w:tab w:pos="702" w:val="left" w:leader="none"/>
        </w:tabs>
        <w:spacing w:line="240" w:lineRule="auto" w:before="0" w:after="0"/>
        <w:ind w:left="701" w:right="0" w:hanging="585"/>
        <w:jc w:val="both"/>
      </w:pPr>
      <w:bookmarkStart w:name="_TOC_250009" w:id="28"/>
      <w:r>
        <w:rPr>
          <w:spacing w:val="-2"/>
        </w:rPr>
        <w:t>Vocabulary </w:t>
      </w:r>
      <w:r>
        <w:rPr/>
        <w:t>Levels</w:t>
      </w:r>
      <w:r>
        <w:rPr>
          <w:spacing w:val="39"/>
        </w:rPr>
        <w:t> </w:t>
      </w:r>
      <w:bookmarkEnd w:id="28"/>
      <w:r>
        <w:rPr>
          <w:spacing w:val="-4"/>
        </w:rPr>
        <w:t>Test</w:t>
      </w:r>
    </w:p>
    <w:p>
      <w:pPr>
        <w:pStyle w:val="BodyText"/>
        <w:rPr>
          <w:b/>
          <w:sz w:val="22"/>
        </w:rPr>
      </w:pPr>
    </w:p>
    <w:p>
      <w:pPr>
        <w:pStyle w:val="BodyText"/>
        <w:spacing w:before="1"/>
        <w:rPr>
          <w:b/>
          <w:sz w:val="25"/>
        </w:rPr>
      </w:pPr>
    </w:p>
    <w:p>
      <w:pPr>
        <w:pStyle w:val="BodyText"/>
        <w:spacing w:line="364" w:lineRule="auto"/>
        <w:ind w:left="115" w:right="99"/>
        <w:jc w:val="both"/>
      </w:pPr>
      <w:r>
        <w:rPr/>
        <w:t>El </w:t>
      </w:r>
      <w:r>
        <w:rPr>
          <w:i/>
        </w:rPr>
        <w:t>Vocabulary Levels </w:t>
      </w:r>
      <w:r>
        <w:rPr>
          <w:i/>
          <w:spacing w:val="-6"/>
        </w:rPr>
        <w:t>Test </w:t>
      </w:r>
      <w:r>
        <w:rPr>
          <w:spacing w:val="-3"/>
        </w:rPr>
        <w:t>fue </w:t>
      </w:r>
      <w:r>
        <w:rPr/>
        <w:t>originalmente diseñado por Nation (1983), y </w:t>
      </w:r>
      <w:r>
        <w:rPr>
          <w:spacing w:val="-5"/>
        </w:rPr>
        <w:t>la </w:t>
      </w:r>
      <w:r>
        <w:rPr/>
        <w:t>finalidad en aquel entonces era dar a los profesores de inglés un diagnóstico del tamaño de vocabulario de sus estudiantes. Posteriormente,  cobró  mayor  relevancia y </w:t>
      </w:r>
      <w:r>
        <w:rPr>
          <w:spacing w:val="-4"/>
        </w:rPr>
        <w:t>ya </w:t>
      </w:r>
      <w:r>
        <w:rPr/>
        <w:t>era usado con distintos objetivos además de ser instrumento de diagnóstico, instrumento </w:t>
      </w:r>
      <w:r>
        <w:rPr>
          <w:spacing w:val="-3"/>
        </w:rPr>
        <w:t>de </w:t>
      </w:r>
      <w:r>
        <w:rPr/>
        <w:t>evaluación e incluso </w:t>
      </w:r>
      <w:r>
        <w:rPr>
          <w:spacing w:val="2"/>
        </w:rPr>
        <w:t>con </w:t>
      </w:r>
      <w:r>
        <w:rPr/>
        <w:t>fines de investigación acerca de vocabulario y como componente de la competencia lingüística. El mismo autor sugiere </w:t>
      </w:r>
      <w:r>
        <w:rPr>
          <w:spacing w:val="4"/>
        </w:rPr>
        <w:t>su </w:t>
      </w:r>
      <w:r>
        <w:rPr/>
        <w:t>uso para verificar que un aprendiente de segunda lengua tenga  suficiente vocabulario para la comprensión de lectura (Nation, 1990:116), o  bien para medir el vocabulario de un aspirante a estudios universitarios en un país de habla inglesa, </w:t>
      </w:r>
      <w:r>
        <w:rPr>
          <w:spacing w:val="-4"/>
        </w:rPr>
        <w:t>ya</w:t>
      </w:r>
      <w:r>
        <w:rPr>
          <w:spacing w:val="55"/>
        </w:rPr>
        <w:t> </w:t>
      </w:r>
      <w:r>
        <w:rPr/>
        <w:t>que este examen contiene una sección </w:t>
      </w:r>
      <w:r>
        <w:rPr>
          <w:spacing w:val="2"/>
        </w:rPr>
        <w:t>con </w:t>
      </w:r>
      <w:r>
        <w:rPr/>
        <w:t>vocabulario académico (Nation, 1990:140). Schmitt (2000) diseñó tres nuevas versiones  y  validó tanto sus instrumentos como el de</w:t>
      </w:r>
      <w:r>
        <w:rPr>
          <w:spacing w:val="63"/>
        </w:rPr>
        <w:t> </w:t>
      </w:r>
      <w:r>
        <w:rPr/>
        <w:t>Nation.</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99"/>
        <w:jc w:val="both"/>
      </w:pPr>
      <w:r>
        <w:rPr/>
        <w:t>El </w:t>
      </w:r>
      <w:r>
        <w:rPr>
          <w:i/>
        </w:rPr>
        <w:t>Vocabulary Levels </w:t>
      </w:r>
      <w:r>
        <w:rPr>
          <w:i/>
          <w:spacing w:val="-6"/>
        </w:rPr>
        <w:t>Test </w:t>
      </w:r>
      <w:r>
        <w:rPr>
          <w:spacing w:val="-4"/>
        </w:rPr>
        <w:t>nos </w:t>
      </w:r>
      <w:r>
        <w:rPr/>
        <w:t>da una idea aproximada del tamaño del vocabulario del individuo. Como lo mencionan Schmitt (2000), Schmitt &amp; Clapham (2001) el vocabulario está relacionado directamente con </w:t>
      </w:r>
      <w:r>
        <w:rPr>
          <w:spacing w:val="-5"/>
        </w:rPr>
        <w:t>la </w:t>
      </w:r>
      <w:r>
        <w:rPr/>
        <w:t>habilidad de usar el idioma en distintas formas: Las dos mil palabras más usuales </w:t>
      </w:r>
      <w:r>
        <w:rPr>
          <w:spacing w:val="2"/>
        </w:rPr>
        <w:t>son </w:t>
      </w:r>
      <w:r>
        <w:rPr/>
        <w:t>la herramienta para </w:t>
      </w:r>
      <w:r>
        <w:rPr>
          <w:spacing w:val="-5"/>
        </w:rPr>
        <w:t>la </w:t>
      </w:r>
      <w:r>
        <w:rPr/>
        <w:t>comunicación oral del día a día; las tres </w:t>
      </w:r>
      <w:r>
        <w:rPr>
          <w:spacing w:val="-3"/>
        </w:rPr>
        <w:t>mil </w:t>
      </w:r>
      <w:r>
        <w:rPr/>
        <w:t>palabras enriquecen este discurso oral  y permiten iniciar la lectura de textos auténticos; esta habilidad y la capacidad </w:t>
      </w:r>
      <w:r>
        <w:rPr>
          <w:spacing w:val="-3"/>
        </w:rPr>
        <w:t>de </w:t>
      </w:r>
      <w:r>
        <w:rPr/>
        <w:t>deducir significados de palabras por contexto se </w:t>
      </w:r>
      <w:r>
        <w:rPr>
          <w:spacing w:val="-3"/>
        </w:rPr>
        <w:t>logra </w:t>
      </w:r>
      <w:r>
        <w:rPr/>
        <w:t>después de alcanzar el conocimiento de cinco mil palabras; y al alcanzar el conocimiento de las 10,000 palabras más frecuentes el individuo contará con un </w:t>
      </w:r>
      <w:r>
        <w:rPr>
          <w:spacing w:val="-2"/>
        </w:rPr>
        <w:t>amplio </w:t>
      </w:r>
      <w:r>
        <w:rPr/>
        <w:t>vocabulario y podrá desempeñar tareas relacionadas con la vida académica en un ambiente de </w:t>
      </w:r>
      <w:r>
        <w:rPr>
          <w:spacing w:val="-3"/>
        </w:rPr>
        <w:t>habla </w:t>
      </w:r>
      <w:r>
        <w:rPr/>
        <w:t>inglesa.</w:t>
      </w:r>
    </w:p>
    <w:p>
      <w:pPr>
        <w:pStyle w:val="BodyText"/>
        <w:rPr>
          <w:sz w:val="22"/>
        </w:rPr>
      </w:pPr>
    </w:p>
    <w:p>
      <w:pPr>
        <w:pStyle w:val="BodyText"/>
        <w:spacing w:line="364" w:lineRule="auto" w:before="155"/>
        <w:ind w:left="115" w:right="99"/>
        <w:jc w:val="both"/>
      </w:pPr>
      <w:r>
        <w:rPr/>
        <w:t>La prueba diseñada por Nation tiene cinco niveles, y pone  a  prueba  el conocimiento </w:t>
      </w:r>
      <w:r>
        <w:rPr>
          <w:spacing w:val="2"/>
        </w:rPr>
        <w:t>del </w:t>
      </w:r>
      <w:r>
        <w:rPr/>
        <w:t>alumno de vocabulario de las dos mil palabras más comunes en  el primer nivel, tres mil palabras el segundo, cinco mil en el tercero, el cuarto es de palabras usadas en textos universitarios y el quinto </w:t>
      </w:r>
      <w:r>
        <w:rPr>
          <w:spacing w:val="-3"/>
        </w:rPr>
        <w:t>es </w:t>
      </w:r>
      <w:r>
        <w:rPr/>
        <w:t>de vocabulario de diez mil palabras. Cada nivel contiene seis reactivos, y cada reactivo está compuesto de  tres definiciones y seis palabras. El individuo tiene que seleccionar las  tres  palabras que corresponden a las tres definiciones, las  otras  tres </w:t>
      </w:r>
      <w:r>
        <w:rPr>
          <w:spacing w:val="2"/>
        </w:rPr>
        <w:t>son </w:t>
      </w:r>
      <w:r>
        <w:rPr/>
        <w:t>distractores. De </w:t>
      </w:r>
      <w:r>
        <w:rPr>
          <w:spacing w:val="2"/>
        </w:rPr>
        <w:t>esta </w:t>
      </w:r>
      <w:r>
        <w:rPr/>
        <w:t>manera, tal como lo expresa Nation (1990:261), no </w:t>
      </w:r>
      <w:r>
        <w:rPr>
          <w:spacing w:val="4"/>
        </w:rPr>
        <w:t>se </w:t>
      </w:r>
      <w:r>
        <w:rPr/>
        <w:t>ponen a prueba dieciocho palabras por nivel (seis reactivos y tres respuestas por cada uno), sino treinta y seis, tomando </w:t>
      </w:r>
      <w:r>
        <w:rPr>
          <w:spacing w:val="-3"/>
        </w:rPr>
        <w:t>en </w:t>
      </w:r>
      <w:r>
        <w:rPr/>
        <w:t>cuenta los </w:t>
      </w:r>
      <w:r>
        <w:rPr>
          <w:spacing w:val="9"/>
        </w:rPr>
        <w:t> </w:t>
      </w:r>
      <w:r>
        <w:rPr/>
        <w:t>distractores.</w:t>
      </w:r>
    </w:p>
    <w:p>
      <w:pPr>
        <w:pStyle w:val="BodyText"/>
        <w:rPr>
          <w:sz w:val="22"/>
        </w:rPr>
      </w:pPr>
    </w:p>
    <w:p>
      <w:pPr>
        <w:pStyle w:val="BodyText"/>
        <w:spacing w:line="364" w:lineRule="auto" w:before="150"/>
        <w:ind w:left="115" w:right="103"/>
        <w:jc w:val="both"/>
      </w:pPr>
      <w:r>
        <w:rPr/>
        <w:t>El test </w:t>
      </w:r>
      <w:r>
        <w:rPr>
          <w:spacing w:val="-3"/>
        </w:rPr>
        <w:t>es </w:t>
      </w:r>
      <w:r>
        <w:rPr/>
        <w:t>fácil de elaborar y calificar, de acuerdo al autor (Nation, 1990:261) y agrega que las palabras son representativas de todas las palabras en cada nivel.  No se eligieron palabras como nombres propios o aquellas cuya raíz fuera similar    a algunas de frecuencia más alta, como </w:t>
      </w:r>
      <w:r>
        <w:rPr>
          <w:i/>
        </w:rPr>
        <w:t>homesick </w:t>
      </w:r>
      <w:r>
        <w:rPr/>
        <w:t>o </w:t>
      </w:r>
      <w:r>
        <w:rPr>
          <w:i/>
        </w:rPr>
        <w:t>complexity</w:t>
      </w:r>
      <w:r>
        <w:rPr/>
        <w:t>. Es de esperarse que el número de aciertos de una persona decrezca conforme avanza en  los niveles. </w:t>
      </w:r>
      <w:r>
        <w:rPr>
          <w:spacing w:val="-3"/>
        </w:rPr>
        <w:t>Sin </w:t>
      </w:r>
      <w:r>
        <w:rPr/>
        <w:t>embargo cabe la posibilidad de que una persona cuya lengua materna sea alguna derivada del latín, como el español o italiano, tenga un mejor desempeño en la sección académica que otros individuos. Para las definiciones </w:t>
      </w:r>
      <w:r>
        <w:rPr>
          <w:spacing w:val="55"/>
        </w:rPr>
        <w:t> </w:t>
      </w:r>
      <w:r>
        <w:rPr/>
        <w:t>de</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1"/>
        <w:jc w:val="both"/>
      </w:pPr>
      <w:bookmarkStart w:name="_bookmark17" w:id="29"/>
      <w:bookmarkEnd w:id="29"/>
      <w:r>
        <w:rPr/>
      </w:r>
      <w:r>
        <w:rPr/>
        <w:t>las palabras se usan palabras que pertenecen a niveles inferiores. Esto es, para    las definiciones de las palabras se utilizan aquellas que se encuentran entre las  más comunes </w:t>
      </w:r>
      <w:r>
        <w:rPr>
          <w:spacing w:val="-3"/>
        </w:rPr>
        <w:t>en </w:t>
      </w:r>
      <w:r>
        <w:rPr>
          <w:spacing w:val="-5"/>
        </w:rPr>
        <w:t>la </w:t>
      </w:r>
      <w:r>
        <w:rPr/>
        <w:t>lengua inglesa. </w:t>
      </w:r>
      <w:r>
        <w:rPr>
          <w:spacing w:val="2"/>
        </w:rPr>
        <w:t>Por </w:t>
      </w:r>
      <w:r>
        <w:rPr/>
        <w:t>ejemplo:  la definición de </w:t>
      </w:r>
      <w:r>
        <w:rPr>
          <w:i/>
          <w:spacing w:val="-2"/>
        </w:rPr>
        <w:t>motor,  </w:t>
      </w:r>
      <w:r>
        <w:rPr/>
        <w:t>palabra que se encuentra dentro de las del primer nivel</w:t>
      </w:r>
      <w:r>
        <w:rPr>
          <w:i/>
        </w:rPr>
        <w:t>, </w:t>
      </w:r>
      <w:r>
        <w:rPr/>
        <w:t>es </w:t>
      </w:r>
      <w:r>
        <w:rPr>
          <w:i/>
        </w:rPr>
        <w:t>“this moves a car” </w:t>
      </w:r>
      <w:r>
        <w:rPr/>
        <w:t>(Nation, 2001:416). </w:t>
      </w:r>
      <w:r>
        <w:rPr>
          <w:spacing w:val="-6"/>
        </w:rPr>
        <w:t>Todas </w:t>
      </w:r>
      <w:r>
        <w:rPr/>
        <w:t>las palabras en esta descripción o definición </w:t>
      </w:r>
      <w:r>
        <w:rPr>
          <w:spacing w:val="2"/>
        </w:rPr>
        <w:t>son </w:t>
      </w:r>
      <w:r>
        <w:rPr/>
        <w:t>muy comunes y fácilmente entendibles para personas que tengan un nivel elemental de inglés. Se hizo de igual manera para palabras de niveles </w:t>
      </w:r>
      <w:r>
        <w:rPr>
          <w:spacing w:val="-3"/>
        </w:rPr>
        <w:t>más </w:t>
      </w:r>
      <w:r>
        <w:rPr/>
        <w:t>avanzados como </w:t>
      </w:r>
      <w:r>
        <w:rPr>
          <w:i/>
        </w:rPr>
        <w:t>embarrass</w:t>
      </w:r>
      <w:r>
        <w:rPr/>
        <w:t>, cuya definición en el test es “</w:t>
      </w:r>
      <w:r>
        <w:rPr>
          <w:i/>
        </w:rPr>
        <w:t>make someone feel shy or nervous</w:t>
      </w:r>
      <w:r>
        <w:rPr/>
        <w:t>” (Nation, 2001:420).</w:t>
      </w:r>
    </w:p>
    <w:p>
      <w:pPr>
        <w:pStyle w:val="BodyText"/>
        <w:rPr>
          <w:sz w:val="22"/>
        </w:rPr>
      </w:pPr>
    </w:p>
    <w:p>
      <w:pPr>
        <w:pStyle w:val="BodyText"/>
        <w:rPr>
          <w:sz w:val="22"/>
        </w:rPr>
      </w:pPr>
    </w:p>
    <w:p>
      <w:pPr>
        <w:pStyle w:val="Heading3"/>
        <w:numPr>
          <w:ilvl w:val="2"/>
          <w:numId w:val="8"/>
        </w:numPr>
        <w:tabs>
          <w:tab w:pos="702" w:val="left" w:leader="none"/>
        </w:tabs>
        <w:spacing w:line="240" w:lineRule="auto" w:before="152" w:after="0"/>
        <w:ind w:left="701" w:right="0" w:hanging="585"/>
        <w:jc w:val="both"/>
      </w:pPr>
      <w:bookmarkStart w:name="_TOC_250008" w:id="30"/>
      <w:r>
        <w:rPr/>
        <w:t>Cloze</w:t>
      </w:r>
      <w:r>
        <w:rPr>
          <w:spacing w:val="9"/>
        </w:rPr>
        <w:t> </w:t>
      </w:r>
      <w:bookmarkEnd w:id="30"/>
      <w:r>
        <w:rPr/>
        <w:t>test</w:t>
      </w:r>
    </w:p>
    <w:p>
      <w:pPr>
        <w:pStyle w:val="BodyText"/>
        <w:rPr>
          <w:b/>
          <w:sz w:val="22"/>
        </w:rPr>
      </w:pPr>
    </w:p>
    <w:p>
      <w:pPr>
        <w:pStyle w:val="BodyText"/>
        <w:spacing w:before="6"/>
        <w:rPr>
          <w:b/>
          <w:sz w:val="25"/>
        </w:rPr>
      </w:pPr>
    </w:p>
    <w:p>
      <w:pPr>
        <w:pStyle w:val="BodyText"/>
        <w:spacing w:line="364" w:lineRule="auto"/>
        <w:ind w:left="115" w:right="101"/>
        <w:jc w:val="both"/>
      </w:pPr>
      <w:r>
        <w:rPr/>
        <w:t>El </w:t>
      </w:r>
      <w:r>
        <w:rPr>
          <w:i/>
        </w:rPr>
        <w:t>cloze test </w:t>
      </w:r>
      <w:r>
        <w:rPr/>
        <w:t>es una técnica de evaluación que se ha usado para determinar </w:t>
      </w:r>
      <w:r>
        <w:rPr>
          <w:spacing w:val="-5"/>
        </w:rPr>
        <w:t>la </w:t>
      </w:r>
      <w:r>
        <w:rPr/>
        <w:t>cualidad o capacidad </w:t>
      </w:r>
      <w:r>
        <w:rPr>
          <w:spacing w:val="-3"/>
        </w:rPr>
        <w:t>de </w:t>
      </w:r>
      <w:r>
        <w:rPr/>
        <w:t>un material escrito de ser leído (</w:t>
      </w:r>
      <w:r>
        <w:rPr>
          <w:i/>
        </w:rPr>
        <w:t>readability)</w:t>
      </w:r>
      <w:r>
        <w:rPr/>
        <w:t>, para medir el nivel de vocabulario de un individuo, </w:t>
      </w:r>
      <w:r>
        <w:rPr>
          <w:spacing w:val="2"/>
        </w:rPr>
        <w:t>así </w:t>
      </w:r>
      <w:r>
        <w:rPr/>
        <w:t>como su competencia lingüística, habilidades lingüísticas, sintácticas y estimar el nivel de comprensión lectora. Chapelle y Abraham (1990:122) proponen este tipo de evaluación como una herramienta útil para determinar el grado de  competencia  organizacional  propuesta por Bachman,</w:t>
      </w:r>
      <w:r>
        <w:rPr>
          <w:spacing w:val="44"/>
        </w:rPr>
        <w:t> </w:t>
      </w:r>
      <w:r>
        <w:rPr/>
        <w:t>(1990):</w:t>
      </w:r>
    </w:p>
    <w:p>
      <w:pPr>
        <w:pStyle w:val="BodyText"/>
        <w:rPr>
          <w:sz w:val="22"/>
        </w:rPr>
      </w:pPr>
    </w:p>
    <w:p>
      <w:pPr>
        <w:spacing w:line="244" w:lineRule="auto" w:before="150"/>
        <w:ind w:left="663" w:right="101" w:firstLine="0"/>
        <w:jc w:val="both"/>
        <w:rPr>
          <w:i/>
          <w:sz w:val="23"/>
        </w:rPr>
      </w:pPr>
      <w:r>
        <w:rPr>
          <w:i/>
          <w:sz w:val="23"/>
        </w:rPr>
        <w:t>Although cloze procedures do not produce perfect tests of overall language </w:t>
      </w:r>
      <w:r>
        <w:rPr>
          <w:i/>
          <w:sz w:val="23"/>
        </w:rPr>
        <w:t>proficiency, they do hold potential for measuring aspects of students’ written grammatical competence, consisting of “knowledge of vocabulary,  morphology, syntax and phonology/graphology, and textual competence, knowledge of the cohesive and rethorical properties of the text” (Bachman, 1990:87). The specific traits measured by a particular cloze test should  depend, in part, on methods of test construction and student response. </w:t>
      </w:r>
      <w:r>
        <w:rPr>
          <w:sz w:val="23"/>
        </w:rPr>
        <w:t>(Chapelle &amp; Abraham,</w:t>
      </w:r>
      <w:r>
        <w:rPr>
          <w:spacing w:val="34"/>
          <w:sz w:val="23"/>
        </w:rPr>
        <w:t> </w:t>
      </w:r>
      <w:r>
        <w:rPr>
          <w:sz w:val="23"/>
        </w:rPr>
        <w:t>1990:122)</w:t>
      </w:r>
      <w:r>
        <w:rPr>
          <w:i/>
          <w:sz w:val="23"/>
        </w:rPr>
        <w:t>.</w:t>
      </w:r>
    </w:p>
    <w:p>
      <w:pPr>
        <w:pStyle w:val="BodyText"/>
        <w:rPr>
          <w:i/>
          <w:sz w:val="22"/>
        </w:rPr>
      </w:pPr>
    </w:p>
    <w:p>
      <w:pPr>
        <w:pStyle w:val="BodyText"/>
        <w:spacing w:line="364" w:lineRule="auto" w:before="144"/>
        <w:ind w:left="115" w:right="101"/>
        <w:jc w:val="both"/>
      </w:pPr>
      <w:r>
        <w:rPr/>
        <w:t>El </w:t>
      </w:r>
      <w:r>
        <w:rPr>
          <w:i/>
        </w:rPr>
        <w:t>cloze test </w:t>
      </w:r>
      <w:r>
        <w:rPr/>
        <w:t>estándar consiste en un texto donde se omiten algunas palabras llamadas unidades </w:t>
      </w:r>
      <w:r>
        <w:rPr>
          <w:i/>
        </w:rPr>
        <w:t>cloze </w:t>
      </w:r>
      <w:r>
        <w:rPr/>
        <w:t>(</w:t>
      </w:r>
      <w:r>
        <w:rPr>
          <w:i/>
        </w:rPr>
        <w:t>cloze units</w:t>
      </w:r>
      <w:r>
        <w:rPr/>
        <w:t>), generalmente se omiten de acuerdo con un patrón fijo (</w:t>
      </w:r>
      <w:r>
        <w:rPr>
          <w:i/>
        </w:rPr>
        <w:t>fixed-ratio</w:t>
      </w:r>
      <w:r>
        <w:rPr/>
        <w:t>), es decir, cada seis, siete, ocho o  diez  palabras, dependiendo de qué grado de dificultad se le quiera dar a la evaluación o de qué</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2"/>
        <w:jc w:val="both"/>
      </w:pPr>
      <w:r>
        <w:rPr/>
        <w:t>es </w:t>
      </w:r>
      <w:r>
        <w:rPr>
          <w:spacing w:val="-5"/>
        </w:rPr>
        <w:t>lo </w:t>
      </w:r>
      <w:r>
        <w:rPr/>
        <w:t>que se quiera obtener del examen. El individuo a </w:t>
      </w:r>
      <w:r>
        <w:rPr>
          <w:spacing w:val="2"/>
        </w:rPr>
        <w:t>ser </w:t>
      </w:r>
      <w:r>
        <w:rPr/>
        <w:t>examinado deberá completar el texto </w:t>
      </w:r>
      <w:r>
        <w:rPr>
          <w:spacing w:val="2"/>
        </w:rPr>
        <w:t>con </w:t>
      </w:r>
      <w:r>
        <w:rPr/>
        <w:t>la palabra faltante. Existen algunas variantes del examen estándar. Por ejemplo, el llamado </w:t>
      </w:r>
      <w:r>
        <w:rPr>
          <w:i/>
        </w:rPr>
        <w:t>cloze </w:t>
      </w:r>
      <w:r>
        <w:rPr/>
        <w:t>racional, en el que el examinador toma el control sobre las palabras que serán borradas para examinar ciertos aspectos de interés particular. Otra versión  le da al  individuo cuatro opciones para responder  en lugar de que él provea la respuesta. Chapelle y Abraham (1990) hicieron una comparación entre distintas variedades de </w:t>
      </w:r>
      <w:r>
        <w:rPr>
          <w:i/>
        </w:rPr>
        <w:t>cloze test </w:t>
      </w:r>
      <w:r>
        <w:rPr/>
        <w:t>determinando que la versión con patrón </w:t>
      </w:r>
      <w:r>
        <w:rPr>
          <w:spacing w:val="-3"/>
        </w:rPr>
        <w:t>fijo </w:t>
      </w:r>
      <w:r>
        <w:rPr/>
        <w:t>es la más difícil, y </w:t>
      </w:r>
      <w:r>
        <w:rPr>
          <w:spacing w:val="-5"/>
        </w:rPr>
        <w:t>la </w:t>
      </w:r>
      <w:r>
        <w:rPr/>
        <w:t>de opción múltiple la más sencilla. </w:t>
      </w:r>
      <w:r>
        <w:rPr>
          <w:spacing w:val="-4"/>
        </w:rPr>
        <w:t>También </w:t>
      </w:r>
      <w:r>
        <w:rPr/>
        <w:t>se demostró que ésta </w:t>
      </w:r>
      <w:r>
        <w:rPr>
          <w:spacing w:val="-3"/>
        </w:rPr>
        <w:t>última </w:t>
      </w:r>
      <w:r>
        <w:rPr/>
        <w:t>está </w:t>
      </w:r>
      <w:r>
        <w:rPr>
          <w:spacing w:val="-3"/>
        </w:rPr>
        <w:t>más </w:t>
      </w:r>
      <w:r>
        <w:rPr/>
        <w:t>relacionada con la comprensión del texto que con la habilidad</w:t>
      </w:r>
      <w:r>
        <w:rPr>
          <w:spacing w:val="31"/>
        </w:rPr>
        <w:t> </w:t>
      </w:r>
      <w:r>
        <w:rPr/>
        <w:t>gramatical.</w:t>
      </w:r>
    </w:p>
    <w:p>
      <w:pPr>
        <w:pStyle w:val="BodyText"/>
        <w:rPr>
          <w:sz w:val="22"/>
        </w:rPr>
      </w:pPr>
    </w:p>
    <w:p>
      <w:pPr>
        <w:pStyle w:val="BodyText"/>
        <w:spacing w:line="364" w:lineRule="auto" w:before="155"/>
        <w:ind w:left="115" w:right="103"/>
        <w:jc w:val="both"/>
      </w:pPr>
      <w:r>
        <w:rPr/>
        <w:t>Jonz (1990) realizó un estudio </w:t>
      </w:r>
      <w:r>
        <w:rPr>
          <w:spacing w:val="2"/>
        </w:rPr>
        <w:t>con </w:t>
      </w:r>
      <w:r>
        <w:rPr/>
        <w:t>el que demuestra que el </w:t>
      </w:r>
      <w:r>
        <w:rPr>
          <w:i/>
        </w:rPr>
        <w:t>cloze test </w:t>
      </w:r>
      <w:r>
        <w:rPr>
          <w:spacing w:val="-3"/>
        </w:rPr>
        <w:t>es </w:t>
      </w:r>
      <w:r>
        <w:rPr/>
        <w:t>altamente sensible a las relaciones entre las oraciones y la discriminación léxica y que el tipo de conocimiento requerido para la resolución de las pruebas es consistente </w:t>
      </w:r>
      <w:r>
        <w:rPr>
          <w:spacing w:val="-3"/>
        </w:rPr>
        <w:t>de </w:t>
      </w:r>
      <w:r>
        <w:rPr/>
        <w:t>una prueba a otra (Jonz, 1990:61). Bachman (1982) afirma que los resultados en </w:t>
      </w:r>
      <w:r>
        <w:rPr>
          <w:spacing w:val="-3"/>
        </w:rPr>
        <w:t>un </w:t>
      </w:r>
      <w:r>
        <w:rPr>
          <w:i/>
        </w:rPr>
        <w:t>cloze </w:t>
      </w:r>
      <w:r>
        <w:rPr/>
        <w:t>test reflejan un grado de dominio de la lengua, específicamente en tres aspectos: sintáctico, </w:t>
      </w:r>
      <w:r>
        <w:rPr>
          <w:spacing w:val="-3"/>
        </w:rPr>
        <w:t>de </w:t>
      </w:r>
      <w:r>
        <w:rPr/>
        <w:t>cohesión y semántico. En otro estudio Bachman (1985) concluye que no hay diferencias significativas entre pruebas con distinto sistema   de eliminación de</w:t>
      </w:r>
      <w:r>
        <w:rPr>
          <w:spacing w:val="37"/>
        </w:rPr>
        <w:t> </w:t>
      </w:r>
      <w:r>
        <w:rPr/>
        <w:t>palabras.</w:t>
      </w:r>
    </w:p>
    <w:p>
      <w:pPr>
        <w:pStyle w:val="BodyText"/>
        <w:rPr>
          <w:sz w:val="22"/>
        </w:rPr>
      </w:pPr>
    </w:p>
    <w:p>
      <w:pPr>
        <w:pStyle w:val="BodyText"/>
        <w:spacing w:line="364" w:lineRule="auto" w:before="160"/>
        <w:ind w:left="115" w:right="100"/>
        <w:jc w:val="both"/>
      </w:pPr>
      <w:r>
        <w:rPr/>
        <w:t>Por otro lado, Alderson (1979) infiere que los resultados del sustentante variarán con base en el número de palabras que se quiten  del texto. Se sugiere  que sólo  las palabras exactas sean correctas </w:t>
      </w:r>
      <w:r>
        <w:rPr>
          <w:spacing w:val="-4"/>
        </w:rPr>
        <w:t>ya</w:t>
      </w:r>
      <w:r>
        <w:rPr>
          <w:spacing w:val="55"/>
        </w:rPr>
        <w:t> </w:t>
      </w:r>
      <w:r>
        <w:rPr/>
        <w:t>que tomar en cuenta otras posibles respuestas como sinónimos o distintas formas de la respuesta correcta restarían confiabilidad al examen. El autor (Alderson, 1979:226) menciona que el modo en que se eliminan las palabras influye de manera importante en la prueba y que se debe </w:t>
      </w:r>
      <w:r>
        <w:rPr>
          <w:spacing w:val="2"/>
        </w:rPr>
        <w:t>ser </w:t>
      </w:r>
      <w:r>
        <w:rPr/>
        <w:t>cuidadoso al momento de realizarse, </w:t>
      </w:r>
      <w:r>
        <w:rPr>
          <w:spacing w:val="-4"/>
        </w:rPr>
        <w:t>ya </w:t>
      </w:r>
      <w:r>
        <w:rPr/>
        <w:t>que para medir </w:t>
      </w:r>
      <w:r>
        <w:rPr>
          <w:spacing w:val="-5"/>
        </w:rPr>
        <w:t>la </w:t>
      </w:r>
      <w:r>
        <w:rPr/>
        <w:t>competencia lingüística a través de este medio debe descartarse la eliminación de palabras al azar y en su lugar hacerlo de manera más racional y </w:t>
      </w:r>
      <w:r>
        <w:rPr>
          <w:spacing w:val="27"/>
        </w:rPr>
        <w:t> </w:t>
      </w:r>
      <w:r>
        <w:rPr/>
        <w:t>selectiva.</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Heading3"/>
        <w:spacing w:before="73"/>
        <w:ind w:left="115"/>
      </w:pPr>
      <w:r>
        <w:rPr/>
        <w:t>Conclusión al primer capítulo.</w:t>
      </w:r>
    </w:p>
    <w:p>
      <w:pPr>
        <w:pStyle w:val="BodyText"/>
        <w:rPr>
          <w:b/>
          <w:sz w:val="22"/>
        </w:rPr>
      </w:pPr>
    </w:p>
    <w:p>
      <w:pPr>
        <w:pStyle w:val="BodyText"/>
        <w:spacing w:before="8"/>
        <w:rPr>
          <w:b/>
          <w:sz w:val="24"/>
        </w:rPr>
      </w:pPr>
    </w:p>
    <w:p>
      <w:pPr>
        <w:pStyle w:val="BodyText"/>
        <w:spacing w:line="364" w:lineRule="auto"/>
        <w:ind w:left="115" w:right="102"/>
        <w:jc w:val="both"/>
      </w:pPr>
      <w:r>
        <w:rPr/>
        <w:t>En este primer capítulo se ha realizado el encuadre teórico del trabajo. En primer lugar se describió el proceso de lectura, sus componentes y características. Se detalló su naturaleza interactiva y la complejidad con que se encuentran los investigadores en el estudio del proceso. Seguido a esto se hizo la diferenciación entre la lectura en primera y en segunda lengua. Se llevó a cabo un recorrido por  los modelos de lectura: ascendentes, descendentes e interactivos. En seguida, se describió la lectura en segunda lengua y las teorías sobre ella: la Hipótesis de </w:t>
      </w:r>
      <w:r>
        <w:rPr>
          <w:spacing w:val="-5"/>
        </w:rPr>
        <w:t>la </w:t>
      </w:r>
      <w:r>
        <w:rPr/>
        <w:t>Interdependencia Lingüística y </w:t>
      </w:r>
      <w:r>
        <w:rPr>
          <w:spacing w:val="-5"/>
        </w:rPr>
        <w:t>la </w:t>
      </w:r>
      <w:r>
        <w:rPr/>
        <w:t>Hipótesis del Umbral Lingüístico. Una  vez  descrito el proceso de lectura en ambas lenguas </w:t>
      </w:r>
      <w:r>
        <w:rPr>
          <w:spacing w:val="4"/>
        </w:rPr>
        <w:t>se </w:t>
      </w:r>
      <w:r>
        <w:rPr/>
        <w:t>plantearon algunos aspectos a considerar en la evaluación de la comprensión de lectura y </w:t>
      </w:r>
      <w:r>
        <w:rPr>
          <w:spacing w:val="2"/>
        </w:rPr>
        <w:t>así </w:t>
      </w:r>
      <w:r>
        <w:rPr/>
        <w:t>dar paso al análisis de </w:t>
      </w:r>
      <w:r>
        <w:rPr>
          <w:spacing w:val="-5"/>
        </w:rPr>
        <w:t>la </w:t>
      </w:r>
      <w:r>
        <w:rPr/>
        <w:t>otra variable, la competencia </w:t>
      </w:r>
      <w:r>
        <w:rPr>
          <w:spacing w:val="16"/>
        </w:rPr>
        <w:t> </w:t>
      </w:r>
      <w:r>
        <w:rPr/>
        <w:t>lingüística.</w:t>
      </w:r>
    </w:p>
    <w:p>
      <w:pPr>
        <w:pStyle w:val="BodyText"/>
        <w:rPr>
          <w:sz w:val="22"/>
        </w:rPr>
      </w:pPr>
    </w:p>
    <w:p>
      <w:pPr>
        <w:pStyle w:val="BodyText"/>
        <w:spacing w:line="364" w:lineRule="auto" w:before="155"/>
        <w:ind w:left="115" w:right="99"/>
        <w:jc w:val="both"/>
      </w:pPr>
      <w:r>
        <w:rPr/>
        <w:t>Para el análisis de la competencia lingüística se realizó, en primera instancia, un recorrido a través de los estudios más relevantes, desde  </w:t>
      </w:r>
      <w:r>
        <w:rPr>
          <w:spacing w:val="-4"/>
        </w:rPr>
        <w:t>Chomsky, </w:t>
      </w:r>
      <w:r>
        <w:rPr>
          <w:spacing w:val="55"/>
        </w:rPr>
        <w:t> </w:t>
      </w:r>
      <w:r>
        <w:rPr/>
        <w:t>Hymes,  Canale y Cummins hasta el modelo de competencia lingüística </w:t>
      </w:r>
      <w:r>
        <w:rPr>
          <w:spacing w:val="-3"/>
        </w:rPr>
        <w:t>en </w:t>
      </w:r>
      <w:r>
        <w:rPr/>
        <w:t>el que se sustenta este trabajo, el planteado por Bachman (1990). Se explicaron de manera breve los componentes del modelo de Bachman que fueron considerados en la realización del trabajo. Se hizo mención del vocabulario como un componente </w:t>
      </w:r>
      <w:r>
        <w:rPr>
          <w:spacing w:val="-3"/>
        </w:rPr>
        <w:t>de </w:t>
      </w:r>
      <w:r>
        <w:rPr/>
        <w:t>especial importancia en la competencia lingüística requerida en la comprensión de lectura. A continuación se revisó </w:t>
      </w:r>
      <w:r>
        <w:rPr>
          <w:spacing w:val="-5"/>
        </w:rPr>
        <w:t>lo </w:t>
      </w:r>
      <w:r>
        <w:rPr/>
        <w:t>que diversos autores han establecido sobre </w:t>
      </w:r>
      <w:r>
        <w:rPr>
          <w:spacing w:val="-5"/>
        </w:rPr>
        <w:t>la </w:t>
      </w:r>
      <w:r>
        <w:rPr/>
        <w:t>evaluación de la competencia lingüística y después con </w:t>
      </w:r>
      <w:r>
        <w:rPr>
          <w:spacing w:val="-3"/>
        </w:rPr>
        <w:t>más  </w:t>
      </w:r>
      <w:r>
        <w:rPr/>
        <w:t>detalle  aspectos sobre la evaluación de algunos de sus componentes como el vocabulario, </w:t>
      </w:r>
      <w:r>
        <w:rPr>
          <w:spacing w:val="-5"/>
        </w:rPr>
        <w:t>la </w:t>
      </w:r>
      <w:r>
        <w:rPr/>
        <w:t>morfología y la sintaxis, a través de instrumentos específicos, como son el </w:t>
      </w:r>
      <w:r>
        <w:rPr>
          <w:i/>
        </w:rPr>
        <w:t>Vocabulary Levels </w:t>
      </w:r>
      <w:r>
        <w:rPr>
          <w:i/>
          <w:spacing w:val="-7"/>
        </w:rPr>
        <w:t>Test </w:t>
      </w:r>
      <w:r>
        <w:rPr/>
        <w:t>y el </w:t>
      </w:r>
      <w:r>
        <w:rPr>
          <w:i/>
        </w:rPr>
        <w:t>cloze test</w:t>
      </w:r>
      <w:r>
        <w:rPr/>
        <w:t>. Con esto </w:t>
      </w:r>
      <w:r>
        <w:rPr>
          <w:spacing w:val="4"/>
        </w:rPr>
        <w:t>se </w:t>
      </w:r>
      <w:r>
        <w:rPr/>
        <w:t>cierra el capítulo de encuadre teórico para dar paso a la descripción de la metodología seguida en el </w:t>
      </w:r>
      <w:r>
        <w:rPr>
          <w:spacing w:val="41"/>
        </w:rPr>
        <w:t> </w:t>
      </w:r>
      <w:r>
        <w:rPr/>
        <w:t>trabajo.</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Heading3"/>
        <w:spacing w:line="609" w:lineRule="auto" w:before="73"/>
        <w:ind w:left="2967" w:right="2980" w:firstLine="878"/>
        <w:jc w:val="left"/>
      </w:pPr>
      <w:bookmarkStart w:name="_bookmark19" w:id="31"/>
      <w:bookmarkEnd w:id="31"/>
      <w:r>
        <w:rPr>
          <w:b w:val="0"/>
        </w:rPr>
      </w:r>
      <w:bookmarkStart w:name="_bookmark18" w:id="32"/>
      <w:bookmarkEnd w:id="32"/>
      <w:r>
        <w:rPr>
          <w:b w:val="0"/>
        </w:rPr>
      </w:r>
      <w:r>
        <w:rPr/>
        <w:t>Capítulo  2 MARCO METODOLÓGICO</w:t>
      </w:r>
    </w:p>
    <w:p>
      <w:pPr>
        <w:pStyle w:val="BodyText"/>
        <w:spacing w:before="8"/>
        <w:rPr>
          <w:b/>
          <w:sz w:val="11"/>
        </w:rPr>
      </w:pPr>
    </w:p>
    <w:p>
      <w:pPr>
        <w:pStyle w:val="Heading3"/>
        <w:numPr>
          <w:ilvl w:val="1"/>
          <w:numId w:val="9"/>
        </w:numPr>
        <w:tabs>
          <w:tab w:pos="505" w:val="left" w:leader="none"/>
        </w:tabs>
        <w:spacing w:line="240" w:lineRule="auto" w:before="74" w:after="0"/>
        <w:ind w:left="504" w:right="0" w:hanging="388"/>
        <w:jc w:val="both"/>
      </w:pPr>
      <w:bookmarkStart w:name="_TOC_250007" w:id="33"/>
      <w:bookmarkEnd w:id="33"/>
      <w:r>
        <w:rPr/>
        <w:t>METODOLOGÍA</w:t>
      </w:r>
    </w:p>
    <w:p>
      <w:pPr>
        <w:pStyle w:val="BodyText"/>
        <w:rPr>
          <w:b/>
          <w:sz w:val="22"/>
        </w:rPr>
      </w:pPr>
    </w:p>
    <w:p>
      <w:pPr>
        <w:pStyle w:val="BodyText"/>
        <w:spacing w:line="364" w:lineRule="auto" w:before="154"/>
        <w:ind w:left="115" w:right="122"/>
        <w:jc w:val="both"/>
      </w:pPr>
      <w:r>
        <w:rPr/>
        <w:t>En este capítulo se aborda, en primera instancia, la propuesta, </w:t>
      </w:r>
      <w:r>
        <w:rPr>
          <w:spacing w:val="-5"/>
        </w:rPr>
        <w:t>la </w:t>
      </w:r>
      <w:r>
        <w:rPr/>
        <w:t>finalidad del proyecto, su objetivo general y específico, las variables y una explicación de </w:t>
      </w:r>
      <w:r>
        <w:rPr>
          <w:spacing w:val="-5"/>
        </w:rPr>
        <w:t>la </w:t>
      </w:r>
      <w:r>
        <w:rPr/>
        <w:t>metodología y diseño de </w:t>
      </w:r>
      <w:r>
        <w:rPr>
          <w:spacing w:val="-5"/>
        </w:rPr>
        <w:t>la </w:t>
      </w:r>
      <w:r>
        <w:rPr/>
        <w:t>investigación a </w:t>
      </w:r>
      <w:r>
        <w:rPr>
          <w:spacing w:val="-3"/>
        </w:rPr>
        <w:t>seguir, </w:t>
      </w:r>
      <w:r>
        <w:rPr>
          <w:spacing w:val="2"/>
        </w:rPr>
        <w:t>con </w:t>
      </w:r>
      <w:r>
        <w:rPr/>
        <w:t>lo que se pretende plantear de forma general en qué consiste el proyecto. Enseguida, se plantean las razones que justifican llevar a cabo el trabajo. A continuación, </w:t>
      </w:r>
      <w:r>
        <w:rPr>
          <w:spacing w:val="4"/>
        </w:rPr>
        <w:t>se </w:t>
      </w:r>
      <w:r>
        <w:rPr/>
        <w:t>describen con detalle, los participantes, y los instrumentos, incluyendo los procedimientos para </w:t>
      </w:r>
      <w:r>
        <w:rPr>
          <w:spacing w:val="-5"/>
        </w:rPr>
        <w:t>la </w:t>
      </w:r>
      <w:r>
        <w:rPr/>
        <w:t>selección y elaboración de</w:t>
      </w:r>
      <w:r>
        <w:rPr>
          <w:spacing w:val="27"/>
        </w:rPr>
        <w:t> </w:t>
      </w:r>
      <w:r>
        <w:rPr/>
        <w:t>éstos.</w:t>
      </w:r>
    </w:p>
    <w:p>
      <w:pPr>
        <w:pStyle w:val="BodyText"/>
        <w:rPr>
          <w:sz w:val="22"/>
        </w:rPr>
      </w:pPr>
    </w:p>
    <w:p>
      <w:pPr>
        <w:pStyle w:val="BodyText"/>
        <w:spacing w:line="364" w:lineRule="auto" w:before="155"/>
        <w:ind w:left="115" w:right="117"/>
        <w:jc w:val="both"/>
      </w:pPr>
      <w:r>
        <w:rPr/>
        <w:t>El objetivo general de este proyecto </w:t>
      </w:r>
      <w:r>
        <w:rPr>
          <w:spacing w:val="-3"/>
        </w:rPr>
        <w:t>es </w:t>
      </w:r>
      <w:r>
        <w:rPr/>
        <w:t>conocer la influencia de </w:t>
      </w:r>
      <w:r>
        <w:rPr>
          <w:spacing w:val="-5"/>
        </w:rPr>
        <w:t>la </w:t>
      </w:r>
      <w:r>
        <w:rPr/>
        <w:t>competencia lectora en L1 y la competencia lingüística en L2 en la comprensión lectora en L2.   En otras palabras, la comprensión de lectura en una segunda lengua se podría </w:t>
      </w:r>
      <w:r>
        <w:rPr>
          <w:spacing w:val="2"/>
        </w:rPr>
        <w:t>ver </w:t>
      </w:r>
      <w:r>
        <w:rPr/>
        <w:t>afectada por dos factores: el dominio de </w:t>
      </w:r>
      <w:r>
        <w:rPr>
          <w:spacing w:val="-5"/>
        </w:rPr>
        <w:t>la </w:t>
      </w:r>
      <w:r>
        <w:rPr/>
        <w:t>segunda lengua y la habilidad que ha desarrollado un lector en su lengua</w:t>
      </w:r>
      <w:r>
        <w:rPr>
          <w:spacing w:val="60"/>
        </w:rPr>
        <w:t> </w:t>
      </w:r>
      <w:r>
        <w:rPr/>
        <w:t>nativa.</w:t>
      </w:r>
    </w:p>
    <w:p>
      <w:pPr>
        <w:pStyle w:val="BodyText"/>
        <w:rPr>
          <w:sz w:val="22"/>
        </w:rPr>
      </w:pPr>
    </w:p>
    <w:p>
      <w:pPr>
        <w:pStyle w:val="BodyText"/>
        <w:spacing w:line="364" w:lineRule="auto" w:before="155"/>
        <w:ind w:left="115" w:right="123"/>
        <w:jc w:val="both"/>
      </w:pPr>
      <w:r>
        <w:rPr/>
        <w:t>Se plantea que el lector en segunda lengua desarrolla un mecanismo de compensación entre los factores mencionados, como  lo  propone  </w:t>
      </w:r>
      <w:r>
        <w:rPr>
          <w:spacing w:val="-4"/>
        </w:rPr>
        <w:t>Yamashita </w:t>
      </w:r>
      <w:r>
        <w:rPr/>
        <w:t>(2000). Esto es, la falta o bajo nivel de uno de los dos factores  se compensa cuando el otro está </w:t>
      </w:r>
      <w:r>
        <w:rPr>
          <w:spacing w:val="-3"/>
        </w:rPr>
        <w:t>más </w:t>
      </w:r>
      <w:r>
        <w:rPr/>
        <w:t>desarrollado o de mayor nivel, y de esta manera se logra    </w:t>
      </w:r>
      <w:r>
        <w:rPr>
          <w:spacing w:val="-5"/>
        </w:rPr>
        <w:t>la </w:t>
      </w:r>
      <w:r>
        <w:rPr/>
        <w:t>comprensión de un texto en una segunda lengua. De acuerdo </w:t>
      </w:r>
      <w:r>
        <w:rPr>
          <w:spacing w:val="2"/>
        </w:rPr>
        <w:t>con </w:t>
      </w:r>
      <w:r>
        <w:rPr/>
        <w:t>estudios realizados sobre los factores que tienen contribución en la comprensión de lectura están </w:t>
      </w:r>
      <w:r>
        <w:rPr>
          <w:spacing w:val="-5"/>
        </w:rPr>
        <w:t>la </w:t>
      </w:r>
      <w:r>
        <w:rPr/>
        <w:t>competencia lectora en L1 y competencia lingüística en L2, así  que  cuando una persona lee en segunda lengua podría valerse de una alta habilidad lectora en L1 para compensar </w:t>
      </w:r>
      <w:r>
        <w:rPr>
          <w:spacing w:val="4"/>
        </w:rPr>
        <w:t>su </w:t>
      </w:r>
      <w:r>
        <w:rPr/>
        <w:t>falta </w:t>
      </w:r>
      <w:r>
        <w:rPr>
          <w:spacing w:val="-3"/>
        </w:rPr>
        <w:t>de </w:t>
      </w:r>
      <w:r>
        <w:rPr/>
        <w:t>competencia lingüística en L2, o  viceversa, compensar una habilidad de comprensión de lectura en </w:t>
      </w:r>
      <w:r>
        <w:rPr>
          <w:spacing w:val="-3"/>
        </w:rPr>
        <w:t>L1 </w:t>
      </w:r>
      <w:r>
        <w:rPr/>
        <w:t>poco desarrollada con una alta competencia lingüística en </w:t>
      </w:r>
      <w:r>
        <w:rPr>
          <w:spacing w:val="15"/>
        </w:rPr>
        <w:t> </w:t>
      </w:r>
      <w:r>
        <w:rPr/>
        <w:t>L2.</w:t>
      </w:r>
    </w:p>
    <w:p>
      <w:pPr>
        <w:spacing w:after="0" w:line="364" w:lineRule="auto"/>
        <w:jc w:val="both"/>
        <w:sectPr>
          <w:pgSz w:w="11910" w:h="16840"/>
          <w:pgMar w:header="1424" w:footer="0" w:top="1840" w:bottom="280" w:left="1540" w:right="1520"/>
        </w:sectPr>
      </w:pPr>
    </w:p>
    <w:p>
      <w:pPr>
        <w:pStyle w:val="BodyText"/>
        <w:rPr>
          <w:sz w:val="20"/>
        </w:rPr>
      </w:pPr>
    </w:p>
    <w:p>
      <w:pPr>
        <w:pStyle w:val="BodyText"/>
        <w:rPr>
          <w:sz w:val="20"/>
        </w:rPr>
      </w:pPr>
    </w:p>
    <w:p>
      <w:pPr>
        <w:pStyle w:val="BodyText"/>
        <w:rPr>
          <w:sz w:val="18"/>
        </w:rPr>
      </w:pPr>
    </w:p>
    <w:p>
      <w:pPr>
        <w:pStyle w:val="BodyText"/>
        <w:ind w:left="115"/>
        <w:jc w:val="both"/>
      </w:pPr>
      <w:r>
        <w:rPr/>
        <w:t>Lo anterior se puede percibir en el siguiente  diagrama:</w:t>
      </w:r>
    </w:p>
    <w:p>
      <w:pPr>
        <w:pStyle w:val="BodyText"/>
        <w:rPr>
          <w:sz w:val="20"/>
        </w:rPr>
      </w:pPr>
    </w:p>
    <w:p>
      <w:pPr>
        <w:pStyle w:val="BodyText"/>
        <w:rPr>
          <w:sz w:val="20"/>
        </w:rPr>
      </w:pPr>
    </w:p>
    <w:p>
      <w:pPr>
        <w:pStyle w:val="BodyText"/>
        <w:rPr>
          <w:sz w:val="20"/>
        </w:rPr>
      </w:pPr>
    </w:p>
    <w:p>
      <w:pPr>
        <w:pStyle w:val="BodyText"/>
        <w:spacing w:before="7"/>
        <w:rPr>
          <w:sz w:val="19"/>
        </w:rPr>
      </w:pPr>
      <w:r>
        <w:rPr/>
        <w:pict>
          <v:group style="position:absolute;margin-left:84.480003pt;margin-top:13.225913pt;width:413.55pt;height:197.55pt;mso-position-horizontal-relative:page;mso-position-vertical-relative:paragraph;z-index:1072;mso-wrap-distance-left:0;mso-wrap-distance-right:0" coordorigin="1690,265" coordsize="8271,3951">
            <v:shape style="position:absolute;left:1690;top:265;width:6605;height:1742" type="#_x0000_t75" stroked="false">
              <v:imagedata r:id="rId12" o:title=""/>
            </v:shape>
            <v:shape style="position:absolute;left:4608;top:2007;width:5352;height:2208" type="#_x0000_t75" stroked="false">
              <v:imagedata r:id="rId13" o:title=""/>
            </v:shape>
            <w10:wrap type="topAndBottom"/>
          </v:group>
        </w:pict>
      </w:r>
    </w:p>
    <w:p>
      <w:pPr>
        <w:pStyle w:val="BodyText"/>
        <w:rPr>
          <w:sz w:val="22"/>
        </w:rPr>
      </w:pPr>
    </w:p>
    <w:p>
      <w:pPr>
        <w:pStyle w:val="BodyText"/>
        <w:rPr>
          <w:sz w:val="22"/>
        </w:rPr>
      </w:pPr>
    </w:p>
    <w:p>
      <w:pPr>
        <w:pStyle w:val="BodyText"/>
        <w:spacing w:before="4"/>
        <w:rPr>
          <w:sz w:val="24"/>
        </w:rPr>
      </w:pPr>
    </w:p>
    <w:p>
      <w:pPr>
        <w:spacing w:before="0"/>
        <w:ind w:left="1700" w:right="213" w:firstLine="0"/>
        <w:jc w:val="left"/>
        <w:rPr>
          <w:sz w:val="19"/>
        </w:rPr>
      </w:pPr>
      <w:r>
        <w:rPr>
          <w:w w:val="105"/>
          <w:sz w:val="19"/>
        </w:rPr>
        <w:t>Figura 2.1. Compensación en la comprensión de lectura en L2.</w:t>
      </w:r>
    </w:p>
    <w:p>
      <w:pPr>
        <w:pStyle w:val="BodyText"/>
        <w:rPr>
          <w:sz w:val="20"/>
        </w:rPr>
      </w:pPr>
    </w:p>
    <w:p>
      <w:pPr>
        <w:pStyle w:val="BodyText"/>
        <w:rPr>
          <w:sz w:val="20"/>
        </w:rPr>
      </w:pPr>
    </w:p>
    <w:p>
      <w:pPr>
        <w:pStyle w:val="BodyText"/>
        <w:spacing w:before="11"/>
        <w:rPr>
          <w:sz w:val="29"/>
        </w:rPr>
      </w:pPr>
    </w:p>
    <w:p>
      <w:pPr>
        <w:pStyle w:val="BodyText"/>
        <w:spacing w:line="364" w:lineRule="auto"/>
        <w:ind w:left="115" w:right="99"/>
        <w:jc w:val="both"/>
      </w:pPr>
      <w:r>
        <w:rPr/>
        <w:t>El proceso de compensación </w:t>
      </w:r>
      <w:r>
        <w:rPr>
          <w:spacing w:val="-3"/>
        </w:rPr>
        <w:t>inicia </w:t>
      </w:r>
      <w:r>
        <w:rPr>
          <w:spacing w:val="2"/>
        </w:rPr>
        <w:t>con </w:t>
      </w:r>
      <w:r>
        <w:rPr/>
        <w:t>el lector quién </w:t>
      </w:r>
      <w:r>
        <w:rPr>
          <w:spacing w:val="2"/>
        </w:rPr>
        <w:t>con </w:t>
      </w:r>
      <w:r>
        <w:rPr/>
        <w:t>ayuda de sus esquemas y de su competencia lingüística en segunda lengua logra una interacción con el texto que lo lleva a una exitosa comprensión de éste. No obstante, el lector podría no lograr la comprensión del texto. Esto podría deberse a dos razones: una, por  una habilidad lectora en L1 poco desarrollada.; y la segunda, por una limitada competencia lingüística en L2. En el primer caso, el lector podría hacer uso de una alta competencia lingüística en L2 y compensar </w:t>
      </w:r>
      <w:r>
        <w:rPr>
          <w:spacing w:val="2"/>
        </w:rPr>
        <w:t>con </w:t>
      </w:r>
      <w:r>
        <w:rPr>
          <w:spacing w:val="-4"/>
        </w:rPr>
        <w:t>ello </w:t>
      </w:r>
      <w:r>
        <w:rPr/>
        <w:t>su falta de habilidad para  la comprensión de textos en lengua materna y así comprender el texto en L2. En    el segundo caso, la baja competencia lingüística en L2 podría compensarse </w:t>
      </w:r>
      <w:r>
        <w:rPr>
          <w:spacing w:val="2"/>
        </w:rPr>
        <w:t>con  </w:t>
      </w:r>
      <w:r>
        <w:rPr/>
        <w:t>una alta habilidad para </w:t>
      </w:r>
      <w:r>
        <w:rPr>
          <w:spacing w:val="-5"/>
        </w:rPr>
        <w:t>la </w:t>
      </w:r>
      <w:r>
        <w:rPr/>
        <w:t>comprensión de textos en español y de  esta manera lograr un significado del texto en segunda </w:t>
      </w:r>
      <w:r>
        <w:rPr>
          <w:spacing w:val="6"/>
        </w:rPr>
        <w:t> </w:t>
      </w:r>
      <w:r>
        <w:rPr/>
        <w:t>lengua.</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r>
        <w:rPr/>
        <w:t>Existe una serie de combinaciones que podría alterar lo mencionado en </w:t>
      </w:r>
      <w:r>
        <w:rPr>
          <w:spacing w:val="-3"/>
        </w:rPr>
        <w:t>estas </w:t>
      </w:r>
      <w:r>
        <w:rPr/>
        <w:t>líneas. Se plantea que </w:t>
      </w:r>
      <w:r>
        <w:rPr>
          <w:spacing w:val="-5"/>
        </w:rPr>
        <w:t>la </w:t>
      </w:r>
      <w:r>
        <w:rPr/>
        <w:t>persona puede mostrar alta alguna de las dos variables, comprensión de lectura en L1 y competencia lingüística en L2, y baja la otra y aún así obtener un resultado alto en la comprensión de lectura, lo cual indicaría un proceso de compensación. Esto se comprobará con base </w:t>
      </w:r>
      <w:r>
        <w:rPr>
          <w:spacing w:val="-3"/>
        </w:rPr>
        <w:t>en </w:t>
      </w:r>
      <w:r>
        <w:rPr/>
        <w:t>un número de personas </w:t>
      </w:r>
      <w:r>
        <w:rPr>
          <w:spacing w:val="2"/>
        </w:rPr>
        <w:t>con </w:t>
      </w:r>
      <w:r>
        <w:rPr/>
        <w:t>estas características, si este número es significativo indicará </w:t>
      </w:r>
      <w:r>
        <w:rPr>
          <w:spacing w:val="-5"/>
        </w:rPr>
        <w:t>la </w:t>
      </w:r>
      <w:r>
        <w:rPr/>
        <w:t>relevancia del proceso. Si no </w:t>
      </w:r>
      <w:r>
        <w:rPr>
          <w:spacing w:val="-5"/>
        </w:rPr>
        <w:t>lo </w:t>
      </w:r>
      <w:r>
        <w:rPr/>
        <w:t>es, no se negará su existencia pero sí su validez como un factor que pueda ayudar a predecir buenos resultados  </w:t>
      </w:r>
      <w:r>
        <w:rPr>
          <w:spacing w:val="-3"/>
        </w:rPr>
        <w:t>en  </w:t>
      </w:r>
      <w:r>
        <w:rPr/>
        <w:t>comprensión  de lectura en L2. Así que, un individuo podría mostrar comportamientos distintos al esperado, como una baja comprensión de lectura en L1, baja competencia lingüística en L2 y aún así una alta comprensión lectora en L2, o bajos resultados  en todas las variables. Dependiendo del número de individuos  que  muestren  dichas características podría o no comprobarse el proceso de compensación. La siguiente tabla muestra los posibles </w:t>
      </w:r>
      <w:r>
        <w:rPr>
          <w:spacing w:val="6"/>
        </w:rPr>
        <w:t> </w:t>
      </w:r>
      <w:r>
        <w:rPr/>
        <w:t>escenarios:</w:t>
      </w:r>
    </w:p>
    <w:p>
      <w:pPr>
        <w:pStyle w:val="BodyText"/>
        <w:rPr>
          <w:sz w:val="22"/>
        </w:rPr>
      </w:pPr>
    </w:p>
    <w:p>
      <w:pPr>
        <w:spacing w:before="159"/>
        <w:ind w:left="2093" w:right="213" w:firstLine="0"/>
        <w:jc w:val="left"/>
        <w:rPr>
          <w:sz w:val="19"/>
        </w:rPr>
      </w:pPr>
      <w:r>
        <w:rPr>
          <w:w w:val="105"/>
          <w:sz w:val="19"/>
        </w:rPr>
        <w:t>Tabla 2.1. Combinaciones de resultados en variables.</w:t>
      </w:r>
    </w:p>
    <w:p>
      <w:pPr>
        <w:pStyle w:val="BodyText"/>
        <w:spacing w:before="3"/>
        <w:rPr>
          <w:sz w:val="10"/>
        </w:rPr>
      </w:pPr>
    </w:p>
    <w:tbl>
      <w:tblPr>
        <w:tblW w:w="0" w:type="auto"/>
        <w:jc w:val="left"/>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8"/>
        <w:gridCol w:w="907"/>
        <w:gridCol w:w="907"/>
        <w:gridCol w:w="907"/>
        <w:gridCol w:w="898"/>
        <w:gridCol w:w="907"/>
        <w:gridCol w:w="902"/>
        <w:gridCol w:w="902"/>
        <w:gridCol w:w="902"/>
      </w:tblGrid>
      <w:tr>
        <w:trPr>
          <w:trHeight w:val="312" w:hRule="exact"/>
        </w:trPr>
        <w:tc>
          <w:tcPr>
            <w:tcW w:w="1258" w:type="dxa"/>
          </w:tcPr>
          <w:p>
            <w:pPr>
              <w:pStyle w:val="TableParagraph"/>
              <w:spacing w:line="194" w:lineRule="exact"/>
              <w:ind w:left="235"/>
              <w:jc w:val="left"/>
              <w:rPr>
                <w:sz w:val="17"/>
              </w:rPr>
            </w:pPr>
            <w:r>
              <w:rPr>
                <w:w w:val="105"/>
                <w:sz w:val="17"/>
              </w:rPr>
              <w:t>Escenario</w:t>
            </w:r>
          </w:p>
        </w:tc>
        <w:tc>
          <w:tcPr>
            <w:tcW w:w="907" w:type="dxa"/>
          </w:tcPr>
          <w:p>
            <w:pPr>
              <w:pStyle w:val="TableParagraph"/>
              <w:spacing w:line="194" w:lineRule="exact"/>
              <w:ind w:left="7"/>
              <w:jc w:val="center"/>
              <w:rPr>
                <w:sz w:val="17"/>
              </w:rPr>
            </w:pPr>
            <w:r>
              <w:rPr>
                <w:w w:val="104"/>
                <w:sz w:val="17"/>
              </w:rPr>
              <w:t>1</w:t>
            </w:r>
          </w:p>
        </w:tc>
        <w:tc>
          <w:tcPr>
            <w:tcW w:w="907" w:type="dxa"/>
          </w:tcPr>
          <w:p>
            <w:pPr>
              <w:pStyle w:val="TableParagraph"/>
              <w:spacing w:line="194" w:lineRule="exact"/>
              <w:jc w:val="center"/>
              <w:rPr>
                <w:sz w:val="17"/>
              </w:rPr>
            </w:pPr>
            <w:r>
              <w:rPr>
                <w:w w:val="104"/>
                <w:sz w:val="17"/>
              </w:rPr>
              <w:t>2</w:t>
            </w:r>
          </w:p>
        </w:tc>
        <w:tc>
          <w:tcPr>
            <w:tcW w:w="907" w:type="dxa"/>
          </w:tcPr>
          <w:p>
            <w:pPr>
              <w:pStyle w:val="TableParagraph"/>
              <w:spacing w:line="194" w:lineRule="exact"/>
              <w:ind w:left="393"/>
              <w:jc w:val="left"/>
              <w:rPr>
                <w:sz w:val="17"/>
              </w:rPr>
            </w:pPr>
            <w:r>
              <w:rPr>
                <w:w w:val="104"/>
                <w:sz w:val="17"/>
              </w:rPr>
              <w:t>3</w:t>
            </w:r>
          </w:p>
        </w:tc>
        <w:tc>
          <w:tcPr>
            <w:tcW w:w="898" w:type="dxa"/>
          </w:tcPr>
          <w:p>
            <w:pPr>
              <w:pStyle w:val="TableParagraph"/>
              <w:spacing w:line="194" w:lineRule="exact"/>
              <w:jc w:val="center"/>
              <w:rPr>
                <w:sz w:val="17"/>
              </w:rPr>
            </w:pPr>
            <w:r>
              <w:rPr>
                <w:w w:val="104"/>
                <w:sz w:val="17"/>
              </w:rPr>
              <w:t>4</w:t>
            </w:r>
          </w:p>
        </w:tc>
        <w:tc>
          <w:tcPr>
            <w:tcW w:w="907" w:type="dxa"/>
          </w:tcPr>
          <w:p>
            <w:pPr>
              <w:pStyle w:val="TableParagraph"/>
              <w:spacing w:line="194" w:lineRule="exact"/>
              <w:jc w:val="center"/>
              <w:rPr>
                <w:sz w:val="17"/>
              </w:rPr>
            </w:pPr>
            <w:r>
              <w:rPr>
                <w:w w:val="104"/>
                <w:sz w:val="17"/>
              </w:rPr>
              <w:t>5</w:t>
            </w:r>
          </w:p>
        </w:tc>
        <w:tc>
          <w:tcPr>
            <w:tcW w:w="902" w:type="dxa"/>
          </w:tcPr>
          <w:p>
            <w:pPr>
              <w:pStyle w:val="TableParagraph"/>
              <w:spacing w:line="194" w:lineRule="exact"/>
              <w:ind w:left="393"/>
              <w:jc w:val="left"/>
              <w:rPr>
                <w:sz w:val="17"/>
              </w:rPr>
            </w:pPr>
            <w:r>
              <w:rPr>
                <w:w w:val="104"/>
                <w:sz w:val="17"/>
              </w:rPr>
              <w:t>6</w:t>
            </w:r>
          </w:p>
        </w:tc>
        <w:tc>
          <w:tcPr>
            <w:tcW w:w="902" w:type="dxa"/>
          </w:tcPr>
          <w:p>
            <w:pPr>
              <w:pStyle w:val="TableParagraph"/>
              <w:spacing w:line="194" w:lineRule="exact"/>
              <w:ind w:left="2"/>
              <w:jc w:val="center"/>
              <w:rPr>
                <w:sz w:val="17"/>
              </w:rPr>
            </w:pPr>
            <w:r>
              <w:rPr>
                <w:w w:val="104"/>
                <w:sz w:val="17"/>
              </w:rPr>
              <w:t>7</w:t>
            </w:r>
          </w:p>
        </w:tc>
        <w:tc>
          <w:tcPr>
            <w:tcW w:w="902" w:type="dxa"/>
          </w:tcPr>
          <w:p>
            <w:pPr>
              <w:pStyle w:val="TableParagraph"/>
              <w:spacing w:line="194" w:lineRule="exact"/>
              <w:ind w:left="398"/>
              <w:jc w:val="left"/>
              <w:rPr>
                <w:sz w:val="17"/>
              </w:rPr>
            </w:pPr>
            <w:r>
              <w:rPr>
                <w:w w:val="104"/>
                <w:sz w:val="17"/>
              </w:rPr>
              <w:t>8</w:t>
            </w:r>
          </w:p>
        </w:tc>
      </w:tr>
      <w:tr>
        <w:trPr>
          <w:trHeight w:val="614" w:hRule="exact"/>
        </w:trPr>
        <w:tc>
          <w:tcPr>
            <w:tcW w:w="1258" w:type="dxa"/>
          </w:tcPr>
          <w:p>
            <w:pPr>
              <w:pStyle w:val="TableParagraph"/>
              <w:spacing w:line="372" w:lineRule="auto"/>
              <w:ind w:left="105"/>
              <w:jc w:val="left"/>
              <w:rPr>
                <w:sz w:val="17"/>
              </w:rPr>
            </w:pPr>
            <w:r>
              <w:rPr>
                <w:w w:val="105"/>
                <w:sz w:val="17"/>
              </w:rPr>
              <w:t>Habilidad de lectura L1</w:t>
            </w:r>
          </w:p>
        </w:tc>
        <w:tc>
          <w:tcPr>
            <w:tcW w:w="907" w:type="dxa"/>
          </w:tcPr>
          <w:p>
            <w:pPr>
              <w:pStyle w:val="TableParagraph"/>
              <w:spacing w:line="297" w:lineRule="exact"/>
              <w:jc w:val="center"/>
              <w:rPr>
                <w:sz w:val="27"/>
              </w:rPr>
            </w:pPr>
            <w:r>
              <w:rPr>
                <w:w w:val="100"/>
                <w:sz w:val="27"/>
              </w:rPr>
              <w:t>+</w:t>
            </w:r>
          </w:p>
        </w:tc>
        <w:tc>
          <w:tcPr>
            <w:tcW w:w="907" w:type="dxa"/>
          </w:tcPr>
          <w:p>
            <w:pPr>
              <w:pStyle w:val="TableParagraph"/>
              <w:spacing w:line="297" w:lineRule="exact"/>
              <w:jc w:val="center"/>
              <w:rPr>
                <w:sz w:val="27"/>
              </w:rPr>
            </w:pPr>
            <w:r>
              <w:rPr>
                <w:w w:val="100"/>
                <w:sz w:val="27"/>
              </w:rPr>
              <w:t>-</w:t>
            </w:r>
          </w:p>
        </w:tc>
        <w:tc>
          <w:tcPr>
            <w:tcW w:w="907" w:type="dxa"/>
          </w:tcPr>
          <w:p>
            <w:pPr>
              <w:pStyle w:val="TableParagraph"/>
              <w:spacing w:line="297" w:lineRule="exact"/>
              <w:ind w:left="364"/>
              <w:jc w:val="left"/>
              <w:rPr>
                <w:sz w:val="27"/>
              </w:rPr>
            </w:pPr>
            <w:r>
              <w:rPr>
                <w:w w:val="100"/>
                <w:sz w:val="27"/>
              </w:rPr>
              <w:t>+</w:t>
            </w:r>
          </w:p>
        </w:tc>
        <w:tc>
          <w:tcPr>
            <w:tcW w:w="898" w:type="dxa"/>
          </w:tcPr>
          <w:p>
            <w:pPr>
              <w:pStyle w:val="TableParagraph"/>
              <w:spacing w:line="297" w:lineRule="exact"/>
              <w:jc w:val="center"/>
              <w:rPr>
                <w:sz w:val="27"/>
              </w:rPr>
            </w:pPr>
            <w:r>
              <w:rPr>
                <w:w w:val="100"/>
                <w:sz w:val="27"/>
              </w:rPr>
              <w:t>-</w:t>
            </w:r>
          </w:p>
        </w:tc>
        <w:tc>
          <w:tcPr>
            <w:tcW w:w="907" w:type="dxa"/>
          </w:tcPr>
          <w:p>
            <w:pPr>
              <w:pStyle w:val="TableParagraph"/>
              <w:spacing w:line="297" w:lineRule="exact"/>
              <w:jc w:val="center"/>
              <w:rPr>
                <w:sz w:val="27"/>
              </w:rPr>
            </w:pPr>
            <w:r>
              <w:rPr>
                <w:w w:val="100"/>
                <w:sz w:val="27"/>
              </w:rPr>
              <w:t>+</w:t>
            </w:r>
          </w:p>
        </w:tc>
        <w:tc>
          <w:tcPr>
            <w:tcW w:w="902" w:type="dxa"/>
          </w:tcPr>
          <w:p>
            <w:pPr>
              <w:pStyle w:val="TableParagraph"/>
              <w:spacing w:line="297" w:lineRule="exact"/>
              <w:ind w:left="398"/>
              <w:jc w:val="left"/>
              <w:rPr>
                <w:sz w:val="27"/>
              </w:rPr>
            </w:pPr>
            <w:r>
              <w:rPr>
                <w:w w:val="100"/>
                <w:sz w:val="27"/>
              </w:rPr>
              <w:t>-</w:t>
            </w:r>
          </w:p>
        </w:tc>
        <w:tc>
          <w:tcPr>
            <w:tcW w:w="902" w:type="dxa"/>
          </w:tcPr>
          <w:p>
            <w:pPr>
              <w:pStyle w:val="TableParagraph"/>
              <w:spacing w:line="297" w:lineRule="exact"/>
              <w:ind w:left="4"/>
              <w:jc w:val="center"/>
              <w:rPr>
                <w:sz w:val="27"/>
              </w:rPr>
            </w:pPr>
            <w:r>
              <w:rPr>
                <w:w w:val="100"/>
                <w:sz w:val="27"/>
              </w:rPr>
              <w:t>+</w:t>
            </w:r>
          </w:p>
        </w:tc>
        <w:tc>
          <w:tcPr>
            <w:tcW w:w="902" w:type="dxa"/>
          </w:tcPr>
          <w:p>
            <w:pPr>
              <w:pStyle w:val="TableParagraph"/>
              <w:spacing w:line="297" w:lineRule="exact"/>
              <w:ind w:left="403"/>
              <w:jc w:val="left"/>
              <w:rPr>
                <w:sz w:val="27"/>
              </w:rPr>
            </w:pPr>
            <w:r>
              <w:rPr>
                <w:w w:val="100"/>
                <w:sz w:val="27"/>
              </w:rPr>
              <w:t>-</w:t>
            </w:r>
          </w:p>
        </w:tc>
      </w:tr>
      <w:tr>
        <w:trPr>
          <w:trHeight w:val="614" w:hRule="exact"/>
        </w:trPr>
        <w:tc>
          <w:tcPr>
            <w:tcW w:w="1258" w:type="dxa"/>
          </w:tcPr>
          <w:p>
            <w:pPr>
              <w:pStyle w:val="TableParagraph"/>
              <w:spacing w:line="372" w:lineRule="auto"/>
              <w:ind w:left="105"/>
              <w:jc w:val="left"/>
              <w:rPr>
                <w:sz w:val="17"/>
              </w:rPr>
            </w:pPr>
            <w:r>
              <w:rPr>
                <w:w w:val="105"/>
                <w:sz w:val="17"/>
              </w:rPr>
              <w:t>Competencia lingüística L2</w:t>
            </w:r>
          </w:p>
        </w:tc>
        <w:tc>
          <w:tcPr>
            <w:tcW w:w="907" w:type="dxa"/>
          </w:tcPr>
          <w:p>
            <w:pPr>
              <w:pStyle w:val="TableParagraph"/>
              <w:spacing w:line="302" w:lineRule="exact"/>
              <w:ind w:left="8"/>
              <w:jc w:val="center"/>
              <w:rPr>
                <w:sz w:val="27"/>
              </w:rPr>
            </w:pPr>
            <w:r>
              <w:rPr>
                <w:w w:val="100"/>
                <w:sz w:val="27"/>
              </w:rPr>
              <w:t>-</w:t>
            </w:r>
          </w:p>
        </w:tc>
        <w:tc>
          <w:tcPr>
            <w:tcW w:w="907" w:type="dxa"/>
          </w:tcPr>
          <w:p>
            <w:pPr>
              <w:pStyle w:val="TableParagraph"/>
              <w:spacing w:line="302" w:lineRule="exact"/>
              <w:ind w:right="7"/>
              <w:jc w:val="center"/>
              <w:rPr>
                <w:sz w:val="27"/>
              </w:rPr>
            </w:pPr>
            <w:r>
              <w:rPr>
                <w:w w:val="100"/>
                <w:sz w:val="27"/>
              </w:rPr>
              <w:t>+</w:t>
            </w:r>
          </w:p>
        </w:tc>
        <w:tc>
          <w:tcPr>
            <w:tcW w:w="907" w:type="dxa"/>
          </w:tcPr>
          <w:p>
            <w:pPr>
              <w:pStyle w:val="TableParagraph"/>
              <w:spacing w:line="302" w:lineRule="exact"/>
              <w:ind w:left="364"/>
              <w:jc w:val="left"/>
              <w:rPr>
                <w:sz w:val="27"/>
              </w:rPr>
            </w:pPr>
            <w:r>
              <w:rPr>
                <w:w w:val="100"/>
                <w:sz w:val="27"/>
              </w:rPr>
              <w:t>+</w:t>
            </w:r>
          </w:p>
        </w:tc>
        <w:tc>
          <w:tcPr>
            <w:tcW w:w="898" w:type="dxa"/>
          </w:tcPr>
          <w:p>
            <w:pPr>
              <w:pStyle w:val="TableParagraph"/>
              <w:spacing w:line="302" w:lineRule="exact"/>
              <w:jc w:val="center"/>
              <w:rPr>
                <w:sz w:val="27"/>
              </w:rPr>
            </w:pPr>
            <w:r>
              <w:rPr>
                <w:w w:val="100"/>
                <w:sz w:val="27"/>
              </w:rPr>
              <w:t>-</w:t>
            </w:r>
          </w:p>
        </w:tc>
        <w:tc>
          <w:tcPr>
            <w:tcW w:w="907" w:type="dxa"/>
          </w:tcPr>
          <w:p>
            <w:pPr>
              <w:pStyle w:val="TableParagraph"/>
              <w:spacing w:line="302" w:lineRule="exact"/>
              <w:jc w:val="center"/>
              <w:rPr>
                <w:sz w:val="27"/>
              </w:rPr>
            </w:pPr>
            <w:r>
              <w:rPr>
                <w:w w:val="100"/>
                <w:sz w:val="27"/>
              </w:rPr>
              <w:t>-</w:t>
            </w:r>
          </w:p>
        </w:tc>
        <w:tc>
          <w:tcPr>
            <w:tcW w:w="902" w:type="dxa"/>
          </w:tcPr>
          <w:p>
            <w:pPr>
              <w:pStyle w:val="TableParagraph"/>
              <w:spacing w:line="302" w:lineRule="exact"/>
              <w:ind w:left="364"/>
              <w:jc w:val="left"/>
              <w:rPr>
                <w:sz w:val="27"/>
              </w:rPr>
            </w:pPr>
            <w:r>
              <w:rPr>
                <w:w w:val="100"/>
                <w:sz w:val="27"/>
              </w:rPr>
              <w:t>+</w:t>
            </w:r>
          </w:p>
        </w:tc>
        <w:tc>
          <w:tcPr>
            <w:tcW w:w="902" w:type="dxa"/>
          </w:tcPr>
          <w:p>
            <w:pPr>
              <w:pStyle w:val="TableParagraph"/>
              <w:spacing w:line="302" w:lineRule="exact"/>
              <w:ind w:left="4"/>
              <w:jc w:val="center"/>
              <w:rPr>
                <w:sz w:val="27"/>
              </w:rPr>
            </w:pPr>
            <w:r>
              <w:rPr>
                <w:w w:val="100"/>
                <w:sz w:val="27"/>
              </w:rPr>
              <w:t>+</w:t>
            </w:r>
          </w:p>
        </w:tc>
        <w:tc>
          <w:tcPr>
            <w:tcW w:w="902" w:type="dxa"/>
          </w:tcPr>
          <w:p>
            <w:pPr>
              <w:pStyle w:val="TableParagraph"/>
              <w:spacing w:line="302" w:lineRule="exact"/>
              <w:ind w:left="403"/>
              <w:jc w:val="left"/>
              <w:rPr>
                <w:sz w:val="27"/>
              </w:rPr>
            </w:pPr>
            <w:r>
              <w:rPr>
                <w:w w:val="100"/>
                <w:sz w:val="27"/>
              </w:rPr>
              <w:t>-</w:t>
            </w:r>
          </w:p>
        </w:tc>
      </w:tr>
      <w:tr>
        <w:trPr>
          <w:trHeight w:val="614" w:hRule="exact"/>
        </w:trPr>
        <w:tc>
          <w:tcPr>
            <w:tcW w:w="1258" w:type="dxa"/>
          </w:tcPr>
          <w:p>
            <w:pPr>
              <w:pStyle w:val="TableParagraph"/>
              <w:spacing w:line="372" w:lineRule="auto"/>
              <w:ind w:left="105"/>
              <w:jc w:val="left"/>
              <w:rPr>
                <w:sz w:val="17"/>
              </w:rPr>
            </w:pPr>
            <w:r>
              <w:rPr>
                <w:w w:val="105"/>
                <w:sz w:val="17"/>
              </w:rPr>
              <w:t>Comprensión de lectura L2</w:t>
            </w:r>
          </w:p>
        </w:tc>
        <w:tc>
          <w:tcPr>
            <w:tcW w:w="907" w:type="dxa"/>
          </w:tcPr>
          <w:p>
            <w:pPr>
              <w:pStyle w:val="TableParagraph"/>
              <w:spacing w:line="297" w:lineRule="exact"/>
              <w:jc w:val="center"/>
              <w:rPr>
                <w:sz w:val="27"/>
              </w:rPr>
            </w:pPr>
            <w:r>
              <w:rPr>
                <w:w w:val="100"/>
                <w:sz w:val="27"/>
              </w:rPr>
              <w:t>+</w:t>
            </w:r>
          </w:p>
        </w:tc>
        <w:tc>
          <w:tcPr>
            <w:tcW w:w="907" w:type="dxa"/>
          </w:tcPr>
          <w:p>
            <w:pPr>
              <w:pStyle w:val="TableParagraph"/>
              <w:spacing w:line="297" w:lineRule="exact"/>
              <w:ind w:right="7"/>
              <w:jc w:val="center"/>
              <w:rPr>
                <w:sz w:val="27"/>
              </w:rPr>
            </w:pPr>
            <w:r>
              <w:rPr>
                <w:w w:val="100"/>
                <w:sz w:val="27"/>
              </w:rPr>
              <w:t>+</w:t>
            </w:r>
          </w:p>
        </w:tc>
        <w:tc>
          <w:tcPr>
            <w:tcW w:w="907" w:type="dxa"/>
          </w:tcPr>
          <w:p>
            <w:pPr>
              <w:pStyle w:val="TableParagraph"/>
              <w:spacing w:line="297" w:lineRule="exact"/>
              <w:ind w:left="398"/>
              <w:jc w:val="left"/>
              <w:rPr>
                <w:sz w:val="27"/>
              </w:rPr>
            </w:pPr>
            <w:r>
              <w:rPr>
                <w:w w:val="100"/>
                <w:sz w:val="27"/>
              </w:rPr>
              <w:t>-</w:t>
            </w:r>
          </w:p>
        </w:tc>
        <w:tc>
          <w:tcPr>
            <w:tcW w:w="898" w:type="dxa"/>
          </w:tcPr>
          <w:p>
            <w:pPr>
              <w:pStyle w:val="TableParagraph"/>
              <w:spacing w:line="297" w:lineRule="exact"/>
              <w:ind w:right="7"/>
              <w:jc w:val="center"/>
              <w:rPr>
                <w:sz w:val="27"/>
              </w:rPr>
            </w:pPr>
            <w:r>
              <w:rPr>
                <w:w w:val="100"/>
                <w:sz w:val="27"/>
              </w:rPr>
              <w:t>+</w:t>
            </w:r>
          </w:p>
        </w:tc>
        <w:tc>
          <w:tcPr>
            <w:tcW w:w="907" w:type="dxa"/>
          </w:tcPr>
          <w:p>
            <w:pPr>
              <w:pStyle w:val="TableParagraph"/>
              <w:spacing w:line="297" w:lineRule="exact"/>
              <w:jc w:val="center"/>
              <w:rPr>
                <w:sz w:val="27"/>
              </w:rPr>
            </w:pPr>
            <w:r>
              <w:rPr>
                <w:w w:val="100"/>
                <w:sz w:val="27"/>
              </w:rPr>
              <w:t>-</w:t>
            </w:r>
          </w:p>
        </w:tc>
        <w:tc>
          <w:tcPr>
            <w:tcW w:w="902" w:type="dxa"/>
          </w:tcPr>
          <w:p>
            <w:pPr>
              <w:pStyle w:val="TableParagraph"/>
              <w:spacing w:line="297" w:lineRule="exact"/>
              <w:ind w:left="398"/>
              <w:jc w:val="left"/>
              <w:rPr>
                <w:sz w:val="27"/>
              </w:rPr>
            </w:pPr>
            <w:r>
              <w:rPr>
                <w:w w:val="100"/>
                <w:sz w:val="27"/>
              </w:rPr>
              <w:t>-</w:t>
            </w:r>
          </w:p>
        </w:tc>
        <w:tc>
          <w:tcPr>
            <w:tcW w:w="902" w:type="dxa"/>
          </w:tcPr>
          <w:p>
            <w:pPr>
              <w:pStyle w:val="TableParagraph"/>
              <w:spacing w:line="297" w:lineRule="exact"/>
              <w:ind w:left="4"/>
              <w:jc w:val="center"/>
              <w:rPr>
                <w:sz w:val="27"/>
              </w:rPr>
            </w:pPr>
            <w:r>
              <w:rPr>
                <w:w w:val="100"/>
                <w:sz w:val="27"/>
              </w:rPr>
              <w:t>+</w:t>
            </w:r>
          </w:p>
        </w:tc>
        <w:tc>
          <w:tcPr>
            <w:tcW w:w="902" w:type="dxa"/>
          </w:tcPr>
          <w:p>
            <w:pPr>
              <w:pStyle w:val="TableParagraph"/>
              <w:spacing w:line="297" w:lineRule="exact"/>
              <w:ind w:left="403"/>
              <w:jc w:val="left"/>
              <w:rPr>
                <w:sz w:val="27"/>
              </w:rPr>
            </w:pPr>
            <w:r>
              <w:rPr>
                <w:w w:val="100"/>
                <w:sz w:val="27"/>
              </w:rPr>
              <w:t>-</w:t>
            </w:r>
          </w:p>
        </w:tc>
      </w:tr>
    </w:tbl>
    <w:p>
      <w:pPr>
        <w:spacing w:line="242" w:lineRule="auto" w:before="0"/>
        <w:ind w:left="115" w:right="6282" w:firstLine="0"/>
        <w:jc w:val="left"/>
        <w:rPr>
          <w:sz w:val="19"/>
        </w:rPr>
      </w:pPr>
      <w:r>
        <w:rPr>
          <w:w w:val="105"/>
          <w:sz w:val="19"/>
        </w:rPr>
        <w:t>(+) Indica una variable alta. (-) Indica una variable baja.</w:t>
      </w:r>
    </w:p>
    <w:p>
      <w:pPr>
        <w:pStyle w:val="BodyText"/>
        <w:rPr>
          <w:sz w:val="20"/>
        </w:rPr>
      </w:pPr>
    </w:p>
    <w:p>
      <w:pPr>
        <w:pStyle w:val="BodyText"/>
        <w:spacing w:line="364" w:lineRule="auto" w:before="174"/>
        <w:ind w:left="115" w:right="213"/>
      </w:pPr>
      <w:r>
        <w:rPr/>
        <w:t>En la tabla se pueden observar los ocho escenarios posibles que se explican a continuación:</w:t>
      </w:r>
    </w:p>
    <w:p>
      <w:pPr>
        <w:pStyle w:val="BodyText"/>
        <w:rPr>
          <w:sz w:val="22"/>
        </w:rPr>
      </w:pPr>
    </w:p>
    <w:p>
      <w:pPr>
        <w:pStyle w:val="ListParagraph"/>
        <w:numPr>
          <w:ilvl w:val="2"/>
          <w:numId w:val="9"/>
        </w:numPr>
        <w:tabs>
          <w:tab w:pos="817" w:val="left" w:leader="none"/>
        </w:tabs>
        <w:spacing w:line="364" w:lineRule="auto" w:before="150" w:after="0"/>
        <w:ind w:left="816" w:right="104" w:hanging="350"/>
        <w:jc w:val="both"/>
        <w:rPr>
          <w:sz w:val="23"/>
        </w:rPr>
      </w:pPr>
      <w:r>
        <w:rPr>
          <w:sz w:val="23"/>
        </w:rPr>
        <w:t>De estos ocho el 1 y 2 muestran un proceso de compensación. El número 1 compensa el poco desarrollo de su competencia lingüística con una alta capacidad de comprender textos en </w:t>
      </w:r>
      <w:r>
        <w:rPr>
          <w:spacing w:val="4"/>
          <w:sz w:val="23"/>
        </w:rPr>
        <w:t>su </w:t>
      </w:r>
      <w:r>
        <w:rPr>
          <w:sz w:val="23"/>
        </w:rPr>
        <w:t>lengua nativa para obtener una comprensión alta en L2. El </w:t>
      </w:r>
      <w:r>
        <w:rPr>
          <w:spacing w:val="2"/>
          <w:sz w:val="23"/>
        </w:rPr>
        <w:t>caso </w:t>
      </w:r>
      <w:r>
        <w:rPr>
          <w:sz w:val="23"/>
        </w:rPr>
        <w:t>número 2 utiliza una alta competencia lingüística  en  L2  para  compensar  una  escasa  habilidad  lectora  en    </w:t>
      </w:r>
      <w:r>
        <w:rPr>
          <w:spacing w:val="58"/>
          <w:sz w:val="23"/>
        </w:rPr>
        <w:t> </w:t>
      </w:r>
      <w:r>
        <w:rPr>
          <w:sz w:val="23"/>
        </w:rPr>
        <w:t>su</w:t>
      </w:r>
    </w:p>
    <w:p>
      <w:pPr>
        <w:spacing w:after="0" w:line="364" w:lineRule="auto"/>
        <w:jc w:val="both"/>
        <w:rPr>
          <w:sz w:val="23"/>
        </w:rPr>
        <w:sectPr>
          <w:headerReference w:type="default" r:id="rId14"/>
          <w:pgSz w:w="11910" w:h="16840"/>
          <w:pgMar w:header="1424" w:footer="0" w:top="1840" w:bottom="280" w:left="1540" w:right="1540"/>
          <w:pgNumType w:start="40"/>
        </w:sectPr>
      </w:pPr>
    </w:p>
    <w:p>
      <w:pPr>
        <w:pStyle w:val="BodyText"/>
        <w:spacing w:before="11"/>
        <w:rPr>
          <w:sz w:val="16"/>
        </w:rPr>
      </w:pPr>
    </w:p>
    <w:p>
      <w:pPr>
        <w:pStyle w:val="BodyText"/>
        <w:spacing w:line="364" w:lineRule="auto" w:before="73"/>
        <w:ind w:left="816" w:right="213"/>
      </w:pPr>
      <w:r>
        <w:rPr/>
        <w:t>primera lengua y de esta manera obtener una comprensión de lectura exitosa.</w:t>
      </w:r>
    </w:p>
    <w:p>
      <w:pPr>
        <w:pStyle w:val="BodyText"/>
        <w:rPr>
          <w:sz w:val="22"/>
        </w:rPr>
      </w:pPr>
    </w:p>
    <w:p>
      <w:pPr>
        <w:pStyle w:val="ListParagraph"/>
        <w:numPr>
          <w:ilvl w:val="2"/>
          <w:numId w:val="9"/>
        </w:numPr>
        <w:tabs>
          <w:tab w:pos="817" w:val="left" w:leader="none"/>
        </w:tabs>
        <w:spacing w:line="364" w:lineRule="auto" w:before="155" w:after="0"/>
        <w:ind w:left="816" w:right="103" w:hanging="350"/>
        <w:jc w:val="both"/>
        <w:rPr>
          <w:sz w:val="23"/>
        </w:rPr>
      </w:pPr>
      <w:r>
        <w:rPr>
          <w:sz w:val="23"/>
        </w:rPr>
        <w:t>El escenario 3 muestra una </w:t>
      </w:r>
      <w:r>
        <w:rPr>
          <w:spacing w:val="-3"/>
          <w:sz w:val="23"/>
        </w:rPr>
        <w:t>baja </w:t>
      </w:r>
      <w:r>
        <w:rPr>
          <w:sz w:val="23"/>
        </w:rPr>
        <w:t>comprensión lectora en  L2  a  pesar  de tener una alta capacidad de comprensión lectora en L1 y una competencia lingüística </w:t>
      </w:r>
      <w:r>
        <w:rPr>
          <w:spacing w:val="-3"/>
          <w:sz w:val="23"/>
        </w:rPr>
        <w:t>en </w:t>
      </w:r>
      <w:r>
        <w:rPr>
          <w:sz w:val="23"/>
        </w:rPr>
        <w:t>L2 altamente desarrollada. El escenario 4 muestra una alta comprensión lectora en segunda lengua a pesar de bajos recursos tanto de habilidad lectora en L1 como competencia lingüística en L2. Estos </w:t>
      </w:r>
      <w:r>
        <w:rPr>
          <w:spacing w:val="-4"/>
          <w:sz w:val="23"/>
        </w:rPr>
        <w:t>dos  </w:t>
      </w:r>
      <w:r>
        <w:rPr>
          <w:sz w:val="23"/>
        </w:rPr>
        <w:t>últimos escenarios, el 3 y el 4, en los que el resultado de comprensión  lectora en L2 </w:t>
      </w:r>
      <w:r>
        <w:rPr>
          <w:spacing w:val="-3"/>
          <w:sz w:val="23"/>
        </w:rPr>
        <w:t>es </w:t>
      </w:r>
      <w:r>
        <w:rPr>
          <w:sz w:val="23"/>
        </w:rPr>
        <w:t>opuesto al nivel mostrado </w:t>
      </w:r>
      <w:r>
        <w:rPr>
          <w:spacing w:val="-3"/>
          <w:sz w:val="23"/>
        </w:rPr>
        <w:t>en </w:t>
      </w:r>
      <w:r>
        <w:rPr>
          <w:sz w:val="23"/>
        </w:rPr>
        <w:t>las otras dos variables, son poco probables de encontrar y en caso de existir responderían a casos especiales cuyos resultados podrían estar afectados por situaciones particulares al momento de la obtención del </w:t>
      </w:r>
      <w:r>
        <w:rPr>
          <w:spacing w:val="14"/>
          <w:sz w:val="23"/>
        </w:rPr>
        <w:t> </w:t>
      </w:r>
      <w:r>
        <w:rPr>
          <w:sz w:val="23"/>
        </w:rPr>
        <w:t>resultado.</w:t>
      </w:r>
    </w:p>
    <w:p>
      <w:pPr>
        <w:pStyle w:val="BodyText"/>
        <w:rPr>
          <w:sz w:val="22"/>
        </w:rPr>
      </w:pPr>
    </w:p>
    <w:p>
      <w:pPr>
        <w:pStyle w:val="ListParagraph"/>
        <w:numPr>
          <w:ilvl w:val="2"/>
          <w:numId w:val="9"/>
        </w:numPr>
        <w:tabs>
          <w:tab w:pos="817" w:val="left" w:leader="none"/>
        </w:tabs>
        <w:spacing w:line="364" w:lineRule="auto" w:before="155" w:after="0"/>
        <w:ind w:left="816" w:right="100" w:hanging="350"/>
        <w:jc w:val="both"/>
        <w:rPr>
          <w:sz w:val="23"/>
        </w:rPr>
      </w:pPr>
      <w:r>
        <w:rPr>
          <w:sz w:val="23"/>
        </w:rPr>
        <w:t>Los escenarios 5 y 6 indican una baja comprensión lectora </w:t>
      </w:r>
      <w:r>
        <w:rPr>
          <w:spacing w:val="-3"/>
          <w:sz w:val="23"/>
        </w:rPr>
        <w:t>en </w:t>
      </w:r>
      <w:r>
        <w:rPr>
          <w:sz w:val="23"/>
        </w:rPr>
        <w:t>L2 como resultado de un pobre desempeño en alguna de </w:t>
      </w:r>
      <w:r>
        <w:rPr>
          <w:spacing w:val="-4"/>
          <w:sz w:val="23"/>
        </w:rPr>
        <w:t>las </w:t>
      </w:r>
      <w:r>
        <w:rPr>
          <w:sz w:val="23"/>
        </w:rPr>
        <w:t>otras dos variables. El escenario 5 indica que a pesar de ser buen lector en L1, su  poca competencia lingüística en </w:t>
      </w:r>
      <w:r>
        <w:rPr>
          <w:spacing w:val="-3"/>
          <w:sz w:val="23"/>
        </w:rPr>
        <w:t>L2 </w:t>
      </w:r>
      <w:r>
        <w:rPr>
          <w:sz w:val="23"/>
        </w:rPr>
        <w:t>le impide obtener un resultado satisfactorio    en comprensión de lectura en L2. Por otro lado, el escenario 6 indica que    no obstante se tiene alta competencia lingüística en L2, se tienen bajos resultados en comprensión de lectura en L2, probablemente como resultado de una pobre habilidad lectora en L1. Este par de escenarios indican </w:t>
      </w:r>
      <w:r>
        <w:rPr>
          <w:spacing w:val="-5"/>
          <w:sz w:val="23"/>
        </w:rPr>
        <w:t>la </w:t>
      </w:r>
      <w:r>
        <w:rPr>
          <w:sz w:val="23"/>
        </w:rPr>
        <w:t>ausencia del proceso de</w:t>
      </w:r>
      <w:r>
        <w:rPr>
          <w:spacing w:val="49"/>
          <w:sz w:val="23"/>
        </w:rPr>
        <w:t> </w:t>
      </w:r>
      <w:r>
        <w:rPr>
          <w:sz w:val="23"/>
        </w:rPr>
        <w:t>compensación.</w:t>
      </w:r>
    </w:p>
    <w:p>
      <w:pPr>
        <w:pStyle w:val="BodyText"/>
        <w:rPr>
          <w:sz w:val="22"/>
        </w:rPr>
      </w:pPr>
    </w:p>
    <w:p>
      <w:pPr>
        <w:pStyle w:val="ListParagraph"/>
        <w:numPr>
          <w:ilvl w:val="2"/>
          <w:numId w:val="9"/>
        </w:numPr>
        <w:tabs>
          <w:tab w:pos="817" w:val="left" w:leader="none"/>
        </w:tabs>
        <w:spacing w:line="364" w:lineRule="auto" w:before="160" w:after="0"/>
        <w:ind w:left="816" w:right="101" w:hanging="350"/>
        <w:jc w:val="both"/>
        <w:rPr>
          <w:sz w:val="23"/>
        </w:rPr>
      </w:pPr>
      <w:r>
        <w:rPr>
          <w:sz w:val="23"/>
        </w:rPr>
        <w:t>El escenario 7 muestra altos resultados en las tres variables, lo que indica que el individuo tiene una alta comprensión </w:t>
      </w:r>
      <w:r>
        <w:rPr>
          <w:spacing w:val="-3"/>
          <w:sz w:val="23"/>
        </w:rPr>
        <w:t>de </w:t>
      </w:r>
      <w:r>
        <w:rPr>
          <w:sz w:val="23"/>
        </w:rPr>
        <w:t>lectura en L2 como resultado de su alta competencia lingüística en L2 y </w:t>
      </w:r>
      <w:r>
        <w:rPr>
          <w:spacing w:val="4"/>
          <w:sz w:val="23"/>
        </w:rPr>
        <w:t>su </w:t>
      </w:r>
      <w:r>
        <w:rPr>
          <w:sz w:val="23"/>
        </w:rPr>
        <w:t>alta habilidad lectora en L1. </w:t>
      </w:r>
      <w:r>
        <w:rPr>
          <w:spacing w:val="-3"/>
          <w:sz w:val="23"/>
        </w:rPr>
        <w:t>Lo </w:t>
      </w:r>
      <w:r>
        <w:rPr>
          <w:sz w:val="23"/>
        </w:rPr>
        <w:t>anterior contrasta </w:t>
      </w:r>
      <w:r>
        <w:rPr>
          <w:spacing w:val="2"/>
          <w:sz w:val="23"/>
        </w:rPr>
        <w:t>con </w:t>
      </w:r>
      <w:r>
        <w:rPr>
          <w:sz w:val="23"/>
        </w:rPr>
        <w:t>la posibilidad que se muestra en el  escenario  8, donde la persona obtiene un bajo resultado en comprensión de lectura en   L2</w:t>
      </w:r>
      <w:r>
        <w:rPr>
          <w:spacing w:val="53"/>
          <w:sz w:val="23"/>
        </w:rPr>
        <w:t> </w:t>
      </w:r>
      <w:r>
        <w:rPr>
          <w:sz w:val="23"/>
        </w:rPr>
        <w:t>debido</w:t>
      </w:r>
      <w:r>
        <w:rPr>
          <w:spacing w:val="57"/>
          <w:sz w:val="23"/>
        </w:rPr>
        <w:t> </w:t>
      </w:r>
      <w:r>
        <w:rPr>
          <w:sz w:val="23"/>
        </w:rPr>
        <w:t>a</w:t>
      </w:r>
      <w:r>
        <w:rPr>
          <w:spacing w:val="53"/>
          <w:sz w:val="23"/>
        </w:rPr>
        <w:t> </w:t>
      </w:r>
      <w:r>
        <w:rPr>
          <w:sz w:val="23"/>
        </w:rPr>
        <w:t>que</w:t>
      </w:r>
      <w:r>
        <w:rPr>
          <w:spacing w:val="57"/>
          <w:sz w:val="23"/>
        </w:rPr>
        <w:t> </w:t>
      </w:r>
      <w:r>
        <w:rPr>
          <w:sz w:val="23"/>
        </w:rPr>
        <w:t>tanto</w:t>
      </w:r>
      <w:r>
        <w:rPr>
          <w:spacing w:val="53"/>
          <w:sz w:val="23"/>
        </w:rPr>
        <w:t> </w:t>
      </w:r>
      <w:r>
        <w:rPr>
          <w:sz w:val="23"/>
        </w:rPr>
        <w:t>su</w:t>
      </w:r>
      <w:r>
        <w:rPr>
          <w:spacing w:val="59"/>
          <w:sz w:val="23"/>
        </w:rPr>
        <w:t> </w:t>
      </w:r>
      <w:r>
        <w:rPr>
          <w:sz w:val="23"/>
        </w:rPr>
        <w:t>habilidad</w:t>
      </w:r>
      <w:r>
        <w:rPr>
          <w:spacing w:val="57"/>
          <w:sz w:val="23"/>
        </w:rPr>
        <w:t> </w:t>
      </w:r>
      <w:r>
        <w:rPr>
          <w:sz w:val="23"/>
        </w:rPr>
        <w:t>lectora</w:t>
      </w:r>
      <w:r>
        <w:rPr>
          <w:spacing w:val="53"/>
          <w:sz w:val="23"/>
        </w:rPr>
        <w:t> </w:t>
      </w:r>
      <w:r>
        <w:rPr>
          <w:sz w:val="23"/>
        </w:rPr>
        <w:t>en</w:t>
      </w:r>
      <w:r>
        <w:rPr>
          <w:spacing w:val="53"/>
          <w:sz w:val="23"/>
        </w:rPr>
        <w:t> </w:t>
      </w:r>
      <w:r>
        <w:rPr>
          <w:sz w:val="23"/>
        </w:rPr>
        <w:t>L1</w:t>
      </w:r>
      <w:r>
        <w:rPr>
          <w:spacing w:val="57"/>
          <w:sz w:val="23"/>
        </w:rPr>
        <w:t> </w:t>
      </w:r>
      <w:r>
        <w:rPr>
          <w:sz w:val="23"/>
        </w:rPr>
        <w:t>como</w:t>
      </w:r>
      <w:r>
        <w:rPr>
          <w:spacing w:val="53"/>
          <w:sz w:val="23"/>
        </w:rPr>
        <w:t> </w:t>
      </w:r>
      <w:r>
        <w:rPr>
          <w:sz w:val="23"/>
        </w:rPr>
        <w:t>su</w:t>
      </w:r>
      <w:r>
        <w:rPr>
          <w:spacing w:val="53"/>
          <w:sz w:val="23"/>
        </w:rPr>
        <w:t> </w:t>
      </w:r>
      <w:r>
        <w:rPr>
          <w:sz w:val="23"/>
        </w:rPr>
        <w:t>competencia</w:t>
      </w:r>
    </w:p>
    <w:p>
      <w:pPr>
        <w:spacing w:after="0" w:line="364" w:lineRule="auto"/>
        <w:jc w:val="both"/>
        <w:rPr>
          <w:sz w:val="23"/>
        </w:rPr>
        <w:sectPr>
          <w:pgSz w:w="11910" w:h="16840"/>
          <w:pgMar w:header="1424" w:footer="0" w:top="1840" w:bottom="280" w:left="1540" w:right="1540"/>
        </w:sectPr>
      </w:pPr>
    </w:p>
    <w:p>
      <w:pPr>
        <w:pStyle w:val="BodyText"/>
        <w:spacing w:before="11"/>
        <w:rPr>
          <w:sz w:val="16"/>
        </w:rPr>
      </w:pPr>
    </w:p>
    <w:p>
      <w:pPr>
        <w:pStyle w:val="BodyText"/>
        <w:spacing w:line="364" w:lineRule="auto" w:before="73"/>
        <w:ind w:left="816" w:right="213"/>
      </w:pPr>
      <w:r>
        <w:rPr/>
        <w:t>lingüística en L2 </w:t>
      </w:r>
      <w:r>
        <w:rPr>
          <w:spacing w:val="2"/>
        </w:rPr>
        <w:t>son </w:t>
      </w:r>
      <w:r>
        <w:rPr/>
        <w:t>insuficientes  para lograr un proceso de comprensión  de lectura en L2 de manera</w:t>
      </w:r>
      <w:r>
        <w:rPr>
          <w:spacing w:val="53"/>
        </w:rPr>
        <w:t> </w:t>
      </w:r>
      <w:r>
        <w:rPr/>
        <w:t>exitosa.</w:t>
      </w:r>
    </w:p>
    <w:p>
      <w:pPr>
        <w:pStyle w:val="BodyText"/>
        <w:rPr>
          <w:sz w:val="22"/>
        </w:rPr>
      </w:pPr>
    </w:p>
    <w:p>
      <w:pPr>
        <w:pStyle w:val="Heading3"/>
        <w:numPr>
          <w:ilvl w:val="1"/>
          <w:numId w:val="10"/>
        </w:numPr>
        <w:tabs>
          <w:tab w:pos="640" w:val="left" w:leader="none"/>
        </w:tabs>
        <w:spacing w:line="240" w:lineRule="auto" w:before="155" w:after="0"/>
        <w:ind w:left="639" w:right="0" w:hanging="461"/>
        <w:jc w:val="both"/>
      </w:pPr>
      <w:r>
        <w:rPr/>
        <w:t>PLANTEAMIENTO DEL</w:t>
      </w:r>
      <w:r>
        <w:rPr>
          <w:spacing w:val="42"/>
        </w:rPr>
        <w:t> </w:t>
      </w:r>
      <w:r>
        <w:rPr/>
        <w:t>PROBLEMA</w:t>
      </w:r>
    </w:p>
    <w:p>
      <w:pPr>
        <w:pStyle w:val="BodyText"/>
        <w:rPr>
          <w:b/>
          <w:sz w:val="22"/>
        </w:rPr>
      </w:pPr>
    </w:p>
    <w:p>
      <w:pPr>
        <w:pStyle w:val="BodyText"/>
        <w:spacing w:before="8"/>
        <w:rPr>
          <w:b/>
          <w:sz w:val="24"/>
        </w:rPr>
      </w:pPr>
    </w:p>
    <w:p>
      <w:pPr>
        <w:pStyle w:val="BodyText"/>
        <w:spacing w:line="364" w:lineRule="auto"/>
        <w:ind w:left="115" w:right="104"/>
        <w:jc w:val="both"/>
      </w:pPr>
      <w:r>
        <w:rPr/>
        <w:t>Este proyecto se suma a una serie de investigaciones (Carrell, 1991; Bernhardt &amp; Kamil, 1995; Lee &amp; Schallert, 1997; </w:t>
      </w:r>
      <w:r>
        <w:rPr>
          <w:spacing w:val="-3"/>
        </w:rPr>
        <w:t>Yamashita, </w:t>
      </w:r>
      <w:r>
        <w:rPr/>
        <w:t>2002) derivadas del planteamiento de Alderson (1984), en el sentido de </w:t>
      </w:r>
      <w:r>
        <w:rPr>
          <w:spacing w:val="4"/>
        </w:rPr>
        <w:t>si </w:t>
      </w:r>
      <w:r>
        <w:rPr/>
        <w:t>el problema de comprensión  de lectura  tiene más relación </w:t>
      </w:r>
      <w:r>
        <w:rPr>
          <w:spacing w:val="2"/>
        </w:rPr>
        <w:t>con </w:t>
      </w:r>
      <w:r>
        <w:rPr/>
        <w:t>la habilidad lectora en primera lengua o con la competencia lingüística de una segunda</w:t>
      </w:r>
      <w:r>
        <w:rPr>
          <w:spacing w:val="51"/>
        </w:rPr>
        <w:t> </w:t>
      </w:r>
      <w:r>
        <w:rPr/>
        <w:t>lengua.</w:t>
      </w:r>
    </w:p>
    <w:p>
      <w:pPr>
        <w:pStyle w:val="BodyText"/>
        <w:rPr>
          <w:sz w:val="22"/>
        </w:rPr>
      </w:pPr>
    </w:p>
    <w:p>
      <w:pPr>
        <w:pStyle w:val="BodyText"/>
        <w:spacing w:line="364" w:lineRule="auto" w:before="155"/>
        <w:ind w:left="115" w:right="101"/>
        <w:jc w:val="both"/>
      </w:pPr>
      <w:r>
        <w:rPr/>
        <w:t>Dentro de un enfoque más local, es recurrente y generalizado el hecho que los profesores de la Facultad de Lenguas </w:t>
      </w:r>
      <w:r>
        <w:rPr>
          <w:spacing w:val="-3"/>
        </w:rPr>
        <w:t>de </w:t>
      </w:r>
      <w:r>
        <w:rPr/>
        <w:t>la U.A.E.M. comenten sobre los  problemas que tienen </w:t>
      </w:r>
      <w:r>
        <w:rPr>
          <w:spacing w:val="-3"/>
        </w:rPr>
        <w:t>los </w:t>
      </w:r>
      <w:r>
        <w:rPr/>
        <w:t>alumnos de </w:t>
      </w:r>
      <w:r>
        <w:rPr>
          <w:spacing w:val="-5"/>
        </w:rPr>
        <w:t>la </w:t>
      </w:r>
      <w:r>
        <w:rPr/>
        <w:t>misma facultad en  la comprensión  </w:t>
      </w:r>
      <w:r>
        <w:rPr>
          <w:spacing w:val="-3"/>
        </w:rPr>
        <w:t>de </w:t>
      </w:r>
      <w:r>
        <w:rPr/>
        <w:t>textos </w:t>
      </w:r>
      <w:r>
        <w:rPr>
          <w:spacing w:val="-3"/>
        </w:rPr>
        <w:t>en </w:t>
      </w:r>
      <w:r>
        <w:rPr/>
        <w:t>segunda lengua. De acuerdo con observaciones hechas por profesores,  </w:t>
      </w:r>
      <w:r>
        <w:rPr>
          <w:spacing w:val="-5"/>
        </w:rPr>
        <w:t>la </w:t>
      </w:r>
      <w:r>
        <w:rPr/>
        <w:t>mayoría de los alumnos tienen dificultades para comprender, inclusive </w:t>
      </w:r>
      <w:r>
        <w:rPr>
          <w:spacing w:val="-5"/>
        </w:rPr>
        <w:t>la </w:t>
      </w:r>
      <w:r>
        <w:rPr/>
        <w:t>idea general de un texto, además de identificar </w:t>
      </w:r>
      <w:r>
        <w:rPr>
          <w:spacing w:val="-5"/>
        </w:rPr>
        <w:t>la </w:t>
      </w:r>
      <w:r>
        <w:rPr/>
        <w:t>intención del </w:t>
      </w:r>
      <w:r>
        <w:rPr>
          <w:spacing w:val="-3"/>
        </w:rPr>
        <w:t>autor, </w:t>
      </w:r>
      <w:r>
        <w:rPr/>
        <w:t>localizar información específica o reconocer significados de palabras por contexto. Estas debilidades de estrategias de lectura aunadas  a su competencia  lingüística, aún  en desarrollo, causan severos problemas en la comprensión de un texto en  segunda lengua, habilidad fundamental en el desarrollo profesional </w:t>
      </w:r>
      <w:r>
        <w:rPr>
          <w:spacing w:val="3"/>
        </w:rPr>
        <w:t>del </w:t>
      </w:r>
      <w:r>
        <w:rPr/>
        <w:t>Licenciado en</w:t>
      </w:r>
      <w:r>
        <w:rPr>
          <w:spacing w:val="19"/>
        </w:rPr>
        <w:t> </w:t>
      </w:r>
      <w:r>
        <w:rPr/>
        <w:t>Lenguas.</w:t>
      </w:r>
    </w:p>
    <w:p>
      <w:pPr>
        <w:pStyle w:val="BodyText"/>
        <w:rPr>
          <w:sz w:val="22"/>
        </w:rPr>
      </w:pPr>
    </w:p>
    <w:p>
      <w:pPr>
        <w:pStyle w:val="BodyText"/>
        <w:spacing w:line="364" w:lineRule="auto" w:before="150"/>
        <w:ind w:left="115" w:right="103"/>
        <w:jc w:val="both"/>
      </w:pPr>
      <w:r>
        <w:rPr/>
        <w:t>La situación descrita da oportunidad de responder a </w:t>
      </w:r>
      <w:r>
        <w:rPr>
          <w:spacing w:val="-5"/>
        </w:rPr>
        <w:t>la </w:t>
      </w:r>
      <w:r>
        <w:rPr/>
        <w:t>necesidad  de  un  diagnóstico de la situación de las habilidades lectoras, tanto en primera como </w:t>
      </w:r>
      <w:r>
        <w:rPr>
          <w:spacing w:val="-3"/>
        </w:rPr>
        <w:t>en </w:t>
      </w:r>
      <w:r>
        <w:rPr/>
        <w:t>segunda lengua, de los alumnos de la Facultad de Leguas de </w:t>
      </w:r>
      <w:r>
        <w:rPr>
          <w:spacing w:val="-5"/>
        </w:rPr>
        <w:t>la </w:t>
      </w:r>
      <w:r>
        <w:rPr/>
        <w:t>U.A.E.M.; verificar si existe el proceso de compensación y en caso de que </w:t>
      </w:r>
      <w:r>
        <w:rPr>
          <w:spacing w:val="4"/>
        </w:rPr>
        <w:t>se </w:t>
      </w:r>
      <w:r>
        <w:rPr/>
        <w:t>cumpla esta situación desarrollar estrategias didácticas y materiales que permitan sortear  </w:t>
      </w:r>
      <w:r>
        <w:rPr>
          <w:spacing w:val="-5"/>
        </w:rPr>
        <w:t>la  </w:t>
      </w:r>
      <w:r>
        <w:rPr/>
        <w:t>problemática. No obstante, el alcance de este trabajo sólo se da en el sentido </w:t>
      </w:r>
      <w:r>
        <w:rPr>
          <w:spacing w:val="-3"/>
        </w:rPr>
        <w:t>de </w:t>
      </w:r>
      <w:r>
        <w:rPr/>
        <w:t>verificar </w:t>
      </w:r>
      <w:r>
        <w:rPr>
          <w:spacing w:val="4"/>
        </w:rPr>
        <w:t>si </w:t>
      </w:r>
      <w:r>
        <w:rPr/>
        <w:t>la hipótesis sobre el proceso de compensación es confirmada, dejando para futuros proyectos el desarrollo de estrategias </w:t>
      </w:r>
      <w:r>
        <w:rPr>
          <w:spacing w:val="21"/>
        </w:rPr>
        <w:t> </w:t>
      </w:r>
      <w:r>
        <w:rPr/>
        <w:t>didácticas.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Heading3"/>
        <w:numPr>
          <w:ilvl w:val="2"/>
          <w:numId w:val="10"/>
        </w:numPr>
        <w:tabs>
          <w:tab w:pos="769" w:val="left" w:leader="none"/>
        </w:tabs>
        <w:spacing w:line="240" w:lineRule="auto" w:before="73" w:after="0"/>
        <w:ind w:left="768" w:right="0" w:hanging="652"/>
        <w:jc w:val="both"/>
      </w:pPr>
      <w:bookmarkStart w:name="_TOC_250006" w:id="34"/>
      <w:bookmarkStart w:name="_bookmark22" w:id="35"/>
      <w:r>
        <w:rPr>
          <w:b w:val="0"/>
        </w:rPr>
      </w:r>
      <w:bookmarkStart w:name="_bookmark21" w:id="36"/>
      <w:bookmarkEnd w:id="36"/>
      <w:r>
        <w:rPr>
          <w:b w:val="0"/>
        </w:rPr>
      </w:r>
      <w:bookmarkStart w:name="_bookmark20" w:id="37"/>
      <w:bookmarkEnd w:id="37"/>
      <w:r>
        <w:rPr>
          <w:b w:val="0"/>
        </w:rPr>
      </w:r>
      <w:bookmarkStart w:name="_bookmark20" w:id="38"/>
      <w:bookmarkEnd w:id="38"/>
      <w:r>
        <w:rPr/>
        <w:t>H</w:t>
      </w:r>
      <w:bookmarkEnd w:id="34"/>
      <w:r>
        <w:rPr/>
        <w:t>ipótesis</w:t>
      </w:r>
    </w:p>
    <w:p>
      <w:pPr>
        <w:pStyle w:val="BodyText"/>
        <w:rPr>
          <w:b/>
          <w:sz w:val="22"/>
        </w:rPr>
      </w:pPr>
    </w:p>
    <w:p>
      <w:pPr>
        <w:pStyle w:val="BodyText"/>
        <w:spacing w:before="154"/>
        <w:ind w:left="115"/>
        <w:jc w:val="both"/>
      </w:pPr>
      <w:r>
        <w:rPr/>
        <w:t>Con este trabajo se pretende responder a dos  hipótesis:</w:t>
      </w:r>
    </w:p>
    <w:p>
      <w:pPr>
        <w:pStyle w:val="BodyText"/>
        <w:rPr>
          <w:sz w:val="22"/>
        </w:rPr>
      </w:pPr>
    </w:p>
    <w:p>
      <w:pPr>
        <w:pStyle w:val="BodyText"/>
        <w:spacing w:before="8"/>
        <w:rPr>
          <w:sz w:val="24"/>
        </w:rPr>
      </w:pPr>
    </w:p>
    <w:p>
      <w:pPr>
        <w:pStyle w:val="BodyText"/>
        <w:spacing w:line="367" w:lineRule="auto"/>
        <w:ind w:left="115" w:right="103"/>
        <w:jc w:val="both"/>
      </w:pPr>
      <w:r>
        <w:rPr/>
        <w:t>La primera plantea que los estudiantes de lengua inglesa de </w:t>
      </w:r>
      <w:r>
        <w:rPr>
          <w:spacing w:val="-5"/>
        </w:rPr>
        <w:t>la </w:t>
      </w:r>
      <w:r>
        <w:rPr/>
        <w:t>Facultad de  Lenguas </w:t>
      </w:r>
      <w:r>
        <w:rPr>
          <w:spacing w:val="-3"/>
        </w:rPr>
        <w:t>de </w:t>
      </w:r>
      <w:r>
        <w:rPr/>
        <w:t>la U.A.E.M. en la comprensión de lectura en L2 compensan una </w:t>
      </w:r>
      <w:r>
        <w:rPr>
          <w:spacing w:val="-3"/>
        </w:rPr>
        <w:t>baja </w:t>
      </w:r>
      <w:r>
        <w:rPr/>
        <w:t>habilidad lectora en L1 con una alta competencia lingüística en </w:t>
      </w:r>
      <w:r>
        <w:rPr>
          <w:spacing w:val="30"/>
        </w:rPr>
        <w:t> </w:t>
      </w:r>
      <w:r>
        <w:rPr/>
        <w:t>L2.</w:t>
      </w:r>
    </w:p>
    <w:p>
      <w:pPr>
        <w:pStyle w:val="BodyText"/>
        <w:spacing w:line="364" w:lineRule="auto"/>
        <w:ind w:left="115" w:right="108"/>
        <w:jc w:val="both"/>
      </w:pPr>
      <w:r>
        <w:rPr/>
        <w:t>La segunda hipótesis establece que los estudiantes de lengua inglesa de la Facultad de Lenguas de </w:t>
      </w:r>
      <w:r>
        <w:rPr>
          <w:spacing w:val="-5"/>
        </w:rPr>
        <w:t>la </w:t>
      </w:r>
      <w:r>
        <w:rPr/>
        <w:t>U.A.E.M. en la comprensión de lectura en L2  compensan una baja competencia lingüística en L2 con una alta habilidad lectora  en</w:t>
      </w:r>
      <w:r>
        <w:rPr>
          <w:spacing w:val="10"/>
        </w:rPr>
        <w:t> </w:t>
      </w:r>
      <w:r>
        <w:rPr/>
        <w:t>L1.</w:t>
      </w:r>
    </w:p>
    <w:p>
      <w:pPr>
        <w:pStyle w:val="BodyText"/>
        <w:rPr>
          <w:sz w:val="22"/>
        </w:rPr>
      </w:pPr>
    </w:p>
    <w:p>
      <w:pPr>
        <w:pStyle w:val="BodyText"/>
        <w:spacing w:before="2"/>
        <w:rPr>
          <w:sz w:val="30"/>
        </w:rPr>
      </w:pPr>
    </w:p>
    <w:p>
      <w:pPr>
        <w:pStyle w:val="Heading4"/>
        <w:numPr>
          <w:ilvl w:val="3"/>
          <w:numId w:val="10"/>
        </w:numPr>
        <w:tabs>
          <w:tab w:pos="961" w:val="left" w:leader="none"/>
        </w:tabs>
        <w:spacing w:line="240" w:lineRule="auto" w:before="0" w:after="0"/>
        <w:ind w:left="960" w:right="0" w:hanging="844"/>
        <w:jc w:val="both"/>
        <w:rPr>
          <w:i/>
        </w:rPr>
      </w:pPr>
      <w:r>
        <w:rPr>
          <w:i/>
        </w:rPr>
        <w:t>Variables</w:t>
      </w:r>
    </w:p>
    <w:p>
      <w:pPr>
        <w:pStyle w:val="BodyText"/>
        <w:rPr>
          <w:b/>
          <w:i/>
          <w:sz w:val="22"/>
        </w:rPr>
      </w:pPr>
    </w:p>
    <w:p>
      <w:pPr>
        <w:pStyle w:val="BodyText"/>
        <w:spacing w:before="1"/>
        <w:rPr>
          <w:b/>
          <w:i/>
          <w:sz w:val="25"/>
        </w:rPr>
      </w:pPr>
    </w:p>
    <w:p>
      <w:pPr>
        <w:pStyle w:val="BodyText"/>
        <w:spacing w:line="364" w:lineRule="auto"/>
        <w:ind w:left="115" w:right="100"/>
        <w:jc w:val="both"/>
      </w:pPr>
      <w:r>
        <w:rPr/>
        <w:t>Las variables analizadas son la competencia lingüística en L2, el nivel de comprensión de lectura en L1 y el nivel de comprensión de lectura </w:t>
      </w:r>
      <w:r>
        <w:rPr>
          <w:spacing w:val="-3"/>
        </w:rPr>
        <w:t>en </w:t>
      </w:r>
      <w:r>
        <w:rPr/>
        <w:t>L2. Las primeras dos </w:t>
      </w:r>
      <w:r>
        <w:rPr>
          <w:spacing w:val="2"/>
        </w:rPr>
        <w:t>son </w:t>
      </w:r>
      <w:r>
        <w:rPr/>
        <w:t>independientes y la última la variable dependiente. Con este estudio se midió el nivel de correlación entre las variables independientes, competencia lingüística en L2, y nivel de comprensión de lectura en L1, con </w:t>
      </w:r>
      <w:r>
        <w:rPr>
          <w:spacing w:val="-5"/>
        </w:rPr>
        <w:t>la </w:t>
      </w:r>
      <w:r>
        <w:rPr/>
        <w:t>variable dependiente, nivel de comprensión de  lectura en L2,  para confirmar que se lleva a cabo un proceso de compensación entre las variables independientes al momento de efectuar una lectura en segunda </w:t>
      </w:r>
      <w:r>
        <w:rPr>
          <w:spacing w:val="6"/>
        </w:rPr>
        <w:t> </w:t>
      </w:r>
      <w:r>
        <w:rPr/>
        <w:t>lengua.</w:t>
      </w:r>
    </w:p>
    <w:p>
      <w:pPr>
        <w:pStyle w:val="BodyText"/>
        <w:rPr>
          <w:sz w:val="22"/>
        </w:rPr>
      </w:pPr>
    </w:p>
    <w:p>
      <w:pPr>
        <w:pStyle w:val="BodyText"/>
        <w:spacing w:before="2"/>
        <w:rPr>
          <w:sz w:val="30"/>
        </w:rPr>
      </w:pPr>
    </w:p>
    <w:p>
      <w:pPr>
        <w:pStyle w:val="Heading3"/>
        <w:numPr>
          <w:ilvl w:val="1"/>
          <w:numId w:val="10"/>
        </w:numPr>
        <w:tabs>
          <w:tab w:pos="572" w:val="left" w:leader="none"/>
        </w:tabs>
        <w:spacing w:line="240" w:lineRule="auto" w:before="0" w:after="0"/>
        <w:ind w:left="572" w:right="0" w:hanging="456"/>
        <w:jc w:val="both"/>
      </w:pPr>
      <w:bookmarkStart w:name="_TOC_250005" w:id="39"/>
      <w:bookmarkEnd w:id="39"/>
      <w:r>
        <w:rPr/>
        <w:t>OBJETIVOS</w:t>
      </w:r>
    </w:p>
    <w:p>
      <w:pPr>
        <w:pStyle w:val="BodyText"/>
        <w:rPr>
          <w:b/>
          <w:sz w:val="22"/>
        </w:rPr>
      </w:pPr>
    </w:p>
    <w:p>
      <w:pPr>
        <w:pStyle w:val="ListParagraph"/>
        <w:numPr>
          <w:ilvl w:val="0"/>
          <w:numId w:val="11"/>
        </w:numPr>
        <w:tabs>
          <w:tab w:pos="817" w:val="left" w:leader="none"/>
        </w:tabs>
        <w:spacing w:line="364" w:lineRule="auto" w:before="159" w:after="0"/>
        <w:ind w:left="816" w:right="108" w:hanging="350"/>
        <w:jc w:val="both"/>
        <w:rPr>
          <w:sz w:val="23"/>
        </w:rPr>
      </w:pPr>
      <w:r>
        <w:rPr>
          <w:sz w:val="23"/>
        </w:rPr>
        <w:t>Conocer si existe el mecanismo de compensación en el uso de la habilidad lectora en L1 y la competencia lingüística en L2 en la  comprensión  de lectura en</w:t>
      </w:r>
      <w:r>
        <w:rPr>
          <w:spacing w:val="21"/>
          <w:sz w:val="23"/>
        </w:rPr>
        <w:t> </w:t>
      </w:r>
      <w:r>
        <w:rPr>
          <w:sz w:val="23"/>
        </w:rPr>
        <w:t>L2.</w:t>
      </w:r>
    </w:p>
    <w:p>
      <w:pPr>
        <w:pStyle w:val="ListParagraph"/>
        <w:numPr>
          <w:ilvl w:val="0"/>
          <w:numId w:val="11"/>
        </w:numPr>
        <w:tabs>
          <w:tab w:pos="817" w:val="left" w:leader="none"/>
        </w:tabs>
        <w:spacing w:line="240" w:lineRule="auto" w:before="5" w:after="0"/>
        <w:ind w:left="816" w:right="0" w:hanging="350"/>
        <w:jc w:val="left"/>
        <w:rPr>
          <w:sz w:val="23"/>
        </w:rPr>
      </w:pPr>
      <w:r>
        <w:rPr>
          <w:sz w:val="23"/>
        </w:rPr>
        <w:t>Diseñar o adaptar los instrumentos de medición </w:t>
      </w:r>
      <w:r>
        <w:rPr>
          <w:spacing w:val="19"/>
          <w:sz w:val="23"/>
        </w:rPr>
        <w:t> </w:t>
      </w:r>
      <w:r>
        <w:rPr>
          <w:sz w:val="23"/>
        </w:rPr>
        <w:t>necesarios.</w:t>
      </w:r>
    </w:p>
    <w:p>
      <w:pPr>
        <w:spacing w:after="0" w:line="240" w:lineRule="auto"/>
        <w:jc w:val="left"/>
        <w:rPr>
          <w:sz w:val="23"/>
        </w:rPr>
        <w:sectPr>
          <w:pgSz w:w="11910" w:h="16840"/>
          <w:pgMar w:header="1424" w:footer="0" w:top="1840" w:bottom="280" w:left="1540" w:right="1540"/>
        </w:sectPr>
      </w:pPr>
    </w:p>
    <w:p>
      <w:pPr>
        <w:pStyle w:val="BodyText"/>
        <w:rPr>
          <w:sz w:val="20"/>
        </w:rPr>
      </w:pPr>
    </w:p>
    <w:p>
      <w:pPr>
        <w:pStyle w:val="BodyText"/>
        <w:rPr>
          <w:sz w:val="20"/>
        </w:rPr>
      </w:pPr>
    </w:p>
    <w:p>
      <w:pPr>
        <w:pStyle w:val="BodyText"/>
        <w:spacing w:before="8"/>
        <w:rPr>
          <w:sz w:val="28"/>
        </w:rPr>
      </w:pPr>
    </w:p>
    <w:p>
      <w:pPr>
        <w:pStyle w:val="Heading3"/>
        <w:numPr>
          <w:ilvl w:val="1"/>
          <w:numId w:val="10"/>
        </w:numPr>
        <w:tabs>
          <w:tab w:pos="577" w:val="left" w:leader="none"/>
        </w:tabs>
        <w:spacing w:line="240" w:lineRule="auto" w:before="74" w:after="0"/>
        <w:ind w:left="576" w:right="0" w:hanging="460"/>
        <w:jc w:val="both"/>
      </w:pPr>
      <w:bookmarkStart w:name="_TOC_250004" w:id="40"/>
      <w:bookmarkStart w:name="_bookmark23" w:id="41"/>
      <w:r>
        <w:rPr>
          <w:b w:val="0"/>
        </w:rPr>
      </w:r>
      <w:bookmarkEnd w:id="41"/>
      <w:bookmarkStart w:name="_bookmark23" w:id="42"/>
      <w:r>
        <w:rPr/>
        <w:t>M</w:t>
      </w:r>
      <w:r>
        <w:rPr/>
        <w:t>ÉTODO </w:t>
      </w:r>
      <w:r>
        <w:rPr>
          <w:spacing w:val="-3"/>
        </w:rPr>
        <w:t>DE</w:t>
      </w:r>
      <w:r>
        <w:rPr>
          <w:spacing w:val="38"/>
        </w:rPr>
        <w:t> </w:t>
      </w:r>
      <w:bookmarkEnd w:id="40"/>
      <w:r>
        <w:rPr/>
        <w:t>INVESTIGACIÓN</w:t>
      </w:r>
    </w:p>
    <w:p>
      <w:pPr>
        <w:pStyle w:val="BodyText"/>
        <w:rPr>
          <w:b/>
          <w:sz w:val="22"/>
        </w:rPr>
      </w:pPr>
    </w:p>
    <w:p>
      <w:pPr>
        <w:pStyle w:val="BodyText"/>
        <w:spacing w:line="367" w:lineRule="auto" w:before="149"/>
        <w:ind w:left="115" w:right="99"/>
        <w:jc w:val="both"/>
      </w:pPr>
      <w:r>
        <w:rPr/>
        <w:t>De acuerdo con Hernández Sampieri, </w:t>
      </w:r>
      <w:r>
        <w:rPr>
          <w:i/>
        </w:rPr>
        <w:t>et a</w:t>
      </w:r>
      <w:r>
        <w:rPr/>
        <w:t>l. el enfoque cuantitativo </w:t>
      </w:r>
      <w:r>
        <w:rPr>
          <w:spacing w:val="-3"/>
        </w:rPr>
        <w:t>es </w:t>
      </w:r>
      <w:r>
        <w:rPr/>
        <w:t>aquel que “usa la recolección de datos para probar una hipótesis, con base en la medición numérica y el análisis estadístico para establecer patrones de comportamiento y probar teorías” (2006:5). El presente trabajo busca respuestas a ciertas preguntas de investigación y para encontrarlas </w:t>
      </w:r>
      <w:r>
        <w:rPr>
          <w:spacing w:val="4"/>
        </w:rPr>
        <w:t>se </w:t>
      </w:r>
      <w:r>
        <w:rPr/>
        <w:t>planteó la medición de las tres variables y precisamente </w:t>
      </w:r>
      <w:r>
        <w:rPr>
          <w:spacing w:val="-5"/>
        </w:rPr>
        <w:t>la </w:t>
      </w:r>
      <w:r>
        <w:rPr/>
        <w:t>búsqueda de una correlación entre ellas a través del análisis estadístico, por lo que se puede afirmar que es </w:t>
      </w:r>
      <w:r>
        <w:rPr>
          <w:spacing w:val="-3"/>
        </w:rPr>
        <w:t>de </w:t>
      </w:r>
      <w:r>
        <w:rPr/>
        <w:t>corte </w:t>
      </w:r>
      <w:r>
        <w:rPr>
          <w:spacing w:val="40"/>
        </w:rPr>
        <w:t> </w:t>
      </w:r>
      <w:r>
        <w:rPr/>
        <w:t>cuantitativo.</w:t>
      </w:r>
    </w:p>
    <w:p>
      <w:pPr>
        <w:pStyle w:val="BodyText"/>
        <w:rPr>
          <w:sz w:val="22"/>
        </w:rPr>
      </w:pPr>
    </w:p>
    <w:p>
      <w:pPr>
        <w:pStyle w:val="BodyText"/>
        <w:spacing w:before="148"/>
        <w:ind w:left="115"/>
        <w:jc w:val="both"/>
      </w:pPr>
      <w:r>
        <w:rPr/>
        <w:t>La metodología para este trabajo se desarrolló de la siguiente  manera:</w:t>
      </w:r>
    </w:p>
    <w:p>
      <w:pPr>
        <w:pStyle w:val="BodyText"/>
        <w:rPr>
          <w:sz w:val="20"/>
        </w:rPr>
      </w:pPr>
    </w:p>
    <w:p>
      <w:pPr>
        <w:pStyle w:val="BodyText"/>
        <w:spacing w:before="6"/>
        <w:rPr>
          <w:sz w:val="24"/>
        </w:rPr>
      </w:pPr>
      <w:r>
        <w:rPr/>
        <w:pict>
          <v:group style="position:absolute;margin-left:84.480003pt;margin-top:16.06398pt;width:413.3pt;height:201.4pt;mso-position-horizontal-relative:page;mso-position-vertical-relative:paragraph;z-index:1096;mso-wrap-distance-left:0;mso-wrap-distance-right:0" coordorigin="1690,321" coordsize="8266,4028">
            <v:shape style="position:absolute;left:1690;top:321;width:6034;height:1906" type="#_x0000_t75" stroked="false">
              <v:imagedata r:id="rId15" o:title=""/>
            </v:shape>
            <v:shape style="position:absolute;left:6518;top:2227;width:3437;height:2122" type="#_x0000_t75" stroked="false">
              <v:imagedata r:id="rId16" o:title=""/>
            </v:shape>
            <w10:wrap type="topAndBottom"/>
          </v:group>
        </w:pict>
      </w:r>
    </w:p>
    <w:p>
      <w:pPr>
        <w:pStyle w:val="BodyText"/>
        <w:rPr>
          <w:sz w:val="22"/>
        </w:rPr>
      </w:pPr>
    </w:p>
    <w:p>
      <w:pPr>
        <w:pStyle w:val="BodyText"/>
        <w:spacing w:before="2"/>
        <w:rPr>
          <w:sz w:val="22"/>
        </w:rPr>
      </w:pPr>
    </w:p>
    <w:p>
      <w:pPr>
        <w:pStyle w:val="Heading3"/>
        <w:spacing w:before="1"/>
        <w:ind w:right="1011"/>
        <w:jc w:val="center"/>
      </w:pPr>
      <w:r>
        <w:rPr/>
        <w:t>Figura 2.2. Metodología</w:t>
      </w:r>
    </w:p>
    <w:p>
      <w:pPr>
        <w:pStyle w:val="BodyText"/>
        <w:rPr>
          <w:b/>
          <w:sz w:val="22"/>
        </w:rPr>
      </w:pPr>
    </w:p>
    <w:p>
      <w:pPr>
        <w:pStyle w:val="BodyText"/>
        <w:spacing w:line="364" w:lineRule="auto" w:before="154"/>
        <w:ind w:left="115" w:right="102"/>
        <w:jc w:val="both"/>
      </w:pPr>
      <w:r>
        <w:rPr/>
        <w:t>En primer lugar se identificó y estableció la problemática. Se determinaron las variables componentes de ésta y se plantearon la hipótesis y objetivos. Para lograr los objetivos, planteados en la sección anterior, era necesario medir las tres variables, por lo que se procedió a definir los instrumentos para  ello:</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ListParagraph"/>
        <w:numPr>
          <w:ilvl w:val="0"/>
          <w:numId w:val="12"/>
        </w:numPr>
        <w:tabs>
          <w:tab w:pos="817" w:val="left" w:leader="none"/>
        </w:tabs>
        <w:spacing w:line="364" w:lineRule="auto" w:before="73" w:after="0"/>
        <w:ind w:left="816" w:right="113" w:hanging="350"/>
        <w:jc w:val="both"/>
        <w:rPr>
          <w:sz w:val="23"/>
        </w:rPr>
      </w:pPr>
      <w:bookmarkStart w:name="_bookmark24" w:id="43"/>
      <w:bookmarkEnd w:id="43"/>
      <w:r>
        <w:rPr/>
      </w:r>
      <w:bookmarkStart w:name="_bookmark24" w:id="44"/>
      <w:bookmarkEnd w:id="44"/>
      <w:r>
        <w:rPr>
          <w:sz w:val="23"/>
        </w:rPr>
        <w:t>S</w:t>
      </w:r>
      <w:r>
        <w:rPr>
          <w:sz w:val="23"/>
        </w:rPr>
        <w:t>e desarrolló un instrumento de opción múltiple para medir el nivel de </w:t>
      </w:r>
      <w:r>
        <w:rPr>
          <w:spacing w:val="-5"/>
          <w:sz w:val="23"/>
        </w:rPr>
        <w:t>la </w:t>
      </w:r>
      <w:r>
        <w:rPr>
          <w:sz w:val="23"/>
        </w:rPr>
        <w:t>comprensión de lectura en español. </w:t>
      </w:r>
      <w:r>
        <w:rPr>
          <w:spacing w:val="-4"/>
          <w:sz w:val="23"/>
        </w:rPr>
        <w:t>(Ver </w:t>
      </w:r>
      <w:r>
        <w:rPr>
          <w:sz w:val="23"/>
        </w:rPr>
        <w:t>anexo </w:t>
      </w:r>
      <w:r>
        <w:rPr>
          <w:spacing w:val="12"/>
          <w:sz w:val="23"/>
        </w:rPr>
        <w:t> </w:t>
      </w:r>
      <w:r>
        <w:rPr>
          <w:sz w:val="23"/>
        </w:rPr>
        <w:t>I.)</w:t>
      </w:r>
    </w:p>
    <w:p>
      <w:pPr>
        <w:pStyle w:val="ListParagraph"/>
        <w:numPr>
          <w:ilvl w:val="0"/>
          <w:numId w:val="12"/>
        </w:numPr>
        <w:tabs>
          <w:tab w:pos="817" w:val="left" w:leader="none"/>
        </w:tabs>
        <w:spacing w:line="369" w:lineRule="auto" w:before="0" w:after="0"/>
        <w:ind w:left="816" w:right="103" w:hanging="350"/>
        <w:jc w:val="both"/>
        <w:rPr>
          <w:sz w:val="23"/>
        </w:rPr>
      </w:pPr>
      <w:r>
        <w:rPr>
          <w:sz w:val="23"/>
        </w:rPr>
        <w:t>Para medir el nivel de la comprensión de lectura en inglés se seleccionó como instrumento </w:t>
      </w:r>
      <w:r>
        <w:rPr>
          <w:spacing w:val="-5"/>
          <w:sz w:val="23"/>
        </w:rPr>
        <w:t>la </w:t>
      </w:r>
      <w:r>
        <w:rPr>
          <w:sz w:val="23"/>
        </w:rPr>
        <w:t>sección 3 del TOEFL. </w:t>
      </w:r>
      <w:r>
        <w:rPr>
          <w:spacing w:val="-5"/>
          <w:sz w:val="23"/>
        </w:rPr>
        <w:t>(Ver </w:t>
      </w:r>
      <w:r>
        <w:rPr>
          <w:sz w:val="23"/>
        </w:rPr>
        <w:t>anexo </w:t>
      </w:r>
      <w:r>
        <w:rPr>
          <w:spacing w:val="35"/>
          <w:sz w:val="23"/>
        </w:rPr>
        <w:t> </w:t>
      </w:r>
      <w:r>
        <w:rPr>
          <w:sz w:val="23"/>
        </w:rPr>
        <w:t>L.)</w:t>
      </w:r>
    </w:p>
    <w:p>
      <w:pPr>
        <w:pStyle w:val="ListParagraph"/>
        <w:numPr>
          <w:ilvl w:val="0"/>
          <w:numId w:val="12"/>
        </w:numPr>
        <w:tabs>
          <w:tab w:pos="817" w:val="left" w:leader="none"/>
        </w:tabs>
        <w:spacing w:line="364" w:lineRule="auto" w:before="0" w:after="0"/>
        <w:ind w:left="816" w:right="102" w:hanging="350"/>
        <w:jc w:val="both"/>
        <w:rPr>
          <w:sz w:val="23"/>
        </w:rPr>
      </w:pPr>
      <w:r>
        <w:rPr>
          <w:sz w:val="23"/>
        </w:rPr>
        <w:t>Para medir la competencia lingüística se  desarrollaron  dos  instrumentos que miden características diferentes pero complementarias. </w:t>
      </w:r>
      <w:r>
        <w:rPr>
          <w:spacing w:val="-4"/>
          <w:sz w:val="23"/>
        </w:rPr>
        <w:t>(Ver </w:t>
      </w:r>
      <w:r>
        <w:rPr>
          <w:sz w:val="23"/>
        </w:rPr>
        <w:t>anexos J y K.)</w:t>
      </w:r>
    </w:p>
    <w:p>
      <w:pPr>
        <w:pStyle w:val="BodyText"/>
        <w:rPr>
          <w:sz w:val="22"/>
        </w:rPr>
      </w:pPr>
    </w:p>
    <w:p>
      <w:pPr>
        <w:pStyle w:val="BodyText"/>
        <w:spacing w:line="364" w:lineRule="auto" w:before="155"/>
        <w:ind w:left="115" w:right="101"/>
        <w:jc w:val="both"/>
      </w:pPr>
      <w:r>
        <w:rPr/>
        <w:t>Una vez desarrollados los instrumentos, cuya selección y elaboración </w:t>
      </w:r>
      <w:r>
        <w:rPr>
          <w:spacing w:val="4"/>
        </w:rPr>
        <w:t>se </w:t>
      </w:r>
      <w:r>
        <w:rPr/>
        <w:t>describe detalladamente más adelante, </w:t>
      </w:r>
      <w:r>
        <w:rPr>
          <w:spacing w:val="4"/>
        </w:rPr>
        <w:t>se </w:t>
      </w:r>
      <w:r>
        <w:rPr/>
        <w:t>pilotearon y se aplicaron. Obtenidos los resultados, se buscó una correlación entre las variables  dependientes, comprensión de lectura en L1 y competencia lingüística en L2 y </w:t>
      </w:r>
      <w:r>
        <w:rPr>
          <w:spacing w:val="-5"/>
        </w:rPr>
        <w:t>la </w:t>
      </w:r>
      <w:r>
        <w:rPr/>
        <w:t>independiente, comprensión de lectura en L2 y se analizó el comportamiento de los </w:t>
      </w:r>
      <w:r>
        <w:rPr>
          <w:spacing w:val="46"/>
        </w:rPr>
        <w:t> </w:t>
      </w:r>
      <w:r>
        <w:rPr/>
        <w:t>resultados.</w:t>
      </w:r>
    </w:p>
    <w:p>
      <w:pPr>
        <w:pStyle w:val="BodyText"/>
        <w:rPr>
          <w:sz w:val="22"/>
        </w:rPr>
      </w:pPr>
    </w:p>
    <w:p>
      <w:pPr>
        <w:pStyle w:val="BodyText"/>
        <w:rPr>
          <w:sz w:val="22"/>
        </w:rPr>
      </w:pPr>
    </w:p>
    <w:p>
      <w:pPr>
        <w:pStyle w:val="Heading3"/>
        <w:numPr>
          <w:ilvl w:val="2"/>
          <w:numId w:val="13"/>
        </w:numPr>
        <w:tabs>
          <w:tab w:pos="769" w:val="left" w:leader="none"/>
        </w:tabs>
        <w:spacing w:line="240" w:lineRule="auto" w:before="152" w:after="0"/>
        <w:ind w:left="768" w:right="0" w:hanging="652"/>
        <w:jc w:val="both"/>
      </w:pPr>
      <w:bookmarkStart w:name="_TOC_250003" w:id="45"/>
      <w:r>
        <w:rPr/>
        <w:t>Diseño de</w:t>
      </w:r>
      <w:r>
        <w:rPr>
          <w:spacing w:val="28"/>
        </w:rPr>
        <w:t> </w:t>
      </w:r>
      <w:bookmarkEnd w:id="45"/>
      <w:r>
        <w:rPr/>
        <w:t>investigación</w:t>
      </w:r>
    </w:p>
    <w:p>
      <w:pPr>
        <w:pStyle w:val="BodyText"/>
        <w:rPr>
          <w:b/>
          <w:sz w:val="22"/>
        </w:rPr>
      </w:pPr>
    </w:p>
    <w:p>
      <w:pPr>
        <w:pStyle w:val="BodyText"/>
        <w:spacing w:before="6"/>
        <w:rPr>
          <w:b/>
          <w:sz w:val="25"/>
        </w:rPr>
      </w:pPr>
    </w:p>
    <w:p>
      <w:pPr>
        <w:pStyle w:val="BodyText"/>
        <w:spacing w:line="364" w:lineRule="auto"/>
        <w:ind w:left="115" w:right="102"/>
        <w:jc w:val="both"/>
      </w:pPr>
      <w:r>
        <w:rPr/>
        <w:t>Para este trabajo </w:t>
      </w:r>
      <w:r>
        <w:rPr>
          <w:spacing w:val="4"/>
        </w:rPr>
        <w:t>se </w:t>
      </w:r>
      <w:r>
        <w:rPr/>
        <w:t>ha determinado llevar a cabo un estudio correlacional. </w:t>
      </w:r>
      <w:r>
        <w:rPr>
          <w:spacing w:val="3"/>
        </w:rPr>
        <w:t>El </w:t>
      </w:r>
      <w:r>
        <w:rPr/>
        <w:t>estudio correlacional busca una relación entre dos o </w:t>
      </w:r>
      <w:r>
        <w:rPr>
          <w:spacing w:val="-3"/>
        </w:rPr>
        <w:t>más </w:t>
      </w:r>
      <w:r>
        <w:rPr/>
        <w:t>variables, de manera natural en un contexto particular (Hernández, </w:t>
      </w:r>
      <w:r>
        <w:rPr>
          <w:i/>
        </w:rPr>
        <w:t>et al</w:t>
      </w:r>
      <w:r>
        <w:rPr/>
        <w:t>, 2006:104). Las variables se miden de manera independiente y después se mide el grado de asociación entre ellas, sin manipulación. Cabe mencionar que las medidas de las variables se realizan sobre los mismos sujetos. En otras palabras, no es posible </w:t>
      </w:r>
      <w:r>
        <w:rPr>
          <w:spacing w:val="2"/>
        </w:rPr>
        <w:t>buscar </w:t>
      </w:r>
      <w:r>
        <w:rPr/>
        <w:t>una correlación entre dos variables que han sido medidas para distintos sujetos. Esta correlación no es otra cosa que un patrón sistemático, en palabras de Hernández   </w:t>
      </w:r>
      <w:r>
        <w:rPr>
          <w:i/>
        </w:rPr>
        <w:t>et al </w:t>
      </w:r>
      <w:r>
        <w:rPr/>
        <w:t>(2006), que se </w:t>
      </w:r>
      <w:r>
        <w:rPr>
          <w:spacing w:val="-3"/>
        </w:rPr>
        <w:t>da </w:t>
      </w:r>
      <w:r>
        <w:rPr/>
        <w:t>entre dos variables  y que sirve para predecir de manera  más o menos exacta futuros</w:t>
      </w:r>
      <w:r>
        <w:rPr>
          <w:spacing w:val="63"/>
        </w:rPr>
        <w:t> </w:t>
      </w:r>
      <w:r>
        <w:rPr/>
        <w:t>comportamientos.</w:t>
      </w:r>
    </w:p>
    <w:p>
      <w:pPr>
        <w:spacing w:after="0" w:line="364" w:lineRule="auto"/>
        <w:jc w:val="both"/>
        <w:sectPr>
          <w:pgSz w:w="11910" w:h="16840"/>
          <w:pgMar w:header="1424" w:footer="0" w:top="1840" w:bottom="280" w:left="1540" w:right="1540"/>
        </w:sectPr>
      </w:pPr>
    </w:p>
    <w:p>
      <w:pPr>
        <w:pStyle w:val="BodyText"/>
        <w:spacing w:before="6"/>
        <w:rPr>
          <w:sz w:val="16"/>
        </w:rPr>
      </w:pPr>
    </w:p>
    <w:p>
      <w:pPr>
        <w:pStyle w:val="Heading3"/>
        <w:numPr>
          <w:ilvl w:val="2"/>
          <w:numId w:val="13"/>
        </w:numPr>
        <w:tabs>
          <w:tab w:pos="764" w:val="left" w:leader="none"/>
        </w:tabs>
        <w:spacing w:line="240" w:lineRule="auto" w:before="74" w:after="0"/>
        <w:ind w:left="764" w:right="0" w:hanging="648"/>
        <w:jc w:val="both"/>
      </w:pPr>
      <w:bookmarkStart w:name="_TOC_250002" w:id="46"/>
      <w:bookmarkStart w:name="_bookmark26" w:id="47"/>
      <w:r>
        <w:rPr>
          <w:b w:val="0"/>
        </w:rPr>
      </w:r>
      <w:bookmarkStart w:name="_bookmark25" w:id="48"/>
      <w:bookmarkEnd w:id="48"/>
      <w:r>
        <w:rPr>
          <w:b w:val="0"/>
        </w:rPr>
      </w:r>
      <w:bookmarkStart w:name="_bookmark25" w:id="49"/>
      <w:bookmarkEnd w:id="49"/>
      <w:r>
        <w:rPr/>
        <w:t>P</w:t>
      </w:r>
      <w:r>
        <w:rPr/>
        <w:t>rocedimiento para la recolección de</w:t>
      </w:r>
      <w:r>
        <w:rPr>
          <w:spacing w:val="61"/>
        </w:rPr>
        <w:t> </w:t>
      </w:r>
      <w:bookmarkEnd w:id="46"/>
      <w:r>
        <w:rPr/>
        <w:t>datos</w:t>
      </w:r>
    </w:p>
    <w:p>
      <w:pPr>
        <w:pStyle w:val="BodyText"/>
        <w:rPr>
          <w:b/>
          <w:sz w:val="22"/>
        </w:rPr>
      </w:pPr>
    </w:p>
    <w:p>
      <w:pPr>
        <w:pStyle w:val="BodyText"/>
        <w:spacing w:before="1"/>
        <w:rPr>
          <w:b/>
          <w:sz w:val="25"/>
        </w:rPr>
      </w:pPr>
    </w:p>
    <w:p>
      <w:pPr>
        <w:pStyle w:val="BodyText"/>
        <w:spacing w:line="364" w:lineRule="auto"/>
        <w:ind w:left="115" w:right="102"/>
        <w:jc w:val="both"/>
      </w:pPr>
      <w:r>
        <w:rPr/>
        <w:t>Para comprobar las hipótesis, </w:t>
      </w:r>
      <w:r>
        <w:rPr>
          <w:spacing w:val="4"/>
        </w:rPr>
        <w:t>se </w:t>
      </w:r>
      <w:r>
        <w:rPr/>
        <w:t>determinó medir el nivel de comprensión  de lectura en ambas lenguas mediante instrumentos similares. Hoy en día existe una gran diversidad </w:t>
      </w:r>
      <w:r>
        <w:rPr>
          <w:spacing w:val="-3"/>
        </w:rPr>
        <w:t>de </w:t>
      </w:r>
      <w:r>
        <w:rPr/>
        <w:t>instrumentos de alta confiabilidad para medir el nivel de comprensión de lectura en lengua inglesa. Sin embargo, no es así para </w:t>
      </w:r>
      <w:r>
        <w:rPr>
          <w:spacing w:val="-5"/>
        </w:rPr>
        <w:t>la </w:t>
      </w:r>
      <w:r>
        <w:rPr/>
        <w:t>comprensión de lectura en lengua española. Al no haber disponibilidad de instrumentos para medir </w:t>
      </w:r>
      <w:r>
        <w:rPr>
          <w:spacing w:val="4"/>
        </w:rPr>
        <w:t>el </w:t>
      </w:r>
      <w:r>
        <w:rPr/>
        <w:t>nivel de comprensión lectora en lengua española, </w:t>
      </w:r>
      <w:r>
        <w:rPr>
          <w:spacing w:val="-5"/>
        </w:rPr>
        <w:t>la </w:t>
      </w:r>
      <w:r>
        <w:rPr/>
        <w:t>factibilidad de la elaboración de un instrumento creció y </w:t>
      </w:r>
      <w:r>
        <w:rPr>
          <w:spacing w:val="4"/>
        </w:rPr>
        <w:t>se </w:t>
      </w:r>
      <w:r>
        <w:rPr/>
        <w:t>pensó que el diseño de esta prueba debería contemplar los elementos y criterios equivalentes a los de </w:t>
      </w:r>
      <w:r>
        <w:rPr>
          <w:spacing w:val="-5"/>
        </w:rPr>
        <w:t>la </w:t>
      </w:r>
      <w:r>
        <w:rPr/>
        <w:t>prueba que fuese a aplicarse para medir el nivel de comprensión de  lengua  inglesa, </w:t>
      </w:r>
      <w:r>
        <w:rPr>
          <w:spacing w:val="-3"/>
        </w:rPr>
        <w:t>en </w:t>
      </w:r>
      <w:r>
        <w:rPr/>
        <w:t>este caso TOEFL. Es así que se desarrolló un instrumento similar </w:t>
      </w:r>
      <w:r>
        <w:rPr>
          <w:spacing w:val="4"/>
        </w:rPr>
        <w:t>al </w:t>
      </w:r>
      <w:r>
        <w:rPr/>
        <w:t>de comprensión de lectura en lengua inglesa para medir </w:t>
      </w:r>
      <w:r>
        <w:rPr>
          <w:spacing w:val="-5"/>
        </w:rPr>
        <w:t>la </w:t>
      </w:r>
      <w:r>
        <w:rPr/>
        <w:t>comprensión </w:t>
      </w:r>
      <w:r>
        <w:rPr>
          <w:spacing w:val="-3"/>
        </w:rPr>
        <w:t>de </w:t>
      </w:r>
      <w:r>
        <w:rPr/>
        <w:t>lectura en lengua española. Para medir </w:t>
      </w:r>
      <w:r>
        <w:rPr>
          <w:spacing w:val="-5"/>
        </w:rPr>
        <w:t>la </w:t>
      </w:r>
      <w:r>
        <w:rPr/>
        <w:t>competencia lingüística en lengua inglesa se aplicaron dos instrumentos: </w:t>
      </w:r>
      <w:r>
        <w:rPr>
          <w:i/>
        </w:rPr>
        <w:t>un cloze test </w:t>
      </w:r>
      <w:r>
        <w:rPr/>
        <w:t>para obtener datos sobre las habilidades sintácticas y morfológicas y un instrumento que midiera el </w:t>
      </w:r>
      <w:r>
        <w:rPr>
          <w:spacing w:val="24"/>
        </w:rPr>
        <w:t> </w:t>
      </w:r>
      <w:r>
        <w:rPr/>
        <w:t>vocabulario.</w:t>
      </w:r>
    </w:p>
    <w:p>
      <w:pPr>
        <w:pStyle w:val="BodyText"/>
        <w:rPr>
          <w:sz w:val="22"/>
        </w:rPr>
      </w:pPr>
    </w:p>
    <w:p>
      <w:pPr>
        <w:pStyle w:val="BodyText"/>
        <w:spacing w:line="364" w:lineRule="auto" w:before="160"/>
        <w:ind w:left="115" w:right="101"/>
        <w:jc w:val="both"/>
      </w:pPr>
      <w:r>
        <w:rPr/>
        <w:t>Estos instrumentos fueron aplicados a 202 individuos, todos estudiantes de </w:t>
      </w:r>
      <w:r>
        <w:rPr>
          <w:spacing w:val="-5"/>
        </w:rPr>
        <w:t>la </w:t>
      </w:r>
      <w:r>
        <w:rPr/>
        <w:t>Licenciatura en Lenguas, mediante pruebas escritas </w:t>
      </w:r>
      <w:r>
        <w:rPr>
          <w:spacing w:val="-3"/>
        </w:rPr>
        <w:t>en  </w:t>
      </w:r>
      <w:r>
        <w:rPr/>
        <w:t>distintas horas y lugares,  de acuerdo a la hora y espacio donde reciben </w:t>
      </w:r>
      <w:r>
        <w:rPr>
          <w:spacing w:val="4"/>
        </w:rPr>
        <w:t>su </w:t>
      </w:r>
      <w:r>
        <w:rPr/>
        <w:t>clase. Los resultados obtenidos  de las pruebas </w:t>
      </w:r>
      <w:r>
        <w:rPr>
          <w:spacing w:val="4"/>
        </w:rPr>
        <w:t>se </w:t>
      </w:r>
      <w:r>
        <w:rPr/>
        <w:t>tabularon en archivos electrónicos para su </w:t>
      </w:r>
      <w:r>
        <w:rPr>
          <w:spacing w:val="15"/>
        </w:rPr>
        <w:t> </w:t>
      </w:r>
      <w:r>
        <w:rPr/>
        <w:t>análisis.</w:t>
      </w:r>
    </w:p>
    <w:p>
      <w:pPr>
        <w:pStyle w:val="BodyText"/>
        <w:rPr>
          <w:sz w:val="22"/>
        </w:rPr>
      </w:pPr>
    </w:p>
    <w:p>
      <w:pPr>
        <w:pStyle w:val="BodyText"/>
        <w:spacing w:before="9"/>
        <w:rPr>
          <w:sz w:val="29"/>
        </w:rPr>
      </w:pPr>
    </w:p>
    <w:p>
      <w:pPr>
        <w:pStyle w:val="Heading3"/>
        <w:ind w:left="115"/>
      </w:pPr>
      <w:bookmarkStart w:name="_TOC_250001" w:id="50"/>
      <w:bookmarkEnd w:id="50"/>
      <w:r>
        <w:rPr/>
        <w:t>2.4. INSTRUMENTACIÓN</w:t>
      </w:r>
    </w:p>
    <w:p>
      <w:pPr>
        <w:pStyle w:val="BodyText"/>
        <w:rPr>
          <w:b/>
          <w:sz w:val="22"/>
        </w:rPr>
      </w:pPr>
    </w:p>
    <w:p>
      <w:pPr>
        <w:pStyle w:val="BodyText"/>
        <w:spacing w:before="6"/>
        <w:rPr>
          <w:b/>
          <w:sz w:val="25"/>
        </w:rPr>
      </w:pPr>
    </w:p>
    <w:p>
      <w:pPr>
        <w:pStyle w:val="BodyText"/>
        <w:spacing w:line="364" w:lineRule="auto"/>
        <w:ind w:left="115" w:right="99"/>
        <w:jc w:val="both"/>
      </w:pPr>
      <w:r>
        <w:rPr/>
        <w:t>A continuación </w:t>
      </w:r>
      <w:r>
        <w:rPr>
          <w:spacing w:val="4"/>
        </w:rPr>
        <w:t>se </w:t>
      </w:r>
      <w:r>
        <w:rPr/>
        <w:t>describen a detalle los instrumentos  mencionados  en  el apartado </w:t>
      </w:r>
      <w:r>
        <w:rPr>
          <w:spacing w:val="-3"/>
        </w:rPr>
        <w:t>anterior, </w:t>
      </w:r>
      <w:r>
        <w:rPr/>
        <w:t>al igual que los procesos </w:t>
      </w:r>
      <w:r>
        <w:rPr>
          <w:spacing w:val="-3"/>
        </w:rPr>
        <w:t>de </w:t>
      </w:r>
      <w:r>
        <w:rPr/>
        <w:t>selección y elaboración tanto de los instrumentos requeridos para medir los niveles de comprensión de lectura en  ambas lenguas, como el necesario para medir la competencia  lingüística  en  lengua</w:t>
      </w:r>
      <w:r>
        <w:rPr>
          <w:spacing w:val="22"/>
        </w:rPr>
        <w:t> </w:t>
      </w:r>
      <w:r>
        <w:rPr/>
        <w:t>inglesa.</w:t>
      </w:r>
    </w:p>
    <w:p>
      <w:pPr>
        <w:spacing w:after="0" w:line="364" w:lineRule="auto"/>
        <w:jc w:val="both"/>
        <w:sectPr>
          <w:pgSz w:w="11910" w:h="16840"/>
          <w:pgMar w:header="1424" w:footer="0" w:top="1840" w:bottom="280" w:left="1540" w:right="1540"/>
        </w:sectPr>
      </w:pPr>
    </w:p>
    <w:p>
      <w:pPr>
        <w:pStyle w:val="BodyText"/>
        <w:spacing w:before="6"/>
        <w:rPr>
          <w:sz w:val="16"/>
        </w:rPr>
      </w:pPr>
    </w:p>
    <w:p>
      <w:pPr>
        <w:pStyle w:val="Heading3"/>
        <w:numPr>
          <w:ilvl w:val="2"/>
          <w:numId w:val="14"/>
        </w:numPr>
        <w:tabs>
          <w:tab w:pos="769" w:val="left" w:leader="none"/>
        </w:tabs>
        <w:spacing w:line="240" w:lineRule="auto" w:before="74" w:after="0"/>
        <w:ind w:left="116" w:right="0" w:firstLine="0"/>
        <w:jc w:val="both"/>
      </w:pPr>
      <w:bookmarkStart w:name="_TOC_250000" w:id="51"/>
      <w:bookmarkStart w:name="_bookmark27" w:id="52"/>
      <w:r>
        <w:rPr>
          <w:b w:val="0"/>
        </w:rPr>
      </w:r>
      <w:bookmarkEnd w:id="52"/>
      <w:bookmarkStart w:name="_bookmark27" w:id="53"/>
      <w:r>
        <w:rPr/>
        <w:t>M</w:t>
      </w:r>
      <w:r>
        <w:rPr/>
        <w:t>edición de </w:t>
      </w:r>
      <w:r>
        <w:rPr>
          <w:spacing w:val="-4"/>
        </w:rPr>
        <w:t>la </w:t>
      </w:r>
      <w:r>
        <w:rPr/>
        <w:t>comprensión de lectura </w:t>
      </w:r>
      <w:r>
        <w:rPr>
          <w:spacing w:val="-3"/>
        </w:rPr>
        <w:t>en </w:t>
      </w:r>
      <w:r>
        <w:rPr/>
        <w:t>la lengua </w:t>
      </w:r>
      <w:r>
        <w:rPr>
          <w:spacing w:val="38"/>
        </w:rPr>
        <w:t> </w:t>
      </w:r>
      <w:bookmarkEnd w:id="51"/>
      <w:r>
        <w:rPr/>
        <w:t>inglesa.</w:t>
      </w:r>
    </w:p>
    <w:p>
      <w:pPr>
        <w:pStyle w:val="BodyText"/>
        <w:rPr>
          <w:b/>
          <w:sz w:val="22"/>
        </w:rPr>
      </w:pPr>
    </w:p>
    <w:p>
      <w:pPr>
        <w:pStyle w:val="BodyText"/>
        <w:spacing w:before="1"/>
        <w:rPr>
          <w:b/>
          <w:sz w:val="25"/>
        </w:rPr>
      </w:pPr>
    </w:p>
    <w:p>
      <w:pPr>
        <w:pStyle w:val="BodyText"/>
        <w:spacing w:line="364" w:lineRule="auto"/>
        <w:ind w:left="115" w:right="103"/>
        <w:jc w:val="both"/>
      </w:pPr>
      <w:r>
        <w:rPr/>
        <w:t>Para L2, </w:t>
      </w:r>
      <w:r>
        <w:rPr>
          <w:spacing w:val="-3"/>
        </w:rPr>
        <w:t>en </w:t>
      </w:r>
      <w:r>
        <w:rPr/>
        <w:t>este caso lengua inglesa, se seleccionó la sección de comprensión de lectura en el </w:t>
      </w:r>
      <w:r>
        <w:rPr>
          <w:i/>
          <w:spacing w:val="-4"/>
        </w:rPr>
        <w:t>Test </w:t>
      </w:r>
      <w:r>
        <w:rPr>
          <w:i/>
        </w:rPr>
        <w:t>of English </w:t>
      </w:r>
      <w:r>
        <w:rPr>
          <w:i/>
          <w:spacing w:val="-3"/>
        </w:rPr>
        <w:t>as </w:t>
      </w:r>
      <w:r>
        <w:rPr>
          <w:i/>
        </w:rPr>
        <w:t>a Foreign Language </w:t>
      </w:r>
      <w:r>
        <w:rPr/>
        <w:t>del </w:t>
      </w:r>
      <w:r>
        <w:rPr>
          <w:i/>
        </w:rPr>
        <w:t>Educational  </w:t>
      </w:r>
      <w:r>
        <w:rPr>
          <w:i/>
          <w:spacing w:val="-4"/>
        </w:rPr>
        <w:t>Testing </w:t>
      </w:r>
      <w:r>
        <w:rPr>
          <w:i/>
          <w:spacing w:val="55"/>
        </w:rPr>
        <w:t> </w:t>
      </w:r>
      <w:r>
        <w:rPr>
          <w:i/>
        </w:rPr>
        <w:t>Service </w:t>
      </w:r>
      <w:r>
        <w:rPr/>
        <w:t>de Princeton, New </w:t>
      </w:r>
      <w:r>
        <w:rPr>
          <w:spacing w:val="-4"/>
        </w:rPr>
        <w:t>Jersey, </w:t>
      </w:r>
      <w:r>
        <w:rPr/>
        <w:t>TOEFL en </w:t>
      </w:r>
      <w:r>
        <w:rPr>
          <w:spacing w:val="-5"/>
        </w:rPr>
        <w:t>lo </w:t>
      </w:r>
      <w:r>
        <w:rPr/>
        <w:t>sucesivo (El  instrumento  se  incluye en el anexo L). Para medir el nivel de comprensión de lectura en lengua inglesa </w:t>
      </w:r>
      <w:r>
        <w:rPr>
          <w:spacing w:val="4"/>
        </w:rPr>
        <w:t>se </w:t>
      </w:r>
      <w:r>
        <w:rPr/>
        <w:t>utilizó una sección de comprensión de lectura de TOEFL. Este instrumento es generalmente utilizado para medir la competencia lingüística de los aspirantes a realizar estudios de posgrado </w:t>
      </w:r>
      <w:r>
        <w:rPr>
          <w:spacing w:val="-3"/>
        </w:rPr>
        <w:t>en </w:t>
      </w:r>
      <w:r>
        <w:rPr/>
        <w:t>los Estados Unidos y algunos otros países. Algunas instituciones lo utilizan como medida del conocimiento de  </w:t>
      </w:r>
      <w:r>
        <w:rPr>
          <w:spacing w:val="-5"/>
        </w:rPr>
        <w:t>la  </w:t>
      </w:r>
      <w:r>
        <w:rPr/>
        <w:t>lengua por parte de su personal. Sin embargo, el diseño original es para </w:t>
      </w:r>
      <w:r>
        <w:rPr>
          <w:spacing w:val="-5"/>
        </w:rPr>
        <w:t>lo </w:t>
      </w:r>
      <w:r>
        <w:rPr/>
        <w:t>mencionado en primera instancia. La institución que lo avala maneja el diseño de este instrumento con cierto hermetismo, aunque </w:t>
      </w:r>
      <w:r>
        <w:rPr>
          <w:spacing w:val="-5"/>
        </w:rPr>
        <w:t>la </w:t>
      </w:r>
      <w:r>
        <w:rPr/>
        <w:t>literatura para preparar a los aspirantes a la prueba </w:t>
      </w:r>
      <w:r>
        <w:rPr>
          <w:spacing w:val="-3"/>
        </w:rPr>
        <w:t>es</w:t>
      </w:r>
      <w:r>
        <w:rPr>
          <w:spacing w:val="54"/>
        </w:rPr>
        <w:t> </w:t>
      </w:r>
      <w:r>
        <w:rPr/>
        <w:t>abundante.</w:t>
      </w:r>
    </w:p>
    <w:p>
      <w:pPr>
        <w:pStyle w:val="BodyText"/>
        <w:rPr>
          <w:sz w:val="22"/>
        </w:rPr>
      </w:pPr>
    </w:p>
    <w:p>
      <w:pPr>
        <w:pStyle w:val="BodyText"/>
        <w:spacing w:line="367" w:lineRule="auto" w:before="150"/>
        <w:ind w:left="115" w:right="101"/>
        <w:jc w:val="both"/>
      </w:pPr>
      <w:r>
        <w:rPr/>
        <w:t>Se ha decidido utilizar este instrumento para medir la comprensión de lectura porque, además de ser un examen con un alto grado de confiabilidad y reconocimiento a nivel mundial, pone a prueba al sujeto en un gran número de estrategias de lectura, como son: identificar la idea principal del texto, reconocer la organización del texto, encontrar información específica, encontrar información no explícita en el texto, identificar referentes, encontrar definiciones a través de entendimiento del contexto, entender significados gracias a partes de las palabras, utilizar el contexto para determinar significados de palabras poco comunes, así como significados de palabras simples distintos a los comunes y encontrar detalles específicos en el texto.</w:t>
      </w:r>
    </w:p>
    <w:p>
      <w:pPr>
        <w:pStyle w:val="BodyText"/>
        <w:rPr>
          <w:sz w:val="22"/>
        </w:rPr>
      </w:pPr>
    </w:p>
    <w:p>
      <w:pPr>
        <w:pStyle w:val="BodyText"/>
        <w:spacing w:line="364" w:lineRule="auto" w:before="148"/>
        <w:ind w:left="115" w:right="101"/>
        <w:jc w:val="both"/>
      </w:pPr>
      <w:r>
        <w:rPr/>
        <w:t>La sección de comprensión de lectura de TOEFL está compuesta de cinco textos, todos con una longitud de aproximadamente 200 palabras y que incluye entre 9 y  </w:t>
      </w:r>
      <w:r>
        <w:rPr>
          <w:spacing w:val="-10"/>
        </w:rPr>
        <w:t>11 </w:t>
      </w:r>
      <w:r>
        <w:rPr/>
        <w:t>preguntas de opción múltiple para cada texto, haciendo un total de cincuenta reactivos para todo el examen. </w:t>
      </w:r>
      <w:r>
        <w:rPr>
          <w:spacing w:val="3"/>
        </w:rPr>
        <w:t>El </w:t>
      </w:r>
      <w:r>
        <w:rPr/>
        <w:t>límite de tiempo para </w:t>
      </w:r>
      <w:r>
        <w:rPr>
          <w:spacing w:val="-5"/>
        </w:rPr>
        <w:t>la </w:t>
      </w:r>
      <w:r>
        <w:rPr/>
        <w:t>resolución  de  esta prueba</w:t>
      </w:r>
      <w:r>
        <w:rPr>
          <w:spacing w:val="43"/>
        </w:rPr>
        <w:t> </w:t>
      </w:r>
      <w:r>
        <w:rPr/>
        <w:t>es</w:t>
      </w:r>
      <w:r>
        <w:rPr>
          <w:spacing w:val="47"/>
        </w:rPr>
        <w:t> </w:t>
      </w:r>
      <w:r>
        <w:rPr/>
        <w:t>de</w:t>
      </w:r>
      <w:r>
        <w:rPr>
          <w:spacing w:val="44"/>
        </w:rPr>
        <w:t> </w:t>
      </w:r>
      <w:r>
        <w:rPr/>
        <w:t>55</w:t>
      </w:r>
      <w:r>
        <w:rPr>
          <w:spacing w:val="44"/>
        </w:rPr>
        <w:t> </w:t>
      </w:r>
      <w:r>
        <w:rPr/>
        <w:t>minutos,</w:t>
      </w:r>
      <w:r>
        <w:rPr>
          <w:spacing w:val="42"/>
        </w:rPr>
        <w:t> </w:t>
      </w:r>
      <w:r>
        <w:rPr>
          <w:spacing w:val="-3"/>
        </w:rPr>
        <w:t>es</w:t>
      </w:r>
      <w:r>
        <w:rPr>
          <w:spacing w:val="48"/>
        </w:rPr>
        <w:t> </w:t>
      </w:r>
      <w:r>
        <w:rPr>
          <w:spacing w:val="-4"/>
        </w:rPr>
        <w:t>decir,</w:t>
      </w:r>
      <w:r>
        <w:rPr>
          <w:spacing w:val="42"/>
        </w:rPr>
        <w:t> </w:t>
      </w:r>
      <w:r>
        <w:rPr>
          <w:spacing w:val="-8"/>
        </w:rPr>
        <w:t>11 </w:t>
      </w:r>
      <w:r>
        <w:rPr>
          <w:spacing w:val="-6"/>
        </w:rPr>
        <w:t> </w:t>
      </w:r>
      <w:r>
        <w:rPr/>
        <w:t>minutos</w:t>
      </w:r>
      <w:r>
        <w:rPr>
          <w:spacing w:val="43"/>
        </w:rPr>
        <w:t> </w:t>
      </w:r>
      <w:r>
        <w:rPr/>
        <w:t>para</w:t>
      </w:r>
      <w:r>
        <w:rPr>
          <w:spacing w:val="39"/>
        </w:rPr>
        <w:t> </w:t>
      </w:r>
      <w:r>
        <w:rPr/>
        <w:t>cada</w:t>
      </w:r>
      <w:r>
        <w:rPr>
          <w:spacing w:val="44"/>
        </w:rPr>
        <w:t> </w:t>
      </w:r>
      <w:r>
        <w:rPr/>
        <w:t>texto,</w:t>
      </w:r>
      <w:r>
        <w:rPr>
          <w:spacing w:val="42"/>
        </w:rPr>
        <w:t> </w:t>
      </w:r>
      <w:r>
        <w:rPr/>
        <w:t>y</w:t>
      </w:r>
      <w:r>
        <w:rPr>
          <w:spacing w:val="38"/>
        </w:rPr>
        <w:t> </w:t>
      </w:r>
      <w:r>
        <w:rPr/>
        <w:t>considerando</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bookmarkStart w:name="_bookmark28" w:id="54"/>
      <w:bookmarkEnd w:id="54"/>
      <w:r>
        <w:rPr/>
      </w:r>
      <w:r>
        <w:rPr/>
        <w:t>que cada texto tiene entre 9 y 11 preguntas, el tiempo para cada reactivo es de menos de un minuto ya que se debe considerar lo que le toma al aspirante leer el texto.</w:t>
      </w:r>
    </w:p>
    <w:p>
      <w:pPr>
        <w:pStyle w:val="BodyText"/>
        <w:rPr>
          <w:sz w:val="22"/>
        </w:rPr>
      </w:pPr>
    </w:p>
    <w:p>
      <w:pPr>
        <w:pStyle w:val="BodyText"/>
        <w:spacing w:line="364" w:lineRule="auto" w:before="160"/>
        <w:ind w:left="115" w:right="103"/>
        <w:jc w:val="both"/>
      </w:pPr>
      <w:r>
        <w:rPr/>
        <w:t>Debido al tiempo </w:t>
      </w:r>
      <w:r>
        <w:rPr>
          <w:spacing w:val="2"/>
        </w:rPr>
        <w:t>con </w:t>
      </w:r>
      <w:r>
        <w:rPr/>
        <w:t>que se contaba para </w:t>
      </w:r>
      <w:r>
        <w:rPr>
          <w:spacing w:val="-5"/>
        </w:rPr>
        <w:t>la </w:t>
      </w:r>
      <w:r>
        <w:rPr/>
        <w:t>aplicación  de  los  cuatro instrumentos, dos horas, no era posible utilizar </w:t>
      </w:r>
      <w:r>
        <w:rPr>
          <w:spacing w:val="-5"/>
        </w:rPr>
        <w:t>la </w:t>
      </w:r>
      <w:r>
        <w:rPr/>
        <w:t>sección íntegra del examen de comprensión de lectura del TOEFL. Es así que, se </w:t>
      </w:r>
      <w:r>
        <w:rPr>
          <w:spacing w:val="-3"/>
        </w:rPr>
        <w:t>decidió </w:t>
      </w:r>
      <w:r>
        <w:rPr/>
        <w:t>omitir </w:t>
      </w:r>
      <w:r>
        <w:rPr>
          <w:spacing w:val="4"/>
        </w:rPr>
        <w:t>el </w:t>
      </w:r>
      <w:r>
        <w:rPr/>
        <w:t>último texto </w:t>
      </w:r>
      <w:r>
        <w:rPr>
          <w:spacing w:val="-5"/>
        </w:rPr>
        <w:t>lo </w:t>
      </w:r>
      <w:r>
        <w:rPr/>
        <w:t>que dejó al instrumento para medir </w:t>
      </w:r>
      <w:r>
        <w:rPr>
          <w:spacing w:val="-5"/>
        </w:rPr>
        <w:t>la  </w:t>
      </w:r>
      <w:r>
        <w:rPr/>
        <w:t>comprensión de lectura en lengua inglesa  con únicamente cuatro textos y un total de 39 reactivos. Habiendo recortado </w:t>
      </w:r>
      <w:r>
        <w:rPr>
          <w:spacing w:val="-5"/>
        </w:rPr>
        <w:t>la </w:t>
      </w:r>
      <w:r>
        <w:rPr/>
        <w:t>longitud del examen de 5 a 4 textos se decidió que en lugar de los 55 minutos que se </w:t>
      </w:r>
      <w:r>
        <w:rPr>
          <w:spacing w:val="-5"/>
        </w:rPr>
        <w:t>le </w:t>
      </w:r>
      <w:r>
        <w:rPr/>
        <w:t>otorgan al candidato que toma el TOEFL, los individuos contaran con 45 minutos, once minutos, aproximadamente, para cada </w:t>
      </w:r>
      <w:r>
        <w:rPr>
          <w:spacing w:val="15"/>
        </w:rPr>
        <w:t> </w:t>
      </w:r>
      <w:r>
        <w:rPr/>
        <w:t>texto.</w:t>
      </w:r>
    </w:p>
    <w:p>
      <w:pPr>
        <w:pStyle w:val="BodyText"/>
        <w:rPr>
          <w:sz w:val="22"/>
        </w:rPr>
      </w:pPr>
    </w:p>
    <w:p>
      <w:pPr>
        <w:pStyle w:val="BodyText"/>
        <w:spacing w:before="2"/>
        <w:rPr>
          <w:sz w:val="30"/>
        </w:rPr>
      </w:pPr>
    </w:p>
    <w:p>
      <w:pPr>
        <w:pStyle w:val="Heading3"/>
        <w:numPr>
          <w:ilvl w:val="2"/>
          <w:numId w:val="14"/>
        </w:numPr>
        <w:tabs>
          <w:tab w:pos="769" w:val="left" w:leader="none"/>
        </w:tabs>
        <w:spacing w:line="364" w:lineRule="auto" w:before="0" w:after="0"/>
        <w:ind w:left="116" w:right="1072" w:firstLine="0"/>
        <w:jc w:val="left"/>
      </w:pPr>
      <w:r>
        <w:rPr/>
        <w:t>Instrumento para medir la comprensión de lectura </w:t>
      </w:r>
      <w:r>
        <w:rPr>
          <w:spacing w:val="-3"/>
        </w:rPr>
        <w:t>en </w:t>
      </w:r>
      <w:r>
        <w:rPr/>
        <w:t>la lengua española</w:t>
      </w:r>
    </w:p>
    <w:p>
      <w:pPr>
        <w:pStyle w:val="BodyText"/>
        <w:rPr>
          <w:b/>
          <w:sz w:val="22"/>
        </w:rPr>
      </w:pPr>
    </w:p>
    <w:p>
      <w:pPr>
        <w:pStyle w:val="BodyText"/>
        <w:spacing w:line="364" w:lineRule="auto" w:before="155"/>
        <w:ind w:left="115" w:right="99"/>
        <w:jc w:val="both"/>
      </w:pPr>
      <w:r>
        <w:rPr/>
        <w:t>Para la lengua española (L1) se ha tomado la decisión de medir a través de un instrumento diseñado de manera especial y con la finalidad de que fuera común al instrumento que mide la comprensión de textos en inglés. Nos dimos a la tarea del diseño de una prueba similar en grado de dificultad, en sub-habilidades puestas a prueba y en estructura a la utilizada para lengua inglesa que fue el examen de comprensión de lectura de TOEFL. A pesar del hermetismo con que se maneja el proceso de elaboración de estos exámenes, es posible hacer nuevas versiones de ellos gracias a los ejercicios y las claves descritas paso a paso en los libros de preparación para la prueba.</w:t>
      </w:r>
    </w:p>
    <w:p>
      <w:pPr>
        <w:pStyle w:val="BodyText"/>
        <w:rPr>
          <w:sz w:val="22"/>
        </w:rPr>
      </w:pPr>
    </w:p>
    <w:p>
      <w:pPr>
        <w:pStyle w:val="BodyText"/>
        <w:spacing w:line="364" w:lineRule="auto" w:before="155"/>
        <w:ind w:left="115" w:right="103"/>
        <w:jc w:val="both"/>
      </w:pPr>
      <w:r>
        <w:rPr/>
        <w:t>Al igual que la adaptación de la sección de comprensión de lectura del TOEFL que se utilizó para medir </w:t>
      </w:r>
      <w:r>
        <w:rPr>
          <w:spacing w:val="-5"/>
        </w:rPr>
        <w:t>la </w:t>
      </w:r>
      <w:r>
        <w:rPr/>
        <w:t>comprensión de lectura en lengua inglesa, el examen de comprensión de lectura en lengua española consta de cuatro textos y el mismo número de reactivos, 9 o 10, </w:t>
      </w:r>
      <w:r>
        <w:rPr>
          <w:spacing w:val="-3"/>
        </w:rPr>
        <w:t>de  </w:t>
      </w:r>
      <w:r>
        <w:rPr/>
        <w:t>opción múltiple para cada texto que suman un   total    de    39    reactivos.   Se    tomaron    cuatro    fragmentos    </w:t>
      </w:r>
      <w:r>
        <w:rPr>
          <w:spacing w:val="2"/>
        </w:rPr>
        <w:t>con   </w:t>
      </w:r>
      <w:r>
        <w:rPr/>
        <w:t>las</w:t>
      </w:r>
      <w:r>
        <w:rPr>
          <w:spacing w:val="32"/>
        </w:rPr>
        <w:t> </w:t>
      </w:r>
      <w:r>
        <w:rPr/>
        <w:t>mismas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r>
        <w:rPr/>
        <w:t>características que aquellos utilizados en el TOEFL, esto es, escritos que no reflejaran opiniones sino que mostraran hechos, procesos, o descripciones. Los textos utilizados en el instrumento fueron tomados, dos de una revista de entretenimiento y cultura general, uno de un libro biográfico y uno más de una revista académica.</w:t>
      </w:r>
    </w:p>
    <w:p>
      <w:pPr>
        <w:pStyle w:val="BodyText"/>
        <w:rPr>
          <w:sz w:val="22"/>
        </w:rPr>
      </w:pPr>
    </w:p>
    <w:p>
      <w:pPr>
        <w:pStyle w:val="BodyText"/>
        <w:spacing w:line="364" w:lineRule="auto" w:before="150"/>
        <w:ind w:left="115" w:right="107"/>
        <w:jc w:val="both"/>
      </w:pPr>
      <w:r>
        <w:rPr/>
        <w:t>Los textos se ajustaron a la extensión de los usados en TOEFL, alrededor de 200 palabras, tratando de alterar lo menos posible el texto original. Considerando las estrategias enunciadas anteriormente se procedió a </w:t>
      </w:r>
      <w:r>
        <w:rPr>
          <w:spacing w:val="-5"/>
        </w:rPr>
        <w:t>la  </w:t>
      </w:r>
      <w:r>
        <w:rPr/>
        <w:t>elaboración  de  las preguntas de opción múltiple, tratando de apegarse lo más posible a los formatos  de</w:t>
      </w:r>
      <w:r>
        <w:rPr>
          <w:spacing w:val="6"/>
        </w:rPr>
        <w:t> </w:t>
      </w:r>
      <w:r>
        <w:rPr/>
        <w:t>TOEFL.</w:t>
      </w:r>
    </w:p>
    <w:p>
      <w:pPr>
        <w:pStyle w:val="BodyText"/>
        <w:rPr>
          <w:sz w:val="22"/>
        </w:rPr>
      </w:pPr>
    </w:p>
    <w:p>
      <w:pPr>
        <w:pStyle w:val="BodyText"/>
        <w:spacing w:line="364" w:lineRule="auto" w:before="155"/>
        <w:ind w:left="115" w:right="104"/>
        <w:jc w:val="both"/>
      </w:pPr>
      <w:r>
        <w:rPr/>
        <w:t>Una </w:t>
      </w:r>
      <w:r>
        <w:rPr>
          <w:spacing w:val="2"/>
        </w:rPr>
        <w:t>vez </w:t>
      </w:r>
      <w:r>
        <w:rPr/>
        <w:t>elaborados los reactivos se realizó la primera fase del piloteo </w:t>
      </w:r>
      <w:r>
        <w:rPr>
          <w:spacing w:val="2"/>
        </w:rPr>
        <w:t>del </w:t>
      </w:r>
      <w:r>
        <w:rPr/>
        <w:t>instrumento. Ésta se llevó a cabo entre 41 personas, estudiantes universitarios de diversas carreras, de entre 17 y 25 años, todos estudiantes de inglés en el nivel intermedio en el centro </w:t>
      </w:r>
      <w:r>
        <w:rPr>
          <w:spacing w:val="-3"/>
        </w:rPr>
        <w:t>de </w:t>
      </w:r>
      <w:r>
        <w:rPr/>
        <w:t>lenguas de </w:t>
      </w:r>
      <w:r>
        <w:rPr>
          <w:spacing w:val="-5"/>
        </w:rPr>
        <w:t>la  </w:t>
      </w:r>
      <w:r>
        <w:rPr/>
        <w:t>UAEM. Se eligió a estos individuos  </w:t>
      </w:r>
      <w:r>
        <w:rPr>
          <w:spacing w:val="-4"/>
        </w:rPr>
        <w:t>ya </w:t>
      </w:r>
      <w:r>
        <w:rPr>
          <w:spacing w:val="55"/>
        </w:rPr>
        <w:t> </w:t>
      </w:r>
      <w:r>
        <w:rPr/>
        <w:t>que eran aquellos cuyos perfiles se asemejaban más al de </w:t>
      </w:r>
      <w:r>
        <w:rPr>
          <w:spacing w:val="-5"/>
        </w:rPr>
        <w:t>la </w:t>
      </w:r>
      <w:r>
        <w:rPr/>
        <w:t>población sujeta de este estudio. No se dio un tiempo límite sino que se les  permitió  terminar  </w:t>
      </w:r>
      <w:r>
        <w:rPr>
          <w:spacing w:val="-5"/>
        </w:rPr>
        <w:t>la </w:t>
      </w:r>
      <w:r>
        <w:rPr/>
        <w:t>prueba. El promedio de tiempo que les tomó a las personas en resolver la prueba fue de 25 minutos, por lo cual se </w:t>
      </w:r>
      <w:r>
        <w:rPr>
          <w:spacing w:val="-3"/>
        </w:rPr>
        <w:t>decidió </w:t>
      </w:r>
      <w:r>
        <w:rPr/>
        <w:t>otorgarle </w:t>
      </w:r>
      <w:r>
        <w:rPr>
          <w:spacing w:val="2"/>
        </w:rPr>
        <w:t>este </w:t>
      </w:r>
      <w:r>
        <w:rPr/>
        <w:t>tiempo como límite a los sujetos de la investigación, a quienes se les aplicó el instrumento </w:t>
      </w:r>
      <w:r>
        <w:rPr>
          <w:spacing w:val="42"/>
        </w:rPr>
        <w:t> </w:t>
      </w:r>
      <w:r>
        <w:rPr/>
        <w:t>posteriormente.</w:t>
      </w:r>
    </w:p>
    <w:p>
      <w:pPr>
        <w:pStyle w:val="BodyText"/>
        <w:rPr>
          <w:sz w:val="22"/>
        </w:rPr>
      </w:pPr>
    </w:p>
    <w:p>
      <w:pPr>
        <w:pStyle w:val="BodyText"/>
        <w:spacing w:line="367" w:lineRule="auto" w:before="150"/>
        <w:ind w:left="115" w:right="103"/>
        <w:jc w:val="both"/>
      </w:pPr>
      <w:r>
        <w:rPr/>
        <w:t>Una vez que se realizó la aplicación piloto se procedió a hacer un análisis de reactivos para lo que se utilizó una tabla de análisis de la cual se muestra en seguida un extracto:</w:t>
      </w:r>
    </w:p>
    <w:p>
      <w:pPr>
        <w:pStyle w:val="BodyText"/>
        <w:rPr>
          <w:sz w:val="20"/>
        </w:rPr>
      </w:pPr>
    </w:p>
    <w:p>
      <w:pPr>
        <w:pStyle w:val="BodyText"/>
        <w:spacing w:before="3"/>
        <w:rPr>
          <w:sz w:val="15"/>
        </w:rPr>
      </w:pPr>
    </w:p>
    <w:tbl>
      <w:tblPr>
        <w:tblW w:w="0" w:type="auto"/>
        <w:jc w:val="left"/>
        <w:tblInd w:w="6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2"/>
        <w:gridCol w:w="802"/>
        <w:gridCol w:w="787"/>
        <w:gridCol w:w="787"/>
        <w:gridCol w:w="792"/>
        <w:gridCol w:w="787"/>
        <w:gridCol w:w="802"/>
        <w:gridCol w:w="806"/>
        <w:gridCol w:w="1099"/>
      </w:tblGrid>
      <w:tr>
        <w:trPr>
          <w:trHeight w:val="480" w:hRule="exact"/>
        </w:trPr>
        <w:tc>
          <w:tcPr>
            <w:tcW w:w="802" w:type="dxa"/>
          </w:tcPr>
          <w:p>
            <w:pPr>
              <w:pStyle w:val="TableParagraph"/>
              <w:spacing w:line="254" w:lineRule="auto" w:before="3"/>
              <w:ind w:left="153" w:right="148"/>
              <w:jc w:val="center"/>
              <w:rPr>
                <w:sz w:val="13"/>
              </w:rPr>
            </w:pPr>
            <w:r>
              <w:rPr>
                <w:w w:val="105"/>
                <w:sz w:val="13"/>
              </w:rPr>
              <w:t>Número de </w:t>
            </w:r>
            <w:r>
              <w:rPr>
                <w:sz w:val="13"/>
              </w:rPr>
              <w:t>reactivo</w:t>
            </w:r>
          </w:p>
        </w:tc>
        <w:tc>
          <w:tcPr>
            <w:tcW w:w="802" w:type="dxa"/>
          </w:tcPr>
          <w:p>
            <w:pPr>
              <w:pStyle w:val="TableParagraph"/>
              <w:spacing w:before="3"/>
              <w:ind w:left="100"/>
              <w:jc w:val="left"/>
              <w:rPr>
                <w:sz w:val="13"/>
              </w:rPr>
            </w:pPr>
            <w:r>
              <w:rPr>
                <w:w w:val="105"/>
                <w:sz w:val="13"/>
              </w:rPr>
              <w:t>Percentil</w:t>
            </w:r>
          </w:p>
        </w:tc>
        <w:tc>
          <w:tcPr>
            <w:tcW w:w="787" w:type="dxa"/>
          </w:tcPr>
          <w:p>
            <w:pPr>
              <w:pStyle w:val="TableParagraph"/>
              <w:spacing w:line="261" w:lineRule="auto" w:before="3"/>
              <w:ind w:left="326" w:right="143" w:hanging="226"/>
              <w:jc w:val="left"/>
              <w:rPr>
                <w:sz w:val="13"/>
              </w:rPr>
            </w:pPr>
            <w:r>
              <w:rPr>
                <w:w w:val="105"/>
                <w:sz w:val="13"/>
              </w:rPr>
              <w:t>Opción a)</w:t>
            </w:r>
          </w:p>
        </w:tc>
        <w:tc>
          <w:tcPr>
            <w:tcW w:w="787" w:type="dxa"/>
          </w:tcPr>
          <w:p>
            <w:pPr>
              <w:pStyle w:val="TableParagraph"/>
              <w:spacing w:line="261" w:lineRule="auto" w:before="3"/>
              <w:ind w:left="331" w:right="66" w:hanging="154"/>
              <w:jc w:val="left"/>
              <w:rPr>
                <w:sz w:val="13"/>
              </w:rPr>
            </w:pPr>
            <w:r>
              <w:rPr>
                <w:w w:val="105"/>
                <w:sz w:val="13"/>
              </w:rPr>
              <w:t>Opción b)</w:t>
            </w:r>
          </w:p>
        </w:tc>
        <w:tc>
          <w:tcPr>
            <w:tcW w:w="792" w:type="dxa"/>
          </w:tcPr>
          <w:p>
            <w:pPr>
              <w:pStyle w:val="TableParagraph"/>
              <w:spacing w:line="261" w:lineRule="auto" w:before="3"/>
              <w:ind w:left="336" w:right="79" w:hanging="159"/>
              <w:jc w:val="left"/>
              <w:rPr>
                <w:sz w:val="13"/>
              </w:rPr>
            </w:pPr>
            <w:r>
              <w:rPr>
                <w:w w:val="105"/>
                <w:sz w:val="13"/>
              </w:rPr>
              <w:t>Opción</w:t>
            </w:r>
            <w:r>
              <w:rPr>
                <w:w w:val="104"/>
                <w:sz w:val="13"/>
              </w:rPr>
              <w:t> </w:t>
            </w:r>
            <w:r>
              <w:rPr>
                <w:w w:val="105"/>
                <w:sz w:val="13"/>
              </w:rPr>
              <w:t>c)</w:t>
            </w:r>
          </w:p>
        </w:tc>
        <w:tc>
          <w:tcPr>
            <w:tcW w:w="787" w:type="dxa"/>
          </w:tcPr>
          <w:p>
            <w:pPr>
              <w:pStyle w:val="TableParagraph"/>
              <w:spacing w:line="261" w:lineRule="auto" w:before="3"/>
              <w:ind w:left="331" w:right="66" w:hanging="154"/>
              <w:jc w:val="left"/>
              <w:rPr>
                <w:sz w:val="13"/>
              </w:rPr>
            </w:pPr>
            <w:r>
              <w:rPr>
                <w:w w:val="105"/>
                <w:sz w:val="13"/>
              </w:rPr>
              <w:t>Opción d)</w:t>
            </w:r>
          </w:p>
        </w:tc>
        <w:tc>
          <w:tcPr>
            <w:tcW w:w="802" w:type="dxa"/>
          </w:tcPr>
          <w:p>
            <w:pPr>
              <w:pStyle w:val="TableParagraph"/>
              <w:spacing w:line="261" w:lineRule="auto" w:before="3"/>
              <w:ind w:left="134" w:firstLine="172"/>
              <w:jc w:val="left"/>
              <w:rPr>
                <w:sz w:val="13"/>
              </w:rPr>
            </w:pPr>
            <w:r>
              <w:rPr>
                <w:w w:val="105"/>
                <w:sz w:val="13"/>
              </w:rPr>
              <w:t>No </w:t>
            </w:r>
            <w:r>
              <w:rPr>
                <w:sz w:val="13"/>
              </w:rPr>
              <w:t>contestó</w:t>
            </w:r>
          </w:p>
        </w:tc>
        <w:tc>
          <w:tcPr>
            <w:tcW w:w="806" w:type="dxa"/>
          </w:tcPr>
          <w:p>
            <w:pPr>
              <w:pStyle w:val="TableParagraph"/>
              <w:spacing w:line="254" w:lineRule="auto" w:before="3"/>
              <w:ind w:left="99" w:right="98"/>
              <w:jc w:val="center"/>
              <w:rPr>
                <w:sz w:val="13"/>
              </w:rPr>
            </w:pPr>
            <w:r>
              <w:rPr>
                <w:w w:val="105"/>
                <w:sz w:val="13"/>
              </w:rPr>
              <w:t>Dificultad del reactivo</w:t>
            </w:r>
          </w:p>
        </w:tc>
        <w:tc>
          <w:tcPr>
            <w:tcW w:w="1099" w:type="dxa"/>
          </w:tcPr>
          <w:p>
            <w:pPr>
              <w:pStyle w:val="TableParagraph"/>
              <w:spacing w:line="261" w:lineRule="auto" w:before="3"/>
              <w:ind w:left="196" w:hanging="96"/>
              <w:jc w:val="left"/>
              <w:rPr>
                <w:sz w:val="13"/>
              </w:rPr>
            </w:pPr>
            <w:r>
              <w:rPr>
                <w:sz w:val="13"/>
              </w:rPr>
              <w:t>Discriminación </w:t>
            </w:r>
            <w:r>
              <w:rPr>
                <w:w w:val="105"/>
                <w:sz w:val="13"/>
              </w:rPr>
              <w:t>del reactivo</w:t>
            </w:r>
          </w:p>
        </w:tc>
      </w:tr>
      <w:tr>
        <w:trPr>
          <w:trHeight w:val="278" w:hRule="exact"/>
        </w:trPr>
        <w:tc>
          <w:tcPr>
            <w:tcW w:w="802" w:type="dxa"/>
            <w:vMerge w:val="restart"/>
          </w:tcPr>
          <w:p>
            <w:pPr>
              <w:pStyle w:val="TableParagraph"/>
              <w:spacing w:before="8"/>
              <w:ind w:right="3"/>
              <w:jc w:val="center"/>
              <w:rPr>
                <w:sz w:val="15"/>
              </w:rPr>
            </w:pPr>
            <w:r>
              <w:rPr>
                <w:w w:val="102"/>
                <w:sz w:val="15"/>
              </w:rPr>
              <w:t>2</w:t>
            </w:r>
          </w:p>
        </w:tc>
        <w:tc>
          <w:tcPr>
            <w:tcW w:w="802" w:type="dxa"/>
          </w:tcPr>
          <w:p>
            <w:pPr>
              <w:pStyle w:val="TableParagraph"/>
              <w:spacing w:before="7"/>
              <w:ind w:left="100"/>
              <w:jc w:val="left"/>
              <w:rPr>
                <w:sz w:val="13"/>
              </w:rPr>
            </w:pPr>
            <w:r>
              <w:rPr>
                <w:w w:val="105"/>
                <w:sz w:val="13"/>
              </w:rPr>
              <w:t>Alto</w:t>
            </w:r>
          </w:p>
        </w:tc>
        <w:tc>
          <w:tcPr>
            <w:tcW w:w="787" w:type="dxa"/>
          </w:tcPr>
          <w:p>
            <w:pPr>
              <w:pStyle w:val="TableParagraph"/>
              <w:spacing w:before="8"/>
              <w:ind w:left="340"/>
              <w:jc w:val="left"/>
              <w:rPr>
                <w:sz w:val="15"/>
              </w:rPr>
            </w:pPr>
            <w:r>
              <w:rPr>
                <w:w w:val="102"/>
                <w:sz w:val="15"/>
              </w:rPr>
              <w:t>6</w:t>
            </w:r>
          </w:p>
        </w:tc>
        <w:tc>
          <w:tcPr>
            <w:tcW w:w="787" w:type="dxa"/>
          </w:tcPr>
          <w:p>
            <w:pPr>
              <w:pStyle w:val="TableParagraph"/>
              <w:spacing w:before="8"/>
              <w:ind w:left="345"/>
              <w:jc w:val="left"/>
              <w:rPr>
                <w:sz w:val="15"/>
              </w:rPr>
            </w:pPr>
            <w:r>
              <w:rPr>
                <w:w w:val="102"/>
                <w:sz w:val="15"/>
              </w:rPr>
              <w:t>2</w:t>
            </w:r>
          </w:p>
        </w:tc>
        <w:tc>
          <w:tcPr>
            <w:tcW w:w="792" w:type="dxa"/>
          </w:tcPr>
          <w:p>
            <w:pPr>
              <w:pStyle w:val="TableParagraph"/>
              <w:spacing w:before="8"/>
              <w:ind w:right="3"/>
              <w:jc w:val="center"/>
              <w:rPr>
                <w:sz w:val="15"/>
              </w:rPr>
            </w:pPr>
            <w:r>
              <w:rPr>
                <w:w w:val="102"/>
                <w:sz w:val="15"/>
              </w:rPr>
              <w:t>0</w:t>
            </w:r>
          </w:p>
        </w:tc>
        <w:tc>
          <w:tcPr>
            <w:tcW w:w="787" w:type="dxa"/>
          </w:tcPr>
          <w:p>
            <w:pPr>
              <w:pStyle w:val="TableParagraph"/>
              <w:spacing w:before="8"/>
              <w:ind w:right="344"/>
              <w:rPr>
                <w:sz w:val="15"/>
              </w:rPr>
            </w:pPr>
            <w:r>
              <w:rPr>
                <w:w w:val="102"/>
                <w:sz w:val="15"/>
              </w:rPr>
              <w:t>0</w:t>
            </w:r>
          </w:p>
        </w:tc>
        <w:tc>
          <w:tcPr>
            <w:tcW w:w="802" w:type="dxa"/>
          </w:tcPr>
          <w:p>
            <w:pPr>
              <w:pStyle w:val="TableParagraph"/>
              <w:spacing w:before="8"/>
              <w:ind w:right="353"/>
              <w:rPr>
                <w:sz w:val="15"/>
              </w:rPr>
            </w:pPr>
            <w:r>
              <w:rPr>
                <w:w w:val="102"/>
                <w:sz w:val="15"/>
              </w:rPr>
              <w:t>0</w:t>
            </w:r>
          </w:p>
        </w:tc>
        <w:tc>
          <w:tcPr>
            <w:tcW w:w="806" w:type="dxa"/>
            <w:vMerge w:val="restart"/>
          </w:tcPr>
          <w:p>
            <w:pPr>
              <w:pStyle w:val="TableParagraph"/>
              <w:spacing w:before="8"/>
              <w:ind w:left="201"/>
              <w:jc w:val="left"/>
              <w:rPr>
                <w:sz w:val="15"/>
              </w:rPr>
            </w:pPr>
            <w:r>
              <w:rPr>
                <w:w w:val="105"/>
                <w:sz w:val="15"/>
              </w:rPr>
              <w:t>0.688</w:t>
            </w:r>
          </w:p>
        </w:tc>
        <w:tc>
          <w:tcPr>
            <w:tcW w:w="1099" w:type="dxa"/>
            <w:vMerge w:val="restart"/>
          </w:tcPr>
          <w:p>
            <w:pPr>
              <w:pStyle w:val="TableParagraph"/>
              <w:spacing w:before="8"/>
              <w:ind w:left="350"/>
              <w:jc w:val="left"/>
              <w:rPr>
                <w:sz w:val="15"/>
              </w:rPr>
            </w:pPr>
            <w:r>
              <w:rPr>
                <w:w w:val="105"/>
                <w:sz w:val="15"/>
              </w:rPr>
              <w:t>0.063</w:t>
            </w:r>
          </w:p>
        </w:tc>
      </w:tr>
      <w:tr>
        <w:trPr>
          <w:trHeight w:val="278" w:hRule="exact"/>
        </w:trPr>
        <w:tc>
          <w:tcPr>
            <w:tcW w:w="802" w:type="dxa"/>
            <w:vMerge/>
          </w:tcPr>
          <w:p>
            <w:pPr/>
          </w:p>
        </w:tc>
        <w:tc>
          <w:tcPr>
            <w:tcW w:w="802" w:type="dxa"/>
          </w:tcPr>
          <w:p>
            <w:pPr>
              <w:pStyle w:val="TableParagraph"/>
              <w:spacing w:before="3"/>
              <w:ind w:left="100"/>
              <w:jc w:val="left"/>
              <w:rPr>
                <w:sz w:val="13"/>
              </w:rPr>
            </w:pPr>
            <w:r>
              <w:rPr>
                <w:w w:val="105"/>
                <w:sz w:val="13"/>
              </w:rPr>
              <w:t>Bajo</w:t>
            </w:r>
          </w:p>
        </w:tc>
        <w:tc>
          <w:tcPr>
            <w:tcW w:w="787" w:type="dxa"/>
          </w:tcPr>
          <w:p>
            <w:pPr>
              <w:pStyle w:val="TableParagraph"/>
              <w:spacing w:before="3"/>
              <w:ind w:left="340"/>
              <w:jc w:val="left"/>
              <w:rPr>
                <w:sz w:val="15"/>
              </w:rPr>
            </w:pPr>
            <w:r>
              <w:rPr>
                <w:w w:val="102"/>
                <w:sz w:val="15"/>
              </w:rPr>
              <w:t>5</w:t>
            </w:r>
          </w:p>
        </w:tc>
        <w:tc>
          <w:tcPr>
            <w:tcW w:w="787" w:type="dxa"/>
          </w:tcPr>
          <w:p>
            <w:pPr>
              <w:pStyle w:val="TableParagraph"/>
              <w:spacing w:before="3"/>
              <w:ind w:left="345"/>
              <w:jc w:val="left"/>
              <w:rPr>
                <w:sz w:val="15"/>
              </w:rPr>
            </w:pPr>
            <w:r>
              <w:rPr>
                <w:w w:val="102"/>
                <w:sz w:val="15"/>
              </w:rPr>
              <w:t>2</w:t>
            </w:r>
          </w:p>
        </w:tc>
        <w:tc>
          <w:tcPr>
            <w:tcW w:w="792" w:type="dxa"/>
          </w:tcPr>
          <w:p>
            <w:pPr>
              <w:pStyle w:val="TableParagraph"/>
              <w:spacing w:before="3"/>
              <w:ind w:right="3"/>
              <w:jc w:val="center"/>
              <w:rPr>
                <w:sz w:val="15"/>
              </w:rPr>
            </w:pPr>
            <w:r>
              <w:rPr>
                <w:w w:val="102"/>
                <w:sz w:val="15"/>
              </w:rPr>
              <w:t>0</w:t>
            </w:r>
          </w:p>
        </w:tc>
        <w:tc>
          <w:tcPr>
            <w:tcW w:w="787" w:type="dxa"/>
          </w:tcPr>
          <w:p>
            <w:pPr>
              <w:pStyle w:val="TableParagraph"/>
              <w:spacing w:before="3"/>
              <w:ind w:right="344"/>
              <w:rPr>
                <w:sz w:val="15"/>
              </w:rPr>
            </w:pPr>
            <w:r>
              <w:rPr>
                <w:w w:val="102"/>
                <w:sz w:val="15"/>
              </w:rPr>
              <w:t>0</w:t>
            </w:r>
          </w:p>
        </w:tc>
        <w:tc>
          <w:tcPr>
            <w:tcW w:w="802" w:type="dxa"/>
          </w:tcPr>
          <w:p>
            <w:pPr>
              <w:pStyle w:val="TableParagraph"/>
              <w:spacing w:before="3"/>
              <w:ind w:right="353"/>
              <w:rPr>
                <w:sz w:val="15"/>
              </w:rPr>
            </w:pPr>
            <w:r>
              <w:rPr>
                <w:w w:val="102"/>
                <w:sz w:val="15"/>
              </w:rPr>
              <w:t>1</w:t>
            </w:r>
          </w:p>
        </w:tc>
        <w:tc>
          <w:tcPr>
            <w:tcW w:w="806" w:type="dxa"/>
            <w:vMerge/>
          </w:tcPr>
          <w:p>
            <w:pPr/>
          </w:p>
        </w:tc>
        <w:tc>
          <w:tcPr>
            <w:tcW w:w="1099" w:type="dxa"/>
            <w:vMerge/>
          </w:tcPr>
          <w:p>
            <w:pPr/>
          </w:p>
        </w:tc>
      </w:tr>
    </w:tbl>
    <w:p>
      <w:pPr>
        <w:pStyle w:val="BodyText"/>
        <w:spacing w:before="3"/>
        <w:rPr>
          <w:sz w:val="28"/>
        </w:rPr>
      </w:pPr>
    </w:p>
    <w:p>
      <w:pPr>
        <w:pStyle w:val="Heading3"/>
        <w:spacing w:before="73"/>
        <w:ind w:left="2055" w:right="213"/>
        <w:jc w:val="left"/>
      </w:pPr>
      <w:r>
        <w:rPr>
          <w:spacing w:val="-3"/>
        </w:rPr>
        <w:t>Tabla </w:t>
      </w:r>
      <w:r>
        <w:rPr/>
        <w:t>2.2: Ejemplo de análisis </w:t>
      </w:r>
      <w:r>
        <w:rPr>
          <w:spacing w:val="3"/>
        </w:rPr>
        <w:t>de</w:t>
      </w:r>
      <w:r>
        <w:rPr>
          <w:spacing w:val="55"/>
        </w:rPr>
        <w:t> </w:t>
      </w:r>
      <w:r>
        <w:rPr/>
        <w:t>reactivos</w:t>
      </w:r>
    </w:p>
    <w:p>
      <w:pPr>
        <w:spacing w:after="0"/>
        <w:jc w:val="left"/>
        <w:sectPr>
          <w:pgSz w:w="11910" w:h="16840"/>
          <w:pgMar w:header="1424" w:footer="0" w:top="1840" w:bottom="280" w:left="1540" w:right="1540"/>
        </w:sectPr>
      </w:pPr>
    </w:p>
    <w:p>
      <w:pPr>
        <w:pStyle w:val="BodyText"/>
        <w:spacing w:before="11"/>
        <w:rPr>
          <w:b/>
          <w:sz w:val="16"/>
        </w:rPr>
      </w:pPr>
    </w:p>
    <w:p>
      <w:pPr>
        <w:pStyle w:val="BodyText"/>
        <w:spacing w:line="364" w:lineRule="auto" w:before="73"/>
        <w:ind w:left="115" w:right="102"/>
        <w:jc w:val="both"/>
      </w:pPr>
      <w:r>
        <w:rPr/>
        <w:t>La tabla muestra en la primera columna el número de reactivo. Se hizo el mismo ejercicio para cada uno de los 39 reactivos de </w:t>
      </w:r>
      <w:r>
        <w:rPr>
          <w:spacing w:val="-5"/>
        </w:rPr>
        <w:t>la </w:t>
      </w:r>
      <w:r>
        <w:rPr/>
        <w:t>prueba. Se  tomaron  los  resultados de los ocho individuos con el mayor número de respuestas correctas y los de los ocho con el menor número de aciertos </w:t>
      </w:r>
      <w:r>
        <w:rPr>
          <w:spacing w:val="-3"/>
        </w:rPr>
        <w:t>en </w:t>
      </w:r>
      <w:r>
        <w:rPr/>
        <w:t>el pilotaje.  Esto  con  </w:t>
      </w:r>
      <w:r>
        <w:rPr>
          <w:spacing w:val="-5"/>
        </w:rPr>
        <w:t>la </w:t>
      </w:r>
      <w:r>
        <w:rPr/>
        <w:t>finalidad de determinar </w:t>
      </w:r>
      <w:r>
        <w:rPr>
          <w:spacing w:val="4"/>
        </w:rPr>
        <w:t>el </w:t>
      </w:r>
      <w:r>
        <w:rPr/>
        <w:t>grado de discriminación entre los reactivos. Es </w:t>
      </w:r>
      <w:r>
        <w:rPr>
          <w:spacing w:val="-4"/>
        </w:rPr>
        <w:t>decir, </w:t>
      </w:r>
      <w:r>
        <w:rPr/>
        <w:t>al comparar los resultados </w:t>
      </w:r>
      <w:r>
        <w:rPr>
          <w:spacing w:val="-3"/>
        </w:rPr>
        <w:t>más altos </w:t>
      </w:r>
      <w:r>
        <w:rPr>
          <w:spacing w:val="2"/>
        </w:rPr>
        <w:t>con </w:t>
      </w:r>
      <w:r>
        <w:rPr/>
        <w:t>los más bajos </w:t>
      </w:r>
      <w:r>
        <w:rPr>
          <w:spacing w:val="-3"/>
        </w:rPr>
        <w:t>es </w:t>
      </w:r>
      <w:r>
        <w:rPr/>
        <w:t>más sencillo determinar cuáles son los reactivos que causan problemas a las personas </w:t>
      </w:r>
      <w:r>
        <w:rPr>
          <w:spacing w:val="2"/>
        </w:rPr>
        <w:t>con </w:t>
      </w:r>
      <w:r>
        <w:rPr/>
        <w:t>resultados </w:t>
      </w:r>
      <w:r>
        <w:rPr>
          <w:spacing w:val="-3"/>
        </w:rPr>
        <w:t>más </w:t>
      </w:r>
      <w:r>
        <w:rPr/>
        <w:t>pobres y cuáles son los más sencillos o que no representan ninguna dificultad. La segunda columna marca a qué grupo pertenece el individuo, si a los  que  obtuvieron los resultados </w:t>
      </w:r>
      <w:r>
        <w:rPr>
          <w:spacing w:val="-3"/>
        </w:rPr>
        <w:t>más </w:t>
      </w:r>
      <w:r>
        <w:rPr/>
        <w:t>altos, identificados en </w:t>
      </w:r>
      <w:r>
        <w:rPr>
          <w:spacing w:val="-5"/>
        </w:rPr>
        <w:t>la </w:t>
      </w:r>
      <w:r>
        <w:rPr/>
        <w:t>tabla en la línea </w:t>
      </w:r>
      <w:r>
        <w:rPr>
          <w:i/>
        </w:rPr>
        <w:t>Alto </w:t>
      </w:r>
      <w:r>
        <w:rPr/>
        <w:t>o los   de resultados </w:t>
      </w:r>
      <w:r>
        <w:rPr>
          <w:spacing w:val="-3"/>
        </w:rPr>
        <w:t>más </w:t>
      </w:r>
      <w:r>
        <w:rPr/>
        <w:t>bajos </w:t>
      </w:r>
      <w:r>
        <w:rPr>
          <w:spacing w:val="-3"/>
        </w:rPr>
        <w:t>en </w:t>
      </w:r>
      <w:r>
        <w:rPr/>
        <w:t>la línea identificada como </w:t>
      </w:r>
      <w:r>
        <w:rPr>
          <w:spacing w:val="41"/>
        </w:rPr>
        <w:t> </w:t>
      </w:r>
      <w:r>
        <w:rPr>
          <w:i/>
        </w:rPr>
        <w:t>Bajo</w:t>
      </w:r>
      <w:r>
        <w:rPr/>
        <w:t>.</w:t>
      </w:r>
    </w:p>
    <w:p>
      <w:pPr>
        <w:pStyle w:val="BodyText"/>
        <w:rPr>
          <w:sz w:val="22"/>
        </w:rPr>
      </w:pPr>
    </w:p>
    <w:p>
      <w:pPr>
        <w:pStyle w:val="BodyText"/>
        <w:spacing w:line="364" w:lineRule="auto" w:before="155"/>
        <w:ind w:left="115" w:right="104"/>
        <w:jc w:val="both"/>
      </w:pPr>
      <w:r>
        <w:rPr/>
        <w:t>En </w:t>
      </w:r>
      <w:r>
        <w:rPr>
          <w:spacing w:val="-3"/>
        </w:rPr>
        <w:t>las </w:t>
      </w:r>
      <w:r>
        <w:rPr/>
        <w:t>siguientes cuatro columnas se registra el número de personas que dieron </w:t>
      </w:r>
      <w:r>
        <w:rPr>
          <w:spacing w:val="-5"/>
        </w:rPr>
        <w:t>la </w:t>
      </w:r>
      <w:r>
        <w:rPr/>
        <w:t>respuesta marcada en cada columna. Por ejemplo, en </w:t>
      </w:r>
      <w:r>
        <w:rPr>
          <w:spacing w:val="-5"/>
        </w:rPr>
        <w:t>la </w:t>
      </w:r>
      <w:r>
        <w:rPr/>
        <w:t>opción a), seis personas del grupo alto dieron </w:t>
      </w:r>
      <w:r>
        <w:rPr>
          <w:spacing w:val="2"/>
        </w:rPr>
        <w:t>esa </w:t>
      </w:r>
      <w:r>
        <w:rPr/>
        <w:t>respuesta y cinco del grupo bajo </w:t>
      </w:r>
      <w:r>
        <w:rPr>
          <w:spacing w:val="-5"/>
        </w:rPr>
        <w:t>lo </w:t>
      </w:r>
      <w:r>
        <w:rPr/>
        <w:t>hicieron así. La suma de las respuestas de </w:t>
      </w:r>
      <w:r>
        <w:rPr>
          <w:spacing w:val="-3"/>
        </w:rPr>
        <w:t>todas </w:t>
      </w:r>
      <w:r>
        <w:rPr/>
        <w:t>las columnas debe ser igual a 16, el número de sujetos de los dos grupos. Se incluye también una columna para el número de personas que no contestaron ese reactivo. Volviendo al ejemplo de la tabla 2.2, hubo seis personas del percentil alto y cinco del percentil bajo que eligieron la opción </w:t>
      </w:r>
      <w:r>
        <w:rPr>
          <w:spacing w:val="-3"/>
        </w:rPr>
        <w:t>a), </w:t>
      </w:r>
      <w:r>
        <w:rPr/>
        <w:t>dos del percentil alto y dos del percentil bajo que escogieron la opción b)  y  una  persona que </w:t>
      </w:r>
      <w:r>
        <w:rPr>
          <w:spacing w:val="-3"/>
        </w:rPr>
        <w:t>no </w:t>
      </w:r>
      <w:r>
        <w:rPr/>
        <w:t>contestó suman un total de </w:t>
      </w:r>
      <w:r>
        <w:rPr>
          <w:spacing w:val="-3"/>
        </w:rPr>
        <w:t>16 </w:t>
      </w:r>
      <w:r>
        <w:rPr>
          <w:spacing w:val="30"/>
        </w:rPr>
        <w:t> </w:t>
      </w:r>
      <w:r>
        <w:rPr/>
        <w:t>personas.</w:t>
      </w:r>
    </w:p>
    <w:p>
      <w:pPr>
        <w:pStyle w:val="BodyText"/>
        <w:rPr>
          <w:sz w:val="22"/>
        </w:rPr>
      </w:pPr>
    </w:p>
    <w:p>
      <w:pPr>
        <w:pStyle w:val="BodyText"/>
        <w:spacing w:line="364" w:lineRule="auto" w:before="150"/>
        <w:ind w:left="115" w:right="98"/>
        <w:jc w:val="both"/>
      </w:pPr>
      <w:r>
        <w:rPr/>
        <w:t>Las siguientes dos columnas muestran los índices de Dificultad del Reactivo y Discriminación del Reactivo. El índice de Dificultad del Reactivo señala qué tan  difícil es el reactivo con base en el número </w:t>
      </w:r>
      <w:r>
        <w:rPr>
          <w:spacing w:val="4"/>
        </w:rPr>
        <w:t>de </w:t>
      </w:r>
      <w:r>
        <w:rPr/>
        <w:t>respuestas correctas obtenidas por  el grupo muestra. Cuando el índice es más cercano a 1.000 el reactivo </w:t>
      </w:r>
      <w:r>
        <w:rPr>
          <w:spacing w:val="-3"/>
        </w:rPr>
        <w:t>es  </w:t>
      </w:r>
      <w:r>
        <w:rPr/>
        <w:t>más   fácil, mientras que, entre </w:t>
      </w:r>
      <w:r>
        <w:rPr>
          <w:spacing w:val="-3"/>
        </w:rPr>
        <w:t>más </w:t>
      </w:r>
      <w:r>
        <w:rPr/>
        <w:t>se aleje de 1.000 y más cercano a  cero  se  encuentre significa que el reactivo </w:t>
      </w:r>
      <w:r>
        <w:rPr>
          <w:spacing w:val="-3"/>
        </w:rPr>
        <w:t>es más </w:t>
      </w:r>
      <w:r>
        <w:rPr/>
        <w:t>difícil. </w:t>
      </w:r>
      <w:r>
        <w:rPr>
          <w:spacing w:val="3"/>
        </w:rPr>
        <w:t>El </w:t>
      </w:r>
      <w:r>
        <w:rPr/>
        <w:t>ejemplo en la tabla muestra un índice de dificultad de 0.688, </w:t>
      </w:r>
      <w:r>
        <w:rPr>
          <w:spacing w:val="-5"/>
        </w:rPr>
        <w:t>lo </w:t>
      </w:r>
      <w:r>
        <w:rPr/>
        <w:t>cual quiere decir que el reactivo es apropiado </w:t>
      </w:r>
      <w:r>
        <w:rPr>
          <w:spacing w:val="-4"/>
        </w:rPr>
        <w:t>ya</w:t>
      </w:r>
      <w:r>
        <w:rPr>
          <w:spacing w:val="55"/>
        </w:rPr>
        <w:t> </w:t>
      </w:r>
      <w:r>
        <w:rPr/>
        <w:t>que no </w:t>
      </w:r>
      <w:r>
        <w:rPr>
          <w:spacing w:val="-3"/>
        </w:rPr>
        <w:t>es </w:t>
      </w:r>
      <w:r>
        <w:rPr/>
        <w:t>tan cercano al 1.000 como para considerarse demasiado sencillo y está  </w:t>
      </w:r>
      <w:r>
        <w:rPr>
          <w:spacing w:val="-5"/>
        </w:rPr>
        <w:t>lo </w:t>
      </w:r>
      <w:r>
        <w:rPr/>
        <w:t>suficientemente alejado del cero para demostrar una dificultad </w:t>
      </w:r>
      <w:r>
        <w:rPr>
          <w:spacing w:val="47"/>
        </w:rPr>
        <w:t> </w:t>
      </w:r>
      <w:r>
        <w:rPr/>
        <w:t>razonable.</w:t>
      </w:r>
    </w:p>
    <w:p>
      <w:pPr>
        <w:spacing w:after="0" w:line="364" w:lineRule="auto"/>
        <w:jc w:val="both"/>
        <w:sectPr>
          <w:pgSz w:w="11910" w:h="16840"/>
          <w:pgMar w:header="1424" w:footer="0" w:top="1840" w:bottom="280" w:left="1540" w:right="1540"/>
        </w:sectPr>
      </w:pPr>
    </w:p>
    <w:p>
      <w:pPr>
        <w:pStyle w:val="BodyText"/>
        <w:rPr>
          <w:sz w:val="20"/>
        </w:rPr>
      </w:pPr>
    </w:p>
    <w:p>
      <w:pPr>
        <w:pStyle w:val="BodyText"/>
        <w:rPr>
          <w:sz w:val="20"/>
        </w:rPr>
      </w:pPr>
    </w:p>
    <w:p>
      <w:pPr>
        <w:pStyle w:val="BodyText"/>
        <w:spacing w:before="4"/>
        <w:rPr>
          <w:sz w:val="18"/>
        </w:rPr>
      </w:pPr>
    </w:p>
    <w:p>
      <w:pPr>
        <w:pStyle w:val="BodyText"/>
        <w:spacing w:line="364" w:lineRule="auto" w:before="1"/>
        <w:ind w:left="115" w:right="100"/>
        <w:jc w:val="both"/>
      </w:pPr>
      <w:r>
        <w:rPr/>
        <w:t>Los resultados de este análisis a la prueba de comprensión de lectura en español mostraron dos reactivos con un índice de dificultad cercano a cero y un reactivo   con índice igual a 1.000. Dos de estos </w:t>
      </w:r>
      <w:r>
        <w:rPr>
          <w:spacing w:val="-3"/>
        </w:rPr>
        <w:t>tres </w:t>
      </w:r>
      <w:r>
        <w:rPr/>
        <w:t>reactivos fueron sujetos de pequeñas modificaciones para evitar un nivel de dificultad muy alto o muy </w:t>
      </w:r>
      <w:r>
        <w:rPr>
          <w:spacing w:val="17"/>
        </w:rPr>
        <w:t> </w:t>
      </w:r>
      <w:r>
        <w:rPr/>
        <w:t>bajo.</w:t>
      </w:r>
    </w:p>
    <w:p>
      <w:pPr>
        <w:pStyle w:val="BodyText"/>
        <w:rPr>
          <w:sz w:val="22"/>
        </w:rPr>
      </w:pPr>
    </w:p>
    <w:p>
      <w:pPr>
        <w:pStyle w:val="BodyText"/>
        <w:spacing w:line="364" w:lineRule="auto" w:before="150"/>
        <w:ind w:left="115" w:right="103"/>
        <w:jc w:val="both"/>
      </w:pPr>
      <w:r>
        <w:rPr/>
        <w:t>El índice de Discriminación del Reactivo nos revela hasta qué grado el reactivo ayuda a hacer </w:t>
      </w:r>
      <w:r>
        <w:rPr>
          <w:spacing w:val="-5"/>
        </w:rPr>
        <w:t>la </w:t>
      </w:r>
      <w:r>
        <w:rPr/>
        <w:t>distinción entre un individuo del grupo considerado alto y uno del grupo denominado bajo. El índice va de +1.000 a -1.000. Si éste </w:t>
      </w:r>
      <w:r>
        <w:rPr>
          <w:spacing w:val="-3"/>
        </w:rPr>
        <w:t>es  </w:t>
      </w:r>
      <w:r>
        <w:rPr/>
        <w:t>positivo significa que el reactivo es favorablemente discriminatorio. Sin embargo si es igual  o menor a cero quiere decir que el reactivo </w:t>
      </w:r>
      <w:r>
        <w:rPr>
          <w:spacing w:val="-3"/>
        </w:rPr>
        <w:t>no </w:t>
      </w:r>
      <w:r>
        <w:rPr/>
        <w:t>ayuda a distinguir entre un buen y   un mal </w:t>
      </w:r>
      <w:r>
        <w:rPr>
          <w:spacing w:val="-3"/>
        </w:rPr>
        <w:t>lector, </w:t>
      </w:r>
      <w:r>
        <w:rPr/>
        <w:t>porque indicaría una nula distinción o un mayor número de  respuestas acertadas de parte de los integrantes del grupo bajo. En nuestro  ejemplo la tabla 2.2 el índice de discriminación </w:t>
      </w:r>
      <w:r>
        <w:rPr>
          <w:spacing w:val="-3"/>
        </w:rPr>
        <w:t>es de </w:t>
      </w:r>
      <w:r>
        <w:rPr/>
        <w:t>0.063. Esto indica que son más el número de personas del grupo alto que respondieron acertadamente que  los integrantes del grupo</w:t>
      </w:r>
      <w:r>
        <w:rPr>
          <w:spacing w:val="38"/>
        </w:rPr>
        <w:t> </w:t>
      </w:r>
      <w:r>
        <w:rPr/>
        <w:t>bajo.</w:t>
      </w:r>
    </w:p>
    <w:p>
      <w:pPr>
        <w:pStyle w:val="BodyText"/>
        <w:rPr>
          <w:sz w:val="22"/>
        </w:rPr>
      </w:pPr>
    </w:p>
    <w:p>
      <w:pPr>
        <w:pStyle w:val="BodyText"/>
        <w:spacing w:line="364" w:lineRule="auto" w:before="160"/>
        <w:ind w:left="115" w:right="103"/>
        <w:jc w:val="both"/>
      </w:pPr>
      <w:r>
        <w:rPr/>
        <w:t>El análisis dio como resultado siete reactivos con índice de discriminación negativo y cinco </w:t>
      </w:r>
      <w:r>
        <w:rPr>
          <w:spacing w:val="2"/>
        </w:rPr>
        <w:t>con </w:t>
      </w:r>
      <w:r>
        <w:rPr/>
        <w:t>índice igual a cero. Debido a que los índices negativos no </w:t>
      </w:r>
      <w:r>
        <w:rPr>
          <w:spacing w:val="4"/>
        </w:rPr>
        <w:t>se </w:t>
      </w:r>
      <w:r>
        <w:rPr/>
        <w:t>alejaban mucho de cero se decidió no modificarlos. Dos de los reactivos mostraron tanto índice de discriminación como índice de dificultad desfavorables, así que fueron éstos los que sufrieron</w:t>
      </w:r>
      <w:r>
        <w:rPr>
          <w:spacing w:val="52"/>
        </w:rPr>
        <w:t> </w:t>
      </w:r>
      <w:r>
        <w:rPr/>
        <w:t>modificaciones.</w:t>
      </w:r>
    </w:p>
    <w:p>
      <w:pPr>
        <w:pStyle w:val="BodyText"/>
        <w:rPr>
          <w:sz w:val="22"/>
        </w:rPr>
      </w:pPr>
    </w:p>
    <w:p>
      <w:pPr>
        <w:pStyle w:val="BodyText"/>
        <w:spacing w:line="364" w:lineRule="auto" w:before="150"/>
        <w:ind w:left="115" w:right="103"/>
        <w:jc w:val="both"/>
      </w:pPr>
      <w:r>
        <w:rPr/>
        <w:t>Una </w:t>
      </w:r>
      <w:r>
        <w:rPr>
          <w:spacing w:val="2"/>
        </w:rPr>
        <w:t>vez </w:t>
      </w:r>
      <w:r>
        <w:rPr/>
        <w:t>que se analizaron y modificaron los reactivos que  se  consideraban  débiles para los fines </w:t>
      </w:r>
      <w:r>
        <w:rPr>
          <w:spacing w:val="-3"/>
        </w:rPr>
        <w:t>de </w:t>
      </w:r>
      <w:r>
        <w:rPr/>
        <w:t>este trabajo se procedió a una segunda etapa del piloteo. Esta vez se llevó a cabo entre diez personas: cinco hispanoparlantes con distintos grados académicos, de licenciatura y maestría, entre 30 y 55 años;  </w:t>
      </w:r>
      <w:r>
        <w:rPr>
          <w:spacing w:val="-3"/>
        </w:rPr>
        <w:t>tres</w:t>
      </w:r>
      <w:r>
        <w:rPr>
          <w:spacing w:val="57"/>
        </w:rPr>
        <w:t> </w:t>
      </w:r>
      <w:r>
        <w:rPr/>
        <w:t>estudiantes de licenciatura, de entre 20 y 23 años; y dos extranjeros, una anglo- parlante de 38 años </w:t>
      </w:r>
      <w:r>
        <w:rPr>
          <w:spacing w:val="2"/>
        </w:rPr>
        <w:t>con </w:t>
      </w:r>
      <w:r>
        <w:rPr/>
        <w:t>grado de maestría y una franco-parlante de 30 años también </w:t>
      </w:r>
      <w:r>
        <w:rPr>
          <w:spacing w:val="2"/>
        </w:rPr>
        <w:t>con </w:t>
      </w:r>
      <w:r>
        <w:rPr/>
        <w:t>grado de maestría, ambas con experiencia en el campo de </w:t>
      </w:r>
      <w:r>
        <w:rPr>
          <w:spacing w:val="-5"/>
        </w:rPr>
        <w:t>la </w:t>
      </w:r>
      <w:r>
        <w:rPr/>
        <w:t>evaluación  y  alto  nivel  de  competencia  en  lengua  española.  En  esta </w:t>
      </w:r>
      <w:r>
        <w:rPr>
          <w:spacing w:val="12"/>
        </w:rPr>
        <w:t> </w:t>
      </w:r>
      <w:r>
        <w:rPr/>
        <w:t>segunda</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bookmarkStart w:name="_bookmark29" w:id="55"/>
      <w:bookmarkEnd w:id="55"/>
      <w:r>
        <w:rPr/>
      </w:r>
      <w:r>
        <w:rPr/>
        <w:t>etapa se les solicitó a los colaboradores retro-alimentación y comentarios con respecto a la prueba y se hicieron ajustes con base en  estos.</w:t>
      </w:r>
    </w:p>
    <w:p>
      <w:pPr>
        <w:pStyle w:val="BodyText"/>
        <w:rPr>
          <w:sz w:val="22"/>
        </w:rPr>
      </w:pPr>
    </w:p>
    <w:p>
      <w:pPr>
        <w:pStyle w:val="BodyText"/>
        <w:spacing w:before="7"/>
        <w:rPr>
          <w:sz w:val="30"/>
        </w:rPr>
      </w:pPr>
    </w:p>
    <w:p>
      <w:pPr>
        <w:pStyle w:val="Heading3"/>
        <w:numPr>
          <w:ilvl w:val="2"/>
          <w:numId w:val="14"/>
        </w:numPr>
        <w:tabs>
          <w:tab w:pos="769" w:val="left" w:leader="none"/>
        </w:tabs>
        <w:spacing w:line="240" w:lineRule="auto" w:before="0" w:after="0"/>
        <w:ind w:left="768" w:right="0" w:hanging="652"/>
        <w:jc w:val="both"/>
      </w:pPr>
      <w:r>
        <w:rPr/>
        <w:t>Instrumento para medir la competencia lingüística en </w:t>
      </w:r>
      <w:r>
        <w:rPr>
          <w:spacing w:val="-4"/>
        </w:rPr>
        <w:t>la </w:t>
      </w:r>
      <w:r>
        <w:rPr/>
        <w:t>lengua </w:t>
      </w:r>
      <w:r>
        <w:rPr>
          <w:spacing w:val="51"/>
        </w:rPr>
        <w:t> </w:t>
      </w:r>
      <w:r>
        <w:rPr/>
        <w:t>inglesa</w:t>
      </w:r>
    </w:p>
    <w:p>
      <w:pPr>
        <w:pStyle w:val="BodyText"/>
        <w:rPr>
          <w:b/>
          <w:sz w:val="22"/>
        </w:rPr>
      </w:pPr>
    </w:p>
    <w:p>
      <w:pPr>
        <w:pStyle w:val="BodyText"/>
        <w:spacing w:line="364" w:lineRule="auto" w:before="149"/>
        <w:ind w:left="115" w:right="101"/>
        <w:jc w:val="both"/>
      </w:pPr>
      <w:r>
        <w:rPr/>
        <w:t>Para medir </w:t>
      </w:r>
      <w:r>
        <w:rPr>
          <w:spacing w:val="-5"/>
        </w:rPr>
        <w:t>la </w:t>
      </w:r>
      <w:r>
        <w:rPr/>
        <w:t>competencia lingüística se utilizaron dos instrumentos: un </w:t>
      </w:r>
      <w:r>
        <w:rPr>
          <w:i/>
        </w:rPr>
        <w:t>cloze </w:t>
      </w:r>
      <w:r>
        <w:rPr/>
        <w:t>test   y un </w:t>
      </w:r>
      <w:r>
        <w:rPr>
          <w:i/>
        </w:rPr>
        <w:t>vocabulary levels </w:t>
      </w:r>
      <w:r>
        <w:rPr/>
        <w:t>test. </w:t>
      </w:r>
      <w:r>
        <w:rPr>
          <w:spacing w:val="3"/>
        </w:rPr>
        <w:t>El </w:t>
      </w:r>
      <w:r>
        <w:rPr/>
        <w:t>primero es una adaptación de un </w:t>
      </w:r>
      <w:r>
        <w:rPr>
          <w:i/>
        </w:rPr>
        <w:t>cloze </w:t>
      </w:r>
      <w:r>
        <w:rPr/>
        <w:t>test típico   que mide el conocimiento de la lengua que tiene el sujeto puesto que pone a  prueba </w:t>
      </w:r>
      <w:r>
        <w:rPr>
          <w:spacing w:val="-5"/>
        </w:rPr>
        <w:t>la </w:t>
      </w:r>
      <w:r>
        <w:rPr/>
        <w:t>competencia a nivel sintáctico y semántico. El test (ver  anexo  K)  consiste en un texto al que </w:t>
      </w:r>
      <w:r>
        <w:rPr>
          <w:spacing w:val="4"/>
        </w:rPr>
        <w:t>se </w:t>
      </w:r>
      <w:r>
        <w:rPr/>
        <w:t>le han borrado ciertas palabras, en este caso fueron quince; ocho palabras de contenido y siete de función. </w:t>
      </w:r>
      <w:r>
        <w:rPr>
          <w:spacing w:val="3"/>
        </w:rPr>
        <w:t>Se </w:t>
      </w:r>
      <w:r>
        <w:rPr/>
        <w:t>buscó que las palabras omitidas tuviesen cierta relación con aquellas que no lo fueron, por ejemplo, colocaciones, preposiciones y verbos en distintas formas gramaticales como participio, presente y pasado, infinitivo, y verbos auxiliares. El texto elegido fue de tipo informativo, similar a los utilizados en los test de comprensión de lectura, con   el fin de evitar estilos periodísticos o literarios que pueden incluir elementos </w:t>
      </w:r>
      <w:r>
        <w:rPr>
          <w:spacing w:val="-3"/>
        </w:rPr>
        <w:t>más </w:t>
      </w:r>
      <w:r>
        <w:rPr/>
        <w:t>difíciles de </w:t>
      </w:r>
      <w:r>
        <w:rPr>
          <w:spacing w:val="-3"/>
        </w:rPr>
        <w:t>predecir. </w:t>
      </w:r>
      <w:r>
        <w:rPr>
          <w:spacing w:val="3"/>
        </w:rPr>
        <w:t>El </w:t>
      </w:r>
      <w:r>
        <w:rPr/>
        <w:t>individuo debe utilizar </w:t>
      </w:r>
      <w:r>
        <w:rPr>
          <w:spacing w:val="2"/>
        </w:rPr>
        <w:t>sus </w:t>
      </w:r>
      <w:r>
        <w:rPr/>
        <w:t>habilidades sintácticas y semánticas para identificar la palabra faltante en el espacio.  </w:t>
      </w:r>
      <w:r>
        <w:rPr>
          <w:spacing w:val="2"/>
        </w:rPr>
        <w:t>Por  </w:t>
      </w:r>
      <w:r>
        <w:rPr/>
        <w:t>supuesto,  también hace uso de sus esquemas para cumplir la tarea, sin embargo, tienen mayor peso las habilidades semánticas y sintácticas. El test se piloteó entre diez profesores de la facultad, incluyendo </w:t>
      </w:r>
      <w:r>
        <w:rPr>
          <w:spacing w:val="5"/>
        </w:rPr>
        <w:t> </w:t>
      </w:r>
      <w:r>
        <w:rPr/>
        <w:t>anglo-parlantes.</w:t>
      </w:r>
    </w:p>
    <w:p>
      <w:pPr>
        <w:pStyle w:val="BodyText"/>
        <w:rPr>
          <w:sz w:val="22"/>
        </w:rPr>
      </w:pPr>
    </w:p>
    <w:p>
      <w:pPr>
        <w:pStyle w:val="BodyText"/>
        <w:spacing w:line="364" w:lineRule="auto" w:before="155"/>
        <w:ind w:left="115" w:right="103"/>
        <w:jc w:val="both"/>
      </w:pPr>
      <w:r>
        <w:rPr/>
        <w:t>No es necesario para este trabajo saber </w:t>
      </w:r>
      <w:r>
        <w:rPr>
          <w:spacing w:val="4"/>
        </w:rPr>
        <w:t>si </w:t>
      </w:r>
      <w:r>
        <w:rPr/>
        <w:t>los sujetos de estudio son competentes en la lengua a nivel social o conversacional (</w:t>
      </w:r>
      <w:r>
        <w:rPr>
          <w:i/>
        </w:rPr>
        <w:t>conocimiento funcional </w:t>
      </w:r>
      <w:r>
        <w:rPr/>
        <w:t>según  Bachman y </w:t>
      </w:r>
      <w:r>
        <w:rPr>
          <w:spacing w:val="-3"/>
        </w:rPr>
        <w:t>Palmer, </w:t>
      </w:r>
      <w:r>
        <w:rPr/>
        <w:t>1996:69). El nivel de competencia determinado por el </w:t>
      </w:r>
      <w:r>
        <w:rPr>
          <w:i/>
        </w:rPr>
        <w:t>cloze  </w:t>
      </w:r>
      <w:r>
        <w:rPr/>
        <w:t>test, que se limita a reconocimiento de estructuras morfosintácticas y de posibilidades semánticas, </w:t>
      </w:r>
      <w:r>
        <w:rPr>
          <w:spacing w:val="-3"/>
        </w:rPr>
        <w:t>mas </w:t>
      </w:r>
      <w:r>
        <w:rPr/>
        <w:t>no a producción de lenguaje, por lo que  </w:t>
      </w:r>
      <w:r>
        <w:rPr>
          <w:spacing w:val="-3"/>
        </w:rPr>
        <w:t>es  </w:t>
      </w:r>
      <w:r>
        <w:rPr/>
        <w:t>adecuado para medir </w:t>
      </w:r>
      <w:r>
        <w:rPr>
          <w:spacing w:val="-5"/>
        </w:rPr>
        <w:t>la </w:t>
      </w:r>
      <w:r>
        <w:rPr/>
        <w:t>competencia </w:t>
      </w:r>
      <w:r>
        <w:rPr>
          <w:spacing w:val="21"/>
        </w:rPr>
        <w:t> </w:t>
      </w:r>
      <w:r>
        <w:rPr/>
        <w:t>lingüística.</w:t>
      </w:r>
    </w:p>
    <w:p>
      <w:pPr>
        <w:pStyle w:val="BodyText"/>
        <w:rPr>
          <w:sz w:val="22"/>
        </w:rPr>
      </w:pPr>
    </w:p>
    <w:p>
      <w:pPr>
        <w:pStyle w:val="BodyText"/>
        <w:spacing w:line="362" w:lineRule="auto" w:before="160"/>
        <w:ind w:left="115" w:right="103"/>
        <w:jc w:val="both"/>
      </w:pPr>
      <w:r>
        <w:rPr/>
        <w:t>Otro aspecto de peso, es la mencionada practicidad. Los  exámenes  de Cambridge,</w:t>
      </w:r>
      <w:r>
        <w:rPr>
          <w:spacing w:val="22"/>
        </w:rPr>
        <w:t> </w:t>
      </w:r>
      <w:r>
        <w:rPr/>
        <w:t>de</w:t>
      </w:r>
      <w:r>
        <w:rPr>
          <w:spacing w:val="20"/>
        </w:rPr>
        <w:t> </w:t>
      </w:r>
      <w:r>
        <w:rPr/>
        <w:t>alto</w:t>
      </w:r>
      <w:r>
        <w:rPr>
          <w:spacing w:val="25"/>
        </w:rPr>
        <w:t> </w:t>
      </w:r>
      <w:r>
        <w:rPr/>
        <w:t>grado</w:t>
      </w:r>
      <w:r>
        <w:rPr>
          <w:spacing w:val="24"/>
        </w:rPr>
        <w:t> </w:t>
      </w:r>
      <w:r>
        <w:rPr/>
        <w:t>de</w:t>
      </w:r>
      <w:r>
        <w:rPr>
          <w:spacing w:val="20"/>
        </w:rPr>
        <w:t> </w:t>
      </w:r>
      <w:r>
        <w:rPr/>
        <w:t>validez,</w:t>
      </w:r>
      <w:r>
        <w:rPr>
          <w:spacing w:val="23"/>
        </w:rPr>
        <w:t> </w:t>
      </w:r>
      <w:r>
        <w:rPr/>
        <w:t>constan</w:t>
      </w:r>
      <w:r>
        <w:rPr>
          <w:spacing w:val="20"/>
        </w:rPr>
        <w:t> </w:t>
      </w:r>
      <w:r>
        <w:rPr/>
        <w:t>de</w:t>
      </w:r>
      <w:r>
        <w:rPr>
          <w:spacing w:val="25"/>
        </w:rPr>
        <w:t> </w:t>
      </w:r>
      <w:r>
        <w:rPr/>
        <w:t>entrevistas</w:t>
      </w:r>
      <w:r>
        <w:rPr>
          <w:spacing w:val="28"/>
        </w:rPr>
        <w:t> </w:t>
      </w:r>
      <w:r>
        <w:rPr/>
        <w:t>y</w:t>
      </w:r>
      <w:r>
        <w:rPr>
          <w:spacing w:val="19"/>
        </w:rPr>
        <w:t> </w:t>
      </w:r>
      <w:r>
        <w:rPr/>
        <w:t>dos</w:t>
      </w:r>
      <w:r>
        <w:rPr>
          <w:spacing w:val="24"/>
        </w:rPr>
        <w:t> </w:t>
      </w:r>
      <w:r>
        <w:rPr/>
        <w:t>composiciones</w:t>
      </w:r>
    </w:p>
    <w:p>
      <w:pPr>
        <w:spacing w:after="0" w:line="362"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213"/>
      </w:pPr>
      <w:r>
        <w:rPr/>
        <w:t>escritas por cada individuo, para lo que </w:t>
      </w:r>
      <w:r>
        <w:rPr>
          <w:spacing w:val="4"/>
        </w:rPr>
        <w:t>se </w:t>
      </w:r>
      <w:r>
        <w:rPr/>
        <w:t>requiere de un gran ejercicio de  recursos y al no contar con éstos se vuelve </w:t>
      </w:r>
      <w:r>
        <w:rPr>
          <w:spacing w:val="-3"/>
        </w:rPr>
        <w:t>una </w:t>
      </w:r>
      <w:r>
        <w:rPr>
          <w:spacing w:val="13"/>
        </w:rPr>
        <w:t> </w:t>
      </w:r>
      <w:r>
        <w:rPr/>
        <w:t>limitante.</w:t>
      </w:r>
    </w:p>
    <w:p>
      <w:pPr>
        <w:pStyle w:val="BodyText"/>
        <w:rPr>
          <w:sz w:val="22"/>
        </w:rPr>
      </w:pPr>
    </w:p>
    <w:p>
      <w:pPr>
        <w:pStyle w:val="BodyText"/>
        <w:spacing w:line="364" w:lineRule="auto" w:before="155"/>
        <w:ind w:left="115" w:right="100"/>
        <w:jc w:val="both"/>
      </w:pPr>
      <w:r>
        <w:rPr/>
        <w:t>Para complementar la medición de competencia lingüística </w:t>
      </w:r>
      <w:r>
        <w:rPr>
          <w:spacing w:val="4"/>
        </w:rPr>
        <w:t>se </w:t>
      </w:r>
      <w:r>
        <w:rPr/>
        <w:t>decidió  también medir el nivel de vocabulario y para ello se diseñó el segundo instrumento (ver anexo J). Ha sido mencionado cómo varios autores (Alderson, 2000:99; Read,  2000: 74-75) </w:t>
      </w:r>
      <w:r>
        <w:rPr>
          <w:spacing w:val="4"/>
        </w:rPr>
        <w:t>se </w:t>
      </w:r>
      <w:r>
        <w:rPr/>
        <w:t>refieren a </w:t>
      </w:r>
      <w:r>
        <w:rPr>
          <w:spacing w:val="-5"/>
        </w:rPr>
        <w:t>la </w:t>
      </w:r>
      <w:r>
        <w:rPr/>
        <w:t>importancia del nivel de vocabulario  en  </w:t>
      </w:r>
      <w:r>
        <w:rPr>
          <w:spacing w:val="-5"/>
        </w:rPr>
        <w:t>la </w:t>
      </w:r>
      <w:r>
        <w:rPr/>
        <w:t>comprensión de lectura y como componente de la competencia lingüística. Se decidió medir el nivel de vocabulario a través de un  instrumento diseñado para  este trabajo y que toma como base el </w:t>
      </w:r>
      <w:r>
        <w:rPr>
          <w:i/>
        </w:rPr>
        <w:t>Vocabulary Levels </w:t>
      </w:r>
      <w:r>
        <w:rPr>
          <w:spacing w:val="-6"/>
        </w:rPr>
        <w:t>Test, </w:t>
      </w:r>
      <w:r>
        <w:rPr/>
        <w:t>creado por Paul Nation (1983) como examen diagnóstico de vocabulario para cursos de lengua. Dicho examen consiste </w:t>
      </w:r>
      <w:r>
        <w:rPr>
          <w:spacing w:val="-3"/>
        </w:rPr>
        <w:t>en </w:t>
      </w:r>
      <w:r>
        <w:rPr/>
        <w:t>medir </w:t>
      </w:r>
      <w:r>
        <w:rPr>
          <w:spacing w:val="4"/>
        </w:rPr>
        <w:t>el </w:t>
      </w:r>
      <w:r>
        <w:rPr/>
        <w:t>nivel de vocabulario que conoce un individuo.  Se sugiere otorgar un máximo de cincuenta minutos para la resolución de  </w:t>
      </w:r>
      <w:r>
        <w:rPr>
          <w:spacing w:val="-5"/>
        </w:rPr>
        <w:t>la </w:t>
      </w:r>
      <w:r>
        <w:rPr/>
        <w:t>prueba. La puntuación </w:t>
      </w:r>
      <w:r>
        <w:rPr>
          <w:spacing w:val="4"/>
        </w:rPr>
        <w:t>se </w:t>
      </w:r>
      <w:r>
        <w:rPr/>
        <w:t>obtiene por cada nivel y generalmente el número de respuestas correctas decrece conforme se avanza en los niveles.  Los  reactivos son como el que </w:t>
      </w:r>
      <w:r>
        <w:rPr>
          <w:spacing w:val="4"/>
        </w:rPr>
        <w:t>se </w:t>
      </w:r>
      <w:r>
        <w:rPr/>
        <w:t>muestra a</w:t>
      </w:r>
      <w:r>
        <w:rPr>
          <w:spacing w:val="52"/>
        </w:rPr>
        <w:t> </w:t>
      </w:r>
      <w:r>
        <w:rPr/>
        <w:t>continuación:</w:t>
      </w:r>
    </w:p>
    <w:p>
      <w:pPr>
        <w:pStyle w:val="BodyText"/>
        <w:rPr>
          <w:sz w:val="22"/>
        </w:rPr>
      </w:pPr>
    </w:p>
    <w:p>
      <w:pPr>
        <w:spacing w:before="160"/>
        <w:ind w:left="115" w:right="0" w:firstLine="0"/>
        <w:jc w:val="both"/>
        <w:rPr>
          <w:i/>
          <w:sz w:val="23"/>
        </w:rPr>
      </w:pPr>
      <w:r>
        <w:rPr>
          <w:i/>
          <w:sz w:val="23"/>
        </w:rPr>
        <w:t>Reactivo tomado del instrumento para medir  vocabulario</w:t>
      </w:r>
    </w:p>
    <w:p>
      <w:pPr>
        <w:pStyle w:val="BodyText"/>
        <w:rPr>
          <w:i/>
          <w:sz w:val="22"/>
        </w:rPr>
      </w:pPr>
    </w:p>
    <w:p>
      <w:pPr>
        <w:pStyle w:val="BodyText"/>
        <w:spacing w:before="4"/>
        <w:rPr>
          <w:i/>
          <w:sz w:val="25"/>
        </w:rPr>
      </w:pPr>
    </w:p>
    <w:p>
      <w:pPr>
        <w:pStyle w:val="ListParagraph"/>
        <w:numPr>
          <w:ilvl w:val="0"/>
          <w:numId w:val="15"/>
        </w:numPr>
        <w:tabs>
          <w:tab w:pos="467" w:val="left" w:leader="none"/>
        </w:tabs>
        <w:spacing w:line="240" w:lineRule="auto" w:before="0" w:after="0"/>
        <w:ind w:left="466" w:right="0" w:hanging="350"/>
        <w:jc w:val="both"/>
        <w:rPr>
          <w:sz w:val="16"/>
        </w:rPr>
      </w:pPr>
      <w:r>
        <w:rPr>
          <w:sz w:val="16"/>
        </w:rPr>
        <w:t>Accurate</w:t>
      </w:r>
    </w:p>
    <w:p>
      <w:pPr>
        <w:pStyle w:val="ListParagraph"/>
        <w:numPr>
          <w:ilvl w:val="0"/>
          <w:numId w:val="15"/>
        </w:numPr>
        <w:tabs>
          <w:tab w:pos="467" w:val="left" w:leader="none"/>
          <w:tab w:pos="2179" w:val="left" w:leader="none"/>
          <w:tab w:pos="2731" w:val="left" w:leader="none"/>
        </w:tabs>
        <w:spacing w:line="240" w:lineRule="auto" w:before="8" w:after="0"/>
        <w:ind w:left="466" w:right="0" w:hanging="350"/>
        <w:jc w:val="both"/>
        <w:rPr>
          <w:sz w:val="16"/>
        </w:rPr>
      </w:pPr>
      <w:r>
        <w:rPr>
          <w:sz w:val="16"/>
        </w:rPr>
        <w:t>Certain</w:t>
        <w:tab/>
      </w:r>
      <w:r>
        <w:rPr>
          <w:sz w:val="16"/>
          <w:u w:val="single"/>
        </w:rPr>
        <w:tab/>
      </w:r>
      <w:r>
        <w:rPr>
          <w:sz w:val="16"/>
        </w:rPr>
        <w:t>the profession </w:t>
      </w:r>
      <w:r>
        <w:rPr>
          <w:spacing w:val="-3"/>
          <w:sz w:val="16"/>
        </w:rPr>
        <w:t>or </w:t>
      </w:r>
      <w:r>
        <w:rPr>
          <w:sz w:val="16"/>
        </w:rPr>
        <w:t>work </w:t>
      </w:r>
      <w:r>
        <w:rPr>
          <w:spacing w:val="-3"/>
          <w:sz w:val="16"/>
        </w:rPr>
        <w:t>of </w:t>
      </w:r>
      <w:r>
        <w:rPr>
          <w:sz w:val="16"/>
        </w:rPr>
        <w:t>a</w:t>
      </w:r>
      <w:r>
        <w:rPr>
          <w:spacing w:val="43"/>
          <w:sz w:val="16"/>
        </w:rPr>
        <w:t> </w:t>
      </w:r>
      <w:r>
        <w:rPr>
          <w:sz w:val="16"/>
        </w:rPr>
        <w:t>church</w:t>
      </w:r>
    </w:p>
    <w:p>
      <w:pPr>
        <w:pStyle w:val="ListParagraph"/>
        <w:numPr>
          <w:ilvl w:val="0"/>
          <w:numId w:val="15"/>
        </w:numPr>
        <w:tabs>
          <w:tab w:pos="467" w:val="left" w:leader="none"/>
          <w:tab w:pos="2179" w:val="left" w:leader="none"/>
          <w:tab w:pos="2731" w:val="left" w:leader="none"/>
        </w:tabs>
        <w:spacing w:line="240" w:lineRule="auto" w:before="8" w:after="0"/>
        <w:ind w:left="466" w:right="0" w:hanging="350"/>
        <w:jc w:val="both"/>
        <w:rPr>
          <w:sz w:val="16"/>
        </w:rPr>
      </w:pPr>
      <w:r>
        <w:rPr>
          <w:sz w:val="16"/>
        </w:rPr>
        <w:t>Honest</w:t>
        <w:tab/>
      </w:r>
      <w:r>
        <w:rPr>
          <w:sz w:val="16"/>
          <w:u w:val="single"/>
        </w:rPr>
        <w:tab/>
      </w:r>
      <w:r>
        <w:rPr>
          <w:sz w:val="16"/>
        </w:rPr>
        <w:t>correct </w:t>
      </w:r>
      <w:r>
        <w:rPr>
          <w:spacing w:val="-3"/>
          <w:sz w:val="16"/>
        </w:rPr>
        <w:t>or </w:t>
      </w:r>
      <w:r>
        <w:rPr>
          <w:sz w:val="16"/>
        </w:rPr>
        <w:t>true in every</w:t>
      </w:r>
      <w:r>
        <w:rPr>
          <w:spacing w:val="21"/>
          <w:sz w:val="16"/>
        </w:rPr>
        <w:t> </w:t>
      </w:r>
      <w:r>
        <w:rPr>
          <w:sz w:val="16"/>
        </w:rPr>
        <w:t>detail</w:t>
      </w:r>
    </w:p>
    <w:p>
      <w:pPr>
        <w:pStyle w:val="ListParagraph"/>
        <w:numPr>
          <w:ilvl w:val="0"/>
          <w:numId w:val="15"/>
        </w:numPr>
        <w:tabs>
          <w:tab w:pos="467" w:val="left" w:leader="none"/>
          <w:tab w:pos="2179" w:val="left" w:leader="none"/>
          <w:tab w:pos="2731" w:val="left" w:leader="none"/>
        </w:tabs>
        <w:spacing w:line="240" w:lineRule="auto" w:before="8" w:after="0"/>
        <w:ind w:left="466" w:right="0" w:hanging="350"/>
        <w:jc w:val="both"/>
        <w:rPr>
          <w:sz w:val="16"/>
        </w:rPr>
      </w:pPr>
      <w:r>
        <w:rPr>
          <w:sz w:val="16"/>
        </w:rPr>
        <w:t>Ministry</w:t>
        <w:tab/>
      </w:r>
      <w:r>
        <w:rPr>
          <w:sz w:val="16"/>
          <w:u w:val="single"/>
        </w:rPr>
        <w:tab/>
      </w:r>
      <w:r>
        <w:rPr>
          <w:sz w:val="16"/>
        </w:rPr>
        <w:t>having </w:t>
      </w:r>
      <w:r>
        <w:rPr>
          <w:spacing w:val="4"/>
          <w:sz w:val="16"/>
        </w:rPr>
        <w:t>no </w:t>
      </w:r>
      <w:r>
        <w:rPr>
          <w:sz w:val="16"/>
        </w:rPr>
        <w:t>doubts that something is</w:t>
      </w:r>
      <w:r>
        <w:rPr>
          <w:spacing w:val="16"/>
          <w:sz w:val="16"/>
        </w:rPr>
        <w:t> </w:t>
      </w:r>
      <w:r>
        <w:rPr>
          <w:sz w:val="16"/>
        </w:rPr>
        <w:t>true</w:t>
      </w:r>
    </w:p>
    <w:p>
      <w:pPr>
        <w:pStyle w:val="ListParagraph"/>
        <w:numPr>
          <w:ilvl w:val="0"/>
          <w:numId w:val="15"/>
        </w:numPr>
        <w:tabs>
          <w:tab w:pos="467" w:val="left" w:leader="none"/>
        </w:tabs>
        <w:spacing w:line="240" w:lineRule="auto" w:before="3" w:after="0"/>
        <w:ind w:left="466" w:right="0" w:hanging="350"/>
        <w:jc w:val="both"/>
        <w:rPr>
          <w:sz w:val="16"/>
        </w:rPr>
      </w:pPr>
      <w:r>
        <w:rPr>
          <w:sz w:val="16"/>
        </w:rPr>
        <w:t>Protestant</w:t>
      </w:r>
    </w:p>
    <w:p>
      <w:pPr>
        <w:pStyle w:val="ListParagraph"/>
        <w:numPr>
          <w:ilvl w:val="0"/>
          <w:numId w:val="15"/>
        </w:numPr>
        <w:tabs>
          <w:tab w:pos="467" w:val="left" w:leader="none"/>
        </w:tabs>
        <w:spacing w:line="240" w:lineRule="auto" w:before="8" w:after="0"/>
        <w:ind w:left="466" w:right="0" w:hanging="350"/>
        <w:jc w:val="both"/>
        <w:rPr>
          <w:sz w:val="16"/>
        </w:rPr>
      </w:pPr>
      <w:r>
        <w:rPr>
          <w:sz w:val="16"/>
        </w:rPr>
        <w:t>Valid</w:t>
      </w:r>
    </w:p>
    <w:p>
      <w:pPr>
        <w:pStyle w:val="BodyText"/>
        <w:rPr>
          <w:sz w:val="16"/>
        </w:rPr>
      </w:pPr>
    </w:p>
    <w:p>
      <w:pPr>
        <w:pStyle w:val="BodyText"/>
        <w:spacing w:before="7"/>
        <w:rPr>
          <w:sz w:val="18"/>
        </w:rPr>
      </w:pPr>
    </w:p>
    <w:p>
      <w:pPr>
        <w:pStyle w:val="BodyText"/>
        <w:ind w:left="115"/>
        <w:jc w:val="both"/>
      </w:pPr>
      <w:r>
        <w:rPr/>
        <w:t>El sustentante debe elegir las opciones </w:t>
      </w:r>
      <w:r>
        <w:rPr>
          <w:i/>
        </w:rPr>
        <w:t>d</w:t>
      </w:r>
      <w:r>
        <w:rPr/>
        <w:t>, </w:t>
      </w:r>
      <w:r>
        <w:rPr>
          <w:i/>
        </w:rPr>
        <w:t>a </w:t>
      </w:r>
      <w:r>
        <w:rPr/>
        <w:t>y </w:t>
      </w:r>
      <w:r>
        <w:rPr>
          <w:i/>
        </w:rPr>
        <w:t>b</w:t>
      </w:r>
      <w:r>
        <w:rPr/>
        <w:t>, en ese  orden.</w:t>
      </w:r>
    </w:p>
    <w:p>
      <w:pPr>
        <w:pStyle w:val="BodyText"/>
        <w:rPr>
          <w:sz w:val="22"/>
        </w:rPr>
      </w:pPr>
    </w:p>
    <w:p>
      <w:pPr>
        <w:pStyle w:val="BodyText"/>
        <w:spacing w:before="6"/>
        <w:rPr>
          <w:sz w:val="25"/>
        </w:rPr>
      </w:pPr>
    </w:p>
    <w:p>
      <w:pPr>
        <w:pStyle w:val="BodyText"/>
        <w:spacing w:line="364" w:lineRule="auto"/>
        <w:ind w:left="115" w:right="103"/>
        <w:jc w:val="both"/>
      </w:pPr>
      <w:r>
        <w:rPr/>
        <w:t>Se decidió elaborar un instrumento original, basado </w:t>
      </w:r>
      <w:r>
        <w:rPr>
          <w:spacing w:val="-3"/>
        </w:rPr>
        <w:t>en </w:t>
      </w:r>
      <w:r>
        <w:rPr/>
        <w:t>el creado  por  Nation  (1983), </w:t>
      </w:r>
      <w:r>
        <w:rPr>
          <w:spacing w:val="-4"/>
        </w:rPr>
        <w:t>ya</w:t>
      </w:r>
      <w:r>
        <w:rPr>
          <w:spacing w:val="55"/>
        </w:rPr>
        <w:t> </w:t>
      </w:r>
      <w:r>
        <w:rPr/>
        <w:t>que debido al perfil académico de los alumnos, estudiantes  de  docencia, podrían </w:t>
      </w:r>
      <w:r>
        <w:rPr>
          <w:spacing w:val="-4"/>
        </w:rPr>
        <w:t>ya </w:t>
      </w:r>
      <w:r>
        <w:rPr/>
        <w:t>conocer este examen o incluso las nuevas versiones de Schmitt (2000)</w:t>
      </w:r>
      <w:r>
        <w:rPr>
          <w:color w:val="0000FF"/>
        </w:rPr>
        <w:t>, </w:t>
      </w:r>
      <w:r>
        <w:rPr/>
        <w:t>lo que repercutiría en la confiabilidad del instrumento y sus resultados.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4"/>
        <w:jc w:val="both"/>
      </w:pPr>
      <w:r>
        <w:rPr/>
        <w:t>Es así que, </w:t>
      </w:r>
      <w:r>
        <w:rPr>
          <w:spacing w:val="2"/>
        </w:rPr>
        <w:t>con </w:t>
      </w:r>
      <w:r>
        <w:rPr/>
        <w:t>algunas diferencias que serán detalladas líneas abajo, se elaboró este instrumento para medir el vocabulario de los sujetos. Como primer paso, se seleccionaron palabras y sus definiciones del diccionario Macmillan English Dictionary (2002). Este diccionario para estudiantes avanzados de inglés, identifica las palabras más comunes con estrellas. Por ejemplo,  las  palabras  que pertenecen al nivel de las más comunes están marcadas con cuatro estrellas, las siguientes con tres, y así sucesivamente hasta ninguna. Las definiciones de este diccionario están redactadas usando solamente las 2500 palabras más comunes  por lo que es fácil para los estudiantes, al menos de nivel intermedio comprender los</w:t>
      </w:r>
      <w:r>
        <w:rPr>
          <w:spacing w:val="25"/>
        </w:rPr>
        <w:t> </w:t>
      </w:r>
      <w:r>
        <w:rPr/>
        <w:t>significados.</w:t>
      </w:r>
    </w:p>
    <w:p>
      <w:pPr>
        <w:pStyle w:val="BodyText"/>
        <w:rPr>
          <w:sz w:val="22"/>
        </w:rPr>
      </w:pPr>
    </w:p>
    <w:p>
      <w:pPr>
        <w:pStyle w:val="BodyText"/>
        <w:spacing w:line="364" w:lineRule="auto" w:before="155"/>
        <w:ind w:left="115" w:right="98"/>
        <w:jc w:val="both"/>
      </w:pPr>
      <w:r>
        <w:rPr/>
        <w:t>Se tomó una palabra y su definición cada veinticinco páginas del diccionario lo que distribuye la carga de palabras a lo largo de éste, y se evitó cualquier tendencia involuntaria. En ocasiones no había en la página en turno una palabra de la categoría requerida por lo que se seleccionaba la de la página siguiente  o  la primera que se encontrara si en ésta tampoco había. Así fue la selección de palabras para las cinco categorías (de ninguna a cuatro estrellas) manejadas por este diccionario que equivaldrían a los cinco niveles del </w:t>
      </w:r>
      <w:r>
        <w:rPr>
          <w:i/>
        </w:rPr>
        <w:t>Vocabulary Levels  Test</w:t>
      </w:r>
      <w:r>
        <w:rPr/>
        <w:t>.</w:t>
      </w:r>
    </w:p>
    <w:p>
      <w:pPr>
        <w:pStyle w:val="BodyText"/>
        <w:rPr>
          <w:sz w:val="22"/>
        </w:rPr>
      </w:pPr>
    </w:p>
    <w:p>
      <w:pPr>
        <w:pStyle w:val="BodyText"/>
        <w:spacing w:line="364" w:lineRule="auto" w:before="150"/>
        <w:ind w:left="115" w:right="103"/>
        <w:jc w:val="both"/>
      </w:pPr>
      <w:r>
        <w:rPr/>
        <w:t>En el momento de elaborar los reactivos surgieron varias situaciones particulares que son importantes de </w:t>
      </w:r>
      <w:r>
        <w:rPr>
          <w:spacing w:val="-3"/>
        </w:rPr>
        <w:t>mencionar. </w:t>
      </w:r>
      <w:r>
        <w:rPr/>
        <w:t>Permitimos incluir algunos elementos léxicos más </w:t>
      </w:r>
      <w:r>
        <w:rPr>
          <w:spacing w:val="-4"/>
        </w:rPr>
        <w:t>allá </w:t>
      </w:r>
      <w:r>
        <w:rPr/>
        <w:t>de la palabra por ejemplo </w:t>
      </w:r>
      <w:r>
        <w:rPr>
          <w:i/>
        </w:rPr>
        <w:t>go on </w:t>
      </w:r>
      <w:r>
        <w:rPr/>
        <w:t>o </w:t>
      </w:r>
      <w:r>
        <w:rPr>
          <w:i/>
        </w:rPr>
        <w:t>break down</w:t>
      </w:r>
      <w:r>
        <w:rPr/>
        <w:t>. Las opciones de palabras en los reactivos </w:t>
      </w:r>
      <w:r>
        <w:rPr>
          <w:spacing w:val="4"/>
        </w:rPr>
        <w:t>se </w:t>
      </w:r>
      <w:r>
        <w:rPr/>
        <w:t>presentaron en estricto orden alfabético y las definiciones se pusieron al </w:t>
      </w:r>
      <w:r>
        <w:rPr>
          <w:spacing w:val="-3"/>
        </w:rPr>
        <w:t>azar, </w:t>
      </w:r>
      <w:r>
        <w:rPr/>
        <w:t>cuidando que no siempre resultara que las respuestas correctas provinieran de la lista en el mismo orden. Los distractores fueron palabras con alguna relación con la palabra correcta, </w:t>
      </w:r>
      <w:r>
        <w:rPr>
          <w:spacing w:val="-3"/>
        </w:rPr>
        <w:t>como  </w:t>
      </w:r>
      <w:r>
        <w:rPr/>
        <w:t>hipónimos, hiperónimos, palabras  del mismo campo semántico, u otras que compartieran sonidos o tuviesen alguna relación. </w:t>
      </w:r>
      <w:r>
        <w:rPr>
          <w:spacing w:val="2"/>
        </w:rPr>
        <w:t>Por </w:t>
      </w:r>
      <w:r>
        <w:rPr/>
        <w:t>ejemplo, </w:t>
      </w:r>
      <w:r>
        <w:rPr>
          <w:i/>
        </w:rPr>
        <w:t>paw </w:t>
      </w:r>
      <w:r>
        <w:rPr/>
        <w:t>y </w:t>
      </w:r>
      <w:r>
        <w:rPr>
          <w:i/>
        </w:rPr>
        <w:t>claw </w:t>
      </w:r>
      <w:r>
        <w:rPr/>
        <w:t>(ver anexo J, página </w:t>
      </w:r>
      <w:r>
        <w:rPr>
          <w:spacing w:val="-5"/>
        </w:rPr>
        <w:t>118), </w:t>
      </w:r>
      <w:r>
        <w:rPr/>
        <w:t>además del hecho de que comparten sonidos </w:t>
      </w:r>
      <w:r>
        <w:rPr>
          <w:spacing w:val="-5"/>
        </w:rPr>
        <w:t>la </w:t>
      </w:r>
      <w:r>
        <w:rPr/>
        <w:t>segunda es hipónimo de la primera; para la opción </w:t>
      </w:r>
      <w:r>
        <w:rPr>
          <w:i/>
        </w:rPr>
        <w:t>guidebook </w:t>
      </w:r>
      <w:r>
        <w:rPr/>
        <w:t>se utilizó el distractor </w:t>
      </w:r>
      <w:r>
        <w:rPr>
          <w:i/>
        </w:rPr>
        <w:t>booklet</w:t>
      </w:r>
      <w:r>
        <w:rPr/>
        <w:t>, </w:t>
      </w:r>
      <w:r>
        <w:rPr>
          <w:spacing w:val="-4"/>
        </w:rPr>
        <w:t>ya </w:t>
      </w:r>
      <w:r>
        <w:rPr/>
        <w:t>que pudiesen pertenecer al mismo campo</w:t>
      </w:r>
      <w:r>
        <w:rPr>
          <w:spacing w:val="14"/>
        </w:rPr>
        <w:t> </w:t>
      </w:r>
      <w:r>
        <w:rPr/>
        <w:t>semántico</w:t>
      </w:r>
      <w:r>
        <w:rPr>
          <w:spacing w:val="20"/>
        </w:rPr>
        <w:t> </w:t>
      </w:r>
      <w:r>
        <w:rPr/>
        <w:t>(ver</w:t>
      </w:r>
      <w:r>
        <w:rPr>
          <w:spacing w:val="13"/>
        </w:rPr>
        <w:t> </w:t>
      </w:r>
      <w:r>
        <w:rPr/>
        <w:t>anexo</w:t>
      </w:r>
      <w:r>
        <w:rPr>
          <w:spacing w:val="10"/>
        </w:rPr>
        <w:t> </w:t>
      </w:r>
      <w:r>
        <w:rPr/>
        <w:t>J,</w:t>
      </w:r>
      <w:r>
        <w:rPr>
          <w:spacing w:val="18"/>
        </w:rPr>
        <w:t> </w:t>
      </w:r>
      <w:r>
        <w:rPr/>
        <w:t>página</w:t>
      </w:r>
      <w:r>
        <w:rPr>
          <w:spacing w:val="20"/>
        </w:rPr>
        <w:t> </w:t>
      </w:r>
      <w:r>
        <w:rPr>
          <w:spacing w:val="-5"/>
        </w:rPr>
        <w:t>118),</w:t>
      </w:r>
      <w:r>
        <w:rPr>
          <w:spacing w:val="18"/>
        </w:rPr>
        <w:t> </w:t>
      </w:r>
      <w:r>
        <w:rPr/>
        <w:t>así</w:t>
      </w:r>
      <w:r>
        <w:rPr>
          <w:spacing w:val="12"/>
        </w:rPr>
        <w:t> </w:t>
      </w:r>
      <w:r>
        <w:rPr/>
        <w:t>como</w:t>
      </w:r>
      <w:r>
        <w:rPr>
          <w:spacing w:val="20"/>
        </w:rPr>
        <w:t> </w:t>
      </w:r>
      <w:r>
        <w:rPr>
          <w:i/>
        </w:rPr>
        <w:t>assault</w:t>
      </w:r>
      <w:r>
        <w:rPr>
          <w:i/>
          <w:spacing w:val="18"/>
        </w:rPr>
        <w:t> </w:t>
      </w:r>
      <w:r>
        <w:rPr/>
        <w:t>y</w:t>
      </w:r>
      <w:r>
        <w:rPr>
          <w:spacing w:val="13"/>
        </w:rPr>
        <w:t> </w:t>
      </w:r>
      <w:r>
        <w:rPr>
          <w:i/>
        </w:rPr>
        <w:t>pillage</w:t>
      </w:r>
      <w:r>
        <w:rPr>
          <w:i/>
          <w:spacing w:val="20"/>
        </w:rPr>
        <w:t> </w:t>
      </w:r>
      <w:r>
        <w:rPr/>
        <w:t>(ver</w:t>
      </w:r>
      <w:r>
        <w:rPr>
          <w:spacing w:val="13"/>
        </w:rPr>
        <w:t> </w:t>
      </w:r>
      <w:r>
        <w:rPr/>
        <w:t>anexo</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r>
        <w:rPr/>
        <w:t>J, página </w:t>
      </w:r>
      <w:r>
        <w:rPr>
          <w:spacing w:val="-5"/>
        </w:rPr>
        <w:t>119) </w:t>
      </w:r>
      <w:r>
        <w:rPr/>
        <w:t>o </w:t>
      </w:r>
      <w:r>
        <w:rPr>
          <w:i/>
        </w:rPr>
        <w:t>coal </w:t>
      </w:r>
      <w:r>
        <w:rPr/>
        <w:t>y </w:t>
      </w:r>
      <w:r>
        <w:rPr>
          <w:i/>
        </w:rPr>
        <w:t>oil </w:t>
      </w:r>
      <w:r>
        <w:rPr/>
        <w:t>(ver anexo J, página </w:t>
      </w:r>
      <w:r>
        <w:rPr>
          <w:spacing w:val="-5"/>
        </w:rPr>
        <w:t>116); </w:t>
      </w:r>
      <w:r>
        <w:rPr>
          <w:i/>
        </w:rPr>
        <w:t>old-fashioned </w:t>
      </w:r>
      <w:r>
        <w:rPr/>
        <w:t>sirvió como distractor de </w:t>
      </w:r>
      <w:r>
        <w:rPr>
          <w:i/>
        </w:rPr>
        <w:t>antique</w:t>
      </w:r>
      <w:r>
        <w:rPr/>
        <w:t>, ya que ambas </w:t>
      </w:r>
      <w:r>
        <w:rPr>
          <w:spacing w:val="4"/>
        </w:rPr>
        <w:t>se </w:t>
      </w:r>
      <w:r>
        <w:rPr/>
        <w:t>refieren a algo viejo (ver anexo J, página </w:t>
      </w:r>
      <w:r>
        <w:rPr>
          <w:spacing w:val="-5"/>
        </w:rPr>
        <w:t>118). </w:t>
      </w:r>
      <w:r>
        <w:rPr/>
        <w:t>En cuanto a las definiciones, se tomaron íntegramente del diccionario, sin embargo algunas  fueron sujetas de pequeñas  modificaciones, ya que el número  de palabras se restringió a un límite </w:t>
      </w:r>
      <w:r>
        <w:rPr>
          <w:spacing w:val="-3"/>
        </w:rPr>
        <w:t>superior, </w:t>
      </w:r>
      <w:r>
        <w:rPr/>
        <w:t>y en el caso </w:t>
      </w:r>
      <w:r>
        <w:rPr>
          <w:spacing w:val="-3"/>
        </w:rPr>
        <w:t>de </w:t>
      </w:r>
      <w:r>
        <w:rPr/>
        <w:t>algunas otras en que los conceptos no estaban claros o pudiesen prestarse a una mala </w:t>
      </w:r>
      <w:r>
        <w:rPr>
          <w:spacing w:val="32"/>
        </w:rPr>
        <w:t> </w:t>
      </w:r>
      <w:r>
        <w:rPr/>
        <w:t>interpretación.</w:t>
      </w:r>
    </w:p>
    <w:p>
      <w:pPr>
        <w:pStyle w:val="BodyText"/>
        <w:rPr>
          <w:sz w:val="22"/>
        </w:rPr>
      </w:pPr>
    </w:p>
    <w:p>
      <w:pPr>
        <w:pStyle w:val="BodyText"/>
        <w:spacing w:line="364" w:lineRule="auto" w:before="160"/>
        <w:ind w:left="115" w:right="104"/>
        <w:jc w:val="both"/>
      </w:pPr>
      <w:r>
        <w:rPr/>
        <w:t>El test consta </w:t>
      </w:r>
      <w:r>
        <w:rPr>
          <w:spacing w:val="-3"/>
        </w:rPr>
        <w:t>de </w:t>
      </w:r>
      <w:r>
        <w:rPr/>
        <w:t>cuatro secciones y cada una de ellas de seis reactivos con seis palabras y tres definiciones, </w:t>
      </w:r>
      <w:r>
        <w:rPr>
          <w:spacing w:val="-5"/>
        </w:rPr>
        <w:t>lo </w:t>
      </w:r>
      <w:r>
        <w:rPr/>
        <w:t>cual hace un total de 72 reactivos, poniendo  a prueba el conocimiento de 144 palabras. Se determinó otorgar a los sujetos treinta minutos para la resolución de la</w:t>
      </w:r>
      <w:r>
        <w:rPr>
          <w:spacing w:val="54"/>
        </w:rPr>
        <w:t> </w:t>
      </w:r>
      <w:r>
        <w:rPr/>
        <w:t>prueba.</w:t>
      </w:r>
    </w:p>
    <w:p>
      <w:pPr>
        <w:pStyle w:val="BodyText"/>
        <w:rPr>
          <w:sz w:val="22"/>
        </w:rPr>
      </w:pPr>
    </w:p>
    <w:p>
      <w:pPr>
        <w:pStyle w:val="BodyText"/>
        <w:spacing w:line="364" w:lineRule="auto" w:before="155"/>
        <w:ind w:left="115" w:right="102"/>
        <w:jc w:val="both"/>
      </w:pPr>
      <w:r>
        <w:rPr/>
        <w:t>Al igual que se hizo con el instrumento de evaluación de la competencia lectora en español, se realizó un piloteo de la prueba de vocabulario como componente de la competencia lingüística en inglés. Este piloteo se hizo con los mismos sujetos con los que se piloteó el instrumento de comprensión lectora en español y de igual manera se llevó a cabo el análisis de reactivos. La siguiente tabla muestra un ejemplo del análisis de uno de los reactivos del  examen.</w:t>
      </w:r>
    </w:p>
    <w:p>
      <w:pPr>
        <w:pStyle w:val="BodyText"/>
        <w:rPr>
          <w:sz w:val="20"/>
        </w:rPr>
      </w:pPr>
    </w:p>
    <w:p>
      <w:pPr>
        <w:pStyle w:val="BodyText"/>
        <w:rPr>
          <w:sz w:val="20"/>
        </w:rPr>
      </w:pPr>
    </w:p>
    <w:p>
      <w:pPr>
        <w:pStyle w:val="BodyText"/>
        <w:rPr>
          <w:sz w:val="20"/>
        </w:rPr>
      </w:pPr>
    </w:p>
    <w:p>
      <w:pPr>
        <w:pStyle w:val="BodyText"/>
        <w:spacing w:before="11"/>
        <w:rPr>
          <w:sz w:val="10"/>
        </w:rPr>
      </w:pPr>
    </w:p>
    <w:tbl>
      <w:tblPr>
        <w:tblW w:w="0" w:type="auto"/>
        <w:jc w:val="left"/>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4"/>
        <w:gridCol w:w="773"/>
        <w:gridCol w:w="715"/>
        <w:gridCol w:w="720"/>
        <w:gridCol w:w="720"/>
        <w:gridCol w:w="715"/>
        <w:gridCol w:w="720"/>
        <w:gridCol w:w="720"/>
        <w:gridCol w:w="768"/>
        <w:gridCol w:w="787"/>
        <w:gridCol w:w="1099"/>
      </w:tblGrid>
      <w:tr>
        <w:trPr>
          <w:trHeight w:val="475" w:hRule="exact"/>
        </w:trPr>
        <w:tc>
          <w:tcPr>
            <w:tcW w:w="754" w:type="dxa"/>
          </w:tcPr>
          <w:p>
            <w:pPr>
              <w:pStyle w:val="TableParagraph"/>
              <w:spacing w:line="249" w:lineRule="auto" w:before="3"/>
              <w:ind w:left="129" w:right="124"/>
              <w:jc w:val="center"/>
              <w:rPr>
                <w:sz w:val="13"/>
              </w:rPr>
            </w:pPr>
            <w:r>
              <w:rPr>
                <w:w w:val="105"/>
                <w:sz w:val="13"/>
              </w:rPr>
              <w:t>Número de </w:t>
            </w:r>
            <w:r>
              <w:rPr>
                <w:sz w:val="13"/>
              </w:rPr>
              <w:t>reactivo</w:t>
            </w:r>
          </w:p>
        </w:tc>
        <w:tc>
          <w:tcPr>
            <w:tcW w:w="773" w:type="dxa"/>
          </w:tcPr>
          <w:p>
            <w:pPr>
              <w:pStyle w:val="TableParagraph"/>
              <w:spacing w:before="3"/>
              <w:ind w:left="100"/>
              <w:jc w:val="left"/>
              <w:rPr>
                <w:sz w:val="13"/>
              </w:rPr>
            </w:pPr>
            <w:r>
              <w:rPr>
                <w:w w:val="105"/>
                <w:sz w:val="13"/>
              </w:rPr>
              <w:t>Percentil</w:t>
            </w:r>
          </w:p>
        </w:tc>
        <w:tc>
          <w:tcPr>
            <w:tcW w:w="715" w:type="dxa"/>
          </w:tcPr>
          <w:p>
            <w:pPr>
              <w:pStyle w:val="TableParagraph"/>
              <w:spacing w:line="247" w:lineRule="auto" w:before="3"/>
              <w:ind w:left="139" w:right="71" w:hanging="39"/>
              <w:jc w:val="left"/>
              <w:rPr>
                <w:sz w:val="13"/>
              </w:rPr>
            </w:pPr>
            <w:r>
              <w:rPr>
                <w:w w:val="105"/>
                <w:sz w:val="13"/>
              </w:rPr>
              <w:t>Opción a)</w:t>
            </w:r>
          </w:p>
        </w:tc>
        <w:tc>
          <w:tcPr>
            <w:tcW w:w="720" w:type="dxa"/>
          </w:tcPr>
          <w:p>
            <w:pPr>
              <w:pStyle w:val="TableParagraph"/>
              <w:spacing w:line="247" w:lineRule="auto" w:before="3"/>
              <w:ind w:left="105" w:right="114"/>
              <w:jc w:val="left"/>
              <w:rPr>
                <w:sz w:val="13"/>
              </w:rPr>
            </w:pPr>
            <w:r>
              <w:rPr>
                <w:w w:val="105"/>
                <w:sz w:val="13"/>
              </w:rPr>
              <w:t>Opción</w:t>
            </w:r>
            <w:r>
              <w:rPr>
                <w:w w:val="104"/>
                <w:sz w:val="13"/>
              </w:rPr>
              <w:t> </w:t>
            </w:r>
            <w:r>
              <w:rPr>
                <w:w w:val="105"/>
                <w:sz w:val="13"/>
              </w:rPr>
              <w:t>b)</w:t>
            </w:r>
          </w:p>
        </w:tc>
        <w:tc>
          <w:tcPr>
            <w:tcW w:w="720" w:type="dxa"/>
          </w:tcPr>
          <w:p>
            <w:pPr>
              <w:pStyle w:val="TableParagraph"/>
              <w:spacing w:line="247" w:lineRule="auto" w:before="3"/>
              <w:ind w:left="105" w:right="114"/>
              <w:jc w:val="left"/>
              <w:rPr>
                <w:sz w:val="13"/>
              </w:rPr>
            </w:pPr>
            <w:r>
              <w:rPr>
                <w:w w:val="105"/>
                <w:sz w:val="13"/>
              </w:rPr>
              <w:t>Opción</w:t>
            </w:r>
            <w:r>
              <w:rPr>
                <w:w w:val="104"/>
                <w:sz w:val="13"/>
              </w:rPr>
              <w:t> </w:t>
            </w:r>
            <w:r>
              <w:rPr>
                <w:w w:val="105"/>
                <w:sz w:val="13"/>
              </w:rPr>
              <w:t>c)</w:t>
            </w:r>
          </w:p>
        </w:tc>
        <w:tc>
          <w:tcPr>
            <w:tcW w:w="715" w:type="dxa"/>
          </w:tcPr>
          <w:p>
            <w:pPr>
              <w:pStyle w:val="TableParagraph"/>
              <w:spacing w:line="247" w:lineRule="auto" w:before="3"/>
              <w:ind w:left="100" w:right="71"/>
              <w:jc w:val="left"/>
              <w:rPr>
                <w:sz w:val="13"/>
              </w:rPr>
            </w:pPr>
            <w:r>
              <w:rPr>
                <w:w w:val="105"/>
                <w:sz w:val="13"/>
              </w:rPr>
              <w:t>Opción d)</w:t>
            </w:r>
          </w:p>
        </w:tc>
        <w:tc>
          <w:tcPr>
            <w:tcW w:w="720" w:type="dxa"/>
          </w:tcPr>
          <w:p>
            <w:pPr>
              <w:pStyle w:val="TableParagraph"/>
              <w:spacing w:line="247" w:lineRule="auto" w:before="3"/>
              <w:ind w:left="105" w:right="114"/>
              <w:jc w:val="left"/>
              <w:rPr>
                <w:sz w:val="13"/>
              </w:rPr>
            </w:pPr>
            <w:r>
              <w:rPr>
                <w:w w:val="105"/>
                <w:sz w:val="13"/>
              </w:rPr>
              <w:t>Opción</w:t>
            </w:r>
            <w:r>
              <w:rPr>
                <w:w w:val="104"/>
                <w:sz w:val="13"/>
              </w:rPr>
              <w:t> </w:t>
            </w:r>
            <w:r>
              <w:rPr>
                <w:w w:val="105"/>
                <w:sz w:val="13"/>
              </w:rPr>
              <w:t>e)</w:t>
            </w:r>
          </w:p>
        </w:tc>
        <w:tc>
          <w:tcPr>
            <w:tcW w:w="720" w:type="dxa"/>
          </w:tcPr>
          <w:p>
            <w:pPr>
              <w:pStyle w:val="TableParagraph"/>
              <w:spacing w:line="247" w:lineRule="auto" w:before="3"/>
              <w:ind w:left="100" w:right="114"/>
              <w:jc w:val="left"/>
              <w:rPr>
                <w:sz w:val="13"/>
              </w:rPr>
            </w:pPr>
            <w:r>
              <w:rPr>
                <w:w w:val="105"/>
                <w:sz w:val="13"/>
              </w:rPr>
              <w:t>Opción f)</w:t>
            </w:r>
          </w:p>
        </w:tc>
        <w:tc>
          <w:tcPr>
            <w:tcW w:w="768" w:type="dxa"/>
          </w:tcPr>
          <w:p>
            <w:pPr>
              <w:pStyle w:val="TableParagraph"/>
              <w:spacing w:line="247" w:lineRule="auto" w:before="3"/>
              <w:ind w:left="120" w:firstLine="172"/>
              <w:jc w:val="left"/>
              <w:rPr>
                <w:sz w:val="13"/>
              </w:rPr>
            </w:pPr>
            <w:r>
              <w:rPr>
                <w:w w:val="105"/>
                <w:sz w:val="13"/>
              </w:rPr>
              <w:t>No </w:t>
            </w:r>
            <w:r>
              <w:rPr>
                <w:sz w:val="13"/>
              </w:rPr>
              <w:t>contestó</w:t>
            </w:r>
          </w:p>
        </w:tc>
        <w:tc>
          <w:tcPr>
            <w:tcW w:w="787" w:type="dxa"/>
          </w:tcPr>
          <w:p>
            <w:pPr>
              <w:pStyle w:val="TableParagraph"/>
              <w:spacing w:line="249" w:lineRule="auto" w:before="3"/>
              <w:ind w:left="89" w:right="88"/>
              <w:jc w:val="center"/>
              <w:rPr>
                <w:sz w:val="13"/>
              </w:rPr>
            </w:pPr>
            <w:r>
              <w:rPr>
                <w:w w:val="105"/>
                <w:sz w:val="13"/>
              </w:rPr>
              <w:t>Dificultad del reactivo</w:t>
            </w:r>
          </w:p>
        </w:tc>
        <w:tc>
          <w:tcPr>
            <w:tcW w:w="1099" w:type="dxa"/>
          </w:tcPr>
          <w:p>
            <w:pPr>
              <w:pStyle w:val="TableParagraph"/>
              <w:spacing w:line="247" w:lineRule="auto" w:before="3"/>
              <w:ind w:left="196" w:hanging="96"/>
              <w:jc w:val="left"/>
              <w:rPr>
                <w:sz w:val="13"/>
              </w:rPr>
            </w:pPr>
            <w:r>
              <w:rPr>
                <w:sz w:val="13"/>
              </w:rPr>
              <w:t>Discriminación </w:t>
            </w:r>
            <w:r>
              <w:rPr>
                <w:w w:val="105"/>
                <w:sz w:val="13"/>
              </w:rPr>
              <w:t>del reactivo</w:t>
            </w:r>
          </w:p>
        </w:tc>
      </w:tr>
      <w:tr>
        <w:trPr>
          <w:trHeight w:val="283" w:hRule="exact"/>
        </w:trPr>
        <w:tc>
          <w:tcPr>
            <w:tcW w:w="754" w:type="dxa"/>
            <w:vMerge w:val="restart"/>
          </w:tcPr>
          <w:p>
            <w:pPr>
              <w:pStyle w:val="TableParagraph"/>
              <w:spacing w:before="3"/>
              <w:ind w:right="3"/>
              <w:jc w:val="center"/>
              <w:rPr>
                <w:sz w:val="15"/>
              </w:rPr>
            </w:pPr>
            <w:r>
              <w:rPr>
                <w:w w:val="102"/>
                <w:sz w:val="15"/>
              </w:rPr>
              <w:t>4</w:t>
            </w:r>
          </w:p>
        </w:tc>
        <w:tc>
          <w:tcPr>
            <w:tcW w:w="773" w:type="dxa"/>
          </w:tcPr>
          <w:p>
            <w:pPr>
              <w:pStyle w:val="TableParagraph"/>
              <w:spacing w:before="7"/>
              <w:ind w:left="100"/>
              <w:jc w:val="left"/>
              <w:rPr>
                <w:sz w:val="13"/>
              </w:rPr>
            </w:pPr>
            <w:r>
              <w:rPr>
                <w:w w:val="105"/>
                <w:sz w:val="13"/>
              </w:rPr>
              <w:t>Alto</w:t>
            </w:r>
          </w:p>
        </w:tc>
        <w:tc>
          <w:tcPr>
            <w:tcW w:w="715" w:type="dxa"/>
          </w:tcPr>
          <w:p>
            <w:pPr>
              <w:pStyle w:val="TableParagraph"/>
              <w:spacing w:before="3"/>
              <w:ind w:left="4"/>
              <w:jc w:val="center"/>
              <w:rPr>
                <w:sz w:val="15"/>
              </w:rPr>
            </w:pPr>
            <w:r>
              <w:rPr>
                <w:w w:val="102"/>
                <w:sz w:val="15"/>
              </w:rPr>
              <w:t>0</w:t>
            </w:r>
          </w:p>
        </w:tc>
        <w:tc>
          <w:tcPr>
            <w:tcW w:w="720" w:type="dxa"/>
          </w:tcPr>
          <w:p>
            <w:pPr>
              <w:pStyle w:val="TableParagraph"/>
              <w:spacing w:before="3"/>
              <w:ind w:left="8"/>
              <w:jc w:val="center"/>
              <w:rPr>
                <w:sz w:val="15"/>
              </w:rPr>
            </w:pPr>
            <w:r>
              <w:rPr>
                <w:w w:val="102"/>
                <w:sz w:val="15"/>
              </w:rPr>
              <w:t>7</w:t>
            </w:r>
          </w:p>
        </w:tc>
        <w:tc>
          <w:tcPr>
            <w:tcW w:w="720" w:type="dxa"/>
          </w:tcPr>
          <w:p>
            <w:pPr>
              <w:pStyle w:val="TableParagraph"/>
              <w:spacing w:before="3"/>
              <w:ind w:left="8"/>
              <w:jc w:val="center"/>
              <w:rPr>
                <w:sz w:val="15"/>
              </w:rPr>
            </w:pPr>
            <w:r>
              <w:rPr>
                <w:w w:val="102"/>
                <w:sz w:val="15"/>
              </w:rPr>
              <w:t>0</w:t>
            </w:r>
          </w:p>
        </w:tc>
        <w:tc>
          <w:tcPr>
            <w:tcW w:w="715" w:type="dxa"/>
          </w:tcPr>
          <w:p>
            <w:pPr>
              <w:pStyle w:val="TableParagraph"/>
              <w:spacing w:before="3"/>
              <w:ind w:right="3"/>
              <w:jc w:val="center"/>
              <w:rPr>
                <w:sz w:val="15"/>
              </w:rPr>
            </w:pPr>
            <w:r>
              <w:rPr>
                <w:w w:val="102"/>
                <w:sz w:val="15"/>
              </w:rPr>
              <w:t>0</w:t>
            </w:r>
          </w:p>
        </w:tc>
        <w:tc>
          <w:tcPr>
            <w:tcW w:w="720" w:type="dxa"/>
          </w:tcPr>
          <w:p>
            <w:pPr>
              <w:pStyle w:val="TableParagraph"/>
              <w:spacing w:before="3"/>
              <w:jc w:val="center"/>
              <w:rPr>
                <w:sz w:val="15"/>
              </w:rPr>
            </w:pPr>
            <w:r>
              <w:rPr>
                <w:w w:val="102"/>
                <w:sz w:val="15"/>
              </w:rPr>
              <w:t>1</w:t>
            </w:r>
          </w:p>
        </w:tc>
        <w:tc>
          <w:tcPr>
            <w:tcW w:w="720" w:type="dxa"/>
          </w:tcPr>
          <w:p>
            <w:pPr>
              <w:pStyle w:val="TableParagraph"/>
              <w:spacing w:before="3"/>
              <w:jc w:val="center"/>
              <w:rPr>
                <w:sz w:val="15"/>
              </w:rPr>
            </w:pPr>
            <w:r>
              <w:rPr>
                <w:w w:val="102"/>
                <w:sz w:val="15"/>
              </w:rPr>
              <w:t>0</w:t>
            </w:r>
          </w:p>
        </w:tc>
        <w:tc>
          <w:tcPr>
            <w:tcW w:w="768" w:type="dxa"/>
          </w:tcPr>
          <w:p>
            <w:pPr>
              <w:pStyle w:val="TableParagraph"/>
              <w:spacing w:before="3"/>
              <w:ind w:right="334"/>
              <w:rPr>
                <w:sz w:val="15"/>
              </w:rPr>
            </w:pPr>
            <w:r>
              <w:rPr>
                <w:w w:val="102"/>
                <w:sz w:val="15"/>
              </w:rPr>
              <w:t>0</w:t>
            </w:r>
          </w:p>
        </w:tc>
        <w:tc>
          <w:tcPr>
            <w:tcW w:w="787" w:type="dxa"/>
            <w:vMerge w:val="restart"/>
          </w:tcPr>
          <w:p>
            <w:pPr>
              <w:pStyle w:val="TableParagraph"/>
              <w:spacing w:before="3"/>
              <w:ind w:left="191" w:right="143"/>
              <w:jc w:val="left"/>
              <w:rPr>
                <w:sz w:val="15"/>
              </w:rPr>
            </w:pPr>
            <w:r>
              <w:rPr>
                <w:w w:val="105"/>
                <w:sz w:val="15"/>
              </w:rPr>
              <w:t>0.813</w:t>
            </w:r>
          </w:p>
        </w:tc>
        <w:tc>
          <w:tcPr>
            <w:tcW w:w="1099" w:type="dxa"/>
            <w:vMerge w:val="restart"/>
          </w:tcPr>
          <w:p>
            <w:pPr>
              <w:pStyle w:val="TableParagraph"/>
              <w:spacing w:before="3"/>
              <w:ind w:left="350"/>
              <w:jc w:val="left"/>
              <w:rPr>
                <w:sz w:val="15"/>
              </w:rPr>
            </w:pPr>
            <w:r>
              <w:rPr>
                <w:w w:val="105"/>
                <w:sz w:val="15"/>
              </w:rPr>
              <w:t>0.063</w:t>
            </w:r>
          </w:p>
        </w:tc>
      </w:tr>
      <w:tr>
        <w:trPr>
          <w:trHeight w:val="278" w:hRule="exact"/>
        </w:trPr>
        <w:tc>
          <w:tcPr>
            <w:tcW w:w="754" w:type="dxa"/>
            <w:vMerge/>
          </w:tcPr>
          <w:p>
            <w:pPr/>
          </w:p>
        </w:tc>
        <w:tc>
          <w:tcPr>
            <w:tcW w:w="773" w:type="dxa"/>
          </w:tcPr>
          <w:p>
            <w:pPr>
              <w:pStyle w:val="TableParagraph"/>
              <w:spacing w:before="3"/>
              <w:ind w:left="100"/>
              <w:jc w:val="left"/>
              <w:rPr>
                <w:sz w:val="13"/>
              </w:rPr>
            </w:pPr>
            <w:r>
              <w:rPr>
                <w:w w:val="105"/>
                <w:sz w:val="13"/>
              </w:rPr>
              <w:t>Bajo</w:t>
            </w:r>
          </w:p>
        </w:tc>
        <w:tc>
          <w:tcPr>
            <w:tcW w:w="715" w:type="dxa"/>
          </w:tcPr>
          <w:p>
            <w:pPr>
              <w:pStyle w:val="TableParagraph"/>
              <w:spacing w:before="3"/>
              <w:ind w:left="4"/>
              <w:jc w:val="center"/>
              <w:rPr>
                <w:sz w:val="15"/>
              </w:rPr>
            </w:pPr>
            <w:r>
              <w:rPr>
                <w:w w:val="102"/>
                <w:sz w:val="15"/>
              </w:rPr>
              <w:t>0</w:t>
            </w:r>
          </w:p>
        </w:tc>
        <w:tc>
          <w:tcPr>
            <w:tcW w:w="720" w:type="dxa"/>
          </w:tcPr>
          <w:p>
            <w:pPr>
              <w:pStyle w:val="TableParagraph"/>
              <w:spacing w:before="3"/>
              <w:ind w:left="8"/>
              <w:jc w:val="center"/>
              <w:rPr>
                <w:sz w:val="15"/>
              </w:rPr>
            </w:pPr>
            <w:r>
              <w:rPr>
                <w:w w:val="102"/>
                <w:sz w:val="15"/>
              </w:rPr>
              <w:t>6</w:t>
            </w:r>
          </w:p>
        </w:tc>
        <w:tc>
          <w:tcPr>
            <w:tcW w:w="720" w:type="dxa"/>
          </w:tcPr>
          <w:p>
            <w:pPr>
              <w:pStyle w:val="TableParagraph"/>
              <w:spacing w:before="3"/>
              <w:ind w:left="8"/>
              <w:jc w:val="center"/>
              <w:rPr>
                <w:sz w:val="15"/>
              </w:rPr>
            </w:pPr>
            <w:r>
              <w:rPr>
                <w:w w:val="102"/>
                <w:sz w:val="15"/>
              </w:rPr>
              <w:t>0</w:t>
            </w:r>
          </w:p>
        </w:tc>
        <w:tc>
          <w:tcPr>
            <w:tcW w:w="715" w:type="dxa"/>
          </w:tcPr>
          <w:p>
            <w:pPr>
              <w:pStyle w:val="TableParagraph"/>
              <w:spacing w:before="3"/>
              <w:ind w:right="3"/>
              <w:jc w:val="center"/>
              <w:rPr>
                <w:sz w:val="15"/>
              </w:rPr>
            </w:pPr>
            <w:r>
              <w:rPr>
                <w:w w:val="102"/>
                <w:sz w:val="15"/>
              </w:rPr>
              <w:t>0</w:t>
            </w:r>
          </w:p>
        </w:tc>
        <w:tc>
          <w:tcPr>
            <w:tcW w:w="720" w:type="dxa"/>
          </w:tcPr>
          <w:p>
            <w:pPr>
              <w:pStyle w:val="TableParagraph"/>
              <w:spacing w:before="3"/>
              <w:jc w:val="center"/>
              <w:rPr>
                <w:sz w:val="15"/>
              </w:rPr>
            </w:pPr>
            <w:r>
              <w:rPr>
                <w:w w:val="102"/>
                <w:sz w:val="15"/>
              </w:rPr>
              <w:t>2</w:t>
            </w:r>
          </w:p>
        </w:tc>
        <w:tc>
          <w:tcPr>
            <w:tcW w:w="720" w:type="dxa"/>
          </w:tcPr>
          <w:p>
            <w:pPr>
              <w:pStyle w:val="TableParagraph"/>
              <w:spacing w:before="3"/>
              <w:jc w:val="center"/>
              <w:rPr>
                <w:sz w:val="15"/>
              </w:rPr>
            </w:pPr>
            <w:r>
              <w:rPr>
                <w:w w:val="102"/>
                <w:sz w:val="15"/>
              </w:rPr>
              <w:t>0</w:t>
            </w:r>
          </w:p>
        </w:tc>
        <w:tc>
          <w:tcPr>
            <w:tcW w:w="768" w:type="dxa"/>
          </w:tcPr>
          <w:p>
            <w:pPr>
              <w:pStyle w:val="TableParagraph"/>
              <w:spacing w:before="3"/>
              <w:ind w:right="334"/>
              <w:rPr>
                <w:sz w:val="15"/>
              </w:rPr>
            </w:pPr>
            <w:r>
              <w:rPr>
                <w:w w:val="102"/>
                <w:sz w:val="15"/>
              </w:rPr>
              <w:t>0</w:t>
            </w:r>
          </w:p>
        </w:tc>
        <w:tc>
          <w:tcPr>
            <w:tcW w:w="787" w:type="dxa"/>
            <w:vMerge/>
          </w:tcPr>
          <w:p>
            <w:pPr/>
          </w:p>
        </w:tc>
        <w:tc>
          <w:tcPr>
            <w:tcW w:w="1099" w:type="dxa"/>
            <w:vMerge/>
          </w:tcPr>
          <w:p>
            <w:pPr/>
          </w:p>
        </w:tc>
      </w:tr>
    </w:tbl>
    <w:p>
      <w:pPr>
        <w:pStyle w:val="BodyText"/>
        <w:spacing w:before="3"/>
        <w:rPr>
          <w:sz w:val="28"/>
        </w:rPr>
      </w:pPr>
    </w:p>
    <w:p>
      <w:pPr>
        <w:pStyle w:val="Heading3"/>
        <w:spacing w:before="73"/>
        <w:ind w:left="2055" w:right="213"/>
        <w:jc w:val="left"/>
      </w:pPr>
      <w:r>
        <w:rPr>
          <w:spacing w:val="-3"/>
        </w:rPr>
        <w:t>Tabla </w:t>
      </w:r>
      <w:r>
        <w:rPr/>
        <w:t>2.3: Ejemplo de análisis </w:t>
      </w:r>
      <w:r>
        <w:rPr>
          <w:spacing w:val="3"/>
        </w:rPr>
        <w:t>de</w:t>
      </w:r>
      <w:r>
        <w:rPr>
          <w:spacing w:val="55"/>
        </w:rPr>
        <w:t> </w:t>
      </w:r>
      <w:r>
        <w:rPr/>
        <w:t>reactivos</w:t>
      </w:r>
    </w:p>
    <w:p>
      <w:pPr>
        <w:pStyle w:val="BodyText"/>
        <w:rPr>
          <w:b/>
          <w:sz w:val="22"/>
        </w:rPr>
      </w:pPr>
    </w:p>
    <w:p>
      <w:pPr>
        <w:pStyle w:val="BodyText"/>
        <w:spacing w:before="8"/>
        <w:rPr>
          <w:b/>
          <w:sz w:val="24"/>
        </w:rPr>
      </w:pPr>
    </w:p>
    <w:p>
      <w:pPr>
        <w:pStyle w:val="BodyText"/>
        <w:spacing w:line="369" w:lineRule="auto"/>
        <w:ind w:left="115" w:right="213"/>
      </w:pPr>
      <w:r>
        <w:rPr/>
        <w:t>El análisis de reactivos presentado en la tabla 2.3 es similar al presentado en la tabla 2.2 y debe ser interpretado de la misma  manera.</w:t>
      </w:r>
    </w:p>
    <w:p>
      <w:pPr>
        <w:spacing w:after="0" w:line="369" w:lineRule="auto"/>
        <w:sectPr>
          <w:pgSz w:w="11910" w:h="16840"/>
          <w:pgMar w:header="1424" w:footer="0" w:top="1840" w:bottom="280" w:left="1540" w:right="1540"/>
        </w:sectPr>
      </w:pPr>
    </w:p>
    <w:p>
      <w:pPr>
        <w:pStyle w:val="BodyText"/>
        <w:spacing w:before="6"/>
        <w:rPr>
          <w:sz w:val="16"/>
        </w:rPr>
      </w:pPr>
    </w:p>
    <w:p>
      <w:pPr>
        <w:pStyle w:val="Heading3"/>
        <w:spacing w:before="74"/>
        <w:ind w:left="115"/>
      </w:pPr>
      <w:bookmarkStart w:name="_bookmark30" w:id="56"/>
      <w:bookmarkEnd w:id="56"/>
      <w:r>
        <w:rPr>
          <w:b w:val="0"/>
        </w:rPr>
      </w:r>
      <w:r>
        <w:rPr/>
        <w:t>2.5. SUJETOS DE LA APLICACIÓN  INNOVADORA</w:t>
      </w:r>
    </w:p>
    <w:p>
      <w:pPr>
        <w:pStyle w:val="BodyText"/>
        <w:rPr>
          <w:b/>
          <w:sz w:val="22"/>
        </w:rPr>
      </w:pPr>
    </w:p>
    <w:p>
      <w:pPr>
        <w:pStyle w:val="BodyText"/>
        <w:spacing w:before="1"/>
        <w:rPr>
          <w:b/>
          <w:sz w:val="25"/>
        </w:rPr>
      </w:pPr>
    </w:p>
    <w:p>
      <w:pPr>
        <w:pStyle w:val="BodyText"/>
        <w:spacing w:line="364" w:lineRule="auto"/>
        <w:ind w:left="115" w:right="101"/>
        <w:jc w:val="both"/>
      </w:pPr>
      <w:r>
        <w:rPr/>
        <w:t>Al momento de la realización del estudio, la Facultad de Lenguas de la U.A.E.M. cuenta con un total de 734 estudiantes. Para este estudio </w:t>
      </w:r>
      <w:r>
        <w:rPr>
          <w:spacing w:val="4"/>
        </w:rPr>
        <w:t>se </w:t>
      </w:r>
      <w:r>
        <w:rPr/>
        <w:t>seleccionaron 202 alumnos entre el tercer y el noveno semestres </w:t>
      </w:r>
      <w:r>
        <w:rPr>
          <w:spacing w:val="-3"/>
        </w:rPr>
        <w:t>de </w:t>
      </w:r>
      <w:r>
        <w:rPr/>
        <w:t>la Licenciatura en Lenguas de la U.A.E.M., todos hispanohablantes y estudiantes de lengua inglesa. Las edades oscilan entre los 19 y los 23 años y todos son mexicanos, la mayoría originarios de </w:t>
      </w:r>
      <w:r>
        <w:rPr>
          <w:spacing w:val="-5"/>
        </w:rPr>
        <w:t>la </w:t>
      </w:r>
      <w:r>
        <w:rPr/>
        <w:t>zona urbana </w:t>
      </w:r>
      <w:r>
        <w:rPr>
          <w:spacing w:val="-3"/>
        </w:rPr>
        <w:t>de </w:t>
      </w:r>
      <w:r>
        <w:rPr>
          <w:spacing w:val="-4"/>
        </w:rPr>
        <w:t>Toluca, </w:t>
      </w:r>
      <w:r>
        <w:rPr/>
        <w:t>Estado de México o </w:t>
      </w:r>
      <w:r>
        <w:rPr>
          <w:spacing w:val="-3"/>
        </w:rPr>
        <w:t>de </w:t>
      </w:r>
      <w:r>
        <w:rPr/>
        <w:t>otros municipios del estado, aunque también </w:t>
      </w:r>
      <w:r>
        <w:rPr>
          <w:spacing w:val="4"/>
        </w:rPr>
        <w:t>se </w:t>
      </w:r>
      <w:r>
        <w:rPr/>
        <w:t>encontraron algunos alumnos  de  otros  estados  como Guerrero, Michoacán o del Distrito</w:t>
      </w:r>
      <w:r>
        <w:rPr>
          <w:spacing w:val="51"/>
        </w:rPr>
        <w:t> </w:t>
      </w:r>
      <w:r>
        <w:rPr/>
        <w:t>Federal.</w:t>
      </w:r>
    </w:p>
    <w:p>
      <w:pPr>
        <w:pStyle w:val="BodyText"/>
        <w:rPr>
          <w:sz w:val="22"/>
        </w:rPr>
      </w:pPr>
    </w:p>
    <w:p>
      <w:pPr>
        <w:pStyle w:val="BodyText"/>
        <w:spacing w:line="364" w:lineRule="auto" w:before="155"/>
        <w:ind w:left="115" w:right="101"/>
        <w:jc w:val="both"/>
      </w:pPr>
      <w:r>
        <w:rPr/>
        <w:t>Los grupos se seleccionaron por conveniencia. Esto se debe a que la Facultad de Lenguas tiene una población amplia y a que a pesar de las similitudes entre sus miembros, existe una gran diversidad en cuanto a los  niveles  socio-económicos. Un factor de peso fue la simplificación logística que ofrece llevar a cabo </w:t>
      </w:r>
      <w:r>
        <w:rPr>
          <w:spacing w:val="-5"/>
        </w:rPr>
        <w:t>la  </w:t>
      </w:r>
      <w:r>
        <w:rPr/>
        <w:t>aplicación </w:t>
      </w:r>
      <w:r>
        <w:rPr>
          <w:spacing w:val="-3"/>
        </w:rPr>
        <w:t>de </w:t>
      </w:r>
      <w:r>
        <w:rPr/>
        <w:t>los instrumentos en la facultad, </w:t>
      </w:r>
      <w:r>
        <w:rPr>
          <w:spacing w:val="-4"/>
        </w:rPr>
        <w:t>ya </w:t>
      </w:r>
      <w:r>
        <w:rPr/>
        <w:t>que haberlo realizado en otro ámbito hubiese representado </w:t>
      </w:r>
      <w:r>
        <w:rPr>
          <w:spacing w:val="-3"/>
        </w:rPr>
        <w:t>más </w:t>
      </w:r>
      <w:r>
        <w:rPr/>
        <w:t>tiempo, menor control sobre los participantes y una gran dependencia de terceros para lograr </w:t>
      </w:r>
      <w:r>
        <w:rPr>
          <w:spacing w:val="2"/>
        </w:rPr>
        <w:t>con </w:t>
      </w:r>
      <w:r>
        <w:rPr/>
        <w:t>éxito el levantamiento de información.</w:t>
      </w:r>
    </w:p>
    <w:p>
      <w:pPr>
        <w:pStyle w:val="BodyText"/>
        <w:rPr>
          <w:sz w:val="22"/>
        </w:rPr>
      </w:pPr>
    </w:p>
    <w:p>
      <w:pPr>
        <w:pStyle w:val="BodyText"/>
        <w:spacing w:line="364" w:lineRule="auto" w:before="160"/>
        <w:ind w:left="115" w:right="103"/>
        <w:jc w:val="both"/>
      </w:pPr>
      <w:r>
        <w:rPr/>
        <w:t>Como </w:t>
      </w:r>
      <w:r>
        <w:rPr>
          <w:spacing w:val="4"/>
        </w:rPr>
        <w:t>se </w:t>
      </w:r>
      <w:r>
        <w:rPr/>
        <w:t>menciona líneas arriba, se consideró para este estudio a los alumnos desde las materias de Lengua Inglesa III, que corresponde al nivel pre-intermedio   o nivel B1 en referencia al marco común europeo o nivel 2 de </w:t>
      </w:r>
      <w:r>
        <w:rPr>
          <w:spacing w:val="-5"/>
        </w:rPr>
        <w:t>ALTE </w:t>
      </w:r>
      <w:r>
        <w:rPr/>
        <w:t>(Association of Language </w:t>
      </w:r>
      <w:r>
        <w:rPr>
          <w:spacing w:val="-6"/>
        </w:rPr>
        <w:t>Testers </w:t>
      </w:r>
      <w:r>
        <w:rPr/>
        <w:t>in Europe), hasta los estudiantes de Lengua Inglesa IX, que corresponde al nivel avanzado o C1 del marco común europeo o </w:t>
      </w:r>
      <w:r>
        <w:rPr>
          <w:spacing w:val="-5"/>
        </w:rPr>
        <w:t>ALTE </w:t>
      </w:r>
      <w:r>
        <w:rPr/>
        <w:t>4. De esta manera se aseguraba que hubiese tanto estudiantes </w:t>
      </w:r>
      <w:r>
        <w:rPr>
          <w:spacing w:val="2"/>
        </w:rPr>
        <w:t>con </w:t>
      </w:r>
      <w:r>
        <w:rPr/>
        <w:t>altas habilidades lectoras y lingüísticas en lengua inglesa como habilidades no tan desarrolladas y  se  pudiese hacer el estudio acerca de </w:t>
      </w:r>
      <w:r>
        <w:rPr>
          <w:spacing w:val="-5"/>
        </w:rPr>
        <w:t>la </w:t>
      </w:r>
      <w:r>
        <w:rPr/>
        <w:t>compensación de las </w:t>
      </w:r>
      <w:r>
        <w:rPr>
          <w:spacing w:val="46"/>
        </w:rPr>
        <w:t> </w:t>
      </w:r>
      <w:r>
        <w:rPr/>
        <w:t>habilidades.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Heading3"/>
        <w:spacing w:before="73"/>
        <w:ind w:right="1015"/>
        <w:jc w:val="center"/>
      </w:pPr>
      <w:bookmarkStart w:name="_bookmark32" w:id="57"/>
      <w:bookmarkEnd w:id="57"/>
      <w:r>
        <w:rPr>
          <w:b w:val="0"/>
        </w:rPr>
      </w:r>
      <w:bookmarkStart w:name="_bookmark31" w:id="58"/>
      <w:bookmarkEnd w:id="58"/>
      <w:r>
        <w:rPr>
          <w:b w:val="0"/>
        </w:rPr>
      </w:r>
      <w:r>
        <w:rPr/>
        <w:t>Capítulo 3</w:t>
      </w:r>
    </w:p>
    <w:p>
      <w:pPr>
        <w:pStyle w:val="BodyText"/>
        <w:rPr>
          <w:b/>
          <w:sz w:val="22"/>
        </w:rPr>
      </w:pPr>
    </w:p>
    <w:p>
      <w:pPr>
        <w:spacing w:before="154"/>
        <w:ind w:left="1020" w:right="1013" w:firstLine="0"/>
        <w:jc w:val="center"/>
        <w:rPr>
          <w:b/>
          <w:sz w:val="23"/>
        </w:rPr>
      </w:pPr>
      <w:r>
        <w:rPr>
          <w:b/>
          <w:sz w:val="23"/>
        </w:rPr>
        <w:t>ANÁLISIS Y DISCUSIÓN DE  RESULTADOS</w:t>
      </w:r>
    </w:p>
    <w:p>
      <w:pPr>
        <w:pStyle w:val="BodyText"/>
        <w:rPr>
          <w:b/>
          <w:sz w:val="22"/>
        </w:rPr>
      </w:pPr>
    </w:p>
    <w:p>
      <w:pPr>
        <w:pStyle w:val="BodyText"/>
        <w:rPr>
          <w:b/>
          <w:sz w:val="22"/>
        </w:rPr>
      </w:pPr>
    </w:p>
    <w:p>
      <w:pPr>
        <w:pStyle w:val="BodyText"/>
        <w:spacing w:before="9"/>
        <w:rPr>
          <w:b/>
          <w:sz w:val="19"/>
        </w:rPr>
      </w:pPr>
    </w:p>
    <w:p>
      <w:pPr>
        <w:spacing w:before="0"/>
        <w:ind w:left="115" w:right="0" w:firstLine="0"/>
        <w:jc w:val="both"/>
        <w:rPr>
          <w:b/>
          <w:sz w:val="23"/>
        </w:rPr>
      </w:pPr>
      <w:r>
        <w:rPr>
          <w:b/>
          <w:sz w:val="23"/>
        </w:rPr>
        <w:t>3.1 ANÁLISIS DE</w:t>
      </w:r>
      <w:r>
        <w:rPr>
          <w:b/>
          <w:spacing w:val="50"/>
          <w:sz w:val="23"/>
        </w:rPr>
        <w:t> </w:t>
      </w:r>
      <w:r>
        <w:rPr>
          <w:b/>
          <w:spacing w:val="-5"/>
          <w:sz w:val="23"/>
        </w:rPr>
        <w:t>RESULTADOS</w:t>
      </w:r>
    </w:p>
    <w:p>
      <w:pPr>
        <w:pStyle w:val="BodyText"/>
        <w:rPr>
          <w:b/>
          <w:sz w:val="22"/>
        </w:rPr>
      </w:pPr>
    </w:p>
    <w:p>
      <w:pPr>
        <w:pStyle w:val="BodyText"/>
        <w:spacing w:line="367" w:lineRule="auto" w:before="149"/>
        <w:ind w:left="115" w:right="103"/>
        <w:jc w:val="both"/>
      </w:pPr>
      <w:r>
        <w:rPr/>
        <w:t>En este capítulo se analizan los resultados obtenidos después de la aplicación de los instrumentos. En primer lugar, se realizó un  análisis  estadístico  descriptivo. Una vez analizados los datos, se procedió a un análisis inferencial que permitiera ahondar más en las relaciones entre las  variables.</w:t>
      </w:r>
    </w:p>
    <w:p>
      <w:pPr>
        <w:pStyle w:val="BodyText"/>
        <w:rPr>
          <w:sz w:val="22"/>
        </w:rPr>
      </w:pPr>
    </w:p>
    <w:p>
      <w:pPr>
        <w:pStyle w:val="BodyText"/>
        <w:spacing w:line="364" w:lineRule="auto" w:before="152"/>
        <w:ind w:left="115" w:right="102"/>
        <w:jc w:val="both"/>
      </w:pPr>
      <w:r>
        <w:rPr/>
        <w:t>Las variables independientes de este estudio son la comprensión de lectura en español y </w:t>
      </w:r>
      <w:r>
        <w:rPr>
          <w:spacing w:val="-5"/>
        </w:rPr>
        <w:t>la </w:t>
      </w:r>
      <w:r>
        <w:rPr/>
        <w:t>competencia lingüística en inglés; la variable dependiente </w:t>
      </w:r>
      <w:r>
        <w:rPr>
          <w:spacing w:val="-3"/>
        </w:rPr>
        <w:t>es </w:t>
      </w:r>
      <w:r>
        <w:rPr>
          <w:spacing w:val="-5"/>
        </w:rPr>
        <w:t>la </w:t>
      </w:r>
      <w:r>
        <w:rPr/>
        <w:t>comprensión lectora en inglés. Éstas se midieron a través </w:t>
      </w:r>
      <w:r>
        <w:rPr>
          <w:spacing w:val="-3"/>
        </w:rPr>
        <w:t>de </w:t>
      </w:r>
      <w:r>
        <w:rPr/>
        <w:t>las baterías </w:t>
      </w:r>
      <w:r>
        <w:rPr>
          <w:spacing w:val="-3"/>
        </w:rPr>
        <w:t>de </w:t>
      </w:r>
      <w:r>
        <w:rPr/>
        <w:t>instrumentos descritas en el capítulo </w:t>
      </w:r>
      <w:r>
        <w:rPr>
          <w:spacing w:val="-3"/>
        </w:rPr>
        <w:t>anterior. </w:t>
      </w:r>
      <w:r>
        <w:rPr/>
        <w:t>En el caso de la comprensión de lectura en español y comprensión lectora en inglés con un instrumento de 39 reactivos de opción múltiple cada uno. Se obtuvo el porcentaje de aciertos  correctos y en base a eso un índice </w:t>
      </w:r>
      <w:r>
        <w:rPr>
          <w:spacing w:val="-3"/>
        </w:rPr>
        <w:t>en </w:t>
      </w:r>
      <w:r>
        <w:rPr/>
        <w:t>el rango de 1 a 10. El caso de </w:t>
      </w:r>
      <w:r>
        <w:rPr>
          <w:spacing w:val="-5"/>
        </w:rPr>
        <w:t>la </w:t>
      </w:r>
      <w:r>
        <w:rPr/>
        <w:t>competencia lingüística fue distinto </w:t>
      </w:r>
      <w:r>
        <w:rPr>
          <w:spacing w:val="-4"/>
        </w:rPr>
        <w:t>ya </w:t>
      </w:r>
      <w:r>
        <w:rPr/>
        <w:t>que se utilizaron dos instrumentos: el de vocabulario, de setenta y dos  reactivos, y el </w:t>
      </w:r>
      <w:r>
        <w:rPr>
          <w:i/>
        </w:rPr>
        <w:t>cloze </w:t>
      </w:r>
      <w:r>
        <w:rPr/>
        <w:t>test, de quince reactivos. De  igual manera, se obtuvo un índice entre 1 y 10, en este caso para cada uno de los instrumentos, y se calculó un promedio del índice obtenido, para determinar uno nuevo como indicador de competencia lingüística en </w:t>
      </w:r>
      <w:r>
        <w:rPr>
          <w:spacing w:val="18"/>
        </w:rPr>
        <w:t> </w:t>
      </w:r>
      <w:r>
        <w:rPr/>
        <w:t>inglés.</w:t>
      </w:r>
    </w:p>
    <w:p>
      <w:pPr>
        <w:pStyle w:val="BodyText"/>
        <w:rPr>
          <w:sz w:val="22"/>
        </w:rPr>
      </w:pPr>
    </w:p>
    <w:p>
      <w:pPr>
        <w:pStyle w:val="BodyText"/>
        <w:spacing w:line="364" w:lineRule="auto" w:before="155"/>
        <w:ind w:left="115" w:right="98"/>
        <w:jc w:val="both"/>
      </w:pPr>
      <w:r>
        <w:rPr/>
        <w:t>Para un total de 202 sujetos los resultados muestran en comprensión de lectura en español que los índices obtenidos se ubican entre 1.79 como </w:t>
      </w:r>
      <w:r>
        <w:rPr>
          <w:spacing w:val="-3"/>
        </w:rPr>
        <w:t>mínimo </w:t>
      </w:r>
      <w:r>
        <w:rPr/>
        <w:t>y 8.72 como máximo, la media </w:t>
      </w:r>
      <w:r>
        <w:rPr>
          <w:spacing w:val="4"/>
        </w:rPr>
        <w:t>se </w:t>
      </w:r>
      <w:r>
        <w:rPr/>
        <w:t>ubica en 5.8695, con mediana  de 5.8974, moda de 5.64 y   una desviación estándar de 1.2535. Para la competencia lingüística en inglés el índice mínimo fue de 2.47 y el máximo </w:t>
      </w:r>
      <w:r>
        <w:rPr>
          <w:spacing w:val="4"/>
        </w:rPr>
        <w:t>de </w:t>
      </w:r>
      <w:r>
        <w:rPr/>
        <w:t>8.08, </w:t>
      </w:r>
      <w:r>
        <w:rPr>
          <w:spacing w:val="2"/>
        </w:rPr>
        <w:t>con </w:t>
      </w:r>
      <w:r>
        <w:rPr/>
        <w:t>una media de  5.1967,  mediana de 5.2222, moda de 4.97 como valor mínimo  y una desviación estándar  de</w:t>
      </w:r>
      <w:r>
        <w:rPr>
          <w:spacing w:val="38"/>
        </w:rPr>
        <w:t> </w:t>
      </w:r>
      <w:r>
        <w:rPr/>
        <w:t>1.1305.</w:t>
      </w:r>
      <w:r>
        <w:rPr>
          <w:spacing w:val="41"/>
        </w:rPr>
        <w:t> </w:t>
      </w:r>
      <w:r>
        <w:rPr>
          <w:spacing w:val="-3"/>
        </w:rPr>
        <w:t>La</w:t>
      </w:r>
      <w:r>
        <w:rPr>
          <w:spacing w:val="38"/>
        </w:rPr>
        <w:t> </w:t>
      </w:r>
      <w:r>
        <w:rPr/>
        <w:t>comprensión</w:t>
      </w:r>
      <w:r>
        <w:rPr>
          <w:spacing w:val="33"/>
        </w:rPr>
        <w:t> </w:t>
      </w:r>
      <w:r>
        <w:rPr/>
        <w:t>de</w:t>
      </w:r>
      <w:r>
        <w:rPr>
          <w:spacing w:val="33"/>
        </w:rPr>
        <w:t> </w:t>
      </w:r>
      <w:r>
        <w:rPr/>
        <w:t>lectura</w:t>
      </w:r>
      <w:r>
        <w:rPr>
          <w:spacing w:val="38"/>
        </w:rPr>
        <w:t> </w:t>
      </w:r>
      <w:r>
        <w:rPr/>
        <w:t>en</w:t>
      </w:r>
      <w:r>
        <w:rPr>
          <w:spacing w:val="38"/>
        </w:rPr>
        <w:t> </w:t>
      </w:r>
      <w:r>
        <w:rPr/>
        <w:t>inglés</w:t>
      </w:r>
      <w:r>
        <w:rPr>
          <w:spacing w:val="41"/>
        </w:rPr>
        <w:t> </w:t>
      </w:r>
      <w:r>
        <w:rPr/>
        <w:t>se</w:t>
      </w:r>
      <w:r>
        <w:rPr>
          <w:spacing w:val="38"/>
        </w:rPr>
        <w:t> </w:t>
      </w:r>
      <w:r>
        <w:rPr/>
        <w:t>ubica</w:t>
      </w:r>
      <w:r>
        <w:rPr>
          <w:spacing w:val="38"/>
        </w:rPr>
        <w:t> </w:t>
      </w:r>
      <w:r>
        <w:rPr/>
        <w:t>dentro</w:t>
      </w:r>
      <w:r>
        <w:rPr>
          <w:spacing w:val="38"/>
        </w:rPr>
        <w:t> </w:t>
      </w:r>
      <w:r>
        <w:rPr/>
        <w:t>del</w:t>
      </w:r>
      <w:r>
        <w:rPr>
          <w:spacing w:val="28"/>
        </w:rPr>
        <w:t> </w:t>
      </w:r>
      <w:r>
        <w:rPr/>
        <w:t>rango</w:t>
      </w:r>
      <w:r>
        <w:rPr>
          <w:spacing w:val="38"/>
        </w:rPr>
        <w:t> </w:t>
      </w:r>
      <w:r>
        <w:rPr/>
        <w:t>entre</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ListParagraph"/>
        <w:numPr>
          <w:ilvl w:val="1"/>
          <w:numId w:val="16"/>
        </w:numPr>
        <w:tabs>
          <w:tab w:pos="673" w:val="left" w:leader="none"/>
        </w:tabs>
        <w:spacing w:line="364" w:lineRule="auto" w:before="73" w:after="0"/>
        <w:ind w:left="116" w:right="103" w:firstLine="0"/>
        <w:jc w:val="both"/>
        <w:rPr>
          <w:sz w:val="23"/>
        </w:rPr>
      </w:pPr>
      <w:r>
        <w:rPr>
          <w:sz w:val="23"/>
        </w:rPr>
        <w:t>como índice mínimo y 7.95 como máximo, la media </w:t>
      </w:r>
      <w:r>
        <w:rPr>
          <w:spacing w:val="2"/>
          <w:sz w:val="23"/>
        </w:rPr>
        <w:t>está </w:t>
      </w:r>
      <w:r>
        <w:rPr>
          <w:sz w:val="23"/>
        </w:rPr>
        <w:t>en el 3.8144, </w:t>
      </w:r>
      <w:r>
        <w:rPr>
          <w:spacing w:val="-5"/>
          <w:sz w:val="23"/>
        </w:rPr>
        <w:t>la </w:t>
      </w:r>
      <w:r>
        <w:rPr>
          <w:sz w:val="23"/>
        </w:rPr>
        <w:t>mediana es de 3.7179, la moda de 2.82 y la desviación  estándar </w:t>
      </w:r>
      <w:r>
        <w:rPr>
          <w:spacing w:val="-3"/>
          <w:sz w:val="23"/>
        </w:rPr>
        <w:t>es  </w:t>
      </w:r>
      <w:r>
        <w:rPr>
          <w:sz w:val="23"/>
        </w:rPr>
        <w:t>de 1.3062.  Los datos se pueden apreciar tanto en el anexo 2, como en la siguiente </w:t>
      </w:r>
      <w:r>
        <w:rPr>
          <w:spacing w:val="39"/>
          <w:sz w:val="23"/>
        </w:rPr>
        <w:t> </w:t>
      </w:r>
      <w:r>
        <w:rPr>
          <w:sz w:val="23"/>
        </w:rPr>
        <w:t>tabla:</w:t>
      </w:r>
    </w:p>
    <w:p>
      <w:pPr>
        <w:pStyle w:val="BodyText"/>
        <w:rPr>
          <w:sz w:val="20"/>
        </w:rPr>
      </w:pPr>
    </w:p>
    <w:p>
      <w:pPr>
        <w:pStyle w:val="BodyText"/>
        <w:spacing w:before="5"/>
        <w:rPr>
          <w:sz w:val="25"/>
        </w:rPr>
      </w:pPr>
    </w:p>
    <w:p>
      <w:pPr>
        <w:spacing w:before="81"/>
        <w:ind w:left="1020" w:right="978" w:firstLine="0"/>
        <w:jc w:val="center"/>
        <w:rPr>
          <w:b/>
          <w:sz w:val="19"/>
        </w:rPr>
      </w:pPr>
      <w:r>
        <w:rPr>
          <w:b/>
          <w:sz w:val="19"/>
        </w:rPr>
        <w:t>Estadísticos  descriptivos</w:t>
      </w:r>
    </w:p>
    <w:p>
      <w:pPr>
        <w:pStyle w:val="BodyText"/>
        <w:spacing w:before="10"/>
        <w:rPr>
          <w:b/>
          <w:sz w:val="10"/>
        </w:rPr>
      </w:pPr>
    </w:p>
    <w:tbl>
      <w:tblPr>
        <w:tblW w:w="0" w:type="auto"/>
        <w:jc w:val="left"/>
        <w:tblInd w:w="289" w:type="dxa"/>
        <w:tblBorders>
          <w:top w:val="single" w:sz="13" w:space="0" w:color="000000"/>
          <w:left w:val="single" w:sz="13" w:space="0" w:color="000000"/>
          <w:bottom w:val="single" w:sz="13" w:space="0" w:color="000000"/>
          <w:right w:val="single" w:sz="13" w:space="0" w:color="000000"/>
          <w:insideH w:val="single" w:sz="13" w:space="0" w:color="000000"/>
          <w:insideV w:val="single" w:sz="13" w:space="0" w:color="000000"/>
        </w:tblBorders>
        <w:tblLayout w:type="fixed"/>
        <w:tblCellMar>
          <w:top w:w="0" w:type="dxa"/>
          <w:left w:w="0" w:type="dxa"/>
          <w:bottom w:w="0" w:type="dxa"/>
          <w:right w:w="0" w:type="dxa"/>
        </w:tblCellMar>
        <w:tblLook w:val="01E0"/>
      </w:tblPr>
      <w:tblGrid>
        <w:gridCol w:w="2273"/>
        <w:gridCol w:w="1193"/>
        <w:gridCol w:w="1209"/>
        <w:gridCol w:w="1209"/>
        <w:gridCol w:w="1209"/>
        <w:gridCol w:w="1225"/>
      </w:tblGrid>
      <w:tr>
        <w:trPr>
          <w:trHeight w:val="304" w:hRule="exact"/>
        </w:trPr>
        <w:tc>
          <w:tcPr>
            <w:tcW w:w="2273" w:type="dxa"/>
          </w:tcPr>
          <w:p>
            <w:pPr/>
          </w:p>
        </w:tc>
        <w:tc>
          <w:tcPr>
            <w:tcW w:w="1193" w:type="dxa"/>
            <w:tcBorders>
              <w:right w:val="single" w:sz="6" w:space="0" w:color="000000"/>
            </w:tcBorders>
          </w:tcPr>
          <w:p>
            <w:pPr>
              <w:pStyle w:val="TableParagraph"/>
              <w:spacing w:before="51"/>
              <w:ind w:right="69"/>
              <w:jc w:val="center"/>
              <w:rPr>
                <w:sz w:val="19"/>
              </w:rPr>
            </w:pPr>
            <w:r>
              <w:rPr>
                <w:w w:val="103"/>
                <w:sz w:val="19"/>
              </w:rPr>
              <w:t>N</w:t>
            </w:r>
          </w:p>
        </w:tc>
        <w:tc>
          <w:tcPr>
            <w:tcW w:w="1209" w:type="dxa"/>
            <w:tcBorders>
              <w:left w:val="single" w:sz="6" w:space="0" w:color="000000"/>
              <w:right w:val="single" w:sz="6" w:space="0" w:color="000000"/>
            </w:tcBorders>
          </w:tcPr>
          <w:p>
            <w:pPr>
              <w:pStyle w:val="TableParagraph"/>
              <w:spacing w:before="51"/>
              <w:ind w:left="252"/>
              <w:jc w:val="left"/>
              <w:rPr>
                <w:sz w:val="19"/>
              </w:rPr>
            </w:pPr>
            <w:r>
              <w:rPr>
                <w:w w:val="105"/>
                <w:sz w:val="19"/>
              </w:rPr>
              <w:t>Mínimo</w:t>
            </w:r>
          </w:p>
        </w:tc>
        <w:tc>
          <w:tcPr>
            <w:tcW w:w="1209" w:type="dxa"/>
            <w:tcBorders>
              <w:left w:val="single" w:sz="6" w:space="0" w:color="000000"/>
              <w:right w:val="single" w:sz="6" w:space="0" w:color="000000"/>
            </w:tcBorders>
          </w:tcPr>
          <w:p>
            <w:pPr>
              <w:pStyle w:val="TableParagraph"/>
              <w:spacing w:before="51"/>
              <w:ind w:left="233"/>
              <w:jc w:val="left"/>
              <w:rPr>
                <w:sz w:val="19"/>
              </w:rPr>
            </w:pPr>
            <w:r>
              <w:rPr>
                <w:w w:val="105"/>
                <w:sz w:val="19"/>
              </w:rPr>
              <w:t>Máximo</w:t>
            </w:r>
          </w:p>
        </w:tc>
        <w:tc>
          <w:tcPr>
            <w:tcW w:w="1209" w:type="dxa"/>
            <w:tcBorders>
              <w:left w:val="single" w:sz="6" w:space="0" w:color="000000"/>
              <w:right w:val="single" w:sz="6" w:space="0" w:color="000000"/>
            </w:tcBorders>
          </w:tcPr>
          <w:p>
            <w:pPr>
              <w:pStyle w:val="TableParagraph"/>
              <w:spacing w:before="51"/>
              <w:ind w:left="310"/>
              <w:jc w:val="left"/>
              <w:rPr>
                <w:sz w:val="19"/>
              </w:rPr>
            </w:pPr>
            <w:r>
              <w:rPr>
                <w:w w:val="105"/>
                <w:sz w:val="19"/>
              </w:rPr>
              <w:t>Media</w:t>
            </w:r>
          </w:p>
        </w:tc>
        <w:tc>
          <w:tcPr>
            <w:tcW w:w="1225" w:type="dxa"/>
            <w:tcBorders>
              <w:left w:val="single" w:sz="6" w:space="0" w:color="000000"/>
            </w:tcBorders>
          </w:tcPr>
          <w:p>
            <w:pPr>
              <w:pStyle w:val="TableParagraph"/>
              <w:spacing w:before="51"/>
              <w:ind w:right="219"/>
              <w:rPr>
                <w:sz w:val="19"/>
              </w:rPr>
            </w:pPr>
            <w:r>
              <w:rPr>
                <w:w w:val="105"/>
                <w:sz w:val="19"/>
              </w:rPr>
              <w:t>Desv. típ.</w:t>
            </w:r>
          </w:p>
        </w:tc>
      </w:tr>
      <w:tr>
        <w:trPr>
          <w:trHeight w:val="509" w:hRule="exact"/>
        </w:trPr>
        <w:tc>
          <w:tcPr>
            <w:tcW w:w="2273" w:type="dxa"/>
            <w:tcBorders>
              <w:bottom w:val="nil"/>
            </w:tcBorders>
          </w:tcPr>
          <w:p>
            <w:pPr>
              <w:pStyle w:val="TableParagraph"/>
              <w:spacing w:line="206" w:lineRule="exact"/>
              <w:ind w:left="110" w:right="299"/>
              <w:jc w:val="left"/>
              <w:rPr>
                <w:sz w:val="19"/>
              </w:rPr>
            </w:pPr>
            <w:r>
              <w:rPr>
                <w:w w:val="105"/>
                <w:sz w:val="19"/>
              </w:rPr>
              <w:t>Comprensión</w:t>
            </w:r>
          </w:p>
          <w:p>
            <w:pPr>
              <w:pStyle w:val="TableParagraph"/>
              <w:spacing w:before="26"/>
              <w:ind w:left="110" w:right="299"/>
              <w:jc w:val="left"/>
              <w:rPr>
                <w:sz w:val="19"/>
              </w:rPr>
            </w:pPr>
            <w:r>
              <w:rPr>
                <w:w w:val="105"/>
                <w:sz w:val="19"/>
              </w:rPr>
              <w:t>Lectura Español</w:t>
            </w:r>
          </w:p>
        </w:tc>
        <w:tc>
          <w:tcPr>
            <w:tcW w:w="1193" w:type="dxa"/>
            <w:tcBorders>
              <w:bottom w:val="nil"/>
              <w:right w:val="single" w:sz="6" w:space="0" w:color="000000"/>
            </w:tcBorders>
          </w:tcPr>
          <w:p>
            <w:pPr>
              <w:pStyle w:val="TableParagraph"/>
              <w:spacing w:before="126"/>
              <w:ind w:right="153"/>
              <w:rPr>
                <w:sz w:val="19"/>
              </w:rPr>
            </w:pPr>
            <w:r>
              <w:rPr>
                <w:sz w:val="19"/>
              </w:rPr>
              <w:t>202</w:t>
            </w:r>
          </w:p>
        </w:tc>
        <w:tc>
          <w:tcPr>
            <w:tcW w:w="1209" w:type="dxa"/>
            <w:tcBorders>
              <w:left w:val="single" w:sz="6" w:space="0" w:color="000000"/>
              <w:bottom w:val="nil"/>
              <w:right w:val="single" w:sz="6" w:space="0" w:color="000000"/>
            </w:tcBorders>
          </w:tcPr>
          <w:p>
            <w:pPr>
              <w:pStyle w:val="TableParagraph"/>
              <w:spacing w:before="126"/>
              <w:ind w:right="153"/>
              <w:rPr>
                <w:sz w:val="19"/>
              </w:rPr>
            </w:pPr>
            <w:r>
              <w:rPr>
                <w:sz w:val="19"/>
              </w:rPr>
              <w:t>1.79</w:t>
            </w:r>
          </w:p>
        </w:tc>
        <w:tc>
          <w:tcPr>
            <w:tcW w:w="1209" w:type="dxa"/>
            <w:tcBorders>
              <w:left w:val="single" w:sz="6" w:space="0" w:color="000000"/>
              <w:bottom w:val="nil"/>
              <w:right w:val="single" w:sz="6" w:space="0" w:color="000000"/>
            </w:tcBorders>
          </w:tcPr>
          <w:p>
            <w:pPr>
              <w:pStyle w:val="TableParagraph"/>
              <w:spacing w:before="126"/>
              <w:ind w:right="152"/>
              <w:rPr>
                <w:sz w:val="19"/>
              </w:rPr>
            </w:pPr>
            <w:r>
              <w:rPr>
                <w:sz w:val="19"/>
              </w:rPr>
              <w:t>8.72</w:t>
            </w:r>
          </w:p>
        </w:tc>
        <w:tc>
          <w:tcPr>
            <w:tcW w:w="1209" w:type="dxa"/>
            <w:tcBorders>
              <w:left w:val="single" w:sz="6" w:space="0" w:color="000000"/>
              <w:bottom w:val="nil"/>
              <w:right w:val="single" w:sz="6" w:space="0" w:color="000000"/>
            </w:tcBorders>
          </w:tcPr>
          <w:p>
            <w:pPr>
              <w:pStyle w:val="TableParagraph"/>
              <w:spacing w:before="126"/>
              <w:ind w:right="152"/>
              <w:rPr>
                <w:sz w:val="19"/>
              </w:rPr>
            </w:pPr>
            <w:r>
              <w:rPr>
                <w:sz w:val="19"/>
              </w:rPr>
              <w:t>5.8695</w:t>
            </w:r>
          </w:p>
        </w:tc>
        <w:tc>
          <w:tcPr>
            <w:tcW w:w="1225" w:type="dxa"/>
            <w:tcBorders>
              <w:left w:val="single" w:sz="6" w:space="0" w:color="000000"/>
              <w:bottom w:val="nil"/>
            </w:tcBorders>
          </w:tcPr>
          <w:p>
            <w:pPr>
              <w:pStyle w:val="TableParagraph"/>
              <w:spacing w:before="126"/>
              <w:ind w:right="160"/>
              <w:rPr>
                <w:sz w:val="19"/>
              </w:rPr>
            </w:pPr>
            <w:r>
              <w:rPr>
                <w:sz w:val="19"/>
              </w:rPr>
              <w:t>1.25349</w:t>
            </w:r>
          </w:p>
        </w:tc>
      </w:tr>
      <w:tr>
        <w:trPr>
          <w:trHeight w:val="533" w:hRule="exact"/>
        </w:trPr>
        <w:tc>
          <w:tcPr>
            <w:tcW w:w="2273" w:type="dxa"/>
            <w:tcBorders>
              <w:top w:val="nil"/>
              <w:bottom w:val="nil"/>
            </w:tcBorders>
          </w:tcPr>
          <w:p>
            <w:pPr>
              <w:pStyle w:val="TableParagraph"/>
              <w:spacing w:line="268" w:lineRule="auto" w:before="27"/>
              <w:ind w:left="110" w:right="299"/>
              <w:jc w:val="left"/>
              <w:rPr>
                <w:sz w:val="19"/>
              </w:rPr>
            </w:pPr>
            <w:r>
              <w:rPr>
                <w:w w:val="105"/>
                <w:sz w:val="19"/>
              </w:rPr>
              <w:t>Competencia Lingüística Inglés</w:t>
            </w:r>
          </w:p>
        </w:tc>
        <w:tc>
          <w:tcPr>
            <w:tcW w:w="1193" w:type="dxa"/>
            <w:tcBorders>
              <w:top w:val="nil"/>
              <w:bottom w:val="nil"/>
              <w:right w:val="single" w:sz="6" w:space="0" w:color="000000"/>
            </w:tcBorders>
          </w:tcPr>
          <w:p>
            <w:pPr>
              <w:pStyle w:val="TableParagraph"/>
              <w:spacing w:before="161"/>
              <w:ind w:right="153"/>
              <w:rPr>
                <w:sz w:val="19"/>
              </w:rPr>
            </w:pPr>
            <w:r>
              <w:rPr>
                <w:sz w:val="19"/>
              </w:rPr>
              <w:t>202</w:t>
            </w:r>
          </w:p>
        </w:tc>
        <w:tc>
          <w:tcPr>
            <w:tcW w:w="1209" w:type="dxa"/>
            <w:tcBorders>
              <w:top w:val="nil"/>
              <w:left w:val="single" w:sz="6" w:space="0" w:color="000000"/>
              <w:bottom w:val="nil"/>
              <w:right w:val="single" w:sz="6" w:space="0" w:color="000000"/>
            </w:tcBorders>
          </w:tcPr>
          <w:p>
            <w:pPr>
              <w:pStyle w:val="TableParagraph"/>
              <w:spacing w:before="161"/>
              <w:ind w:right="152"/>
              <w:rPr>
                <w:sz w:val="19"/>
              </w:rPr>
            </w:pPr>
            <w:r>
              <w:rPr>
                <w:sz w:val="19"/>
              </w:rPr>
              <w:t>2.47</w:t>
            </w:r>
          </w:p>
        </w:tc>
        <w:tc>
          <w:tcPr>
            <w:tcW w:w="1209" w:type="dxa"/>
            <w:tcBorders>
              <w:top w:val="nil"/>
              <w:left w:val="single" w:sz="6" w:space="0" w:color="000000"/>
              <w:bottom w:val="nil"/>
              <w:right w:val="single" w:sz="6" w:space="0" w:color="000000"/>
            </w:tcBorders>
          </w:tcPr>
          <w:p>
            <w:pPr>
              <w:pStyle w:val="TableParagraph"/>
              <w:spacing w:before="161"/>
              <w:ind w:right="152"/>
              <w:rPr>
                <w:sz w:val="19"/>
              </w:rPr>
            </w:pPr>
            <w:r>
              <w:rPr>
                <w:sz w:val="19"/>
              </w:rPr>
              <w:t>8.08</w:t>
            </w:r>
          </w:p>
        </w:tc>
        <w:tc>
          <w:tcPr>
            <w:tcW w:w="1209" w:type="dxa"/>
            <w:tcBorders>
              <w:top w:val="nil"/>
              <w:left w:val="single" w:sz="6" w:space="0" w:color="000000"/>
              <w:bottom w:val="nil"/>
              <w:right w:val="single" w:sz="6" w:space="0" w:color="000000"/>
            </w:tcBorders>
          </w:tcPr>
          <w:p>
            <w:pPr>
              <w:pStyle w:val="TableParagraph"/>
              <w:spacing w:before="161"/>
              <w:ind w:right="152"/>
              <w:rPr>
                <w:sz w:val="19"/>
              </w:rPr>
            </w:pPr>
            <w:r>
              <w:rPr>
                <w:sz w:val="19"/>
              </w:rPr>
              <w:t>5.1967</w:t>
            </w:r>
          </w:p>
        </w:tc>
        <w:tc>
          <w:tcPr>
            <w:tcW w:w="1225" w:type="dxa"/>
            <w:tcBorders>
              <w:top w:val="nil"/>
              <w:left w:val="single" w:sz="6" w:space="0" w:color="000000"/>
              <w:bottom w:val="nil"/>
            </w:tcBorders>
          </w:tcPr>
          <w:p>
            <w:pPr>
              <w:pStyle w:val="TableParagraph"/>
              <w:spacing w:before="161"/>
              <w:ind w:right="160"/>
              <w:rPr>
                <w:sz w:val="19"/>
              </w:rPr>
            </w:pPr>
            <w:r>
              <w:rPr>
                <w:sz w:val="19"/>
              </w:rPr>
              <w:t>1.13049</w:t>
            </w:r>
          </w:p>
        </w:tc>
      </w:tr>
      <w:tr>
        <w:trPr>
          <w:trHeight w:val="528" w:hRule="exact"/>
        </w:trPr>
        <w:tc>
          <w:tcPr>
            <w:tcW w:w="2273" w:type="dxa"/>
            <w:tcBorders>
              <w:top w:val="nil"/>
              <w:bottom w:val="nil"/>
            </w:tcBorders>
          </w:tcPr>
          <w:p>
            <w:pPr>
              <w:pStyle w:val="TableParagraph"/>
              <w:spacing w:line="264" w:lineRule="auto" w:before="27"/>
              <w:ind w:left="110" w:right="299"/>
              <w:jc w:val="left"/>
              <w:rPr>
                <w:sz w:val="19"/>
              </w:rPr>
            </w:pPr>
            <w:r>
              <w:rPr>
                <w:w w:val="105"/>
                <w:sz w:val="19"/>
              </w:rPr>
              <w:t>Comprensión Lectura Inglés</w:t>
            </w:r>
          </w:p>
        </w:tc>
        <w:tc>
          <w:tcPr>
            <w:tcW w:w="1193" w:type="dxa"/>
            <w:tcBorders>
              <w:top w:val="nil"/>
              <w:bottom w:val="nil"/>
              <w:right w:val="single" w:sz="6" w:space="0" w:color="000000"/>
            </w:tcBorders>
          </w:tcPr>
          <w:p>
            <w:pPr>
              <w:pStyle w:val="TableParagraph"/>
              <w:spacing w:before="161"/>
              <w:ind w:right="153"/>
              <w:rPr>
                <w:sz w:val="19"/>
              </w:rPr>
            </w:pPr>
            <w:r>
              <w:rPr>
                <w:sz w:val="19"/>
              </w:rPr>
              <w:t>202</w:t>
            </w:r>
          </w:p>
        </w:tc>
        <w:tc>
          <w:tcPr>
            <w:tcW w:w="1209" w:type="dxa"/>
            <w:tcBorders>
              <w:top w:val="nil"/>
              <w:left w:val="single" w:sz="6" w:space="0" w:color="000000"/>
              <w:bottom w:val="nil"/>
              <w:right w:val="single" w:sz="6" w:space="0" w:color="000000"/>
            </w:tcBorders>
          </w:tcPr>
          <w:p>
            <w:pPr>
              <w:pStyle w:val="TableParagraph"/>
              <w:spacing w:before="161"/>
              <w:ind w:right="152"/>
              <w:rPr>
                <w:sz w:val="19"/>
              </w:rPr>
            </w:pPr>
            <w:r>
              <w:rPr>
                <w:sz w:val="19"/>
              </w:rPr>
              <w:t>1.28</w:t>
            </w:r>
          </w:p>
        </w:tc>
        <w:tc>
          <w:tcPr>
            <w:tcW w:w="1209" w:type="dxa"/>
            <w:tcBorders>
              <w:top w:val="nil"/>
              <w:left w:val="single" w:sz="6" w:space="0" w:color="000000"/>
              <w:bottom w:val="nil"/>
              <w:right w:val="single" w:sz="6" w:space="0" w:color="000000"/>
            </w:tcBorders>
          </w:tcPr>
          <w:p>
            <w:pPr>
              <w:pStyle w:val="TableParagraph"/>
              <w:spacing w:before="161"/>
              <w:ind w:right="152"/>
              <w:rPr>
                <w:sz w:val="19"/>
              </w:rPr>
            </w:pPr>
            <w:r>
              <w:rPr>
                <w:sz w:val="19"/>
              </w:rPr>
              <w:t>7.95</w:t>
            </w:r>
          </w:p>
        </w:tc>
        <w:tc>
          <w:tcPr>
            <w:tcW w:w="1209" w:type="dxa"/>
            <w:tcBorders>
              <w:top w:val="nil"/>
              <w:left w:val="single" w:sz="6" w:space="0" w:color="000000"/>
              <w:bottom w:val="nil"/>
              <w:right w:val="single" w:sz="6" w:space="0" w:color="000000"/>
            </w:tcBorders>
          </w:tcPr>
          <w:p>
            <w:pPr>
              <w:pStyle w:val="TableParagraph"/>
              <w:spacing w:before="161"/>
              <w:ind w:right="152"/>
              <w:rPr>
                <w:sz w:val="19"/>
              </w:rPr>
            </w:pPr>
            <w:r>
              <w:rPr>
                <w:sz w:val="19"/>
              </w:rPr>
              <w:t>3.8144</w:t>
            </w:r>
          </w:p>
        </w:tc>
        <w:tc>
          <w:tcPr>
            <w:tcW w:w="1225" w:type="dxa"/>
            <w:tcBorders>
              <w:top w:val="nil"/>
              <w:left w:val="single" w:sz="6" w:space="0" w:color="000000"/>
              <w:bottom w:val="nil"/>
            </w:tcBorders>
          </w:tcPr>
          <w:p>
            <w:pPr>
              <w:pStyle w:val="TableParagraph"/>
              <w:spacing w:before="161"/>
              <w:ind w:right="162"/>
              <w:rPr>
                <w:sz w:val="19"/>
              </w:rPr>
            </w:pPr>
            <w:r>
              <w:rPr>
                <w:sz w:val="19"/>
              </w:rPr>
              <w:t>1.30618</w:t>
            </w:r>
          </w:p>
        </w:tc>
      </w:tr>
      <w:tr>
        <w:trPr>
          <w:trHeight w:val="313" w:hRule="exact"/>
        </w:trPr>
        <w:tc>
          <w:tcPr>
            <w:tcW w:w="2273" w:type="dxa"/>
            <w:tcBorders>
              <w:top w:val="nil"/>
            </w:tcBorders>
          </w:tcPr>
          <w:p>
            <w:pPr>
              <w:pStyle w:val="TableParagraph"/>
              <w:spacing w:before="27"/>
              <w:ind w:left="110"/>
              <w:jc w:val="left"/>
              <w:rPr>
                <w:sz w:val="19"/>
              </w:rPr>
            </w:pPr>
            <w:r>
              <w:rPr>
                <w:w w:val="105"/>
                <w:sz w:val="19"/>
              </w:rPr>
              <w:t>N válido (según lista)</w:t>
            </w:r>
          </w:p>
        </w:tc>
        <w:tc>
          <w:tcPr>
            <w:tcW w:w="1193" w:type="dxa"/>
            <w:tcBorders>
              <w:top w:val="nil"/>
              <w:right w:val="single" w:sz="6" w:space="0" w:color="000000"/>
            </w:tcBorders>
          </w:tcPr>
          <w:p>
            <w:pPr>
              <w:pStyle w:val="TableParagraph"/>
              <w:spacing w:before="46"/>
              <w:ind w:right="153"/>
              <w:rPr>
                <w:sz w:val="19"/>
              </w:rPr>
            </w:pPr>
            <w:r>
              <w:rPr>
                <w:sz w:val="19"/>
              </w:rPr>
              <w:t>202</w:t>
            </w:r>
          </w:p>
        </w:tc>
        <w:tc>
          <w:tcPr>
            <w:tcW w:w="1209" w:type="dxa"/>
            <w:tcBorders>
              <w:top w:val="nil"/>
              <w:left w:val="single" w:sz="6" w:space="0" w:color="000000"/>
              <w:right w:val="single" w:sz="6" w:space="0" w:color="000000"/>
            </w:tcBorders>
          </w:tcPr>
          <w:p>
            <w:pPr/>
          </w:p>
        </w:tc>
        <w:tc>
          <w:tcPr>
            <w:tcW w:w="1209" w:type="dxa"/>
            <w:tcBorders>
              <w:top w:val="nil"/>
              <w:left w:val="single" w:sz="6" w:space="0" w:color="000000"/>
              <w:right w:val="single" w:sz="6" w:space="0" w:color="000000"/>
            </w:tcBorders>
          </w:tcPr>
          <w:p>
            <w:pPr/>
          </w:p>
        </w:tc>
        <w:tc>
          <w:tcPr>
            <w:tcW w:w="1209" w:type="dxa"/>
            <w:tcBorders>
              <w:top w:val="nil"/>
              <w:left w:val="single" w:sz="6" w:space="0" w:color="000000"/>
              <w:right w:val="single" w:sz="6" w:space="0" w:color="000000"/>
            </w:tcBorders>
          </w:tcPr>
          <w:p>
            <w:pPr/>
          </w:p>
        </w:tc>
        <w:tc>
          <w:tcPr>
            <w:tcW w:w="1225" w:type="dxa"/>
            <w:tcBorders>
              <w:top w:val="nil"/>
              <w:left w:val="single" w:sz="6" w:space="0" w:color="000000"/>
            </w:tcBorders>
          </w:tcPr>
          <w:p>
            <w:pPr/>
          </w:p>
        </w:tc>
      </w:tr>
    </w:tbl>
    <w:p>
      <w:pPr>
        <w:pStyle w:val="BodyText"/>
        <w:spacing w:before="1"/>
        <w:rPr>
          <w:b/>
          <w:sz w:val="15"/>
        </w:rPr>
      </w:pPr>
    </w:p>
    <w:p>
      <w:pPr>
        <w:spacing w:before="81"/>
        <w:ind w:left="2765" w:right="213" w:firstLine="0"/>
        <w:jc w:val="left"/>
        <w:rPr>
          <w:b/>
          <w:sz w:val="19"/>
        </w:rPr>
      </w:pPr>
      <w:r>
        <w:rPr>
          <w:b/>
          <w:w w:val="105"/>
          <w:sz w:val="19"/>
        </w:rPr>
        <w:t>Tabla 3.1. Estadísticos descriptivos</w:t>
      </w:r>
    </w:p>
    <w:p>
      <w:pPr>
        <w:pStyle w:val="BodyText"/>
        <w:rPr>
          <w:b/>
          <w:sz w:val="20"/>
        </w:rPr>
      </w:pPr>
    </w:p>
    <w:p>
      <w:pPr>
        <w:pStyle w:val="BodyText"/>
        <w:spacing w:before="6"/>
        <w:rPr>
          <w:b/>
          <w:sz w:val="24"/>
        </w:rPr>
      </w:pPr>
    </w:p>
    <w:p>
      <w:pPr>
        <w:pStyle w:val="BodyText"/>
        <w:spacing w:line="364" w:lineRule="auto"/>
        <w:ind w:left="115" w:right="102"/>
        <w:jc w:val="both"/>
      </w:pPr>
      <w:r>
        <w:rPr/>
        <w:t>Se obtuvieron frecuencias para </w:t>
      </w:r>
      <w:r>
        <w:rPr>
          <w:spacing w:val="2"/>
        </w:rPr>
        <w:t>ver </w:t>
      </w:r>
      <w:r>
        <w:rPr/>
        <w:t>el comportamiento de los  resultados  (ver  anexo A). En las siguientes gráficas se puede apreciar que las </w:t>
      </w:r>
      <w:r>
        <w:rPr>
          <w:spacing w:val="-3"/>
        </w:rPr>
        <w:t>tres </w:t>
      </w:r>
      <w:r>
        <w:rPr/>
        <w:t>habilidades muestran una aproximación a una distribución normal, como lo  muestra la  curva  de cada variable. </w:t>
      </w:r>
      <w:r>
        <w:rPr>
          <w:spacing w:val="-3"/>
        </w:rPr>
        <w:t>Sin </w:t>
      </w:r>
      <w:r>
        <w:rPr/>
        <w:t>embargo, cada una muestra rasgos específicos que caben </w:t>
      </w:r>
      <w:r>
        <w:rPr>
          <w:spacing w:val="-3"/>
        </w:rPr>
        <w:t>mencionar.</w:t>
      </w:r>
    </w:p>
    <w:p>
      <w:pPr>
        <w:spacing w:after="0" w:line="364" w:lineRule="auto"/>
        <w:jc w:val="both"/>
        <w:sectPr>
          <w:pgSz w:w="11910" w:h="16840"/>
          <w:pgMar w:header="1424" w:footer="0" w:top="1840" w:bottom="280" w:left="1540" w:right="1540"/>
        </w:sectPr>
      </w:pPr>
    </w:p>
    <w:p>
      <w:pPr>
        <w:pStyle w:val="BodyText"/>
        <w:rPr>
          <w:sz w:val="20"/>
        </w:rPr>
      </w:pPr>
    </w:p>
    <w:p>
      <w:pPr>
        <w:pStyle w:val="BodyText"/>
        <w:spacing w:before="9"/>
        <w:rPr>
          <w:sz w:val="15"/>
        </w:rPr>
      </w:pPr>
    </w:p>
    <w:p>
      <w:pPr>
        <w:tabs>
          <w:tab w:pos="5856" w:val="left" w:leader="none"/>
        </w:tabs>
        <w:spacing w:line="240" w:lineRule="auto"/>
        <w:ind w:left="456" w:right="0" w:firstLine="0"/>
        <w:rPr>
          <w:sz w:val="20"/>
        </w:rPr>
      </w:pPr>
      <w:r>
        <w:rPr>
          <w:sz w:val="20"/>
        </w:rPr>
        <w:pict>
          <v:group style="width:251.9pt;height:252.05pt;mso-position-horizontal-relative:char;mso-position-vertical-relative:line" coordorigin="0,0" coordsize="5038,5041">
            <v:rect style="position:absolute;left:422;top:5;width:4608;height:4829" filled="true" fillcolor="#efefef" stroked="false">
              <v:fill type="solid"/>
            </v:rect>
            <v:line style="position:absolute" from="422,4834" to="5030,4834" stroked="true" strokeweight=".480005pt" strokecolor="#000000"/>
            <v:line style="position:absolute" from="653,4834" to="653,4915" stroked="true" strokeweight=".720005pt" strokecolor="#000000"/>
            <v:line style="position:absolute" from="1483,4834" to="1483,4915" stroked="true" strokeweight=".720005pt" strokecolor="#000000"/>
            <v:line style="position:absolute" from="2309,4834" to="2309,4915" stroked="true" strokeweight=".720005pt" strokecolor="#000000"/>
            <v:line style="position:absolute" from="3139,4834" to="3139,4915" stroked="true" strokeweight=".720005pt" strokecolor="#000000"/>
            <v:line style="position:absolute" from="3970,4834" to="3970,4915" stroked="true" strokeweight=".720005pt" strokecolor="#000000"/>
            <v:line style="position:absolute" from="4800,4834" to="4800,4915" stroked="true" strokeweight=".720005pt" strokecolor="#000000"/>
            <v:shape style="position:absolute;left:4661;top:4949;width:288;height:92" coordorigin="4661,4949" coordsize="288,92" path="m4694,4949l4685,4949,4680,4954,4680,4959,4675,4963,4666,4968,4685,4968,4685,5035,4694,5035,4694,4949xm4680,4968l4661,4968,4661,4978,4670,4978,4680,4968xm4747,4954l4728,4954,4728,4959,4723,4968,4723,5021,4728,5031,4733,5035,4742,5040,4757,5040,4762,5035,4766,5035,4771,5031,4747,5031,4733,5016,4733,4968,4747,4954xm4771,4954l4757,4954,4762,4959,4762,4963,4766,4968,4766,5016,4762,5021,4762,5026,4757,5031,4771,5031,4776,5026,4776,5016,4781,5011,4781,4978,4776,4973,4776,4963,4771,4959,4771,4954xm4762,4949l4738,4949,4733,4954,4766,4954,4762,4949xm4810,5026l4795,5026,4795,5035,4810,5035,4810,5026xm4848,4954l4834,4954,4829,4959,4829,4968,4824,4973,4824,5011,4834,5031,4843,5040,4858,5040,4862,5035,4867,5035,4872,5031,4848,5031,4838,5021,4838,5016,4834,5007,4834,4978,4838,4968,4838,4963,4848,4954xm4872,4954l4858,4954,4867,4963,4867,4968,4872,4978,4872,5007,4867,5016,4867,5021,4858,5031,4872,5031,4877,5026,4877,5016,4882,5011,4882,4973,4877,4968,4877,4963,4872,4959,4872,4954xm4867,4949l4843,4949,4838,4954,4867,4954,4867,4949xm4915,4954l4901,4954,4896,4959,4896,4968,4891,4973,4891,5011,4901,5031,4910,5040,4930,5040,4934,5035,4939,5035,4939,5031,4915,5031,4910,5026,4910,5021,4906,5016,4901,5007,4901,4978,4906,4968,4910,4963,4910,4959,4915,4954xm4934,4949l4910,4949,4906,4954,4925,4954,4939,4968,4939,5016,4925,5031,4939,5031,4944,5026,4949,5016,4949,4968,4944,4963,4944,4959,4934,4949xe" filled="true" fillcolor="#000000" stroked="false">
              <v:path arrowok="t"/>
              <v:fill type="solid"/>
            </v:shape>
            <v:shape style="position:absolute;left:3859;top:4949;width:226;height:92" coordorigin="3859,4949" coordsize="226,92" path="m3902,4949l3874,4949,3859,4963,3859,4973,3864,4978,3864,4983,3869,4987,3859,4997,3859,5026,3869,5035,3878,5040,3898,5040,3907,5031,3878,5031,3878,5026,3874,5026,3874,5021,3869,5021,3869,5002,3874,4997,3878,4997,3883,4992,3902,4992,3898,4987,3902,4987,3907,4983,3878,4983,3874,4978,3874,4963,3883,4954,3907,4954,3902,4949xm3907,4992l3893,4992,3902,5002,3902,5021,3893,5031,3907,5031,3917,5021,3917,5002,3907,4992xm3907,4954l3893,4954,3893,4959,3898,4959,3898,4963,3902,4968,3902,4973,3893,4983,3907,4983,3912,4978,3912,4959,3907,4954xm3946,5026l3931,5026,3931,5035,3946,5035,3946,5026xm3984,4954l3970,4954,3965,4959,3965,4968,3960,4973,3960,5021,3979,5040,3994,5040,3998,5035,4003,5035,4008,5031,3984,5031,3974,5021,3974,5016,3970,5007,3970,4978,3974,4968,3974,4963,3984,4954xm4008,4954l3994,4954,4003,4963,4003,4968,4008,4978,4008,5007,4003,5016,4003,5021,3994,5031,4008,5031,4013,5026,4013,5016,4018,5011,4018,4973,4013,4968,4013,4963,4008,4959,4008,4954xm4003,4949l3974,4949,3974,4954,4003,4954,4003,4949xm4051,4954l4037,4954,4032,4959,4032,4968,4027,4973,4027,5011,4037,5031,4046,5040,4066,5040,4070,5035,4075,5035,4075,5031,4051,5031,4046,5026,4046,5021,4042,5016,4037,5007,4037,4978,4042,4968,4046,4963,4046,4959,4051,4954xm4070,4949l4046,4949,4042,4954,4061,4954,4075,4968,4075,5016,4061,5031,4075,5031,4080,5026,4085,5016,4085,4968,4080,4963,4080,4959,4070,4949xe" filled="true" fillcolor="#000000" stroked="false">
              <v:path arrowok="t"/>
              <v:fill type="solid"/>
            </v:shape>
            <v:shape style="position:absolute;left:3029;top:4949;width:226;height:92" coordorigin="3029,4949" coordsize="226,92" path="m3072,4949l3043,4949,3038,4959,3029,4963,3029,5021,3034,5031,3043,5035,3048,5040,3062,5040,3067,5035,3072,5035,3077,5031,3053,5031,3048,5026,3043,5026,3043,5016,3038,5016,3038,5002,3043,4997,3043,4992,3038,4992,3038,4968,3048,4959,3053,4959,3053,4954,3077,4954,3072,4949xm3077,4987l3062,4987,3077,5002,3077,5016,3062,5031,3077,5031,3082,5026,3082,5021,3086,5016,3086,4997,3077,4987xm3067,4978l3053,4978,3048,4983,3043,4983,3038,4987,3038,4992,3048,4992,3053,4987,3077,4987,3067,4978xm3077,4954l3062,4954,3072,4963,3072,4968,3086,4968,3082,4963,3082,4959,3077,4954xm3115,5026l3101,5026,3101,5035,3115,5035,3115,5026xm3154,4954l3139,4954,3134,4959,3134,4968,3130,4973,3130,5011,3139,5031,3149,5040,3163,5040,3173,5035,3178,5031,3154,5031,3144,5021,3144,5016,3139,5007,3139,4978,3144,4968,3144,4963,3154,4954xm3178,4954l3163,4954,3173,4963,3173,4968,3178,4978,3178,5007,3173,5016,3173,5021,3163,5031,3178,5031,3182,5026,3182,5016,3187,5011,3187,4973,3182,4968,3182,4959,3178,4954xm3173,4949l3149,4949,3144,4954,3173,4954,3173,4949xm3221,4954l3206,4954,3202,4959,3202,4968,3197,4973,3197,5011,3206,5031,3216,5040,3235,5040,3240,5035,3245,5035,3245,5031,3221,5031,3216,5026,3216,5021,3211,5016,3211,4968,3216,4963,3216,4959,3221,4954xm3240,4949l3216,4949,3211,4954,3230,4954,3245,4968,3245,5016,3230,5031,3245,5031,3250,5026,3254,5016,3254,4968,3250,4963,3250,4959,3240,4949xe" filled="true" fillcolor="#000000" stroked="false">
              <v:path arrowok="t"/>
              <v:fill type="solid"/>
            </v:shape>
            <v:shape style="position:absolute;left:2194;top:4949;width:231;height:92" coordorigin="2194,4949" coordsize="231,92" path="m2242,5016l2232,5016,2232,5035,2242,5035,2242,5016xm2242,4949l2232,4949,2194,5007,2194,5016,2256,5016,2256,5007,2203,5007,2232,4963,2242,4963,2242,4949xm2242,4963l2232,4963,2232,5007,2242,5007,2242,4963xm2285,5026l2270,5026,2270,5035,2285,5035,2285,5026xm2323,4954l2309,4954,2304,4959,2304,4968,2299,4973,2299,5011,2309,5031,2318,5040,2333,5040,2342,5035,2347,5031,2323,5031,2314,5021,2314,5016,2309,5007,2309,4978,2314,4968,2318,4963,2318,4959,2323,4954xm2347,4954l2333,4954,2342,4963,2342,4968,2347,4978,2347,5007,2342,5016,2342,5021,2333,5031,2347,5031,2352,5026,2352,5016,2357,5011,2357,4973,2352,4968,2352,4959,2347,4954xm2342,4949l2318,4949,2314,4954,2342,4954,2342,4949xm2390,4954l2376,4954,2371,4959,2371,4968,2366,4973,2366,5011,2376,5031,2381,5035,2390,5040,2405,5040,2410,5035,2414,5035,2419,5031,2390,5031,2386,5026,2386,5021,2381,5016,2381,4968,2386,4963,2386,4959,2390,4954xm2410,4949l2386,4949,2381,4954,2400,4954,2414,4968,2414,5016,2400,5031,2419,5031,2419,5026,2424,5016,2424,4968,2419,4963,2419,4959,2410,4949xe" filled="true" fillcolor="#000000" stroked="false">
              <v:path arrowok="t"/>
              <v:fill type="solid"/>
            </v:shape>
            <v:shape style="position:absolute;left:1363;top:4949;width:231;height:92" coordorigin="1363,4949" coordsize="231,92" path="m1416,4954l1402,4954,1411,4963,1411,4978,1406,4983,1406,4987,1397,4997,1387,5002,1373,5016,1373,5021,1368,5026,1368,5031,1363,5035,1426,5035,1426,5026,1382,5026,1382,5021,1387,5021,1387,5016,1392,5016,1397,5007,1406,5002,1421,4987,1421,4983,1426,4978,1426,4963,1416,4954xm1411,4949l1382,4949,1368,4963,1368,4973,1378,4973,1378,4968,1382,4963,1382,4959,1387,4959,1392,4954,1416,4954,1411,4949xm1454,5026l1440,5026,1440,5035,1454,5035,1454,5026xm1493,4954l1478,4954,1474,4959,1474,4968,1469,4973,1469,5011,1478,5031,1488,5040,1507,5040,1512,5035,1517,5035,1517,5031,1493,5031,1488,5026,1488,5021,1483,5016,1478,5007,1478,4978,1483,4968,1488,4963,1488,4959,1493,4954xm1512,4949l1488,4949,1483,4954,1502,4954,1517,4968,1517,5016,1502,5031,1517,5031,1522,5026,1526,5016,1526,4968,1522,4963,1522,4959,1512,4949xm1560,4954l1546,4954,1541,4959,1541,4973,1536,4983,1536,5011,1546,5031,1550,5035,1560,5040,1574,5040,1579,5035,1584,5035,1589,5031,1560,5031,1555,5026,1555,5021,1550,5016,1550,4968,1555,4963,1555,4959,1560,4954xm1579,4949l1555,4949,1550,4954,1570,4954,1584,4968,1584,5016,1570,5031,1589,5031,1589,5026,1594,5016,1594,4968,1589,4963,1589,4959,1579,4949xe" filled="true" fillcolor="#000000" stroked="false">
              <v:path arrowok="t"/>
              <v:fill type="solid"/>
            </v:shape>
            <v:shape style="position:absolute;left:538;top:4949;width:231;height:92" coordorigin="538,4949" coordsize="231,92" path="m562,4954l547,4954,542,4959,542,4968,538,4973,538,5021,557,5040,571,5040,576,5035,581,5035,586,5031,562,5031,552,5021,552,5016,547,5007,547,4978,552,4968,552,4963,562,4954xm586,4954l571,4954,581,4963,581,4968,586,4978,586,5007,581,5016,581,5021,571,5031,586,5031,590,5026,590,5016,595,5011,595,4973,590,4968,590,4963,586,4959,586,4954xm581,4949l552,4949,552,4954,581,4954,581,4949xm624,5026l610,5026,610,5035,624,5035,624,5026xm662,4954l648,4954,643,4959,643,4968,638,4973,638,5011,648,5031,658,5040,677,5040,682,5035,686,5035,686,5031,662,5031,658,5026,658,5021,653,5016,653,4968,658,4963,658,4959,662,4954xm682,4949l658,4949,653,4954,672,4954,686,4968,686,5016,672,5031,686,5031,691,5026,696,5016,696,4968,691,4963,691,4959,682,4949xm730,4954l715,4954,710,4959,710,4973,706,4983,706,5011,715,5031,720,5035,730,5040,744,5040,749,5035,754,5035,758,5031,730,5031,725,5026,725,5021,720,5016,720,4968,730,4959,730,4954xm749,4949l725,4949,720,4954,739,4954,754,4968,754,5016,739,5031,758,5031,758,5026,763,5016,763,5011,768,5002,768,4983,763,4978,763,4968,758,4963,758,4959,749,4949xe" filled="true" fillcolor="#000000" stroked="false">
              <v:path arrowok="t"/>
              <v:fill type="solid"/>
            </v:shape>
            <v:line style="position:absolute" from="422,5" to="422,4834" stroked="true" strokeweight=".480005pt" strokecolor="#000000"/>
            <v:line style="position:absolute" from="422,4834" to="341,4834" stroked="true" strokeweight=".720005pt" strokecolor="#000000"/>
            <v:line style="position:absolute" from="422,3917" to="341,3917" stroked="true" strokeweight=".720005pt" strokecolor="#000000"/>
            <v:line style="position:absolute" from="422,3000" to="341,3000" stroked="true" strokeweight=".720005pt" strokecolor="#000000"/>
            <v:line style="position:absolute" from="422,2083" to="341,2083" stroked="true" strokeweight=".720005pt" strokecolor="#000000"/>
            <v:line style="position:absolute" from="422,1167" to="341,1167" stroked="true" strokeweight=".720005pt" strokecolor="#000000"/>
            <v:line style="position:absolute" from="422,245" to="341,245" stroked="true" strokeweight=".720005pt" strokecolor="#000000"/>
            <v:shape style="position:absolute;left:206;top:216;width:130;height:92" coordorigin="206,216" coordsize="130,92" path="m259,226l245,226,254,235,254,250,245,259,240,269,230,274,211,293,211,303,206,303,206,307,269,307,269,298,226,298,226,293,230,288,235,288,240,279,250,274,259,264,259,259,264,259,264,250,269,245,269,235,259,226xm250,216l230,216,211,235,211,245,221,245,221,235,226,231,230,231,235,226,259,226,250,216xm288,283l278,283,278,293,293,307,322,307,326,303,302,303,298,298,293,298,293,293,288,288,288,283xm331,259l317,259,322,264,322,269,326,274,326,283,322,288,322,293,312,303,326,303,336,293,336,264,331,259xm331,221l288,221,278,264,288,269,298,259,331,259,326,255,293,255,298,231,331,231,331,221xm322,250l298,250,293,255,326,255,322,250xe" filled="true" fillcolor="#000000" stroked="false">
              <v:path arrowok="t"/>
              <v:fill type="solid"/>
            </v:shape>
            <v:shape style="position:absolute;left:206;top:1138;width:130;height:92" coordorigin="206,1138" coordsize="130,92" path="m259,1143l245,1143,254,1152,254,1167,245,1176,240,1186,230,1191,211,1210,211,1219,206,1219,206,1224,269,1224,269,1215,226,1215,226,1210,230,1205,235,1205,259,1181,259,1176,264,1176,264,1167,269,1162,269,1152,259,1143xm254,1138l226,1138,211,1152,211,1162,221,1162,221,1152,226,1147,230,1147,235,1143,259,1143,254,1138xm302,1143l288,1143,283,1147,278,1157,278,1210,298,1229,312,1229,317,1224,322,1224,326,1219,302,1219,293,1210,293,1205,288,1195,288,1167,293,1157,293,1152,302,1143xm326,1143l312,1143,322,1152,322,1157,326,1167,326,1195,322,1205,322,1210,312,1219,326,1219,331,1215,331,1205,336,1200,336,1162,331,1157,331,1152,326,1147,326,1143xm317,1138l293,1138,293,1143,322,1143,317,1138xe" filled="true" fillcolor="#000000" stroked="false">
              <v:path arrowok="t"/>
              <v:fill type="solid"/>
            </v:shape>
            <v:shape style="position:absolute;left:0;top:1978;width:159;height:855" coordorigin="0,1978" coordsize="159,855" path="m19,2751l0,2751,0,2832,125,2832,125,2808,19,2808,19,2751xm72,2760l48,2760,48,2808,72,2808,72,2760xm125,2712l34,2712,34,2731,125,2731,125,2712xm58,2703l38,2703,48,2712,82,2712,72,2707,62,2707,58,2703xm38,2674l34,2679,34,2703,53,2703,53,2688,58,2683,38,2674xm86,2587l73,2588,61,2590,51,2593,43,2597,34,2616,34,2640,43,2659,53,2669,101,2669,110,2664,117,2657,121,2649,122,2645,58,2645,58,2640,53,2640,48,2635,48,2626,58,2616,58,2611,86,2611,86,2587xm86,2611l72,2611,72,2645,86,2645,86,2611xm96,2587l96,2611,101,2616,106,2616,106,2635,96,2645,122,2645,124,2639,125,2626,125,2616,120,2611,120,2602,115,2597,96,2587xm67,2501l48,2501,34,2515,34,2539,38,2549,53,2563,62,2568,77,2568,88,2567,98,2565,107,2560,115,2554,120,2549,122,2544,67,2544,58,2535,53,2535,53,2511,58,2511,67,2501xm158,2482l34,2482,34,2501,86,2501,96,2506,101,2511,106,2511,106,2535,101,2535,96,2539,86,2544,122,2544,125,2539,125,2520,120,2515,120,2511,115,2506,158,2506,158,2482xm110,2400l86,2400,91,2405,101,2405,106,2410,106,2429,101,2434,34,2434,34,2458,110,2458,115,2453,120,2453,120,2448,125,2443,125,2419,120,2415,120,2410,110,2400xm125,2381l34,2381,34,2400,125,2400,125,2381xm86,2280l73,2281,61,2283,51,2286,43,2290,34,2309,34,2333,43,2352,53,2362,101,2362,110,2352,120,2347,125,2338,58,2338,58,2333,53,2328,48,2328,48,2319,58,2309,58,2304,86,2304,86,2280xm86,2304l72,2304,72,2338,86,2338,86,2304xm96,2280l96,2304,101,2304,101,2309,106,2309,106,2328,96,2338,125,2338,125,2309,120,2304,120,2295,115,2290,96,2280xm125,2232l34,2232,34,2256,125,2256,125,2232xm125,2175l43,2175,43,2179,38,2179,38,2184,34,2189,34,2213,38,2223,48,2232,67,2232,62,2227,58,2227,53,2223,53,2218,48,2213,48,2208,53,2203,53,2199,125,2199,125,2175xm62,2074l43,2083,34,2093,34,2127,43,2146,62,2155,91,2155,106,2151,120,2136,122,2131,62,2131,53,2122,53,2103,58,2098,62,2098,62,2074xm101,2074l91,2074,86,2098,101,2098,101,2103,106,2103,106,2122,96,2131,122,2131,125,2127,125,2103,120,2093,115,2088,110,2079,101,2074xm34,1978l34,2007,96,2026,34,2045,34,2069,125,2035,158,2035,154,2031,154,2026,149,2026,149,2021,139,2021,134,2016,120,2011,34,1978xm158,2035l125,2035,134,2045,139,2045,139,2064,158,2064,158,2035xe" filled="true" fillcolor="#000000" stroked="false">
              <v:path arrowok="t"/>
              <v:fill type="solid"/>
            </v:shape>
            <v:shape style="position:absolute;left:216;top:2055;width:120;height:92" coordorigin="216,2055" coordsize="120,92" path="m250,2055l245,2055,226,2074,240,2074,240,2141,250,2141,250,2055xm235,2074l216,2074,216,2088,221,2083,226,2083,230,2079,235,2079,235,2074xm288,2117l278,2122,278,2127,298,2146,317,2146,326,2136,298,2136,293,2131,293,2127,288,2127,288,2117xm326,2093l317,2093,322,2098,322,2103,326,2107,326,2122,322,2127,322,2131,317,2131,312,2136,326,2136,336,2127,336,2098,326,2093xm331,2055l288,2055,278,2103,288,2103,293,2098,298,2098,298,2093,326,2093,322,2088,293,2088,298,2064,331,2064,331,2055xm317,2083l298,2083,293,2088,322,2088,317,2083xe" filled="true" fillcolor="#000000" stroked="false">
              <v:path arrowok="t"/>
              <v:fill type="solid"/>
            </v:shape>
            <v:shape style="position:absolute;left:216;top:2971;width:120;height:92" coordorigin="216,2971" coordsize="120,92" path="m250,2991l240,2991,240,3063,250,3063,250,2991xm250,2971l245,2971,226,2991,216,2995,216,3005,221,3000,230,3000,240,2991,250,2991,250,2971xm317,2971l293,2971,293,2976,278,2991,278,3043,298,3063,317,3063,326,3053,298,3053,293,3048,293,3043,288,3029,288,3000,293,2991,293,2986,298,2981,326,2981,326,2976,322,2976,317,2971xm326,2981l317,2981,322,2986,322,2991,326,3000,326,3029,322,3039,322,3048,317,3053,326,3053,331,3048,331,3043,336,3034,336,2995,331,2991,331,2986,326,2981xe" filled="true" fillcolor="#000000" stroked="false">
              <v:path arrowok="t"/>
              <v:fill type="solid"/>
            </v:shape>
            <v:shape style="position:absolute;left:278;top:3888;width:58;height:92" coordorigin="278,3888" coordsize="58,92" path="m288,3955l278,3955,278,3960,283,3970,293,3979,317,3979,322,3975,331,3970,298,3970,288,3960,288,3955xm317,3917l302,3917,293,3927,312,3927,326,3941,326,3955,322,3960,322,3965,317,3970,331,3970,336,3965,336,3931,326,3927,317,3917xm331,3888l288,3888,278,3936,293,3936,293,3931,298,3931,302,3927,293,3927,298,3903,331,3903,331,3888xe" filled="true" fillcolor="#000000" stroked="false">
              <v:path arrowok="t"/>
              <v:fill type="solid"/>
            </v:shape>
            <v:shape style="position:absolute;left:278;top:4805;width:58;height:92" coordorigin="278,4805" coordsize="58,92" path="m317,4805l302,4805,293,4810,278,4824,278,4882,288,4887,293,4896,317,4896,326,4887,298,4887,293,4882,293,4877,288,4867,288,4839,293,4829,293,4819,298,4815,326,4815,322,4810,317,4810,317,4805xm326,4815l312,4815,322,4824,322,4829,326,4839,326,4867,322,4877,322,4882,317,4887,326,4887,331,4882,331,4877,336,4872,336,4829,331,4824,331,4819,326,4815xe" filled="true" fillcolor="#000000" stroked="false">
              <v:path arrowok="t"/>
              <v:fill type="solid"/>
            </v:shape>
            <v:rect style="position:absolute;left:1344;top:4651;width:106;height:182" filled="true" fillcolor="#d3cd97" stroked="false">
              <v:fill type="solid"/>
            </v:rect>
            <v:rect style="position:absolute;left:1344;top:4651;width:106;height:182" filled="false" stroked="true" strokeweight=".480005pt" strokecolor="#000000"/>
            <v:shape style="position:absolute;left:1550;top:4464;width:221;height:374" type="#_x0000_t75" stroked="false">
              <v:imagedata r:id="rId17" o:title=""/>
            </v:shape>
            <v:rect style="position:absolute;left:1877;top:4651;width:106;height:182" filled="true" fillcolor="#d3cd97" stroked="false">
              <v:fill type="solid"/>
            </v:rect>
            <v:rect style="position:absolute;left:1877;top:4651;width:106;height:182" filled="false" stroked="true" strokeweight=".480005pt" strokecolor="#000000"/>
            <v:rect style="position:absolute;left:1982;top:3917;width:106;height:917" filled="true" fillcolor="#d3cd97" stroked="false">
              <v:fill type="solid"/>
            </v:rect>
            <v:rect style="position:absolute;left:1982;top:3917;width:106;height:917" filled="false" stroked="true" strokeweight=".480005pt" strokecolor="#000000"/>
            <v:rect style="position:absolute;left:2088;top:4099;width:106;height:734" filled="true" fillcolor="#d3cd97" stroked="false">
              <v:fill type="solid"/>
            </v:rect>
            <v:rect style="position:absolute;left:2088;top:4099;width:106;height:734" filled="false" stroked="true" strokeweight=".480005pt" strokecolor="#000000"/>
            <v:rect style="position:absolute;left:2194;top:4469;width:106;height:365" filled="true" fillcolor="#d3cd97" stroked="false">
              <v:fill type="solid"/>
            </v:rect>
            <v:rect style="position:absolute;left:2194;top:4469;width:106;height:365" filled="false" stroked="true" strokeweight=".480005pt" strokecolor="#000000"/>
            <v:rect style="position:absolute;left:2299;top:4282;width:106;height:552" filled="true" fillcolor="#d3cd97" stroked="false">
              <v:fill type="solid"/>
            </v:rect>
            <v:rect style="position:absolute;left:2299;top:4282;width:106;height:552" filled="false" stroked="true" strokeweight=".480005pt" strokecolor="#000000"/>
            <v:rect style="position:absolute;left:2405;top:4099;width:110;height:734" filled="true" fillcolor="#d3cd97" stroked="false">
              <v:fill type="solid"/>
            </v:rect>
            <v:rect style="position:absolute;left:2405;top:4099;width:110;height:734" filled="false" stroked="true" strokeweight=".480005pt" strokecolor="#000000"/>
            <v:rect style="position:absolute;left:2515;top:3183;width:106;height:1651" filled="true" fillcolor="#d3cd97" stroked="false">
              <v:fill type="solid"/>
            </v:rect>
            <v:rect style="position:absolute;left:2515;top:3183;width:106;height:1651" filled="false" stroked="true" strokeweight=".480005pt" strokecolor="#000000"/>
            <v:rect style="position:absolute;left:2621;top:2631;width:106;height:2203" filled="true" fillcolor="#d3cd97" stroked="false">
              <v:fill type="solid"/>
            </v:rect>
            <v:rect style="position:absolute;left:2621;top:2631;width:106;height:2203" filled="false" stroked="true" strokeweight=".480005pt" strokecolor="#000000"/>
            <v:rect style="position:absolute;left:2726;top:2448;width:106;height:2386" filled="true" fillcolor="#d3cd97" stroked="false">
              <v:fill type="solid"/>
            </v:rect>
            <v:rect style="position:absolute;left:2726;top:2448;width:106;height:2386" filled="false" stroked="true" strokeweight=".480005pt" strokecolor="#000000"/>
            <v:rect style="position:absolute;left:2832;top:1714;width:106;height:3120" filled="true" fillcolor="#d3cd97" stroked="false">
              <v:fill type="solid"/>
            </v:rect>
            <v:rect style="position:absolute;left:2832;top:1714;width:106;height:3120" filled="false" stroked="true" strokeweight=".480005pt" strokecolor="#000000"/>
            <v:rect style="position:absolute;left:2938;top:1531;width:106;height:3302" filled="true" fillcolor="#d3cd97" stroked="false">
              <v:fill type="solid"/>
            </v:rect>
            <v:rect style="position:absolute;left:2938;top:1531;width:106;height:3302" filled="false" stroked="true" strokeweight=".480005pt" strokecolor="#000000"/>
            <v:rect style="position:absolute;left:3043;top:1714;width:110;height:3120" filled="true" fillcolor="#d3cd97" stroked="false">
              <v:fill type="solid"/>
            </v:rect>
            <v:rect style="position:absolute;left:3043;top:1714;width:110;height:3120" filled="false" stroked="true" strokeweight=".480005pt" strokecolor="#000000"/>
            <v:rect style="position:absolute;left:3154;top:1896;width:106;height:2938" filled="true" fillcolor="#d3cd97" stroked="false">
              <v:fill type="solid"/>
            </v:rect>
            <v:rect style="position:absolute;left:3154;top:1896;width:106;height:2938" filled="false" stroked="true" strokeweight=".480005pt" strokecolor="#000000"/>
            <v:rect style="position:absolute;left:3259;top:2818;width:106;height:2016" filled="true" fillcolor="#d3cd97" stroked="false">
              <v:fill type="solid"/>
            </v:rect>
            <v:rect style="position:absolute;left:3259;top:2818;width:106;height:2016" filled="false" stroked="true" strokeweight=".480005pt" strokecolor="#000000"/>
            <v:rect style="position:absolute;left:3365;top:2083;width:106;height:2750" filled="true" fillcolor="#d3cd97" stroked="false">
              <v:fill type="solid"/>
            </v:rect>
            <v:rect style="position:absolute;left:3365;top:2083;width:106;height:2750" filled="false" stroked="true" strokeweight=".480005pt" strokecolor="#000000"/>
            <v:rect style="position:absolute;left:3470;top:1896;width:106;height:2938" filled="true" fillcolor="#d3cd97" stroked="false">
              <v:fill type="solid"/>
            </v:rect>
            <v:rect style="position:absolute;left:3470;top:1896;width:106;height:2938" filled="false" stroked="true" strokeweight=".480005pt" strokecolor="#000000"/>
            <v:rect style="position:absolute;left:3576;top:2448;width:106;height:2386" filled="true" fillcolor="#d3cd97" stroked="false">
              <v:fill type="solid"/>
            </v:rect>
            <v:rect style="position:absolute;left:3576;top:2448;width:106;height:2386" filled="false" stroked="true" strokeweight=".480005pt" strokecolor="#000000"/>
            <v:rect style="position:absolute;left:3682;top:3735;width:110;height:1099" filled="true" fillcolor="#d3cd97" stroked="false">
              <v:fill type="solid"/>
            </v:rect>
            <v:rect style="position:absolute;left:3682;top:3735;width:110;height:1099" filled="false" stroked="true" strokeweight=".480005pt" strokecolor="#000000"/>
            <v:rect style="position:absolute;left:3792;top:3917;width:106;height:917" filled="true" fillcolor="#d3cd97" stroked="false">
              <v:fill type="solid"/>
            </v:rect>
            <v:rect style="position:absolute;left:3792;top:3917;width:106;height:917" filled="false" stroked="true" strokeweight=".480005pt" strokecolor="#000000"/>
            <v:rect style="position:absolute;left:3898;top:3365;width:106;height:1469" filled="true" fillcolor="#d3cd97" stroked="false">
              <v:fill type="solid"/>
            </v:rect>
            <v:rect style="position:absolute;left:3898;top:3365;width:106;height:1469" filled="false" stroked="true" strokeweight=".480005pt" strokecolor="#000000"/>
            <v:rect style="position:absolute;left:4003;top:4469;width:106;height:365" filled="true" fillcolor="#d3cd97" stroked="false">
              <v:fill type="solid"/>
            </v:rect>
            <v:rect style="position:absolute;left:4003;top:4469;width:106;height:365" filled="false" stroked="true" strokeweight=".480005pt" strokecolor="#000000"/>
            <v:rect style="position:absolute;left:4214;top:4651;width:110;height:182" filled="true" fillcolor="#d3cd97" stroked="false">
              <v:fill type="solid"/>
            </v:rect>
            <v:rect style="position:absolute;left:4214;top:4651;width:110;height:182" filled="false" stroked="true" strokeweight=".480005pt" strokecolor="#000000"/>
            <v:shape style="position:absolute;left:422;top:643;width:4608;height:4191" coordorigin="422,643" coordsize="4608,4191" path="m422,4834l422,4834,1694,4834,1718,4829,1742,4829,1766,4829,1786,4829,1810,4824,1834,4824,1858,4824,1882,4819,1906,4815,1925,4810,1949,4805,1973,4800,1997,4795,2021,4786,2045,4776,2064,4762,2088,4747,2112,4733,2136,4714,2160,4695,2179,4671,2203,4642,2227,4613,2251,4575,2275,4536,2299,4493,2318,4440,2342,4387,2366,4325,2390,4258,2414,4181,2438,4099,2458,4013,2482,3917,2506,3816,2530,3706,2554,3591,2578,3466,2597,3336,2621,3202,2645,3063,2669,2914,2693,2765,2717,2611,2736,2458,2760,2299,2784,2141,2808,1987,2832,1834,2856,1685,2875,1541,2899,1402,2923,1272,2947,1152,2971,1042,2990,941,3014,855,3038,783,3062,725,3110,653,3130,643,3154,648,3202,701,3250,816,3269,898,3293,989,3317,1095,3341,1210,3365,1335,3389,1469,3408,1613,3432,1757,3456,1911,3480,2064,3504,2223,3528,2376,3547,2535,3571,2688,3595,2842,3619,2991,3643,3135,3662,3269,3686,3403,3710,3528,3734,3648,3758,3763,3782,3869,3802,3965,3826,4056,3850,4143,3874,4219,3898,4291,3922,4354,3941,4416,3965,4469,3989,4517,4013,4555,4037,4594,4061,4627,4080,4656,4104,4685,4128,4704,4152,4723,4176,4743,4200,4757,4219,4771,4243,4781,4267,4791,4291,4795,4315,4805,4334,4810,4358,4815,4382,4819,4406,4819,4430,4824,4454,4824,4474,4829,4498,4829,4522,4829,4546,4829,4570,4834,4594,4834,5011,4834,5030,4834e" filled="false" stroked="true" strokeweight=".720005pt" strokecolor="#000000">
              <v:path arrowok="t"/>
            </v:shape>
            <v:rect style="position:absolute;left:422;top:5;width:4608;height:4829" filled="false" stroked="true" strokeweight=".480005pt" strokecolor="#000000"/>
          </v:group>
        </w:pict>
      </w:r>
      <w:r>
        <w:rPr>
          <w:sz w:val="20"/>
        </w:rPr>
      </w:r>
      <w:r>
        <w:rPr>
          <w:sz w:val="20"/>
        </w:rPr>
        <w:tab/>
      </w:r>
      <w:r>
        <w:rPr>
          <w:position w:val="445"/>
          <w:sz w:val="20"/>
        </w:rPr>
        <w:drawing>
          <wp:inline distT="0" distB="0" distL="0" distR="0">
            <wp:extent cx="575582" cy="214312"/>
            <wp:effectExtent l="0" t="0" r="0" b="0"/>
            <wp:docPr id="5" name="image8.png" descr=""/>
            <wp:cNvGraphicFramePr>
              <a:graphicFrameLocks noChangeAspect="1"/>
            </wp:cNvGraphicFramePr>
            <a:graphic>
              <a:graphicData uri="http://schemas.openxmlformats.org/drawingml/2006/picture">
                <pic:pic>
                  <pic:nvPicPr>
                    <pic:cNvPr id="6" name="image8.png"/>
                    <pic:cNvPicPr/>
                  </pic:nvPicPr>
                  <pic:blipFill>
                    <a:blip r:embed="rId18" cstate="print"/>
                    <a:stretch>
                      <a:fillRect/>
                    </a:stretch>
                  </pic:blipFill>
                  <pic:spPr>
                    <a:xfrm>
                      <a:off x="0" y="0"/>
                      <a:ext cx="575582" cy="214312"/>
                    </a:xfrm>
                    <a:prstGeom prst="rect">
                      <a:avLst/>
                    </a:prstGeom>
                  </pic:spPr>
                </pic:pic>
              </a:graphicData>
            </a:graphic>
          </wp:inline>
        </w:drawing>
      </w:r>
      <w:r>
        <w:rPr>
          <w:position w:val="445"/>
          <w:sz w:val="20"/>
        </w:rPr>
      </w:r>
    </w:p>
    <w:p>
      <w:pPr>
        <w:pStyle w:val="BodyText"/>
        <w:spacing w:before="5"/>
        <w:rPr>
          <w:sz w:val="6"/>
        </w:rPr>
      </w:pPr>
      <w:r>
        <w:rPr/>
        <w:drawing>
          <wp:anchor distT="0" distB="0" distL="0" distR="0" allowOverlap="1" layoutInCell="1" locked="0" behindDoc="0" simplePos="0" relativeHeight="1144">
            <wp:simplePos x="0" y="0"/>
            <wp:positionH relativeFrom="page">
              <wp:posOffset>2231135</wp:posOffset>
            </wp:positionH>
            <wp:positionV relativeFrom="paragraph">
              <wp:posOffset>72009</wp:posOffset>
            </wp:positionV>
            <wp:extent cx="1519052" cy="102679"/>
            <wp:effectExtent l="0" t="0" r="0" b="0"/>
            <wp:wrapTopAndBottom/>
            <wp:docPr id="7" name="image9.png" descr=""/>
            <wp:cNvGraphicFramePr>
              <a:graphicFrameLocks noChangeAspect="1"/>
            </wp:cNvGraphicFramePr>
            <a:graphic>
              <a:graphicData uri="http://schemas.openxmlformats.org/drawingml/2006/picture">
                <pic:pic>
                  <pic:nvPicPr>
                    <pic:cNvPr id="8" name="image9.png"/>
                    <pic:cNvPicPr/>
                  </pic:nvPicPr>
                  <pic:blipFill>
                    <a:blip r:embed="rId19" cstate="print"/>
                    <a:stretch>
                      <a:fillRect/>
                    </a:stretch>
                  </pic:blipFill>
                  <pic:spPr>
                    <a:xfrm>
                      <a:off x="0" y="0"/>
                      <a:ext cx="1519052" cy="102679"/>
                    </a:xfrm>
                    <a:prstGeom prst="rect">
                      <a:avLst/>
                    </a:prstGeom>
                  </pic:spPr>
                </pic:pic>
              </a:graphicData>
            </a:graphic>
          </wp:anchor>
        </w:drawing>
      </w:r>
    </w:p>
    <w:p>
      <w:pPr>
        <w:pStyle w:val="BodyText"/>
        <w:rPr>
          <w:sz w:val="20"/>
        </w:rPr>
      </w:pPr>
    </w:p>
    <w:p>
      <w:pPr>
        <w:pStyle w:val="BodyText"/>
        <w:rPr>
          <w:sz w:val="20"/>
        </w:rPr>
      </w:pPr>
    </w:p>
    <w:p>
      <w:pPr>
        <w:pStyle w:val="BodyText"/>
        <w:spacing w:before="5"/>
        <w:rPr>
          <w:sz w:val="16"/>
        </w:rPr>
      </w:pPr>
    </w:p>
    <w:p>
      <w:pPr>
        <w:spacing w:before="81"/>
        <w:ind w:left="639" w:right="213" w:firstLine="0"/>
        <w:jc w:val="left"/>
        <w:rPr>
          <w:b/>
          <w:sz w:val="19"/>
        </w:rPr>
      </w:pPr>
      <w:r>
        <w:rPr>
          <w:b/>
          <w:w w:val="105"/>
          <w:sz w:val="19"/>
        </w:rPr>
        <w:t>Gráfica 3.1. Distribución de frecuencias para Comprensión de lectura en Español.</w:t>
      </w:r>
    </w:p>
    <w:p>
      <w:pPr>
        <w:pStyle w:val="BodyText"/>
        <w:rPr>
          <w:b/>
          <w:sz w:val="20"/>
        </w:rPr>
      </w:pPr>
    </w:p>
    <w:p>
      <w:pPr>
        <w:pStyle w:val="BodyText"/>
        <w:rPr>
          <w:b/>
          <w:sz w:val="20"/>
        </w:rPr>
      </w:pPr>
    </w:p>
    <w:p>
      <w:pPr>
        <w:pStyle w:val="BodyText"/>
        <w:rPr>
          <w:b/>
          <w:sz w:val="20"/>
        </w:rPr>
      </w:pPr>
    </w:p>
    <w:p>
      <w:pPr>
        <w:pStyle w:val="BodyText"/>
        <w:spacing w:line="364" w:lineRule="auto" w:before="163"/>
        <w:ind w:left="115" w:right="103"/>
        <w:jc w:val="both"/>
      </w:pPr>
      <w:r>
        <w:rPr/>
        <w:t>Los resultados de comprensión de lectura en español (Gráfica 3.1.) muestran un sesgo hacia la derecha de la distribución o por arriba de la media, lo cual era de esperarse en un país de habla hispana. El histograma muestra un par de picos sobresalientes fuera de la curva normal que representan sujetos con resultados alejados de la media, que, si bien, no son un número representativo, sí indican una dispersión mayor a la esperada.</w:t>
      </w:r>
    </w:p>
    <w:p>
      <w:pPr>
        <w:pStyle w:val="BodyText"/>
        <w:rPr>
          <w:sz w:val="22"/>
        </w:rPr>
      </w:pPr>
    </w:p>
    <w:p>
      <w:pPr>
        <w:pStyle w:val="BodyText"/>
        <w:spacing w:line="369" w:lineRule="auto" w:before="155"/>
        <w:ind w:left="115" w:right="108"/>
        <w:jc w:val="both"/>
      </w:pPr>
      <w:r>
        <w:rPr/>
        <w:t>La siguiente gráfica (Gráfica 3.2) muestra el histograma de frecuencias para la competencia lingüística en inglés.</w:t>
      </w:r>
    </w:p>
    <w:p>
      <w:pPr>
        <w:spacing w:after="0" w:line="369" w:lineRule="auto"/>
        <w:jc w:val="both"/>
        <w:sectPr>
          <w:pgSz w:w="11910" w:h="16840"/>
          <w:pgMar w:header="1424" w:footer="0" w:top="1840" w:bottom="280" w:left="1540" w:right="1540"/>
        </w:sectPr>
      </w:pPr>
    </w:p>
    <w:p>
      <w:pPr>
        <w:pStyle w:val="BodyText"/>
        <w:rPr>
          <w:sz w:val="20"/>
        </w:rPr>
      </w:pPr>
    </w:p>
    <w:p>
      <w:pPr>
        <w:pStyle w:val="BodyText"/>
        <w:spacing w:before="3"/>
        <w:rPr>
          <w:sz w:val="16"/>
        </w:rPr>
      </w:pPr>
    </w:p>
    <w:p>
      <w:pPr>
        <w:tabs>
          <w:tab w:pos="6058" w:val="left" w:leader="none"/>
        </w:tabs>
        <w:spacing w:line="240" w:lineRule="auto"/>
        <w:ind w:left="466" w:right="213" w:firstLine="0"/>
        <w:rPr>
          <w:sz w:val="20"/>
        </w:rPr>
      </w:pPr>
      <w:r>
        <w:rPr>
          <w:position w:val="226"/>
          <w:sz w:val="20"/>
        </w:rPr>
        <w:pict>
          <v:group style="width:8.2pt;height:43.7pt;mso-position-horizontal-relative:char;mso-position-vertical-relative:line" coordorigin="0,0" coordsize="164,874">
            <v:shape style="position:absolute;left:0;top:0;width:164;height:874" coordorigin="0,0" coordsize="164,874" path="m19,787l0,787,0,874,125,874,125,850,19,850,19,787xm72,797l53,797,53,850,72,850,72,797xm125,749l34,749,34,773,125,773,125,749xm67,744l43,744,48,749,72,749,67,744xm38,710l34,720,34,739,38,744,58,744,58,739,53,739,53,730,58,725,58,720,38,710xm86,624l53,624,48,634,38,643,34,653,34,677,43,696,53,706,106,706,110,696,120,691,126,682,62,682,53,672,53,658,58,653,58,648,86,648,86,624xm86,648l72,648,72,682,86,682,86,648xm101,624l96,648,101,648,110,658,110,667,106,672,106,677,101,682,126,682,130,677,130,653,125,643,110,629,101,624xm158,514l34,514,34,533,48,533,38,542,38,547,34,552,34,571,43,590,62,600,96,600,115,590,125,581,127,576,62,576,53,566,53,542,58,542,62,538,158,538,158,514xm120,538l96,538,110,552,110,562,96,576,127,576,130,571,130,557,125,552,125,547,120,542,120,538xm115,432l96,432,101,437,106,437,106,442,110,446,110,456,101,466,34,466,34,490,110,490,125,475,125,470,130,466,130,456,125,451,125,442,115,432xm125,408l34,408,34,432,125,432,125,408xm86,307l67,307,53,312,38,326,34,336,34,365,38,374,43,379,51,386,61,390,71,393,82,394,91,394,106,389,125,370,67,370,58,360,53,360,53,341,58,336,58,331,86,331,86,307xm86,331l72,331,72,370,86,370,86,331xm101,307l96,331,101,336,106,336,106,341,110,341,110,355,96,370,125,370,130,365,130,336,125,331,120,322,110,312,101,307xm125,197l53,197,48,202,43,202,38,206,38,211,34,216,34,240,38,250,48,259,34,259,34,278,125,278,125,254,58,254,58,250,53,250,53,226,58,226,62,221,125,221,125,197xm62,96l43,106,34,115,34,149,43,168,51,174,61,179,71,182,82,182,96,182,106,178,125,158,127,154,62,154,58,149,53,149,53,125,58,120,67,120,62,96xm106,96l96,96,91,120,101,120,106,125,106,149,101,149,96,154,127,154,130,149,130,125,125,115,120,110,115,101,106,96xm34,0l34,24,101,48,34,67,34,91,125,58,158,58,158,48,154,48,144,38,139,38,120,34,34,0xm158,58l125,58,130,62,134,62,144,72,144,86,158,86,163,82,163,62,158,58xe" filled="true" fillcolor="#000000" stroked="false">
              <v:path arrowok="t"/>
              <v:fill type="solid"/>
            </v:shape>
          </v:group>
        </w:pict>
      </w:r>
      <w:r>
        <w:rPr>
          <w:position w:val="226"/>
          <w:sz w:val="20"/>
        </w:rPr>
      </w:r>
      <w:r>
        <w:rPr>
          <w:rFonts w:ascii="Times New Roman"/>
          <w:spacing w:val="-14"/>
          <w:position w:val="226"/>
          <w:sz w:val="20"/>
        </w:rPr>
        <w:t> </w:t>
      </w:r>
      <w:r>
        <w:rPr>
          <w:spacing w:val="-14"/>
          <w:sz w:val="20"/>
        </w:rPr>
        <w:pict>
          <v:group style="width:248.55pt;height:257.8pt;mso-position-horizontal-relative:char;mso-position-vertical-relative:line" coordorigin="0,0" coordsize="4971,5156">
            <v:rect style="position:absolute;left:221;top:5;width:4742;height:4944" filled="true" fillcolor="#efefef" stroked="false">
              <v:fill type="solid"/>
            </v:rect>
            <v:line style="position:absolute" from="221,4949" to="4963,4949" stroked="true" strokeweight=".480005pt" strokecolor="#000000"/>
            <v:line style="position:absolute" from="456,4949" to="456,5031" stroked="true" strokeweight=".720005pt" strokecolor="#000000"/>
            <v:line style="position:absolute" from="1680,4949" to="1680,5031" stroked="true" strokeweight=".720005pt" strokecolor="#000000"/>
            <v:line style="position:absolute" from="2899,4949" to="2899,5031" stroked="true" strokeweight=".720005pt" strokecolor="#000000"/>
            <v:line style="position:absolute" from="4118,4949" to="4118,5031" stroked="true" strokeweight=".720005pt" strokecolor="#000000"/>
            <v:shape style="position:absolute;left:3998;top:5064;width:236;height:92" coordorigin="3998,5064" coordsize="236,92" path="m4022,5112l4003,5112,4003,5117,3998,5122,3998,5136,4003,5146,4013,5155,4046,5155,4056,5146,4018,5146,4018,5141,4013,5136,4013,5117,4018,5117,4022,5112xm4056,5112l4042,5112,4042,5117,4046,5122,4051,5122,4051,5136,4046,5141,4042,5141,4042,5146,4056,5146,4061,5136,4061,5117,4056,5112xm4051,5107l4013,5107,4008,5112,4051,5112,4051,5107xm4046,5103l4013,5103,4018,5107,4042,5107,4046,5103xm4046,5064l4018,5064,4003,5079,4003,5093,4008,5098,4008,5103,4027,5103,4022,5098,4018,5098,4018,5079,4022,5074,4056,5074,4046,5064xm4056,5074l4037,5074,4046,5083,4046,5093,4042,5093,4042,5098,4037,5098,4037,5103,4051,5103,4051,5098,4056,5093,4056,5074xm4090,5141l4075,5141,4075,5155,4090,5155,4090,5141xm4147,5064l4123,5064,4109,5079,4109,5088,4104,5098,4104,5127,4109,5141,4114,5146,4118,5155,4147,5155,4157,5146,4128,5146,4118,5136,4118,5083,4128,5074,4157,5074,4157,5069,4152,5069,4147,5064xm4157,5074l4147,5074,4147,5079,4152,5083,4152,5136,4147,5141,4147,5146,4157,5146,4162,5141,4162,5136,4166,5131,4166,5093,4162,5088,4162,5079,4157,5074xm4219,5064l4195,5064,4181,5079,4181,5083,4176,5088,4176,5127,4181,5141,4186,5146,4190,5155,4219,5155,4229,5146,4195,5146,4190,5141,4190,5136,4186,5127,4186,5093,4190,5083,4195,5079,4195,5074,4229,5074,4219,5064xm4229,5074l4214,5074,4224,5083,4224,5136,4214,5146,4229,5146,4229,5141,4234,5136,4234,5083,4229,5079,4229,5074xe" filled="true" fillcolor="#000000" stroked="false">
              <v:path arrowok="t"/>
              <v:fill type="solid"/>
            </v:shape>
            <v:shape style="position:absolute;left:2779;top:5064;width:236;height:92" coordorigin="2779,5064" coordsize="236,92" path="m2827,5064l2803,5064,2794,5069,2789,5074,2779,5093,2779,5127,2784,5141,2789,5146,2794,5155,2827,5155,2832,5151,2832,5146,2803,5146,2794,5136,2794,5117,2803,5107,2789,5107,2789,5098,2794,5093,2794,5088,2798,5083,2798,5079,2803,5074,2837,5074,2827,5064xm2827,5098l2803,5098,2798,5103,2794,5103,2789,5107,2822,5107,2822,5112,2827,5117,2827,5136,2822,5141,2822,5146,2832,5146,2842,5136,2842,5117,2837,5107,2827,5098xm2837,5074l2822,5074,2822,5079,2827,5079,2827,5088,2837,5088,2837,5074xm2870,5141l2856,5141,2856,5155,2870,5155,2870,5141xm2928,5064l2904,5064,2890,5079,2890,5083,2885,5088,2885,5127,2890,5141,2894,5146,2899,5155,2928,5155,2938,5146,2904,5146,2904,5141,2899,5136,2899,5083,2904,5079,2904,5074,2938,5074,2928,5064xm2938,5074l2923,5074,2933,5083,2933,5136,2923,5146,2938,5146,2938,5141,2942,5136,2942,5131,2947,5122,2947,5103,2942,5093,2942,5079,2938,5074xm3000,5064l2971,5064,2971,5069,2957,5083,2957,5141,2966,5146,2971,5155,3000,5155,3000,5151,3005,5146,2976,5146,2971,5141,2971,5136,2966,5127,2966,5093,2971,5083,2971,5079,2976,5074,3010,5074,3005,5069,3000,5069,3000,5064xm3010,5074l2995,5074,3000,5079,3000,5083,3005,5093,3005,5127,3000,5136,3000,5141,2995,5146,3005,5146,3014,5136,3014,5083,3010,5079,3010,5074xe" filled="true" fillcolor="#000000" stroked="false">
              <v:path arrowok="t"/>
              <v:fill type="solid"/>
            </v:shape>
            <v:shape style="position:absolute;left:1555;top:5064;width:240;height:92" coordorigin="1555,5064" coordsize="240,92" path="m1608,5131l1598,5131,1598,5155,1608,5155,1608,5131xm1608,5064l1598,5064,1555,5122,1555,5131,1622,5131,1622,5122,1570,5122,1598,5083,1608,5083,1608,5064xm1608,5083l1598,5083,1598,5122,1608,5122,1608,5083xm1651,5141l1637,5141,1637,5155,1651,5155,1651,5141xm1709,5064l1685,5064,1670,5079,1670,5083,1666,5088,1666,5127,1670,5141,1675,5146,1680,5155,1709,5155,1718,5146,1685,5146,1685,5141,1680,5136,1675,5127,1675,5093,1680,5083,1685,5079,1685,5074,1718,5074,1709,5064xm1718,5074l1704,5074,1714,5083,1714,5136,1704,5146,1718,5146,1718,5141,1723,5136,1723,5083,1718,5079,1718,5074xm1781,5064l1752,5064,1742,5074,1742,5079,1738,5083,1738,5141,1752,5155,1776,5155,1786,5146,1757,5146,1747,5136,1747,5083,1757,5074,1786,5074,1786,5069,1781,5069,1781,5064xm1786,5074l1776,5074,1781,5079,1781,5083,1786,5093,1786,5127,1781,5136,1781,5141,1776,5146,1786,5146,1790,5141,1790,5136,1795,5131,1795,5088,1790,5083,1790,5079,1786,5074xe" filled="true" fillcolor="#000000" stroked="false">
              <v:path arrowok="t"/>
              <v:fill type="solid"/>
            </v:shape>
            <v:shape style="position:absolute;left:341;top:5064;width:236;height:92" coordorigin="341,5064" coordsize="236,92" path="m398,5074l379,5074,384,5079,389,5079,389,5093,384,5098,384,5103,365,5122,355,5127,346,5136,346,5141,341,5146,341,5155,398,5155,398,5146,355,5146,355,5141,365,5131,374,5127,379,5122,389,5117,389,5112,394,5107,394,5103,398,5098,398,5074xm389,5064l355,5064,346,5074,341,5083,341,5088,350,5093,350,5083,355,5079,360,5079,360,5074,398,5074,389,5064xm432,5141l418,5141,418,5155,432,5155,432,5141xm490,5064l466,5064,451,5079,451,5083,446,5088,446,5141,456,5146,461,5155,490,5155,494,5151,494,5146,466,5146,461,5141,461,5136,456,5127,456,5093,461,5083,461,5079,466,5074,499,5074,490,5064xm499,5074l485,5074,494,5083,494,5136,485,5146,494,5146,504,5136,504,5083,499,5079,499,5074xm557,5064l533,5064,523,5074,523,5079,518,5083,518,5088,514,5098,514,5127,518,5141,523,5146,528,5155,557,5155,566,5146,538,5146,528,5136,528,5083,538,5074,566,5074,566,5069,562,5069,557,5064xm566,5074l557,5074,557,5079,562,5083,566,5093,566,5127,562,5136,557,5141,557,5146,566,5146,571,5141,571,5136,576,5131,576,5088,571,5083,571,5079,566,5074xe" filled="true" fillcolor="#000000" stroked="false">
              <v:path arrowok="t"/>
              <v:fill type="solid"/>
            </v:shape>
            <v:line style="position:absolute" from="221,5" to="221,4949" stroked="true" strokeweight=".480005pt" strokecolor="#000000"/>
            <v:line style="position:absolute" from="221,4949" to="139,4949" stroked="true" strokeweight=".720005pt" strokecolor="#000000"/>
            <v:line style="position:absolute" from="221,3384" to="139,3384" stroked="true" strokeweight=".720005pt" strokecolor="#000000"/>
            <v:line style="position:absolute" from="221,1815" to="139,1815" stroked="true" strokeweight=".720005pt" strokecolor="#000000"/>
            <v:line style="position:absolute" from="221,250" to="139,250" stroked="true" strokeweight=".720005pt" strokecolor="#000000"/>
            <v:shape style="position:absolute;left:5;top:221;width:130;height:96" coordorigin="5,221" coordsize="130,96" path="m14,288l5,288,5,298,24,317,43,317,53,307,29,307,24,303,19,303,19,298,14,293,14,288xm53,231l38,231,48,240,48,255,43,259,29,259,24,269,43,269,48,274,48,279,53,283,53,293,48,298,48,303,43,303,38,307,53,307,62,303,62,274,58,274,58,269,53,264,53,259,58,255,58,235,53,231xm43,221l24,221,19,226,14,226,10,231,5,240,5,245,14,250,19,240,24,235,24,231,53,231,43,221xm120,226l86,226,77,235,77,250,72,259,72,288,82,307,86,312,96,317,110,317,115,312,120,312,125,307,96,307,96,303,86,293,86,245,91,235,96,235,96,231,125,231,120,226xm125,231l110,231,115,235,115,240,120,245,120,293,115,298,115,303,110,307,125,307,130,303,130,293,134,288,134,255,130,245,130,235,125,235,125,231xm110,221l96,221,91,226,115,226,110,221xe" filled="true" fillcolor="#000000" stroked="false">
              <v:path arrowok="t"/>
              <v:fill type="solid"/>
            </v:shape>
            <v:shape style="position:absolute;left:0;top:1786;width:135;height:96" coordorigin="0,1786" coordsize="135,96" path="m53,1795l38,1795,43,1800,48,1800,48,1805,53,1810,53,1819,48,1819,48,1824,34,1839,24,1843,19,1853,14,1858,10,1858,10,1863,5,1867,5,1872,0,1872,0,1882,62,1882,62,1867,19,1867,19,1863,24,1863,62,1824,62,1800,53,1795xm43,1786l24,1786,5,1805,5,1815,14,1815,14,1810,19,1805,19,1800,24,1800,29,1795,53,1795,43,1786xm120,1791l86,1791,77,1800,77,1815,72,1824,72,1853,82,1872,86,1877,96,1882,115,1882,125,1872,96,1872,96,1867,86,1858,86,1810,96,1800,96,1795,125,1795,120,1791xm125,1795l110,1795,115,1800,115,1805,120,1810,120,1858,115,1863,115,1867,110,1872,125,1872,130,1867,130,1863,134,1853,134,1819,130,1815,130,1805,125,1800,125,1795xm110,1786l96,1786,91,1791,110,1791,110,1786xe" filled="true" fillcolor="#000000" stroked="false">
              <v:path arrowok="t"/>
              <v:fill type="solid"/>
            </v:shape>
            <v:shape style="position:absolute;left:14;top:3355;width:120;height:92" coordorigin="14,3355" coordsize="120,92" path="m48,3355l38,3355,19,3375,34,3375,34,3447,48,3447,48,3355xm34,3375l14,3375,14,3384,19,3384,24,3379,29,3379,34,3375xm96,3360l82,3360,77,3365,77,3379,72,3389,72,3418,82,3437,86,3442,96,3447,115,3447,125,3437,96,3437,86,3427,86,3375,96,3365,96,3360xm125,3360l110,3360,115,3365,115,3370,120,3375,120,3427,115,3432,115,3437,125,3437,130,3432,130,3427,134,3418,134,3384,130,3379,130,3370,125,3365,125,3360xm115,3355l91,3355,86,3360,120,3360,115,3355xe" filled="true" fillcolor="#000000" stroked="false">
              <v:path arrowok="t"/>
              <v:fill type="solid"/>
            </v:shape>
            <v:shape style="position:absolute;left:72;top:4920;width:63;height:92" coordorigin="72,4920" coordsize="63,92" path="m115,4920l91,4920,77,4935,77,4944,72,4954,72,4983,77,4997,82,5002,86,5011,115,5011,125,5002,96,5002,86,4992,86,4939,96,4930,125,4930,125,4925,120,4925,115,4920xm125,4930l115,4930,115,4935,120,4939,120,4992,115,4997,115,5002,125,5002,130,4997,130,4992,134,4987,134,4949,130,4944,130,4935,125,4930xe" filled="true" fillcolor="#000000" stroked="false">
              <v:path arrowok="t"/>
              <v:fill type="solid"/>
            </v:shape>
            <v:rect style="position:absolute;left:662;top:4791;width:202;height:158" filled="true" fillcolor="#d3cd97" stroked="false">
              <v:fill type="solid"/>
            </v:rect>
            <v:rect style="position:absolute;left:662;top:4791;width:202;height:158" filled="false" stroked="true" strokeweight=".480005pt" strokecolor="#000000"/>
            <v:rect style="position:absolute;left:864;top:4320;width:202;height:629" filled="true" fillcolor="#d3cd97" stroked="false">
              <v:fill type="solid"/>
            </v:rect>
            <v:rect style="position:absolute;left:864;top:4320;width:202;height:629" filled="false" stroked="true" strokeweight=".480005pt" strokecolor="#000000"/>
            <v:rect style="position:absolute;left:1066;top:4167;width:206;height:782" filled="true" fillcolor="#d3cd97" stroked="false">
              <v:fill type="solid"/>
            </v:rect>
            <v:rect style="position:absolute;left:1066;top:4167;width:206;height:782" filled="false" stroked="true" strokeweight=".480005pt" strokecolor="#000000"/>
            <v:rect style="position:absolute;left:1272;top:3226;width:202;height:1723" filled="true" fillcolor="#d3cd97" stroked="false">
              <v:fill type="solid"/>
            </v:rect>
            <v:rect style="position:absolute;left:1272;top:3226;width:202;height:1723" filled="false" stroked="true" strokeweight=".480005pt" strokecolor="#000000"/>
            <v:rect style="position:absolute;left:1474;top:3538;width:206;height:1411" filled="true" fillcolor="#d3cd97" stroked="false">
              <v:fill type="solid"/>
            </v:rect>
            <v:rect style="position:absolute;left:1474;top:3538;width:206;height:1411" filled="false" stroked="true" strokeweight=".480005pt" strokecolor="#000000"/>
            <v:rect style="position:absolute;left:1680;top:1973;width:202;height:2976" filled="true" fillcolor="#d3cd97" stroked="false">
              <v:fill type="solid"/>
            </v:rect>
            <v:rect style="position:absolute;left:1680;top:1973;width:202;height:2976" filled="false" stroked="true" strokeweight=".480005pt" strokecolor="#000000"/>
            <v:rect style="position:absolute;left:1882;top:1973;width:202;height:2976" filled="true" fillcolor="#d3cd97" stroked="false">
              <v:fill type="solid"/>
            </v:rect>
            <v:rect style="position:absolute;left:1882;top:1973;width:202;height:2976" filled="false" stroked="true" strokeweight=".480005pt" strokecolor="#000000"/>
            <v:rect style="position:absolute;left:2083;top:2131;width:206;height:2818" filled="true" fillcolor="#d3cd97" stroked="false">
              <v:fill type="solid"/>
            </v:rect>
            <v:rect style="position:absolute;left:2083;top:2131;width:206;height:2818" filled="false" stroked="true" strokeweight=".480005pt" strokecolor="#000000"/>
            <v:rect style="position:absolute;left:2290;top:567;width:202;height:4382" filled="true" fillcolor="#d3cd97" stroked="false">
              <v:fill type="solid"/>
            </v:rect>
            <v:rect style="position:absolute;left:2290;top:567;width:202;height:4382" filled="false" stroked="true" strokeweight=".480005pt" strokecolor="#000000"/>
            <v:rect style="position:absolute;left:2491;top:2131;width:202;height:2818" filled="true" fillcolor="#d3cd97" stroked="false">
              <v:fill type="solid"/>
            </v:rect>
            <v:rect style="position:absolute;left:2491;top:2131;width:202;height:2818" filled="false" stroked="true" strokeweight=".480005pt" strokecolor="#000000"/>
            <v:rect style="position:absolute;left:2693;top:1973;width:206;height:2976" filled="true" fillcolor="#d3cd97" stroked="false">
              <v:fill type="solid"/>
            </v:rect>
            <v:rect style="position:absolute;left:2693;top:1973;width:206;height:2976" filled="false" stroked="true" strokeweight=".480005pt" strokecolor="#000000"/>
            <v:rect style="position:absolute;left:2899;top:2755;width:202;height:2194" filled="true" fillcolor="#d3cd97" stroked="false">
              <v:fill type="solid"/>
            </v:rect>
            <v:rect style="position:absolute;left:2899;top:2755;width:202;height:2194" filled="false" stroked="true" strokeweight=".480005pt" strokecolor="#000000"/>
            <v:rect style="position:absolute;left:3101;top:2131;width:202;height:2818" filled="true" fillcolor="#d3cd97" stroked="false">
              <v:fill type="solid"/>
            </v:rect>
            <v:rect style="position:absolute;left:3101;top:2131;width:202;height:2818" filled="false" stroked="true" strokeweight=".480005pt" strokecolor="#000000"/>
            <v:rect style="position:absolute;left:3302;top:3696;width:206;height:1253" filled="true" fillcolor="#d3cd97" stroked="false">
              <v:fill type="solid"/>
            </v:rect>
            <v:rect style="position:absolute;left:3302;top:3696;width:206;height:1253" filled="false" stroked="true" strokeweight=".480005pt" strokecolor="#000000"/>
            <v:rect style="position:absolute;left:3509;top:4008;width:202;height:941" filled="true" fillcolor="#d3cd97" stroked="false">
              <v:fill type="solid"/>
            </v:rect>
            <v:rect style="position:absolute;left:3509;top:4008;width:202;height:941" filled="false" stroked="true" strokeweight=".480005pt" strokecolor="#000000"/>
            <v:rect style="position:absolute;left:3710;top:4479;width:202;height:470" filled="true" fillcolor="#d3cd97" stroked="false">
              <v:fill type="solid"/>
            </v:rect>
            <v:rect style="position:absolute;left:3710;top:4479;width:202;height:470" filled="false" stroked="true" strokeweight=".480005pt" strokecolor="#000000"/>
            <v:shape style="position:absolute;left:3907;top:4786;width:418;height:168" type="#_x0000_t75" stroked="false">
              <v:imagedata r:id="rId20" o:title=""/>
            </v:shape>
            <v:shape style="position:absolute;left:221;top:768;width:4743;height:4181" coordorigin="221,768" coordsize="4743,4181" path="m221,4939l245,4939,269,4935,293,4935,317,4935,341,4930,365,4930,389,4925,413,4925,437,4920,461,4915,485,4911,509,4906,533,4901,552,4896,576,4891,600,4882,624,4877,648,4867,672,4858,696,4848,720,4839,744,4824,768,4810,792,4795,816,4781,840,4762,864,4743,888,4723,912,4704,936,4680,960,4651,984,4627,1008,4599,1032,4565,1056,4531,1080,4493,1104,4455,1152,4373,1200,4277,1248,4171,1267,4119,1291,4056,1315,3994,1339,3931,1363,3864,1387,3792,1411,3720,1435,3643,1459,3562,1483,3485,1507,3399,1531,3312,1555,3226,1579,3135,1603,3043,1627,2947,1651,2856,1675,2760,1699,2659,1723,2563,1747,2467,1771,2367,1795,2271,1819,2170,1843,2074,1867,1978,1891,1882,1915,1791,1939,1699,1963,1613,1982,1527,2006,1445,2030,1363,2054,1291,2078,1219,2102,1152,2126,1090,2150,1032,2198,931,2222,893,2246,855,2270,826,2294,802,2318,787,2342,773,2366,768,2390,773,2414,778,2438,792,2462,811,2486,840,2510,869,2534,907,2558,951,2582,1003,2606,1056,2630,1119,2654,1181,2678,1248,2698,1320,2722,1402,2746,1479,2770,1565,2794,1651,2818,1738,2842,1834,2866,1925,2890,2021,2914,2117,2938,2213,2962,2314,2986,2410,3010,2511,3034,2607,3058,2707,3082,2803,3106,2899,3130,2991,3154,3087,3178,3178,3202,3264,3226,3351,3250,3437,3274,3519,3298,3600,3322,3677,3346,3754,3370,3826,3394,3893,3413,3960,3437,4023,3461,4085,3485,4143,3509,4200,3533,4253,3557,4301,3581,4349,3605,4392,3629,4435,3653,4474,3677,4512,3701,4546,3725,4579,3749,4608,3773,4637,3797,4666,3821,4690,3845,4714,3869,4733,3893,4752,3917,4771,3941,4786,3965,4805,3989,4815,4013,4829,4037,4843,4061,4853,4085,4863,4109,4872,4128,4877,4152,4887,4176,4891,4200,4901,4224,4906,4248,4911,4272,4915,4296,4915,4320,4920,4344,4925,4368,4925,4392,4930,4416,4930,4440,4935,4464,4935,4488,4939,4512,4939,4536,4939,4560,4939,4584,4944,4608,4944,4776,4944,4800,4949,4939,4949,4963,4949e" filled="false" stroked="true" strokeweight=".720005pt" strokecolor="#000000">
              <v:path arrowok="t"/>
            </v:shape>
            <v:rect style="position:absolute;left:221;top:5;width:4742;height:4944" filled="false" stroked="true" strokeweight=".480005pt" strokecolor="#000000"/>
          </v:group>
        </w:pict>
      </w:r>
      <w:r>
        <w:rPr>
          <w:spacing w:val="-14"/>
          <w:sz w:val="20"/>
        </w:rPr>
      </w:r>
      <w:r>
        <w:rPr>
          <w:spacing w:val="-14"/>
          <w:sz w:val="20"/>
        </w:rPr>
        <w:tab/>
      </w:r>
      <w:r>
        <w:rPr>
          <w:spacing w:val="-14"/>
          <w:position w:val="456"/>
          <w:sz w:val="20"/>
        </w:rPr>
        <w:drawing>
          <wp:inline distT="0" distB="0" distL="0" distR="0">
            <wp:extent cx="537290" cy="214312"/>
            <wp:effectExtent l="0" t="0" r="0" b="0"/>
            <wp:docPr id="9" name="image11.png" descr=""/>
            <wp:cNvGraphicFramePr>
              <a:graphicFrameLocks noChangeAspect="1"/>
            </wp:cNvGraphicFramePr>
            <a:graphic>
              <a:graphicData uri="http://schemas.openxmlformats.org/drawingml/2006/picture">
                <pic:pic>
                  <pic:nvPicPr>
                    <pic:cNvPr id="10" name="image11.png"/>
                    <pic:cNvPicPr/>
                  </pic:nvPicPr>
                  <pic:blipFill>
                    <a:blip r:embed="rId21" cstate="print"/>
                    <a:stretch>
                      <a:fillRect/>
                    </a:stretch>
                  </pic:blipFill>
                  <pic:spPr>
                    <a:xfrm>
                      <a:off x="0" y="0"/>
                      <a:ext cx="537290" cy="214312"/>
                    </a:xfrm>
                    <a:prstGeom prst="rect">
                      <a:avLst/>
                    </a:prstGeom>
                  </pic:spPr>
                </pic:pic>
              </a:graphicData>
            </a:graphic>
          </wp:inline>
        </w:drawing>
      </w:r>
      <w:r>
        <w:rPr>
          <w:spacing w:val="-14"/>
          <w:position w:val="456"/>
          <w:sz w:val="20"/>
        </w:rPr>
      </w:r>
    </w:p>
    <w:p>
      <w:pPr>
        <w:pStyle w:val="BodyText"/>
        <w:spacing w:before="9"/>
        <w:rPr>
          <w:sz w:val="7"/>
        </w:rPr>
      </w:pPr>
      <w:r>
        <w:rPr/>
        <w:drawing>
          <wp:anchor distT="0" distB="0" distL="0" distR="0" allowOverlap="1" layoutInCell="1" locked="0" behindDoc="0" simplePos="0" relativeHeight="1216">
            <wp:simplePos x="0" y="0"/>
            <wp:positionH relativeFrom="page">
              <wp:posOffset>2240279</wp:posOffset>
            </wp:positionH>
            <wp:positionV relativeFrom="paragraph">
              <wp:posOffset>81781</wp:posOffset>
            </wp:positionV>
            <wp:extent cx="1640871" cy="107346"/>
            <wp:effectExtent l="0" t="0" r="0" b="0"/>
            <wp:wrapTopAndBottom/>
            <wp:docPr id="11" name="image12.png" descr=""/>
            <wp:cNvGraphicFramePr>
              <a:graphicFrameLocks noChangeAspect="1"/>
            </wp:cNvGraphicFramePr>
            <a:graphic>
              <a:graphicData uri="http://schemas.openxmlformats.org/drawingml/2006/picture">
                <pic:pic>
                  <pic:nvPicPr>
                    <pic:cNvPr id="12" name="image12.png"/>
                    <pic:cNvPicPr/>
                  </pic:nvPicPr>
                  <pic:blipFill>
                    <a:blip r:embed="rId22" cstate="print"/>
                    <a:stretch>
                      <a:fillRect/>
                    </a:stretch>
                  </pic:blipFill>
                  <pic:spPr>
                    <a:xfrm>
                      <a:off x="0" y="0"/>
                      <a:ext cx="1640871" cy="107346"/>
                    </a:xfrm>
                    <a:prstGeom prst="rect">
                      <a:avLst/>
                    </a:prstGeom>
                  </pic:spPr>
                </pic:pic>
              </a:graphicData>
            </a:graphic>
          </wp:anchor>
        </w:drawing>
      </w:r>
    </w:p>
    <w:p>
      <w:pPr>
        <w:pStyle w:val="BodyText"/>
        <w:spacing w:before="7"/>
        <w:rPr>
          <w:sz w:val="21"/>
        </w:rPr>
      </w:pPr>
    </w:p>
    <w:p>
      <w:pPr>
        <w:spacing w:before="81"/>
        <w:ind w:left="696" w:right="213" w:firstLine="0"/>
        <w:jc w:val="left"/>
        <w:rPr>
          <w:b/>
          <w:sz w:val="19"/>
        </w:rPr>
      </w:pPr>
      <w:r>
        <w:rPr>
          <w:b/>
          <w:w w:val="105"/>
          <w:sz w:val="19"/>
        </w:rPr>
        <w:t>Gráfica 3.2. Distribución de frecuencias para Competencia Lingüística en Inglés.</w:t>
      </w:r>
    </w:p>
    <w:p>
      <w:pPr>
        <w:pStyle w:val="BodyText"/>
        <w:rPr>
          <w:b/>
          <w:sz w:val="20"/>
        </w:rPr>
      </w:pPr>
    </w:p>
    <w:p>
      <w:pPr>
        <w:pStyle w:val="BodyText"/>
        <w:spacing w:before="6"/>
        <w:rPr>
          <w:b/>
          <w:sz w:val="24"/>
        </w:rPr>
      </w:pPr>
    </w:p>
    <w:p>
      <w:pPr>
        <w:pStyle w:val="BodyText"/>
        <w:spacing w:line="364" w:lineRule="auto"/>
        <w:ind w:left="115" w:right="102"/>
        <w:jc w:val="both"/>
      </w:pPr>
      <w:r>
        <w:rPr/>
        <w:t>Esta gráfica </w:t>
      </w:r>
      <w:r>
        <w:rPr>
          <w:spacing w:val="-3"/>
        </w:rPr>
        <w:t>es </w:t>
      </w:r>
      <w:r>
        <w:rPr>
          <w:spacing w:val="-5"/>
        </w:rPr>
        <w:t>la </w:t>
      </w:r>
      <w:r>
        <w:rPr/>
        <w:t>que más se asemeja a la distribución normal; muestra poca asimetría, </w:t>
      </w:r>
      <w:r>
        <w:rPr>
          <w:spacing w:val="2"/>
        </w:rPr>
        <w:t>con </w:t>
      </w:r>
      <w:r>
        <w:rPr>
          <w:spacing w:val="-3"/>
        </w:rPr>
        <w:t>tan </w:t>
      </w:r>
      <w:r>
        <w:rPr/>
        <w:t>solo un par de picos sobresalientes fuera </w:t>
      </w:r>
      <w:r>
        <w:rPr>
          <w:spacing w:val="-3"/>
        </w:rPr>
        <w:t>de </w:t>
      </w:r>
      <w:r>
        <w:rPr>
          <w:spacing w:val="-5"/>
        </w:rPr>
        <w:t>la </w:t>
      </w:r>
      <w:r>
        <w:rPr/>
        <w:t>curva, aunque cercanos a </w:t>
      </w:r>
      <w:r>
        <w:rPr>
          <w:spacing w:val="-5"/>
        </w:rPr>
        <w:t>la </w:t>
      </w:r>
      <w:r>
        <w:rPr/>
        <w:t>media, </w:t>
      </w:r>
      <w:r>
        <w:rPr>
          <w:spacing w:val="-5"/>
        </w:rPr>
        <w:t>lo </w:t>
      </w:r>
      <w:r>
        <w:rPr/>
        <w:t>que disminuye la curtosis. Se puede observar que </w:t>
      </w:r>
      <w:r>
        <w:rPr>
          <w:spacing w:val="-5"/>
        </w:rPr>
        <w:t>la </w:t>
      </w:r>
      <w:r>
        <w:rPr/>
        <w:t>gran mayoría de los sujetos se agrupa en torno a la media. Esto </w:t>
      </w:r>
      <w:r>
        <w:rPr>
          <w:spacing w:val="4"/>
        </w:rPr>
        <w:t>se </w:t>
      </w:r>
      <w:r>
        <w:rPr/>
        <w:t>debe a que fueron seleccionados con base en el curso de lengua inglesa que estudiaban al momento de </w:t>
      </w:r>
      <w:r>
        <w:rPr>
          <w:spacing w:val="-5"/>
        </w:rPr>
        <w:t>la </w:t>
      </w:r>
      <w:r>
        <w:rPr/>
        <w:t>aplicación del</w:t>
      </w:r>
      <w:r>
        <w:rPr>
          <w:spacing w:val="54"/>
        </w:rPr>
        <w:t> </w:t>
      </w:r>
      <w:r>
        <w:rPr/>
        <w:t>instrumento.</w:t>
      </w:r>
    </w:p>
    <w:p>
      <w:pPr>
        <w:pStyle w:val="BodyText"/>
        <w:rPr>
          <w:sz w:val="22"/>
        </w:rPr>
      </w:pPr>
    </w:p>
    <w:p>
      <w:pPr>
        <w:pStyle w:val="BodyText"/>
        <w:spacing w:line="369" w:lineRule="auto" w:before="150"/>
        <w:ind w:left="115" w:right="111"/>
        <w:jc w:val="both"/>
      </w:pPr>
      <w:r>
        <w:rPr/>
        <w:t>La siguiente distribución de frecuencias es de la comprensión de lectura en inglés (Gráfica 3.3.).</w:t>
      </w:r>
    </w:p>
    <w:p>
      <w:pPr>
        <w:spacing w:after="0" w:line="369" w:lineRule="auto"/>
        <w:jc w:val="both"/>
        <w:sectPr>
          <w:pgSz w:w="11910" w:h="16840"/>
          <w:pgMar w:header="1424" w:footer="0" w:top="1840" w:bottom="280" w:left="1540" w:right="1540"/>
        </w:sectPr>
      </w:pPr>
    </w:p>
    <w:p>
      <w:pPr>
        <w:pStyle w:val="BodyText"/>
        <w:rPr>
          <w:sz w:val="20"/>
        </w:rPr>
      </w:pPr>
    </w:p>
    <w:p>
      <w:pPr>
        <w:pStyle w:val="BodyText"/>
        <w:spacing w:before="9"/>
        <w:rPr>
          <w:sz w:val="15"/>
        </w:rPr>
      </w:pPr>
    </w:p>
    <w:p>
      <w:pPr>
        <w:tabs>
          <w:tab w:pos="5856" w:val="left" w:leader="none"/>
        </w:tabs>
        <w:spacing w:line="240" w:lineRule="auto"/>
        <w:ind w:left="456" w:right="0" w:firstLine="0"/>
        <w:rPr>
          <w:sz w:val="20"/>
        </w:rPr>
      </w:pPr>
      <w:r>
        <w:rPr>
          <w:sz w:val="20"/>
        </w:rPr>
        <w:pict>
          <v:group style="width:251.9pt;height:252.05pt;mso-position-horizontal-relative:char;mso-position-vertical-relative:line" coordorigin="0,0" coordsize="5038,5041">
            <v:rect style="position:absolute;left:422;top:5;width:4608;height:4829" filled="true" fillcolor="#efefef" stroked="false">
              <v:fill type="solid"/>
            </v:rect>
            <v:line style="position:absolute" from="422,4834" to="5030,4834" stroked="true" strokeweight=".480005pt" strokecolor="#000000"/>
            <v:line style="position:absolute" from="1171,4834" to="1171,4915" stroked="true" strokeweight=".720005pt" strokecolor="#000000"/>
            <v:line style="position:absolute" from="2208,4834" to="2208,4915" stroked="true" strokeweight=".720005pt" strokecolor="#000000"/>
            <v:line style="position:absolute" from="3245,4834" to="3245,4915" stroked="true" strokeweight=".720005pt" strokecolor="#000000"/>
            <v:line style="position:absolute" from="4282,4834" to="4282,4915" stroked="true" strokeweight=".720005pt" strokecolor="#000000"/>
            <v:shape style="position:absolute;left:4166;top:4949;width:231;height:92" coordorigin="4166,4949" coordsize="231,92" path="m4210,4949l4186,4949,4171,4963,4171,4978,4181,4987,4171,4997,4171,5002,4166,5007,4166,5016,4171,5026,4181,5035,4190,5040,4205,5040,4214,5035,4219,5031,4190,5031,4190,5026,4186,5026,4186,5021,4181,5021,4181,5002,4186,4997,4190,4997,4190,4992,4214,4992,4210,4987,4214,4987,4219,4983,4190,4983,4181,4973,4181,4963,4186,4963,4186,4959,4190,4959,4195,4954,4214,4954,4210,4949xm4219,4992l4205,4992,4214,5002,4214,5021,4205,5031,4219,5031,4229,5021,4229,5007,4224,5002,4224,4997,4219,4992xm4214,4954l4200,4954,4205,4959,4210,4959,4210,4963,4214,4968,4214,4973,4205,4983,4219,4983,4224,4978,4224,4963,4214,4954xm4258,5026l4243,5026,4243,5035,4258,5035,4258,5026xm4310,4949l4286,4949,4277,4959,4272,4968,4272,5021,4291,5040,4306,5040,4310,5035,4315,5035,4320,5031,4296,5031,4282,5016,4282,4968,4296,4954,4315,4954,4310,4949xm4320,4954l4306,4954,4310,4959,4310,4963,4315,4968,4320,4978,4320,5007,4315,5016,4310,5021,4310,5026,4306,5031,4320,5031,4325,5026,4325,5016,4330,5011,4330,4978,4325,4973,4325,4963,4320,4959,4320,4954xm4363,4954l4349,4954,4344,4959,4344,4968,4339,4973,4339,5011,4349,5031,4358,5040,4373,5040,4382,5035,4387,5031,4363,5031,4354,5021,4354,5016,4349,5007,4349,4978,4354,4968,4354,4963,4363,4954xm4387,4954l4373,4954,4382,4963,4382,4968,4387,4978,4387,5007,4382,5016,4382,5021,4373,5031,4387,5031,4392,5026,4392,5016,4397,5011,4397,4973,4392,4968,4392,4959,4387,4954xm4382,4949l4358,4949,4354,4954,4382,4954,4382,4949xe" filled="true" fillcolor="#000000" stroked="false">
              <v:path arrowok="t"/>
              <v:fill type="solid"/>
            </v:shape>
            <v:shape style="position:absolute;left:3130;top:4949;width:231;height:92" coordorigin="3130,4949" coordsize="231,92" path="m3178,4949l3144,4949,3139,4959,3134,4963,3130,4978,3130,5011,3139,5031,3144,5035,3154,5040,3168,5040,3173,5035,3178,5035,3182,5031,3154,5031,3154,5026,3149,5026,3149,5021,3144,5016,3144,4997,3149,4992,3139,4992,3139,4983,3144,4973,3144,4963,3149,4963,3158,4954,3178,4954,3178,4949xm3182,4987l3168,4987,3168,4992,3173,4992,3178,4997,3178,5021,3173,5026,3168,5026,3168,5031,3182,5031,3182,5026,3187,5021,3187,4992,3182,4987xm3168,4978l3154,4978,3139,4992,3154,4992,3154,4987,3182,4987,3178,4983,3168,4978xm3178,4954l3168,4954,3168,4959,3173,4959,3173,4963,3178,4963,3178,4968,3187,4968,3187,4963,3178,4954xm3216,5026l3206,5026,3206,5035,3216,5035,3216,5026xm3259,4954l3240,4954,3240,4959,3235,4968,3235,5021,3240,5031,3245,5035,3254,5040,3269,5040,3274,5035,3278,5035,3283,5031,3259,5031,3245,5016,3245,4968,3259,4954xm3283,4954l3269,4954,3274,4959,3274,4963,3278,4968,3278,5016,3274,5021,3274,5026,3269,5031,3283,5031,3288,5026,3288,5011,3293,5002,3293,4978,3288,4973,3288,4963,3283,4959,3283,4954xm3274,4949l3250,4949,3245,4954,3278,4954,3274,4949xm3341,4949l3317,4949,3307,4959,3302,4968,3302,5021,3322,5040,3336,5040,3341,5035,3346,5035,3350,5031,3326,5031,3312,5016,3312,4978,3317,4968,3317,4963,3326,4954,3346,4954,3341,4949xm3350,4954l3336,4954,3341,4959,3341,4963,3346,4968,3350,4978,3350,5007,3346,5016,3341,5021,3341,5026,3336,5031,3350,5031,3355,5026,3355,5016,3360,5011,3360,4978,3355,4973,3355,4963,3350,4959,3350,4954xe" filled="true" fillcolor="#000000" stroked="false">
              <v:path arrowok="t"/>
              <v:fill type="solid"/>
            </v:shape>
            <v:shape style="position:absolute;left:2088;top:4949;width:236;height:92" coordorigin="2088,4949" coordsize="236,92" path="m2141,5016l2126,5016,2126,5035,2141,5035,2141,5016xm2141,4949l2131,4949,2088,5007,2088,5016,2150,5016,2150,5007,2102,5007,2126,4963,2141,4963,2141,4949xm2141,4963l2126,4963,2126,5007,2141,5007,2141,4963xm2179,5026l2170,5026,2170,5035,2179,5035,2179,5026xm2218,4954l2203,4954,2203,4959,2198,4968,2198,4973,2194,4983,2194,5011,2203,5031,2208,5035,2218,5040,2232,5040,2237,5035,2242,5035,2246,5031,2218,5031,2218,5026,2208,5016,2208,4968,2218,4959,2218,4954xm2237,4949l2213,4949,2208,4954,2232,4954,2232,4959,2242,4968,2242,5016,2232,5026,2232,5031,2246,5031,2246,5026,2251,5016,2251,5011,2256,5002,2256,4983,2251,4978,2251,4968,2246,4963,2246,4959,2237,4949xm2290,4954l2270,4954,2270,4959,2266,4968,2266,5021,2270,5031,2275,5035,2285,5040,2299,5040,2304,5035,2309,5035,2314,5031,2290,5031,2275,5016,2275,4968,2290,4954xm2314,4954l2299,4954,2304,4959,2304,4963,2309,4968,2309,5016,2304,5021,2304,5026,2299,5031,2314,5031,2318,5026,2318,5016,2323,5011,2323,4978,2318,4973,2318,4963,2314,4959,2314,4954xm2304,4949l2280,4949,2275,4954,2309,4954,2304,4949xe" filled="true" fillcolor="#000000" stroked="false">
              <v:path arrowok="t"/>
              <v:fill type="solid"/>
            </v:shape>
            <v:shape style="position:absolute;left:1056;top:4949;width:231;height:92" coordorigin="1056,4949" coordsize="231,92" path="m1104,4954l1090,4954,1094,4959,1099,4959,1099,4963,1104,4968,1104,4978,1099,4978,1099,4983,1085,4997,1075,5002,1061,5016,1061,5021,1056,5026,1056,5035,1114,5035,1114,5026,1070,5026,1070,5021,1075,5021,1075,5016,1080,5016,1085,5007,1094,5002,1109,4987,1109,4983,1114,4978,1114,4963,1104,4954xm1099,4949l1070,4949,1056,4963,1056,4973,1066,4973,1066,4968,1070,4963,1070,4959,1075,4959,1080,4954,1104,4954,1099,4949xm1142,5026l1128,5026,1128,5035,1142,5035,1142,5026xm1181,4954l1166,4954,1162,4959,1162,4968,1157,4973,1157,5011,1166,5031,1171,5035,1181,5040,1195,5040,1200,5035,1205,5035,1210,5031,1181,5031,1176,5026,1176,5021,1171,5016,1171,4968,1176,4963,1176,4959,1181,4954xm1200,4949l1176,4949,1171,4954,1190,4954,1205,4968,1205,5016,1190,5031,1210,5031,1210,5026,1214,5016,1214,4968,1210,4963,1210,4959,1200,4949xm1248,4954l1234,4954,1234,4959,1229,4968,1229,4973,1224,4983,1224,5011,1234,5031,1238,5035,1248,5040,1262,5040,1267,5035,1272,5035,1277,5031,1248,5031,1248,5026,1238,5016,1238,4968,1248,4959,1248,4954xm1277,4954l1262,4954,1262,4959,1272,4968,1272,5016,1262,5026,1262,5031,1277,5031,1277,5026,1282,5016,1282,5011,1286,5002,1286,4983,1282,4978,1282,4968,1277,4963,1277,4954xm1267,4949l1243,4949,1238,4954,1272,4954,1267,4949xe" filled="true" fillcolor="#000000" stroked="false">
              <v:path arrowok="t"/>
              <v:fill type="solid"/>
            </v:shape>
            <v:line style="position:absolute" from="422,5" to="422,4834" stroked="true" strokeweight=".480005pt" strokecolor="#000000"/>
            <v:line style="position:absolute" from="422,4834" to="341,4834" stroked="true" strokeweight=".720005pt" strokecolor="#000000"/>
            <v:line style="position:absolute" from="422,3917" to="341,3917" stroked="true" strokeweight=".720005pt" strokecolor="#000000"/>
            <v:line style="position:absolute" from="422,3000" to="341,3000" stroked="true" strokeweight=".720005pt" strokecolor="#000000"/>
            <v:line style="position:absolute" from="422,2083" to="341,2083" stroked="true" strokeweight=".720005pt" strokecolor="#000000"/>
            <v:line style="position:absolute" from="422,1167" to="341,1167" stroked="true" strokeweight=".720005pt" strokecolor="#000000"/>
            <v:line style="position:absolute" from="422,245" to="341,245" stroked="true" strokeweight=".720005pt" strokecolor="#000000"/>
            <v:shape style="position:absolute;left:206;top:216;width:130;height:92" coordorigin="206,216" coordsize="130,92" path="m259,226l245,226,254,235,254,250,245,259,240,269,230,274,211,293,211,303,206,303,206,307,269,307,269,298,226,298,226,293,230,288,235,288,240,279,250,274,259,264,259,259,264,259,264,250,269,245,269,235,259,226xm250,216l230,216,211,235,211,245,221,245,221,235,226,231,230,231,235,226,259,226,250,216xm288,283l278,283,278,293,293,307,322,307,326,303,302,303,298,298,293,298,293,293,288,288,288,283xm331,259l317,259,322,264,322,269,326,274,326,283,322,288,322,293,312,303,326,303,336,293,336,264,331,259xm331,221l288,221,278,264,288,269,298,259,331,259,326,255,293,255,298,231,331,231,331,221xm322,250l298,250,293,255,326,255,322,250xe" filled="true" fillcolor="#000000" stroked="false">
              <v:path arrowok="t"/>
              <v:fill type="solid"/>
            </v:shape>
            <v:shape style="position:absolute;left:206;top:1138;width:130;height:92" coordorigin="206,1138" coordsize="130,92" path="m259,1143l245,1143,254,1152,254,1167,245,1176,240,1186,230,1191,211,1210,211,1219,206,1219,206,1224,269,1224,269,1215,226,1215,226,1210,230,1205,235,1205,259,1181,259,1176,264,1176,264,1167,269,1162,269,1152,259,1143xm254,1138l226,1138,211,1152,211,1162,221,1162,221,1152,226,1147,230,1147,235,1143,259,1143,254,1138xm302,1143l288,1143,283,1147,278,1157,278,1210,298,1229,312,1229,317,1224,322,1224,326,1219,302,1219,293,1210,293,1205,288,1195,288,1167,293,1157,293,1152,302,1143xm326,1143l312,1143,322,1152,322,1157,326,1167,326,1195,322,1205,322,1210,312,1219,326,1219,331,1215,331,1205,336,1200,336,1162,331,1157,331,1152,326,1147,326,1143xm317,1138l293,1138,293,1143,322,1143,317,1138xe" filled="true" fillcolor="#000000" stroked="false">
              <v:path arrowok="t"/>
              <v:fill type="solid"/>
            </v:shape>
            <v:shape style="position:absolute;left:0;top:1978;width:159;height:855" coordorigin="0,1978" coordsize="159,855" path="m19,2751l0,2751,0,2832,125,2832,125,2808,19,2808,19,2751xm72,2760l48,2760,48,2808,72,2808,72,2760xm125,2712l34,2712,34,2731,125,2731,125,2712xm58,2703l38,2703,48,2712,82,2712,72,2707,62,2707,58,2703xm38,2674l34,2679,34,2703,53,2703,53,2688,58,2683,38,2674xm86,2587l73,2588,61,2590,51,2593,43,2597,34,2616,34,2640,43,2659,53,2669,101,2669,110,2664,117,2657,121,2649,122,2645,58,2645,58,2640,53,2640,48,2635,48,2626,58,2616,58,2611,86,2611,86,2587xm86,2611l72,2611,72,2645,86,2645,86,2611xm96,2587l96,2611,101,2616,106,2616,106,2635,96,2645,122,2645,124,2639,125,2626,125,2616,120,2611,120,2602,115,2597,96,2587xm67,2501l48,2501,34,2515,34,2539,38,2549,53,2563,62,2568,77,2568,88,2567,98,2565,107,2560,115,2554,120,2549,122,2544,67,2544,58,2535,53,2535,53,2511,58,2511,67,2501xm158,2482l34,2482,34,2501,86,2501,96,2506,101,2511,106,2511,106,2535,101,2535,96,2539,86,2544,122,2544,125,2539,125,2520,120,2515,120,2511,115,2506,158,2506,158,2482xm110,2400l86,2400,91,2405,101,2405,106,2410,106,2429,101,2434,34,2434,34,2458,110,2458,115,2453,120,2453,120,2448,125,2443,125,2419,120,2415,120,2410,110,2400xm125,2381l34,2381,34,2400,125,2400,125,2381xm86,2280l73,2281,61,2283,51,2286,43,2290,34,2309,34,2333,43,2352,53,2362,101,2362,110,2352,120,2347,125,2338,58,2338,58,2333,53,2328,48,2328,48,2319,58,2309,58,2304,86,2304,86,2280xm86,2304l72,2304,72,2338,86,2338,86,2304xm96,2280l96,2304,101,2304,101,2309,106,2309,106,2328,96,2338,125,2338,125,2309,120,2304,120,2295,115,2290,96,2280xm125,2232l34,2232,34,2256,125,2256,125,2232xm125,2175l43,2175,43,2179,38,2179,38,2184,34,2189,34,2213,38,2223,48,2232,67,2232,62,2227,58,2227,53,2223,53,2218,48,2213,48,2208,53,2203,53,2199,125,2199,125,2175xm62,2074l43,2083,34,2093,34,2127,43,2146,62,2155,91,2155,106,2151,120,2136,122,2131,62,2131,53,2122,53,2103,58,2098,62,2098,62,2074xm101,2074l91,2074,86,2098,101,2098,101,2103,106,2103,106,2122,96,2131,122,2131,125,2127,125,2103,120,2093,115,2088,110,2079,101,2074xm34,1978l34,2007,96,2026,34,2045,34,2069,125,2035,158,2035,154,2031,154,2026,149,2026,149,2021,139,2021,134,2016,120,2011,34,1978xm158,2035l125,2035,134,2045,139,2045,139,2064,158,2064,158,2035xe" filled="true" fillcolor="#000000" stroked="false">
              <v:path arrowok="t"/>
              <v:fill type="solid"/>
            </v:shape>
            <v:shape style="position:absolute;left:216;top:2055;width:120;height:92" coordorigin="216,2055" coordsize="120,92" path="m250,2055l245,2055,226,2074,240,2074,240,2141,250,2141,250,2055xm235,2074l216,2074,216,2088,221,2083,226,2083,230,2079,235,2079,235,2074xm288,2117l278,2122,278,2127,298,2146,317,2146,326,2136,298,2136,293,2131,293,2127,288,2127,288,2117xm326,2093l317,2093,322,2098,322,2103,326,2107,326,2122,322,2127,322,2131,317,2131,312,2136,326,2136,336,2127,336,2098,326,2093xm331,2055l288,2055,278,2103,288,2103,293,2098,298,2098,298,2093,326,2093,322,2088,293,2088,298,2064,331,2064,331,2055xm317,2083l298,2083,293,2088,322,2088,317,2083xe" filled="true" fillcolor="#000000" stroked="false">
              <v:path arrowok="t"/>
              <v:fill type="solid"/>
            </v:shape>
            <v:shape style="position:absolute;left:216;top:2971;width:120;height:92" coordorigin="216,2971" coordsize="120,92" path="m250,2991l240,2991,240,3063,250,3063,250,2991xm250,2971l245,2971,226,2991,216,2995,216,3005,221,3000,230,3000,240,2991,250,2991,250,2971xm317,2971l293,2971,293,2976,278,2991,278,3043,298,3063,317,3063,326,3053,298,3053,293,3048,293,3043,288,3029,288,3000,293,2991,293,2986,298,2981,326,2981,326,2976,322,2976,317,2971xm326,2981l317,2981,322,2986,322,2991,326,3000,326,3029,322,3039,322,3048,317,3053,326,3053,331,3048,331,3043,336,3034,336,2995,331,2991,331,2986,326,2981xe" filled="true" fillcolor="#000000" stroked="false">
              <v:path arrowok="t"/>
              <v:fill type="solid"/>
            </v:shape>
            <v:shape style="position:absolute;left:278;top:3888;width:58;height:92" coordorigin="278,3888" coordsize="58,92" path="m288,3955l278,3955,278,3960,283,3970,293,3979,317,3979,322,3975,331,3970,298,3970,288,3960,288,3955xm317,3917l302,3917,293,3927,312,3927,326,3941,326,3955,322,3960,322,3965,317,3970,331,3970,336,3965,336,3931,326,3927,317,3917xm331,3888l288,3888,278,3936,293,3936,293,3931,298,3931,302,3927,293,3927,298,3903,331,3903,331,3888xe" filled="true" fillcolor="#000000" stroked="false">
              <v:path arrowok="t"/>
              <v:fill type="solid"/>
            </v:shape>
            <v:shape style="position:absolute;left:278;top:4805;width:58;height:92" coordorigin="278,4805" coordsize="58,92" path="m317,4805l302,4805,293,4810,278,4824,278,4882,288,4887,293,4896,317,4896,326,4887,298,4887,293,4882,293,4877,288,4867,288,4839,293,4829,293,4819,298,4815,326,4815,322,4810,317,4810,317,4805xm326,4815l312,4815,322,4824,322,4829,326,4839,326,4867,322,4877,322,4882,317,4887,326,4887,331,4882,331,4877,336,4872,336,4829,331,4824,331,4819,326,4815xe" filled="true" fillcolor="#000000" stroked="false">
              <v:path arrowok="t"/>
              <v:fill type="solid"/>
            </v:shape>
            <v:shape style="position:absolute;left:725;top:4464;width:278;height:374" type="#_x0000_t75" stroked="false">
              <v:imagedata r:id="rId23" o:title=""/>
            </v:shape>
            <v:rect style="position:absolute;left:998;top:4099;width:130;height:734" filled="true" fillcolor="#d3cd97" stroked="false">
              <v:fill type="solid"/>
            </v:rect>
            <v:rect style="position:absolute;left:998;top:4099;width:130;height:734" filled="false" stroked="true" strokeweight=".480005pt" strokecolor="#000000"/>
            <v:rect style="position:absolute;left:1128;top:3552;width:134;height:1282" filled="true" fillcolor="#d3cd97" stroked="false">
              <v:fill type="solid"/>
            </v:rect>
            <v:rect style="position:absolute;left:1128;top:3552;width:134;height:1282" filled="false" stroked="true" strokeweight=".480005pt" strokecolor="#000000"/>
            <v:rect style="position:absolute;left:1262;top:2448;width:134;height:2386" filled="true" fillcolor="#d3cd97" stroked="false">
              <v:fill type="solid"/>
            </v:rect>
            <v:rect style="position:absolute;left:1262;top:2448;width:134;height:2386" filled="false" stroked="true" strokeweight=".480005pt" strokecolor="#000000"/>
            <v:rect style="position:absolute;left:1397;top:2448;width:134;height:2386" filled="true" fillcolor="#d3cd97" stroked="false">
              <v:fill type="solid"/>
            </v:rect>
            <v:rect style="position:absolute;left:1397;top:2448;width:134;height:2386" filled="false" stroked="true" strokeweight=".480005pt" strokecolor="#000000"/>
            <v:rect style="position:absolute;left:1531;top:245;width:130;height:4589" filled="true" fillcolor="#d3cd97" stroked="false">
              <v:fill type="solid"/>
            </v:rect>
            <v:rect style="position:absolute;left:1531;top:245;width:130;height:4589" filled="false" stroked="true" strokeweight=".480005pt" strokecolor="#000000"/>
            <v:rect style="position:absolute;left:1661;top:2631;width:134;height:2203" filled="true" fillcolor="#d3cd97" stroked="false">
              <v:fill type="solid"/>
            </v:rect>
            <v:rect style="position:absolute;left:1661;top:2631;width:134;height:2203" filled="false" stroked="true" strokeweight=".480005pt" strokecolor="#000000"/>
            <v:rect style="position:absolute;left:1795;top:2818;width:134;height:2016" filled="true" fillcolor="#d3cd97" stroked="false">
              <v:fill type="solid"/>
            </v:rect>
            <v:rect style="position:absolute;left:1795;top:2818;width:134;height:2016" filled="false" stroked="true" strokeweight=".480005pt" strokecolor="#000000"/>
            <v:rect style="position:absolute;left:1930;top:2448;width:130;height:2386" filled="true" fillcolor="#d3cd97" stroked="false">
              <v:fill type="solid"/>
            </v:rect>
            <v:rect style="position:absolute;left:1930;top:2448;width:130;height:2386" filled="false" stroked="true" strokeweight=".480005pt" strokecolor="#000000"/>
            <v:rect style="position:absolute;left:2059;top:1714;width:134;height:3120" filled="true" fillcolor="#d3cd97" stroked="false">
              <v:fill type="solid"/>
            </v:rect>
            <v:rect style="position:absolute;left:2059;top:1714;width:134;height:3120" filled="false" stroked="true" strokeweight=".480005pt" strokecolor="#000000"/>
            <v:rect style="position:absolute;left:2194;top:1531;width:134;height:3302" filled="true" fillcolor="#d3cd97" stroked="false">
              <v:fill type="solid"/>
            </v:rect>
            <v:rect style="position:absolute;left:2194;top:1531;width:134;height:3302" filled="false" stroked="true" strokeweight=".480005pt" strokecolor="#000000"/>
            <v:rect style="position:absolute;left:2328;top:3000;width:134;height:1834" filled="true" fillcolor="#d3cd97" stroked="false">
              <v:fill type="solid"/>
            </v:rect>
            <v:rect style="position:absolute;left:2328;top:3000;width:134;height:1834" filled="false" stroked="true" strokeweight=".480005pt" strokecolor="#000000"/>
            <v:rect style="position:absolute;left:2462;top:3000;width:130;height:1834" filled="true" fillcolor="#d3cd97" stroked="false">
              <v:fill type="solid"/>
            </v:rect>
            <v:rect style="position:absolute;left:2462;top:3000;width:130;height:1834" filled="false" stroked="true" strokeweight=".480005pt" strokecolor="#000000"/>
            <v:rect style="position:absolute;left:2592;top:2448;width:134;height:2386" filled="true" fillcolor="#d3cd97" stroked="false">
              <v:fill type="solid"/>
            </v:rect>
            <v:rect style="position:absolute;left:2592;top:2448;width:134;height:2386" filled="false" stroked="true" strokeweight=".480005pt" strokecolor="#000000"/>
            <v:rect style="position:absolute;left:2726;top:3552;width:134;height:1282" filled="true" fillcolor="#d3cd97" stroked="false">
              <v:fill type="solid"/>
            </v:rect>
            <v:rect style="position:absolute;left:2726;top:3552;width:134;height:1282" filled="false" stroked="true" strokeweight=".480005pt" strokecolor="#000000"/>
            <v:rect style="position:absolute;left:2861;top:3917;width:130;height:917" filled="true" fillcolor="#d3cd97" stroked="false">
              <v:fill type="solid"/>
            </v:rect>
            <v:rect style="position:absolute;left:2861;top:3917;width:130;height:917" filled="false" stroked="true" strokeweight=".480005pt" strokecolor="#000000"/>
            <v:rect style="position:absolute;left:2990;top:4282;width:134;height:552" filled="true" fillcolor="#d3cd97" stroked="false">
              <v:fill type="solid"/>
            </v:rect>
            <v:rect style="position:absolute;left:2990;top:4282;width:134;height:552" filled="false" stroked="true" strokeweight=".480005pt" strokecolor="#000000"/>
            <v:rect style="position:absolute;left:3125;top:4282;width:134;height:552" filled="true" fillcolor="#d3cd97" stroked="false">
              <v:fill type="solid"/>
            </v:rect>
            <v:rect style="position:absolute;left:3125;top:4282;width:134;height:552" filled="false" stroked="true" strokeweight=".480005pt" strokecolor="#000000"/>
            <v:rect style="position:absolute;left:3259;top:3917;width:134;height:917" filled="true" fillcolor="#d3cd97" stroked="false">
              <v:fill type="solid"/>
            </v:rect>
            <v:rect style="position:absolute;left:3259;top:3917;width:134;height:917" filled="false" stroked="true" strokeweight=".480005pt" strokecolor="#000000"/>
            <v:shape style="position:absolute;left:3389;top:4464;width:408;height:374" type="#_x0000_t75" stroked="false">
              <v:imagedata r:id="rId24" o:title=""/>
            </v:shape>
            <v:rect style="position:absolute;left:3792;top:4282;width:130;height:552" filled="true" fillcolor="#d3cd97" stroked="false">
              <v:fill type="solid"/>
            </v:rect>
            <v:rect style="position:absolute;left:3792;top:4282;width:130;height:552" filled="false" stroked="true" strokeweight=".480005pt" strokecolor="#000000"/>
            <v:rect style="position:absolute;left:3922;top:4651;width:134;height:182" filled="true" fillcolor="#d3cd97" stroked="false">
              <v:fill type="solid"/>
            </v:rect>
            <v:rect style="position:absolute;left:3922;top:4651;width:134;height:182" filled="false" stroked="true" strokeweight=".480005pt" strokecolor="#000000"/>
            <v:rect style="position:absolute;left:4190;top:4651;width:134;height:182" filled="true" fillcolor="#d3cd97" stroked="false">
              <v:fill type="solid"/>
            </v:rect>
            <v:rect style="position:absolute;left:4190;top:4651;width:134;height:182" filled="false" stroked="true" strokeweight=".480005pt" strokecolor="#000000"/>
            <v:shape style="position:absolute;left:422;top:792;width:4608;height:4042" coordorigin="422,792" coordsize="4608,4042" path="m422,4810l442,4805,466,4800,490,4791,514,4786,538,4781,562,4771,581,4762,605,4752,629,4738,653,4728,677,4714,701,4695,720,4675,744,4656,768,4637,792,4613,816,4584,835,4555,859,4522,907,4450,955,4363,974,4315,998,4263,1022,4205,1046,4147,1070,4085,1094,4013,1114,3941,1138,3869,1162,3787,1186,3706,1210,3615,1234,3523,1253,3427,1277,3331,1301,3226,1325,3120,1349,3015,1373,2904,1392,2789,1416,2674,1440,2559,1464,2443,1488,2328,1507,2208,1531,2093,1555,1978,1579,1867,1603,1757,1627,1651,1646,1551,1670,1450,1694,1359,1718,1267,1742,1186,1766,1109,1786,1042,1810,984,1858,883,1906,821,1949,792,1973,792,1997,802,2021,821,2045,845,2064,883,2088,927,2112,979,2136,1042,2160,1109,2179,1186,2203,1267,2227,1354,2251,1445,2275,1546,2299,1647,2318,1752,2342,1863,2366,1978,2390,2088,2414,2203,2438,2323,2458,2439,2482,2554,2506,2669,2530,2784,2554,2899,2578,3010,2597,3115,2621,3221,2645,3327,2669,3423,2693,3519,2717,3615,2736,3701,2760,3783,2784,3864,2808,3941,2832,4013,2856,4080,2875,4143,2899,4205,2923,4258,2947,4311,2971,4359,2990,4407,3014,4445,3038,4483,3062,4522,3086,4555,3110,4584,3130,4608,3154,4632,3178,4656,3202,4675,3226,4695,3250,4709,3269,4728,3293,4738,3317,4752,3341,4762,3365,4771,3389,4781,3408,4786,3432,4791,3456,4800,3480,4805,3504,4810,3528,4810,3547,4815,3571,4819,3595,4819,3619,4824,3643,4824,3662,4824,3686,4829,3802,4829,3826,4834,5011,4834,5030,4834e" filled="false" stroked="true" strokeweight=".720005pt" strokecolor="#000000">
              <v:path arrowok="t"/>
            </v:shape>
            <v:rect style="position:absolute;left:422;top:5;width:4608;height:4829" filled="false" stroked="true" strokeweight=".480005pt" strokecolor="#000000"/>
          </v:group>
        </w:pict>
      </w:r>
      <w:r>
        <w:rPr>
          <w:sz w:val="20"/>
        </w:rPr>
      </w:r>
      <w:r>
        <w:rPr>
          <w:sz w:val="20"/>
        </w:rPr>
        <w:tab/>
      </w:r>
      <w:r>
        <w:rPr>
          <w:position w:val="445"/>
          <w:sz w:val="20"/>
        </w:rPr>
        <w:drawing>
          <wp:inline distT="0" distB="0" distL="0" distR="0">
            <wp:extent cx="575582" cy="214312"/>
            <wp:effectExtent l="0" t="0" r="0" b="0"/>
            <wp:docPr id="13" name="image15.png" descr=""/>
            <wp:cNvGraphicFramePr>
              <a:graphicFrameLocks noChangeAspect="1"/>
            </wp:cNvGraphicFramePr>
            <a:graphic>
              <a:graphicData uri="http://schemas.openxmlformats.org/drawingml/2006/picture">
                <pic:pic>
                  <pic:nvPicPr>
                    <pic:cNvPr id="14" name="image15.png"/>
                    <pic:cNvPicPr/>
                  </pic:nvPicPr>
                  <pic:blipFill>
                    <a:blip r:embed="rId25" cstate="print"/>
                    <a:stretch>
                      <a:fillRect/>
                    </a:stretch>
                  </pic:blipFill>
                  <pic:spPr>
                    <a:xfrm>
                      <a:off x="0" y="0"/>
                      <a:ext cx="575582" cy="214312"/>
                    </a:xfrm>
                    <a:prstGeom prst="rect">
                      <a:avLst/>
                    </a:prstGeom>
                  </pic:spPr>
                </pic:pic>
              </a:graphicData>
            </a:graphic>
          </wp:inline>
        </w:drawing>
      </w:r>
      <w:r>
        <w:rPr>
          <w:position w:val="445"/>
          <w:sz w:val="20"/>
        </w:rPr>
      </w:r>
    </w:p>
    <w:p>
      <w:pPr>
        <w:pStyle w:val="BodyText"/>
        <w:spacing w:before="5"/>
        <w:rPr>
          <w:sz w:val="6"/>
        </w:rPr>
      </w:pPr>
      <w:r>
        <w:rPr/>
        <w:drawing>
          <wp:anchor distT="0" distB="0" distL="0" distR="0" allowOverlap="1" layoutInCell="1" locked="0" behindDoc="0" simplePos="0" relativeHeight="1264">
            <wp:simplePos x="0" y="0"/>
            <wp:positionH relativeFrom="page">
              <wp:posOffset>2282951</wp:posOffset>
            </wp:positionH>
            <wp:positionV relativeFrom="paragraph">
              <wp:posOffset>72009</wp:posOffset>
            </wp:positionV>
            <wp:extent cx="1422413" cy="102679"/>
            <wp:effectExtent l="0" t="0" r="0" b="0"/>
            <wp:wrapTopAndBottom/>
            <wp:docPr id="15" name="image16.png" descr=""/>
            <wp:cNvGraphicFramePr>
              <a:graphicFrameLocks noChangeAspect="1"/>
            </wp:cNvGraphicFramePr>
            <a:graphic>
              <a:graphicData uri="http://schemas.openxmlformats.org/drawingml/2006/picture">
                <pic:pic>
                  <pic:nvPicPr>
                    <pic:cNvPr id="16" name="image16.png"/>
                    <pic:cNvPicPr/>
                  </pic:nvPicPr>
                  <pic:blipFill>
                    <a:blip r:embed="rId26" cstate="print"/>
                    <a:stretch>
                      <a:fillRect/>
                    </a:stretch>
                  </pic:blipFill>
                  <pic:spPr>
                    <a:xfrm>
                      <a:off x="0" y="0"/>
                      <a:ext cx="1422413" cy="102679"/>
                    </a:xfrm>
                    <a:prstGeom prst="rect">
                      <a:avLst/>
                    </a:prstGeom>
                  </pic:spPr>
                </pic:pic>
              </a:graphicData>
            </a:graphic>
          </wp:anchor>
        </w:drawing>
      </w:r>
    </w:p>
    <w:p>
      <w:pPr>
        <w:pStyle w:val="BodyText"/>
        <w:spacing w:before="4"/>
        <w:rPr>
          <w:sz w:val="21"/>
        </w:rPr>
      </w:pPr>
    </w:p>
    <w:p>
      <w:pPr>
        <w:spacing w:before="81"/>
        <w:ind w:left="735" w:right="213" w:firstLine="0"/>
        <w:jc w:val="left"/>
        <w:rPr>
          <w:b/>
          <w:sz w:val="19"/>
        </w:rPr>
      </w:pPr>
      <w:r>
        <w:rPr>
          <w:b/>
          <w:w w:val="105"/>
          <w:sz w:val="19"/>
        </w:rPr>
        <w:t>Gráfica 3.3. Distribución de frecuencias para Comprensión de lectura en Inglés.</w:t>
      </w:r>
    </w:p>
    <w:p>
      <w:pPr>
        <w:pStyle w:val="BodyText"/>
        <w:rPr>
          <w:b/>
          <w:sz w:val="20"/>
        </w:rPr>
      </w:pPr>
    </w:p>
    <w:p>
      <w:pPr>
        <w:pStyle w:val="BodyText"/>
        <w:spacing w:before="10"/>
        <w:rPr>
          <w:b/>
          <w:sz w:val="24"/>
        </w:rPr>
      </w:pPr>
    </w:p>
    <w:p>
      <w:pPr>
        <w:pStyle w:val="BodyText"/>
        <w:spacing w:line="364" w:lineRule="auto" w:before="1"/>
        <w:ind w:left="115" w:right="99"/>
        <w:jc w:val="both"/>
      </w:pPr>
      <w:r>
        <w:rPr/>
        <w:t>La comprensión de lectura en inglés es la variable que se distancia  más de la  curva normal mostrando asimetría positiva, es decir </w:t>
      </w:r>
      <w:r>
        <w:rPr>
          <w:spacing w:val="2"/>
        </w:rPr>
        <w:t>con </w:t>
      </w:r>
      <w:r>
        <w:rPr/>
        <w:t>un sesgo hacia el lado izquierdo o por debajo de </w:t>
      </w:r>
      <w:r>
        <w:rPr>
          <w:spacing w:val="-5"/>
        </w:rPr>
        <w:t>la </w:t>
      </w:r>
      <w:r>
        <w:rPr/>
        <w:t>media. Se puede observar que los sujetos fuera del  área de la curva normal se encuentran principalmente por arriba de la media, aunque </w:t>
      </w:r>
      <w:r>
        <w:rPr>
          <w:spacing w:val="-3"/>
        </w:rPr>
        <w:t>no </w:t>
      </w:r>
      <w:r>
        <w:rPr/>
        <w:t>son </w:t>
      </w:r>
      <w:r>
        <w:rPr>
          <w:spacing w:val="-3"/>
        </w:rPr>
        <w:t>un </w:t>
      </w:r>
      <w:r>
        <w:rPr/>
        <w:t>número representativo, a diferencia de un pico importante que sale de la curva y que afecta de gran manera la media dado el número tan alto de sujetos en este</w:t>
      </w:r>
      <w:r>
        <w:rPr>
          <w:spacing w:val="29"/>
        </w:rPr>
        <w:t> </w:t>
      </w:r>
      <w:r>
        <w:rPr/>
        <w:t>punto.</w:t>
      </w:r>
    </w:p>
    <w:p>
      <w:pPr>
        <w:pStyle w:val="BodyText"/>
        <w:rPr>
          <w:sz w:val="22"/>
        </w:rPr>
      </w:pPr>
    </w:p>
    <w:p>
      <w:pPr>
        <w:pStyle w:val="BodyText"/>
        <w:spacing w:line="364" w:lineRule="auto" w:before="160"/>
        <w:ind w:left="115" w:right="104"/>
        <w:jc w:val="both"/>
      </w:pPr>
      <w:r>
        <w:rPr/>
        <w:t>Una </w:t>
      </w:r>
      <w:r>
        <w:rPr>
          <w:spacing w:val="2"/>
        </w:rPr>
        <w:t>vez </w:t>
      </w:r>
      <w:r>
        <w:rPr/>
        <w:t>analizados los datos descriptivos para cada una de las variables se calcularon coeficientes de correlación (Correlación de Pearson) para medir </w:t>
      </w:r>
      <w:r>
        <w:rPr>
          <w:spacing w:val="-5"/>
        </w:rPr>
        <w:t>la </w:t>
      </w:r>
      <w:r>
        <w:rPr/>
        <w:t>contribución de las variables entre sí. Estos  resultados se presentan en  la tabla 3.2.</w:t>
      </w:r>
    </w:p>
    <w:p>
      <w:pPr>
        <w:spacing w:after="0" w:line="364" w:lineRule="auto"/>
        <w:jc w:val="both"/>
        <w:sectPr>
          <w:pgSz w:w="11910" w:h="16840"/>
          <w:pgMar w:header="1424" w:footer="0" w:top="1840" w:bottom="280" w:left="1540" w:right="1540"/>
        </w:sectPr>
      </w:pPr>
    </w:p>
    <w:p>
      <w:pPr>
        <w:pStyle w:val="BodyText"/>
        <w:rPr>
          <w:sz w:val="20"/>
        </w:rPr>
      </w:pPr>
    </w:p>
    <w:p>
      <w:pPr>
        <w:pStyle w:val="BodyText"/>
        <w:spacing w:before="8"/>
        <w:rPr>
          <w:sz w:val="18"/>
        </w:rPr>
      </w:pPr>
    </w:p>
    <w:p>
      <w:pPr>
        <w:spacing w:before="0"/>
        <w:ind w:left="855" w:right="1018" w:firstLine="0"/>
        <w:jc w:val="center"/>
        <w:rPr>
          <w:b/>
          <w:sz w:val="18"/>
        </w:rPr>
      </w:pPr>
      <w:r>
        <w:rPr>
          <w:b/>
          <w:sz w:val="18"/>
        </w:rPr>
        <w:t>Correlaciones</w:t>
      </w:r>
    </w:p>
    <w:p>
      <w:pPr>
        <w:pStyle w:val="BodyText"/>
        <w:spacing w:before="8"/>
        <w:rPr>
          <w:b/>
          <w:sz w:val="9"/>
        </w:rPr>
      </w:pPr>
    </w:p>
    <w:tbl>
      <w:tblPr>
        <w:tblW w:w="0" w:type="auto"/>
        <w:jc w:val="left"/>
        <w:tblInd w:w="27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694"/>
        <w:gridCol w:w="2235"/>
        <w:gridCol w:w="1389"/>
        <w:gridCol w:w="1403"/>
        <w:gridCol w:w="1417"/>
      </w:tblGrid>
      <w:tr>
        <w:trPr>
          <w:trHeight w:val="729" w:hRule="exact"/>
        </w:trPr>
        <w:tc>
          <w:tcPr>
            <w:tcW w:w="3929" w:type="dxa"/>
            <w:gridSpan w:val="2"/>
          </w:tcPr>
          <w:p>
            <w:pPr/>
          </w:p>
        </w:tc>
        <w:tc>
          <w:tcPr>
            <w:tcW w:w="1389" w:type="dxa"/>
            <w:tcBorders>
              <w:right w:val="single" w:sz="6" w:space="0" w:color="000000"/>
            </w:tcBorders>
          </w:tcPr>
          <w:p>
            <w:pPr>
              <w:pStyle w:val="TableParagraph"/>
              <w:spacing w:line="259" w:lineRule="auto" w:before="42"/>
              <w:ind w:left="116" w:right="163"/>
              <w:jc w:val="center"/>
              <w:rPr>
                <w:sz w:val="18"/>
              </w:rPr>
            </w:pPr>
            <w:r>
              <w:rPr>
                <w:sz w:val="18"/>
              </w:rPr>
              <w:t>Comprensión Lectura Español</w:t>
            </w:r>
          </w:p>
        </w:tc>
        <w:tc>
          <w:tcPr>
            <w:tcW w:w="1403" w:type="dxa"/>
            <w:tcBorders>
              <w:left w:val="single" w:sz="6" w:space="0" w:color="000000"/>
              <w:right w:val="single" w:sz="6" w:space="0" w:color="000000"/>
            </w:tcBorders>
          </w:tcPr>
          <w:p>
            <w:pPr>
              <w:pStyle w:val="TableParagraph"/>
              <w:spacing w:before="9"/>
              <w:jc w:val="left"/>
              <w:rPr>
                <w:b/>
                <w:sz w:val="22"/>
              </w:rPr>
            </w:pPr>
          </w:p>
          <w:p>
            <w:pPr>
              <w:pStyle w:val="TableParagraph"/>
              <w:spacing w:line="261" w:lineRule="auto"/>
              <w:ind w:left="107" w:right="-21" w:firstLine="28"/>
              <w:jc w:val="left"/>
              <w:rPr>
                <w:sz w:val="18"/>
              </w:rPr>
            </w:pPr>
            <w:r>
              <w:rPr>
                <w:sz w:val="18"/>
              </w:rPr>
              <w:t>Comprensión Lectura Inglés</w:t>
            </w:r>
          </w:p>
        </w:tc>
        <w:tc>
          <w:tcPr>
            <w:tcW w:w="1417" w:type="dxa"/>
            <w:tcBorders>
              <w:left w:val="single" w:sz="6" w:space="0" w:color="000000"/>
            </w:tcBorders>
          </w:tcPr>
          <w:p>
            <w:pPr>
              <w:pStyle w:val="TableParagraph"/>
              <w:spacing w:line="259" w:lineRule="auto" w:before="42"/>
              <w:ind w:left="144" w:right="178"/>
              <w:jc w:val="center"/>
              <w:rPr>
                <w:sz w:val="18"/>
              </w:rPr>
            </w:pPr>
            <w:r>
              <w:rPr>
                <w:sz w:val="18"/>
              </w:rPr>
              <w:t>Competencia Lingüística Inglés</w:t>
            </w:r>
          </w:p>
        </w:tc>
      </w:tr>
      <w:tr>
        <w:trPr>
          <w:trHeight w:val="226" w:hRule="exact"/>
        </w:trPr>
        <w:tc>
          <w:tcPr>
            <w:tcW w:w="1694" w:type="dxa"/>
            <w:tcBorders>
              <w:bottom w:val="nil"/>
              <w:right w:val="nil"/>
            </w:tcBorders>
          </w:tcPr>
          <w:p>
            <w:pPr>
              <w:pStyle w:val="TableParagraph"/>
              <w:spacing w:line="187" w:lineRule="exact"/>
              <w:ind w:left="99"/>
              <w:jc w:val="left"/>
              <w:rPr>
                <w:sz w:val="18"/>
              </w:rPr>
            </w:pPr>
            <w:r>
              <w:rPr>
                <w:sz w:val="18"/>
              </w:rPr>
              <w:t>Comprensión</w:t>
            </w:r>
          </w:p>
        </w:tc>
        <w:tc>
          <w:tcPr>
            <w:tcW w:w="2235" w:type="dxa"/>
            <w:tcBorders>
              <w:left w:val="nil"/>
              <w:bottom w:val="nil"/>
            </w:tcBorders>
          </w:tcPr>
          <w:p>
            <w:pPr>
              <w:pStyle w:val="TableParagraph"/>
              <w:spacing w:line="187" w:lineRule="exact"/>
              <w:ind w:left="158"/>
              <w:jc w:val="left"/>
              <w:rPr>
                <w:sz w:val="18"/>
              </w:rPr>
            </w:pPr>
            <w:r>
              <w:rPr>
                <w:sz w:val="18"/>
              </w:rPr>
              <w:t>Correlación de Pearson</w:t>
            </w:r>
          </w:p>
        </w:tc>
        <w:tc>
          <w:tcPr>
            <w:tcW w:w="1389" w:type="dxa"/>
            <w:tcBorders>
              <w:bottom w:val="nil"/>
              <w:right w:val="single" w:sz="6" w:space="0" w:color="000000"/>
            </w:tcBorders>
          </w:tcPr>
          <w:p>
            <w:pPr>
              <w:pStyle w:val="TableParagraph"/>
              <w:spacing w:line="201" w:lineRule="exact"/>
              <w:ind w:right="130"/>
              <w:rPr>
                <w:sz w:val="18"/>
              </w:rPr>
            </w:pPr>
            <w:r>
              <w:rPr>
                <w:w w:val="101"/>
                <w:sz w:val="18"/>
              </w:rPr>
              <w:t>1</w:t>
            </w:r>
          </w:p>
        </w:tc>
        <w:tc>
          <w:tcPr>
            <w:tcW w:w="1403" w:type="dxa"/>
            <w:tcBorders>
              <w:left w:val="single" w:sz="6" w:space="0" w:color="000000"/>
              <w:bottom w:val="nil"/>
              <w:right w:val="single" w:sz="6" w:space="0" w:color="000000"/>
            </w:tcBorders>
          </w:tcPr>
          <w:p>
            <w:pPr>
              <w:pStyle w:val="TableParagraph"/>
              <w:spacing w:line="201" w:lineRule="exact"/>
              <w:ind w:left="899" w:right="-21"/>
              <w:jc w:val="left"/>
              <w:rPr>
                <w:sz w:val="18"/>
              </w:rPr>
            </w:pPr>
            <w:r>
              <w:rPr>
                <w:sz w:val="18"/>
              </w:rPr>
              <w:t>.466**</w:t>
            </w:r>
          </w:p>
        </w:tc>
        <w:tc>
          <w:tcPr>
            <w:tcW w:w="1417" w:type="dxa"/>
            <w:tcBorders>
              <w:left w:val="single" w:sz="6" w:space="0" w:color="000000"/>
              <w:bottom w:val="nil"/>
            </w:tcBorders>
          </w:tcPr>
          <w:p>
            <w:pPr>
              <w:pStyle w:val="TableParagraph"/>
              <w:spacing w:line="201" w:lineRule="exact"/>
              <w:ind w:right="-5"/>
              <w:rPr>
                <w:sz w:val="18"/>
              </w:rPr>
            </w:pPr>
            <w:r>
              <w:rPr>
                <w:sz w:val="18"/>
              </w:rPr>
              <w:t>.391**</w:t>
            </w:r>
          </w:p>
        </w:tc>
      </w:tr>
      <w:tr>
        <w:trPr>
          <w:trHeight w:val="288" w:hRule="exact"/>
        </w:trPr>
        <w:tc>
          <w:tcPr>
            <w:tcW w:w="1694" w:type="dxa"/>
            <w:tcBorders>
              <w:top w:val="nil"/>
              <w:bottom w:val="nil"/>
              <w:right w:val="nil"/>
            </w:tcBorders>
          </w:tcPr>
          <w:p>
            <w:pPr>
              <w:pStyle w:val="TableParagraph"/>
              <w:spacing w:line="200" w:lineRule="exact"/>
              <w:ind w:left="99"/>
              <w:jc w:val="left"/>
              <w:rPr>
                <w:sz w:val="18"/>
              </w:rPr>
            </w:pPr>
            <w:r>
              <w:rPr>
                <w:sz w:val="18"/>
              </w:rPr>
              <w:t>Lectura Español</w:t>
            </w:r>
          </w:p>
        </w:tc>
        <w:tc>
          <w:tcPr>
            <w:tcW w:w="2235" w:type="dxa"/>
            <w:tcBorders>
              <w:top w:val="nil"/>
              <w:left w:val="nil"/>
              <w:bottom w:val="nil"/>
            </w:tcBorders>
          </w:tcPr>
          <w:p>
            <w:pPr>
              <w:pStyle w:val="TableParagraph"/>
              <w:spacing w:before="36"/>
              <w:ind w:left="158"/>
              <w:jc w:val="left"/>
              <w:rPr>
                <w:sz w:val="18"/>
              </w:rPr>
            </w:pPr>
            <w:r>
              <w:rPr>
                <w:sz w:val="18"/>
              </w:rPr>
              <w:t>Sig. (bilateral)</w:t>
            </w:r>
          </w:p>
        </w:tc>
        <w:tc>
          <w:tcPr>
            <w:tcW w:w="1389" w:type="dxa"/>
            <w:tcBorders>
              <w:top w:val="nil"/>
              <w:bottom w:val="nil"/>
              <w:right w:val="single" w:sz="6" w:space="0" w:color="000000"/>
            </w:tcBorders>
          </w:tcPr>
          <w:p>
            <w:pPr/>
          </w:p>
        </w:tc>
        <w:tc>
          <w:tcPr>
            <w:tcW w:w="1403" w:type="dxa"/>
            <w:tcBorders>
              <w:top w:val="nil"/>
              <w:left w:val="single" w:sz="6" w:space="0" w:color="000000"/>
              <w:bottom w:val="nil"/>
              <w:right w:val="single" w:sz="6" w:space="0" w:color="000000"/>
            </w:tcBorders>
          </w:tcPr>
          <w:p>
            <w:pPr>
              <w:pStyle w:val="TableParagraph"/>
              <w:spacing w:before="51"/>
              <w:ind w:left="899" w:right="-21"/>
              <w:jc w:val="left"/>
              <w:rPr>
                <w:sz w:val="18"/>
              </w:rPr>
            </w:pPr>
            <w:r>
              <w:rPr>
                <w:sz w:val="18"/>
              </w:rPr>
              <w:t>.000</w:t>
            </w:r>
          </w:p>
        </w:tc>
        <w:tc>
          <w:tcPr>
            <w:tcW w:w="1417" w:type="dxa"/>
            <w:tcBorders>
              <w:top w:val="nil"/>
              <w:left w:val="single" w:sz="6" w:space="0" w:color="000000"/>
              <w:bottom w:val="nil"/>
            </w:tcBorders>
          </w:tcPr>
          <w:p>
            <w:pPr>
              <w:pStyle w:val="TableParagraph"/>
              <w:spacing w:before="51"/>
              <w:ind w:right="134"/>
              <w:rPr>
                <w:sz w:val="18"/>
              </w:rPr>
            </w:pPr>
            <w:r>
              <w:rPr>
                <w:sz w:val="18"/>
              </w:rPr>
              <w:t>.000</w:t>
            </w:r>
          </w:p>
        </w:tc>
      </w:tr>
      <w:tr>
        <w:trPr>
          <w:trHeight w:val="271" w:hRule="exact"/>
        </w:trPr>
        <w:tc>
          <w:tcPr>
            <w:tcW w:w="1694" w:type="dxa"/>
            <w:tcBorders>
              <w:top w:val="nil"/>
              <w:bottom w:val="single" w:sz="6" w:space="0" w:color="000000"/>
              <w:right w:val="nil"/>
            </w:tcBorders>
          </w:tcPr>
          <w:p>
            <w:pPr/>
          </w:p>
        </w:tc>
        <w:tc>
          <w:tcPr>
            <w:tcW w:w="2235" w:type="dxa"/>
            <w:tcBorders>
              <w:top w:val="nil"/>
              <w:left w:val="nil"/>
              <w:bottom w:val="single" w:sz="6" w:space="0" w:color="000000"/>
            </w:tcBorders>
          </w:tcPr>
          <w:p>
            <w:pPr>
              <w:pStyle w:val="TableParagraph"/>
              <w:spacing w:before="12"/>
              <w:ind w:left="158"/>
              <w:jc w:val="left"/>
              <w:rPr>
                <w:sz w:val="18"/>
              </w:rPr>
            </w:pPr>
            <w:r>
              <w:rPr>
                <w:w w:val="101"/>
                <w:sz w:val="18"/>
              </w:rPr>
              <w:t>N</w:t>
            </w:r>
          </w:p>
        </w:tc>
        <w:tc>
          <w:tcPr>
            <w:tcW w:w="1389" w:type="dxa"/>
            <w:tcBorders>
              <w:top w:val="nil"/>
              <w:bottom w:val="single" w:sz="6" w:space="0" w:color="000000"/>
              <w:right w:val="single" w:sz="6" w:space="0" w:color="000000"/>
            </w:tcBorders>
          </w:tcPr>
          <w:p>
            <w:pPr>
              <w:pStyle w:val="TableParagraph"/>
              <w:spacing w:before="27"/>
              <w:ind w:right="128"/>
              <w:rPr>
                <w:sz w:val="18"/>
              </w:rPr>
            </w:pPr>
            <w:r>
              <w:rPr>
                <w:sz w:val="18"/>
              </w:rPr>
              <w:t>202</w:t>
            </w:r>
          </w:p>
        </w:tc>
        <w:tc>
          <w:tcPr>
            <w:tcW w:w="1403" w:type="dxa"/>
            <w:tcBorders>
              <w:top w:val="nil"/>
              <w:left w:val="single" w:sz="6" w:space="0" w:color="000000"/>
              <w:bottom w:val="single" w:sz="6" w:space="0" w:color="000000"/>
              <w:right w:val="single" w:sz="6" w:space="0" w:color="000000"/>
            </w:tcBorders>
          </w:tcPr>
          <w:p>
            <w:pPr>
              <w:pStyle w:val="TableParagraph"/>
              <w:spacing w:before="27"/>
              <w:ind w:left="952" w:right="-21"/>
              <w:jc w:val="left"/>
              <w:rPr>
                <w:sz w:val="18"/>
              </w:rPr>
            </w:pPr>
            <w:r>
              <w:rPr>
                <w:sz w:val="18"/>
              </w:rPr>
              <w:t>202</w:t>
            </w:r>
          </w:p>
        </w:tc>
        <w:tc>
          <w:tcPr>
            <w:tcW w:w="1417" w:type="dxa"/>
            <w:tcBorders>
              <w:top w:val="nil"/>
              <w:left w:val="single" w:sz="6" w:space="0" w:color="000000"/>
              <w:bottom w:val="single" w:sz="6" w:space="0" w:color="000000"/>
            </w:tcBorders>
          </w:tcPr>
          <w:p>
            <w:pPr>
              <w:pStyle w:val="TableParagraph"/>
              <w:spacing w:before="27"/>
              <w:ind w:right="133"/>
              <w:rPr>
                <w:sz w:val="18"/>
              </w:rPr>
            </w:pPr>
            <w:r>
              <w:rPr>
                <w:sz w:val="18"/>
              </w:rPr>
              <w:t>202</w:t>
            </w:r>
          </w:p>
        </w:tc>
      </w:tr>
      <w:tr>
        <w:trPr>
          <w:trHeight w:val="240" w:hRule="exact"/>
        </w:trPr>
        <w:tc>
          <w:tcPr>
            <w:tcW w:w="1694" w:type="dxa"/>
            <w:tcBorders>
              <w:top w:val="single" w:sz="6" w:space="0" w:color="000000"/>
              <w:bottom w:val="nil"/>
              <w:right w:val="nil"/>
            </w:tcBorders>
          </w:tcPr>
          <w:p>
            <w:pPr>
              <w:pStyle w:val="TableParagraph"/>
              <w:spacing w:before="3"/>
              <w:ind w:left="99"/>
              <w:jc w:val="left"/>
              <w:rPr>
                <w:sz w:val="18"/>
              </w:rPr>
            </w:pPr>
            <w:r>
              <w:rPr>
                <w:sz w:val="18"/>
              </w:rPr>
              <w:t>Comprensión</w:t>
            </w:r>
          </w:p>
        </w:tc>
        <w:tc>
          <w:tcPr>
            <w:tcW w:w="2235" w:type="dxa"/>
            <w:tcBorders>
              <w:top w:val="single" w:sz="6" w:space="0" w:color="000000"/>
              <w:left w:val="nil"/>
              <w:bottom w:val="nil"/>
            </w:tcBorders>
          </w:tcPr>
          <w:p>
            <w:pPr>
              <w:pStyle w:val="TableParagraph"/>
              <w:spacing w:before="3"/>
              <w:ind w:left="158"/>
              <w:jc w:val="left"/>
              <w:rPr>
                <w:sz w:val="18"/>
              </w:rPr>
            </w:pPr>
            <w:r>
              <w:rPr>
                <w:sz w:val="18"/>
              </w:rPr>
              <w:t>Correlación de Pearson</w:t>
            </w:r>
          </w:p>
        </w:tc>
        <w:tc>
          <w:tcPr>
            <w:tcW w:w="1389" w:type="dxa"/>
            <w:tcBorders>
              <w:top w:val="single" w:sz="6" w:space="0" w:color="000000"/>
              <w:bottom w:val="nil"/>
              <w:right w:val="single" w:sz="6" w:space="0" w:color="000000"/>
            </w:tcBorders>
          </w:tcPr>
          <w:p>
            <w:pPr>
              <w:pStyle w:val="TableParagraph"/>
              <w:spacing w:before="17"/>
              <w:ind w:right="-11"/>
              <w:rPr>
                <w:sz w:val="18"/>
              </w:rPr>
            </w:pPr>
            <w:r>
              <w:rPr>
                <w:sz w:val="18"/>
              </w:rPr>
              <w:t>.466**</w:t>
            </w:r>
          </w:p>
        </w:tc>
        <w:tc>
          <w:tcPr>
            <w:tcW w:w="1403" w:type="dxa"/>
            <w:tcBorders>
              <w:top w:val="single" w:sz="6" w:space="0" w:color="000000"/>
              <w:left w:val="single" w:sz="6" w:space="0" w:color="000000"/>
              <w:bottom w:val="nil"/>
              <w:right w:val="single" w:sz="6" w:space="0" w:color="000000"/>
            </w:tcBorders>
          </w:tcPr>
          <w:p>
            <w:pPr>
              <w:pStyle w:val="TableParagraph"/>
              <w:spacing w:before="17"/>
              <w:ind w:right="131"/>
              <w:rPr>
                <w:sz w:val="18"/>
              </w:rPr>
            </w:pPr>
            <w:r>
              <w:rPr>
                <w:w w:val="101"/>
                <w:sz w:val="18"/>
              </w:rPr>
              <w:t>1</w:t>
            </w:r>
          </w:p>
        </w:tc>
        <w:tc>
          <w:tcPr>
            <w:tcW w:w="1417" w:type="dxa"/>
            <w:tcBorders>
              <w:top w:val="single" w:sz="6" w:space="0" w:color="000000"/>
              <w:left w:val="single" w:sz="6" w:space="0" w:color="000000"/>
              <w:bottom w:val="nil"/>
            </w:tcBorders>
          </w:tcPr>
          <w:p>
            <w:pPr>
              <w:pStyle w:val="TableParagraph"/>
              <w:spacing w:before="17"/>
              <w:ind w:right="-5"/>
              <w:rPr>
                <w:sz w:val="18"/>
              </w:rPr>
            </w:pPr>
            <w:r>
              <w:rPr>
                <w:sz w:val="18"/>
              </w:rPr>
              <w:t>.539**</w:t>
            </w:r>
          </w:p>
        </w:tc>
      </w:tr>
      <w:tr>
        <w:trPr>
          <w:trHeight w:val="288" w:hRule="exact"/>
        </w:trPr>
        <w:tc>
          <w:tcPr>
            <w:tcW w:w="1694" w:type="dxa"/>
            <w:tcBorders>
              <w:top w:val="nil"/>
              <w:bottom w:val="nil"/>
              <w:right w:val="nil"/>
            </w:tcBorders>
          </w:tcPr>
          <w:p>
            <w:pPr>
              <w:pStyle w:val="TableParagraph"/>
              <w:spacing w:line="198" w:lineRule="exact"/>
              <w:ind w:left="99"/>
              <w:jc w:val="left"/>
              <w:rPr>
                <w:sz w:val="18"/>
              </w:rPr>
            </w:pPr>
            <w:r>
              <w:rPr>
                <w:sz w:val="18"/>
              </w:rPr>
              <w:t>Lectura Inglés</w:t>
            </w:r>
          </w:p>
        </w:tc>
        <w:tc>
          <w:tcPr>
            <w:tcW w:w="2235" w:type="dxa"/>
            <w:tcBorders>
              <w:top w:val="nil"/>
              <w:left w:val="nil"/>
              <w:bottom w:val="nil"/>
            </w:tcBorders>
          </w:tcPr>
          <w:p>
            <w:pPr>
              <w:pStyle w:val="TableParagraph"/>
              <w:spacing w:before="34"/>
              <w:ind w:left="158"/>
              <w:jc w:val="left"/>
              <w:rPr>
                <w:sz w:val="18"/>
              </w:rPr>
            </w:pPr>
            <w:r>
              <w:rPr>
                <w:sz w:val="18"/>
              </w:rPr>
              <w:t>Sig. (bilateral)</w:t>
            </w:r>
          </w:p>
        </w:tc>
        <w:tc>
          <w:tcPr>
            <w:tcW w:w="1389" w:type="dxa"/>
            <w:tcBorders>
              <w:top w:val="nil"/>
              <w:bottom w:val="nil"/>
              <w:right w:val="single" w:sz="6" w:space="0" w:color="000000"/>
            </w:tcBorders>
          </w:tcPr>
          <w:p>
            <w:pPr>
              <w:pStyle w:val="TableParagraph"/>
              <w:spacing w:before="48"/>
              <w:ind w:right="129"/>
              <w:rPr>
                <w:sz w:val="18"/>
              </w:rPr>
            </w:pPr>
            <w:r>
              <w:rPr>
                <w:sz w:val="18"/>
              </w:rPr>
              <w:t>.000</w:t>
            </w:r>
          </w:p>
        </w:tc>
        <w:tc>
          <w:tcPr>
            <w:tcW w:w="1403" w:type="dxa"/>
            <w:tcBorders>
              <w:top w:val="nil"/>
              <w:left w:val="single" w:sz="6" w:space="0" w:color="000000"/>
              <w:bottom w:val="nil"/>
              <w:right w:val="single" w:sz="6" w:space="0" w:color="000000"/>
            </w:tcBorders>
          </w:tcPr>
          <w:p>
            <w:pPr/>
          </w:p>
        </w:tc>
        <w:tc>
          <w:tcPr>
            <w:tcW w:w="1417" w:type="dxa"/>
            <w:tcBorders>
              <w:top w:val="nil"/>
              <w:left w:val="single" w:sz="6" w:space="0" w:color="000000"/>
              <w:bottom w:val="nil"/>
            </w:tcBorders>
          </w:tcPr>
          <w:p>
            <w:pPr>
              <w:pStyle w:val="TableParagraph"/>
              <w:spacing w:before="48"/>
              <w:ind w:right="134"/>
              <w:rPr>
                <w:sz w:val="18"/>
              </w:rPr>
            </w:pPr>
            <w:r>
              <w:rPr>
                <w:sz w:val="18"/>
              </w:rPr>
              <w:t>.000</w:t>
            </w:r>
          </w:p>
        </w:tc>
      </w:tr>
      <w:tr>
        <w:trPr>
          <w:trHeight w:val="271" w:hRule="exact"/>
        </w:trPr>
        <w:tc>
          <w:tcPr>
            <w:tcW w:w="1694" w:type="dxa"/>
            <w:tcBorders>
              <w:top w:val="nil"/>
              <w:bottom w:val="single" w:sz="6" w:space="0" w:color="000000"/>
              <w:right w:val="nil"/>
            </w:tcBorders>
          </w:tcPr>
          <w:p>
            <w:pPr/>
          </w:p>
        </w:tc>
        <w:tc>
          <w:tcPr>
            <w:tcW w:w="2235" w:type="dxa"/>
            <w:tcBorders>
              <w:top w:val="nil"/>
              <w:left w:val="nil"/>
              <w:bottom w:val="single" w:sz="6" w:space="0" w:color="000000"/>
            </w:tcBorders>
          </w:tcPr>
          <w:p>
            <w:pPr>
              <w:pStyle w:val="TableParagraph"/>
              <w:spacing w:before="15"/>
              <w:ind w:left="158"/>
              <w:jc w:val="left"/>
              <w:rPr>
                <w:sz w:val="18"/>
              </w:rPr>
            </w:pPr>
            <w:r>
              <w:rPr>
                <w:w w:val="101"/>
                <w:sz w:val="18"/>
              </w:rPr>
              <w:t>N</w:t>
            </w:r>
          </w:p>
        </w:tc>
        <w:tc>
          <w:tcPr>
            <w:tcW w:w="1389" w:type="dxa"/>
            <w:tcBorders>
              <w:top w:val="nil"/>
              <w:bottom w:val="single" w:sz="6" w:space="0" w:color="000000"/>
              <w:right w:val="single" w:sz="6" w:space="0" w:color="000000"/>
            </w:tcBorders>
          </w:tcPr>
          <w:p>
            <w:pPr>
              <w:pStyle w:val="TableParagraph"/>
              <w:spacing w:before="29"/>
              <w:ind w:right="128"/>
              <w:rPr>
                <w:sz w:val="18"/>
              </w:rPr>
            </w:pPr>
            <w:r>
              <w:rPr>
                <w:sz w:val="18"/>
              </w:rPr>
              <w:t>202</w:t>
            </w:r>
          </w:p>
        </w:tc>
        <w:tc>
          <w:tcPr>
            <w:tcW w:w="1403" w:type="dxa"/>
            <w:tcBorders>
              <w:top w:val="nil"/>
              <w:left w:val="single" w:sz="6" w:space="0" w:color="000000"/>
              <w:bottom w:val="single" w:sz="6" w:space="0" w:color="000000"/>
              <w:right w:val="single" w:sz="6" w:space="0" w:color="000000"/>
            </w:tcBorders>
          </w:tcPr>
          <w:p>
            <w:pPr>
              <w:pStyle w:val="TableParagraph"/>
              <w:spacing w:before="29"/>
              <w:ind w:left="952" w:right="-21"/>
              <w:jc w:val="left"/>
              <w:rPr>
                <w:sz w:val="18"/>
              </w:rPr>
            </w:pPr>
            <w:r>
              <w:rPr>
                <w:sz w:val="18"/>
              </w:rPr>
              <w:t>202</w:t>
            </w:r>
          </w:p>
        </w:tc>
        <w:tc>
          <w:tcPr>
            <w:tcW w:w="1417" w:type="dxa"/>
            <w:tcBorders>
              <w:top w:val="nil"/>
              <w:left w:val="single" w:sz="6" w:space="0" w:color="000000"/>
              <w:bottom w:val="single" w:sz="6" w:space="0" w:color="000000"/>
            </w:tcBorders>
          </w:tcPr>
          <w:p>
            <w:pPr>
              <w:pStyle w:val="TableParagraph"/>
              <w:spacing w:before="29"/>
              <w:ind w:right="133"/>
              <w:rPr>
                <w:sz w:val="18"/>
              </w:rPr>
            </w:pPr>
            <w:r>
              <w:rPr>
                <w:sz w:val="18"/>
              </w:rPr>
              <w:t>202</w:t>
            </w:r>
          </w:p>
        </w:tc>
      </w:tr>
      <w:tr>
        <w:trPr>
          <w:trHeight w:val="240" w:hRule="exact"/>
        </w:trPr>
        <w:tc>
          <w:tcPr>
            <w:tcW w:w="1694" w:type="dxa"/>
            <w:tcBorders>
              <w:top w:val="single" w:sz="6" w:space="0" w:color="000000"/>
              <w:bottom w:val="nil"/>
              <w:right w:val="nil"/>
            </w:tcBorders>
          </w:tcPr>
          <w:p>
            <w:pPr>
              <w:pStyle w:val="TableParagraph"/>
              <w:spacing w:before="1"/>
              <w:ind w:left="99"/>
              <w:jc w:val="left"/>
              <w:rPr>
                <w:sz w:val="18"/>
              </w:rPr>
            </w:pPr>
            <w:r>
              <w:rPr>
                <w:sz w:val="18"/>
              </w:rPr>
              <w:t>Competencia</w:t>
            </w:r>
          </w:p>
        </w:tc>
        <w:tc>
          <w:tcPr>
            <w:tcW w:w="2235" w:type="dxa"/>
            <w:tcBorders>
              <w:top w:val="single" w:sz="6" w:space="0" w:color="000000"/>
              <w:left w:val="nil"/>
              <w:bottom w:val="nil"/>
            </w:tcBorders>
          </w:tcPr>
          <w:p>
            <w:pPr>
              <w:pStyle w:val="TableParagraph"/>
              <w:spacing w:before="1"/>
              <w:ind w:left="158"/>
              <w:jc w:val="left"/>
              <w:rPr>
                <w:sz w:val="18"/>
              </w:rPr>
            </w:pPr>
            <w:r>
              <w:rPr>
                <w:sz w:val="18"/>
              </w:rPr>
              <w:t>Correlación de Pearson</w:t>
            </w:r>
          </w:p>
        </w:tc>
        <w:tc>
          <w:tcPr>
            <w:tcW w:w="1389" w:type="dxa"/>
            <w:tcBorders>
              <w:top w:val="single" w:sz="6" w:space="0" w:color="000000"/>
              <w:bottom w:val="nil"/>
              <w:right w:val="single" w:sz="6" w:space="0" w:color="000000"/>
            </w:tcBorders>
          </w:tcPr>
          <w:p>
            <w:pPr>
              <w:pStyle w:val="TableParagraph"/>
              <w:spacing w:before="15"/>
              <w:ind w:right="-11"/>
              <w:rPr>
                <w:sz w:val="18"/>
              </w:rPr>
            </w:pPr>
            <w:r>
              <w:rPr>
                <w:sz w:val="18"/>
              </w:rPr>
              <w:t>.391**</w:t>
            </w:r>
          </w:p>
        </w:tc>
        <w:tc>
          <w:tcPr>
            <w:tcW w:w="1403" w:type="dxa"/>
            <w:tcBorders>
              <w:top w:val="single" w:sz="6" w:space="0" w:color="000000"/>
              <w:left w:val="single" w:sz="6" w:space="0" w:color="000000"/>
              <w:bottom w:val="nil"/>
              <w:right w:val="single" w:sz="6" w:space="0" w:color="000000"/>
            </w:tcBorders>
          </w:tcPr>
          <w:p>
            <w:pPr>
              <w:pStyle w:val="TableParagraph"/>
              <w:spacing w:before="15"/>
              <w:ind w:left="899" w:right="-21"/>
              <w:jc w:val="left"/>
              <w:rPr>
                <w:sz w:val="18"/>
              </w:rPr>
            </w:pPr>
            <w:r>
              <w:rPr>
                <w:sz w:val="18"/>
              </w:rPr>
              <w:t>.539**</w:t>
            </w:r>
          </w:p>
        </w:tc>
        <w:tc>
          <w:tcPr>
            <w:tcW w:w="1417" w:type="dxa"/>
            <w:tcBorders>
              <w:top w:val="single" w:sz="6" w:space="0" w:color="000000"/>
              <w:left w:val="single" w:sz="6" w:space="0" w:color="000000"/>
              <w:bottom w:val="nil"/>
            </w:tcBorders>
          </w:tcPr>
          <w:p>
            <w:pPr>
              <w:pStyle w:val="TableParagraph"/>
              <w:spacing w:before="15"/>
              <w:ind w:right="135"/>
              <w:rPr>
                <w:sz w:val="18"/>
              </w:rPr>
            </w:pPr>
            <w:r>
              <w:rPr>
                <w:w w:val="101"/>
                <w:sz w:val="18"/>
              </w:rPr>
              <w:t>1</w:t>
            </w:r>
          </w:p>
        </w:tc>
      </w:tr>
      <w:tr>
        <w:trPr>
          <w:trHeight w:val="288" w:hRule="exact"/>
        </w:trPr>
        <w:tc>
          <w:tcPr>
            <w:tcW w:w="1694" w:type="dxa"/>
            <w:tcBorders>
              <w:top w:val="nil"/>
              <w:bottom w:val="nil"/>
              <w:right w:val="nil"/>
            </w:tcBorders>
          </w:tcPr>
          <w:p>
            <w:pPr>
              <w:pStyle w:val="TableParagraph"/>
              <w:spacing w:line="200" w:lineRule="exact"/>
              <w:ind w:left="99"/>
              <w:jc w:val="left"/>
              <w:rPr>
                <w:sz w:val="18"/>
              </w:rPr>
            </w:pPr>
            <w:r>
              <w:rPr>
                <w:sz w:val="18"/>
              </w:rPr>
              <w:t>Lingüística Inglés</w:t>
            </w:r>
          </w:p>
        </w:tc>
        <w:tc>
          <w:tcPr>
            <w:tcW w:w="2235" w:type="dxa"/>
            <w:tcBorders>
              <w:top w:val="nil"/>
              <w:left w:val="nil"/>
              <w:bottom w:val="nil"/>
            </w:tcBorders>
          </w:tcPr>
          <w:p>
            <w:pPr>
              <w:pStyle w:val="TableParagraph"/>
              <w:spacing w:before="36"/>
              <w:ind w:left="158"/>
              <w:jc w:val="left"/>
              <w:rPr>
                <w:sz w:val="18"/>
              </w:rPr>
            </w:pPr>
            <w:r>
              <w:rPr>
                <w:sz w:val="18"/>
              </w:rPr>
              <w:t>Sig. (bilateral)</w:t>
            </w:r>
          </w:p>
        </w:tc>
        <w:tc>
          <w:tcPr>
            <w:tcW w:w="1389" w:type="dxa"/>
            <w:tcBorders>
              <w:top w:val="nil"/>
              <w:bottom w:val="nil"/>
              <w:right w:val="single" w:sz="6" w:space="0" w:color="000000"/>
            </w:tcBorders>
          </w:tcPr>
          <w:p>
            <w:pPr>
              <w:pStyle w:val="TableParagraph"/>
              <w:spacing w:before="51"/>
              <w:ind w:right="129"/>
              <w:rPr>
                <w:sz w:val="18"/>
              </w:rPr>
            </w:pPr>
            <w:r>
              <w:rPr>
                <w:sz w:val="18"/>
              </w:rPr>
              <w:t>.000</w:t>
            </w:r>
          </w:p>
        </w:tc>
        <w:tc>
          <w:tcPr>
            <w:tcW w:w="1403" w:type="dxa"/>
            <w:tcBorders>
              <w:top w:val="nil"/>
              <w:left w:val="single" w:sz="6" w:space="0" w:color="000000"/>
              <w:bottom w:val="nil"/>
              <w:right w:val="single" w:sz="6" w:space="0" w:color="000000"/>
            </w:tcBorders>
          </w:tcPr>
          <w:p>
            <w:pPr>
              <w:pStyle w:val="TableParagraph"/>
              <w:spacing w:before="51"/>
              <w:ind w:left="899" w:right="-21"/>
              <w:jc w:val="left"/>
              <w:rPr>
                <w:sz w:val="18"/>
              </w:rPr>
            </w:pPr>
            <w:r>
              <w:rPr>
                <w:sz w:val="18"/>
              </w:rPr>
              <w:t>.000</w:t>
            </w:r>
          </w:p>
        </w:tc>
        <w:tc>
          <w:tcPr>
            <w:tcW w:w="1417" w:type="dxa"/>
            <w:tcBorders>
              <w:top w:val="nil"/>
              <w:left w:val="single" w:sz="6" w:space="0" w:color="000000"/>
              <w:bottom w:val="nil"/>
            </w:tcBorders>
          </w:tcPr>
          <w:p>
            <w:pPr/>
          </w:p>
        </w:tc>
      </w:tr>
      <w:tr>
        <w:trPr>
          <w:trHeight w:val="524" w:hRule="exact"/>
        </w:trPr>
        <w:tc>
          <w:tcPr>
            <w:tcW w:w="1694" w:type="dxa"/>
            <w:tcBorders>
              <w:top w:val="nil"/>
              <w:right w:val="nil"/>
            </w:tcBorders>
          </w:tcPr>
          <w:p>
            <w:pPr/>
          </w:p>
        </w:tc>
        <w:tc>
          <w:tcPr>
            <w:tcW w:w="2235" w:type="dxa"/>
            <w:tcBorders>
              <w:top w:val="nil"/>
              <w:left w:val="nil"/>
            </w:tcBorders>
          </w:tcPr>
          <w:p>
            <w:pPr>
              <w:pStyle w:val="TableParagraph"/>
              <w:spacing w:before="12"/>
              <w:ind w:left="158"/>
              <w:jc w:val="left"/>
              <w:rPr>
                <w:sz w:val="18"/>
              </w:rPr>
            </w:pPr>
            <w:r>
              <w:rPr>
                <w:w w:val="101"/>
                <w:sz w:val="18"/>
              </w:rPr>
              <w:t>N</w:t>
            </w:r>
          </w:p>
        </w:tc>
        <w:tc>
          <w:tcPr>
            <w:tcW w:w="1389" w:type="dxa"/>
            <w:tcBorders>
              <w:top w:val="nil"/>
              <w:right w:val="single" w:sz="6" w:space="0" w:color="000000"/>
            </w:tcBorders>
          </w:tcPr>
          <w:p>
            <w:pPr>
              <w:pStyle w:val="TableParagraph"/>
              <w:spacing w:before="137"/>
              <w:ind w:right="128"/>
              <w:rPr>
                <w:sz w:val="18"/>
              </w:rPr>
            </w:pPr>
            <w:r>
              <w:rPr>
                <w:sz w:val="18"/>
              </w:rPr>
              <w:t>202</w:t>
            </w:r>
          </w:p>
        </w:tc>
        <w:tc>
          <w:tcPr>
            <w:tcW w:w="1403" w:type="dxa"/>
            <w:tcBorders>
              <w:top w:val="nil"/>
              <w:left w:val="single" w:sz="6" w:space="0" w:color="000000"/>
              <w:right w:val="single" w:sz="6" w:space="0" w:color="000000"/>
            </w:tcBorders>
          </w:tcPr>
          <w:p>
            <w:pPr>
              <w:pStyle w:val="TableParagraph"/>
              <w:spacing w:before="137"/>
              <w:ind w:left="952" w:right="-21"/>
              <w:jc w:val="left"/>
              <w:rPr>
                <w:sz w:val="18"/>
              </w:rPr>
            </w:pPr>
            <w:r>
              <w:rPr>
                <w:sz w:val="18"/>
              </w:rPr>
              <w:t>202</w:t>
            </w:r>
          </w:p>
        </w:tc>
        <w:tc>
          <w:tcPr>
            <w:tcW w:w="1417" w:type="dxa"/>
            <w:tcBorders>
              <w:top w:val="nil"/>
              <w:left w:val="single" w:sz="6" w:space="0" w:color="000000"/>
            </w:tcBorders>
          </w:tcPr>
          <w:p>
            <w:pPr>
              <w:pStyle w:val="TableParagraph"/>
              <w:spacing w:before="137"/>
              <w:ind w:right="133"/>
              <w:rPr>
                <w:sz w:val="18"/>
              </w:rPr>
            </w:pPr>
            <w:r>
              <w:rPr>
                <w:sz w:val="18"/>
              </w:rPr>
              <w:t>202</w:t>
            </w:r>
          </w:p>
        </w:tc>
      </w:tr>
    </w:tbl>
    <w:p>
      <w:pPr>
        <w:spacing w:before="11"/>
        <w:ind w:left="620" w:right="213" w:firstLine="0"/>
        <w:jc w:val="left"/>
        <w:rPr>
          <w:sz w:val="18"/>
        </w:rPr>
      </w:pPr>
      <w:r>
        <w:rPr>
          <w:position w:val="3"/>
          <w:sz w:val="18"/>
        </w:rPr>
        <w:t>**. </w:t>
      </w:r>
      <w:r>
        <w:rPr>
          <w:sz w:val="18"/>
        </w:rPr>
        <w:t>La correlación es significativa al nivel 0,01  (bilateral).</w:t>
      </w:r>
    </w:p>
    <w:p>
      <w:pPr>
        <w:pStyle w:val="BodyText"/>
        <w:spacing w:before="8"/>
        <w:rPr>
          <w:sz w:val="16"/>
        </w:rPr>
      </w:pPr>
    </w:p>
    <w:p>
      <w:pPr>
        <w:spacing w:before="81"/>
        <w:ind w:left="1020" w:right="1017" w:firstLine="0"/>
        <w:jc w:val="center"/>
        <w:rPr>
          <w:b/>
          <w:sz w:val="19"/>
        </w:rPr>
      </w:pPr>
      <w:r>
        <w:rPr>
          <w:b/>
          <w:w w:val="105"/>
          <w:sz w:val="19"/>
        </w:rPr>
        <w:t>Tabla 3.2. Correlaciones</w:t>
      </w:r>
    </w:p>
    <w:p>
      <w:pPr>
        <w:pStyle w:val="BodyText"/>
        <w:rPr>
          <w:b/>
          <w:sz w:val="20"/>
        </w:rPr>
      </w:pPr>
    </w:p>
    <w:p>
      <w:pPr>
        <w:pStyle w:val="BodyText"/>
        <w:spacing w:before="6"/>
        <w:rPr>
          <w:b/>
          <w:sz w:val="24"/>
        </w:rPr>
      </w:pPr>
    </w:p>
    <w:p>
      <w:pPr>
        <w:pStyle w:val="BodyText"/>
        <w:spacing w:line="364" w:lineRule="auto"/>
        <w:ind w:left="115" w:right="102"/>
        <w:jc w:val="both"/>
      </w:pPr>
      <w:r>
        <w:rPr/>
        <w:t>Lo que se puede observar, en principio, es que existe una contribución de ambas variables independientes a la variable dependiente, la comprensión de lectura en inglés, aunque esto se comprueba más adelante </w:t>
      </w:r>
      <w:r>
        <w:rPr>
          <w:spacing w:val="2"/>
        </w:rPr>
        <w:t>con </w:t>
      </w:r>
      <w:r>
        <w:rPr/>
        <w:t>un análisis de regresión múltiple. La comprensión de lectura en español con respecto a </w:t>
      </w:r>
      <w:r>
        <w:rPr>
          <w:spacing w:val="-5"/>
        </w:rPr>
        <w:t>la </w:t>
      </w:r>
      <w:r>
        <w:rPr/>
        <w:t>comprensión de lectura en inglés muestra un coeficiente de correlación de Pearson de </w:t>
      </w:r>
      <w:r>
        <w:rPr>
          <w:i/>
        </w:rPr>
        <w:t>r=0.466</w:t>
      </w:r>
      <w:r>
        <w:rPr/>
        <w:t>, </w:t>
      </w:r>
      <w:r>
        <w:rPr>
          <w:spacing w:val="-5"/>
        </w:rPr>
        <w:t>lo </w:t>
      </w:r>
      <w:r>
        <w:rPr/>
        <w:t>que indica cierto grado de contribución y a menor grado con la competencia lingüística en inglés, cuyo coeficiente de correlación de Pearson de </w:t>
      </w:r>
      <w:r>
        <w:rPr>
          <w:i/>
        </w:rPr>
        <w:t>r=0</w:t>
      </w:r>
      <w:r>
        <w:rPr/>
        <w:t>.</w:t>
      </w:r>
      <w:r>
        <w:rPr>
          <w:i/>
        </w:rPr>
        <w:t>391</w:t>
      </w:r>
      <w:r>
        <w:rPr/>
        <w:t>. Entre más cercano sea el coeficiente a 1.000 se tiene una mayor correlación. La competencia lingüística </w:t>
      </w:r>
      <w:r>
        <w:rPr>
          <w:spacing w:val="-3"/>
        </w:rPr>
        <w:t>en </w:t>
      </w:r>
      <w:r>
        <w:rPr/>
        <w:t>inglés muestra una mayor contribución a  </w:t>
      </w:r>
      <w:r>
        <w:rPr>
          <w:spacing w:val="-5"/>
        </w:rPr>
        <w:t>la  </w:t>
      </w:r>
      <w:r>
        <w:rPr/>
        <w:t>comprensión de lectura en inglés, </w:t>
      </w:r>
      <w:r>
        <w:rPr>
          <w:spacing w:val="2"/>
        </w:rPr>
        <w:t>con </w:t>
      </w:r>
      <w:r>
        <w:rPr>
          <w:spacing w:val="-3"/>
        </w:rPr>
        <w:t>un </w:t>
      </w:r>
      <w:r>
        <w:rPr/>
        <w:t>coeficiente de correlación de Pearson </w:t>
      </w:r>
      <w:r>
        <w:rPr>
          <w:spacing w:val="-3"/>
        </w:rPr>
        <w:t>de </w:t>
      </w:r>
      <w:r>
        <w:rPr>
          <w:i/>
        </w:rPr>
        <w:t>r=0</w:t>
      </w:r>
      <w:r>
        <w:rPr/>
        <w:t>.</w:t>
      </w:r>
      <w:r>
        <w:rPr>
          <w:i/>
        </w:rPr>
        <w:t>539</w:t>
      </w:r>
      <w:r>
        <w:rPr/>
        <w:t>.</w:t>
      </w:r>
    </w:p>
    <w:p>
      <w:pPr>
        <w:pStyle w:val="BodyText"/>
        <w:rPr>
          <w:sz w:val="22"/>
        </w:rPr>
      </w:pPr>
    </w:p>
    <w:p>
      <w:pPr>
        <w:pStyle w:val="BodyText"/>
        <w:spacing w:line="364" w:lineRule="auto" w:before="155"/>
        <w:ind w:left="115" w:right="102"/>
        <w:jc w:val="both"/>
      </w:pPr>
      <w:r>
        <w:rPr/>
        <w:t>La siguiente gráfica muestra como la distribución de datos </w:t>
      </w:r>
      <w:r>
        <w:rPr>
          <w:spacing w:val="-3"/>
        </w:rPr>
        <w:t>es  más </w:t>
      </w:r>
      <w:r>
        <w:rPr/>
        <w:t>significativa en  </w:t>
      </w:r>
      <w:r>
        <w:rPr>
          <w:spacing w:val="-5"/>
        </w:rPr>
        <w:t>la  </w:t>
      </w:r>
      <w:r>
        <w:rPr/>
        <w:t>relación entre la competencia lingüística en inglés y la comprensión de lectura   en inglés. En el punto de intersección entre la comprensión de lectura en inglés y   </w:t>
      </w:r>
      <w:r>
        <w:rPr>
          <w:spacing w:val="-5"/>
        </w:rPr>
        <w:t>la </w:t>
      </w:r>
      <w:r>
        <w:rPr/>
        <w:t>competencia lingüística en inglés puede apreciarse cómo la distribución de los puntos </w:t>
      </w:r>
      <w:r>
        <w:rPr>
          <w:spacing w:val="-3"/>
        </w:rPr>
        <w:t>es </w:t>
      </w:r>
      <w:r>
        <w:rPr/>
        <w:t>más uniforme a </w:t>
      </w:r>
      <w:r>
        <w:rPr>
          <w:spacing w:val="-5"/>
        </w:rPr>
        <w:t>la </w:t>
      </w:r>
      <w:r>
        <w:rPr/>
        <w:t>línea transversal, a diferencia de </w:t>
      </w:r>
      <w:r>
        <w:rPr>
          <w:spacing w:val="-5"/>
        </w:rPr>
        <w:t>la </w:t>
      </w:r>
      <w:r>
        <w:rPr/>
        <w:t>intersección entre   </w:t>
      </w:r>
      <w:r>
        <w:rPr>
          <w:spacing w:val="-5"/>
        </w:rPr>
        <w:t>la  </w:t>
      </w:r>
      <w:r>
        <w:rPr/>
        <w:t>competencia  lingüística en inglés  y  la  comprensión  de lectura  en</w:t>
      </w:r>
      <w:r>
        <w:rPr>
          <w:spacing w:val="22"/>
        </w:rPr>
        <w:t> </w:t>
      </w:r>
      <w:r>
        <w:rPr/>
        <w:t>español que</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2"/>
        <w:jc w:val="both"/>
      </w:pPr>
      <w:r>
        <w:rPr/>
        <w:drawing>
          <wp:anchor distT="0" distB="0" distL="0" distR="0" allowOverlap="1" layoutInCell="1" locked="0" behindDoc="1" simplePos="0" relativeHeight="268267775">
            <wp:simplePos x="0" y="0"/>
            <wp:positionH relativeFrom="page">
              <wp:posOffset>1612391</wp:posOffset>
            </wp:positionH>
            <wp:positionV relativeFrom="paragraph">
              <wp:posOffset>1407120</wp:posOffset>
            </wp:positionV>
            <wp:extent cx="2954451" cy="2995612"/>
            <wp:effectExtent l="0" t="0" r="0" b="0"/>
            <wp:wrapNone/>
            <wp:docPr id="17" name="image17.png" descr=""/>
            <wp:cNvGraphicFramePr>
              <a:graphicFrameLocks noChangeAspect="1"/>
            </wp:cNvGraphicFramePr>
            <a:graphic>
              <a:graphicData uri="http://schemas.openxmlformats.org/drawingml/2006/picture">
                <pic:pic>
                  <pic:nvPicPr>
                    <pic:cNvPr id="18" name="image17.png"/>
                    <pic:cNvPicPr/>
                  </pic:nvPicPr>
                  <pic:blipFill>
                    <a:blip r:embed="rId27" cstate="print"/>
                    <a:stretch>
                      <a:fillRect/>
                    </a:stretch>
                  </pic:blipFill>
                  <pic:spPr>
                    <a:xfrm>
                      <a:off x="0" y="0"/>
                      <a:ext cx="2954451" cy="2995612"/>
                    </a:xfrm>
                    <a:prstGeom prst="rect">
                      <a:avLst/>
                    </a:prstGeom>
                  </pic:spPr>
                </pic:pic>
              </a:graphicData>
            </a:graphic>
          </wp:anchor>
        </w:drawing>
      </w:r>
      <w:r>
        <w:rPr/>
        <w:t>aglutina los puntos al centro o la intersección entre comprensión de lectura  en inglés y la comprensión de lectura en español cuyos puntos </w:t>
      </w:r>
      <w:r>
        <w:rPr>
          <w:spacing w:val="4"/>
        </w:rPr>
        <w:t>se </w:t>
      </w:r>
      <w:r>
        <w:rPr/>
        <w:t>alejan de </w:t>
      </w:r>
      <w:r>
        <w:rPr>
          <w:spacing w:val="-5"/>
        </w:rPr>
        <w:t>la  </w:t>
      </w:r>
      <w:r>
        <w:rPr/>
        <w:t>diagonal. Estas dos últimas indican una relación menor a la mostrada por </w:t>
      </w:r>
      <w:r>
        <w:rPr>
          <w:spacing w:val="-5"/>
        </w:rPr>
        <w:t>la </w:t>
      </w:r>
      <w:r>
        <w:rPr/>
        <w:t>intersección descrita en primer</w:t>
      </w:r>
      <w:r>
        <w:rPr>
          <w:spacing w:val="42"/>
        </w:rPr>
        <w:t> </w:t>
      </w:r>
      <w:r>
        <w:rPr/>
        <w:t>lugar:</w:t>
      </w:r>
    </w:p>
    <w:p>
      <w:pPr>
        <w:pStyle w:val="BodyText"/>
        <w:rPr>
          <w:sz w:val="20"/>
        </w:rPr>
      </w:pPr>
    </w:p>
    <w:p>
      <w:pPr>
        <w:pStyle w:val="BodyText"/>
        <w:spacing w:before="3" w:after="1"/>
        <w:rPr>
          <w:sz w:val="26"/>
        </w:rPr>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4"/>
        <w:gridCol w:w="1454"/>
        <w:gridCol w:w="1454"/>
      </w:tblGrid>
      <w:tr>
        <w:trPr>
          <w:trHeight w:val="1454" w:hRule="exact"/>
        </w:trPr>
        <w:tc>
          <w:tcPr>
            <w:tcW w:w="1454" w:type="dxa"/>
          </w:tcPr>
          <w:p>
            <w:pPr/>
          </w:p>
        </w:tc>
        <w:tc>
          <w:tcPr>
            <w:tcW w:w="1454" w:type="dxa"/>
          </w:tcPr>
          <w:p>
            <w:pPr/>
          </w:p>
        </w:tc>
        <w:tc>
          <w:tcPr>
            <w:tcW w:w="1454" w:type="dxa"/>
          </w:tcPr>
          <w:p>
            <w:pPr/>
          </w:p>
        </w:tc>
      </w:tr>
      <w:tr>
        <w:trPr>
          <w:trHeight w:val="1450" w:hRule="exact"/>
        </w:trPr>
        <w:tc>
          <w:tcPr>
            <w:tcW w:w="1454" w:type="dxa"/>
          </w:tcPr>
          <w:p>
            <w:pPr/>
          </w:p>
        </w:tc>
        <w:tc>
          <w:tcPr>
            <w:tcW w:w="1454" w:type="dxa"/>
          </w:tcPr>
          <w:p>
            <w:pPr/>
          </w:p>
        </w:tc>
        <w:tc>
          <w:tcPr>
            <w:tcW w:w="1454" w:type="dxa"/>
          </w:tcPr>
          <w:p>
            <w:pPr/>
          </w:p>
        </w:tc>
      </w:tr>
      <w:tr>
        <w:trPr>
          <w:trHeight w:val="1454" w:hRule="exact"/>
        </w:trPr>
        <w:tc>
          <w:tcPr>
            <w:tcW w:w="1454" w:type="dxa"/>
          </w:tcPr>
          <w:p>
            <w:pPr/>
          </w:p>
        </w:tc>
        <w:tc>
          <w:tcPr>
            <w:tcW w:w="1454" w:type="dxa"/>
          </w:tcPr>
          <w:p>
            <w:pPr/>
          </w:p>
        </w:tc>
        <w:tc>
          <w:tcPr>
            <w:tcW w:w="1454" w:type="dxa"/>
          </w:tcPr>
          <w:p>
            <w:pPr/>
          </w:p>
        </w:tc>
      </w:tr>
    </w:tbl>
    <w:p>
      <w:pPr>
        <w:pStyle w:val="BodyText"/>
        <w:rPr>
          <w:sz w:val="22"/>
        </w:rPr>
      </w:pPr>
    </w:p>
    <w:p>
      <w:pPr>
        <w:pStyle w:val="BodyText"/>
        <w:rPr>
          <w:sz w:val="22"/>
        </w:rPr>
      </w:pPr>
    </w:p>
    <w:p>
      <w:pPr>
        <w:spacing w:before="132"/>
        <w:ind w:left="2837" w:right="213" w:firstLine="0"/>
        <w:jc w:val="left"/>
        <w:rPr>
          <w:b/>
          <w:sz w:val="19"/>
        </w:rPr>
      </w:pPr>
      <w:r>
        <w:rPr>
          <w:b/>
          <w:w w:val="105"/>
          <w:sz w:val="19"/>
        </w:rPr>
        <w:t>Gráfica 3.4. Distribución de datos.</w:t>
      </w:r>
    </w:p>
    <w:p>
      <w:pPr>
        <w:pStyle w:val="BodyText"/>
        <w:rPr>
          <w:b/>
          <w:sz w:val="20"/>
        </w:rPr>
      </w:pPr>
    </w:p>
    <w:p>
      <w:pPr>
        <w:pStyle w:val="BodyText"/>
        <w:spacing w:before="10"/>
        <w:rPr>
          <w:b/>
          <w:sz w:val="24"/>
        </w:rPr>
      </w:pPr>
    </w:p>
    <w:p>
      <w:pPr>
        <w:pStyle w:val="BodyText"/>
        <w:spacing w:line="364" w:lineRule="auto" w:before="1"/>
        <w:ind w:left="115" w:right="104"/>
        <w:jc w:val="both"/>
      </w:pPr>
      <w:r>
        <w:rPr/>
        <w:t>Una </w:t>
      </w:r>
      <w:r>
        <w:rPr>
          <w:spacing w:val="2"/>
        </w:rPr>
        <w:t>vez </w:t>
      </w:r>
      <w:r>
        <w:rPr/>
        <w:t>analizados los datos estadísticos para cada una de las variables se procedió a agruparlos para poder correr análisis de varianza, Anova de dos variables </w:t>
      </w:r>
      <w:r>
        <w:rPr>
          <w:spacing w:val="-3"/>
        </w:rPr>
        <w:t>(</w:t>
      </w:r>
      <w:r>
        <w:rPr>
          <w:i/>
          <w:spacing w:val="-3"/>
        </w:rPr>
        <w:t>Two-Way </w:t>
      </w:r>
      <w:r>
        <w:rPr>
          <w:i/>
        </w:rPr>
        <w:t>Anova</w:t>
      </w:r>
      <w:r>
        <w:rPr/>
        <w:t>), y un análisis de regresión múltiple, para determinar si se daba este proceso de compensación entre las variables </w:t>
      </w:r>
      <w:r>
        <w:rPr>
          <w:spacing w:val="40"/>
        </w:rPr>
        <w:t> </w:t>
      </w:r>
      <w:r>
        <w:rPr/>
        <w:t>independientes.</w:t>
      </w:r>
    </w:p>
    <w:p>
      <w:pPr>
        <w:pStyle w:val="BodyText"/>
        <w:rPr>
          <w:sz w:val="22"/>
        </w:rPr>
      </w:pPr>
    </w:p>
    <w:p>
      <w:pPr>
        <w:pStyle w:val="BodyText"/>
        <w:spacing w:line="364" w:lineRule="auto" w:before="155"/>
        <w:ind w:left="115" w:right="101"/>
        <w:jc w:val="both"/>
      </w:pPr>
      <w:r>
        <w:rPr/>
        <w:t>Para agrupar los sujetos de acuerdo con sus resultados y poder realizar </w:t>
      </w:r>
      <w:r>
        <w:rPr>
          <w:spacing w:val="4"/>
        </w:rPr>
        <w:t>el </w:t>
      </w:r>
      <w:r>
        <w:rPr/>
        <w:t>análisis que permita identificar un “buen” lector de uno “malo” y una “alta” competencia lingüística </w:t>
      </w:r>
      <w:r>
        <w:rPr>
          <w:spacing w:val="-3"/>
        </w:rPr>
        <w:t>de </w:t>
      </w:r>
      <w:r>
        <w:rPr/>
        <w:t>una “baja”, se exploró agrupando en cuartiles, </w:t>
      </w:r>
      <w:r>
        <w:rPr>
          <w:spacing w:val="-3"/>
        </w:rPr>
        <w:t>en tres </w:t>
      </w:r>
      <w:r>
        <w:rPr/>
        <w:t>grupos y en  dos, corriendo los resultados para cada modelo. Las variables independientes, comprensión de lectura en español y competencia lingüística en inglés,  se  volvieron categóricas y la variable dependiente permaneció numérica. </w:t>
      </w:r>
      <w:r>
        <w:rPr>
          <w:spacing w:val="3"/>
        </w:rPr>
        <w:t>En </w:t>
      </w:r>
      <w:r>
        <w:rPr/>
        <w:t>primer lugar  se   consideró  agrupar  en  cuartiles,  </w:t>
      </w:r>
      <w:r>
        <w:rPr>
          <w:spacing w:val="-4"/>
        </w:rPr>
        <w:t>ya </w:t>
      </w:r>
      <w:r>
        <w:rPr>
          <w:spacing w:val="55"/>
        </w:rPr>
        <w:t> </w:t>
      </w:r>
      <w:r>
        <w:rPr/>
        <w:t>que   de  esta   manera  se  </w:t>
      </w:r>
      <w:r>
        <w:rPr>
          <w:spacing w:val="37"/>
        </w:rPr>
        <w:t> </w:t>
      </w:r>
      <w:r>
        <w:rPr/>
        <w:t>podría</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0"/>
        <w:jc w:val="both"/>
      </w:pPr>
      <w:r>
        <w:rPr/>
        <w:t>discriminar de manera más eficiente los de altos resultados a los de bajos. Los grupos se denominaron bajo, medio bajo, medio alto y alto, para cada variable. En  </w:t>
      </w:r>
      <w:r>
        <w:rPr>
          <w:spacing w:val="-5"/>
        </w:rPr>
        <w:t>la </w:t>
      </w:r>
      <w:r>
        <w:rPr/>
        <w:t>tabla 3.3 se observa el número de individuos con las características que se buscan, ya que debido a estas características podrían compensar entre ambas variables: alta competencia lingüística en inglés y baja habilidad lectora en español y baja competencia lingüística en inglés con alta habilidad lectora en </w:t>
      </w:r>
      <w:r>
        <w:rPr>
          <w:spacing w:val="35"/>
        </w:rPr>
        <w:t> </w:t>
      </w:r>
      <w:r>
        <w:rPr/>
        <w:t>español.</w:t>
      </w:r>
    </w:p>
    <w:p>
      <w:pPr>
        <w:pStyle w:val="BodyText"/>
        <w:rPr>
          <w:sz w:val="20"/>
        </w:rPr>
      </w:pPr>
    </w:p>
    <w:p>
      <w:pPr>
        <w:pStyle w:val="BodyText"/>
        <w:spacing w:before="4"/>
      </w:pPr>
    </w:p>
    <w:p>
      <w:pPr>
        <w:spacing w:before="81"/>
        <w:ind w:left="1320" w:right="213" w:firstLine="0"/>
        <w:jc w:val="left"/>
        <w:rPr>
          <w:b/>
          <w:sz w:val="17"/>
        </w:rPr>
      </w:pPr>
      <w:r>
        <w:rPr>
          <w:b/>
          <w:sz w:val="17"/>
        </w:rPr>
        <w:t>Tabla de contingencia Cuartiles comp lect español * Cuartiles comp ling  ing</w:t>
      </w:r>
    </w:p>
    <w:p>
      <w:pPr>
        <w:pStyle w:val="BodyText"/>
        <w:spacing w:before="3"/>
        <w:rPr>
          <w:b/>
          <w:sz w:val="14"/>
        </w:rPr>
      </w:pPr>
    </w:p>
    <w:p>
      <w:pPr>
        <w:spacing w:before="0"/>
        <w:ind w:left="384" w:right="213" w:firstLine="0"/>
        <w:jc w:val="left"/>
        <w:rPr>
          <w:sz w:val="17"/>
        </w:rPr>
      </w:pPr>
      <w:r>
        <w:rPr>
          <w:sz w:val="17"/>
        </w:rPr>
        <w:t>Recuento</w:t>
      </w:r>
    </w:p>
    <w:tbl>
      <w:tblPr>
        <w:tblW w:w="0" w:type="auto"/>
        <w:jc w:val="left"/>
        <w:tblInd w:w="264"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988"/>
        <w:gridCol w:w="1647"/>
        <w:gridCol w:w="998"/>
        <w:gridCol w:w="1331"/>
        <w:gridCol w:w="1331"/>
        <w:gridCol w:w="998"/>
        <w:gridCol w:w="1012"/>
      </w:tblGrid>
      <w:tr>
        <w:trPr>
          <w:trHeight w:val="253" w:hRule="exact"/>
        </w:trPr>
        <w:tc>
          <w:tcPr>
            <w:tcW w:w="2635" w:type="dxa"/>
            <w:gridSpan w:val="2"/>
            <w:vMerge w:val="restart"/>
          </w:tcPr>
          <w:p>
            <w:pPr/>
          </w:p>
        </w:tc>
        <w:tc>
          <w:tcPr>
            <w:tcW w:w="4659" w:type="dxa"/>
            <w:gridSpan w:val="4"/>
            <w:tcBorders>
              <w:bottom w:val="single" w:sz="5" w:space="0" w:color="000000"/>
              <w:right w:val="single" w:sz="5" w:space="0" w:color="000000"/>
            </w:tcBorders>
          </w:tcPr>
          <w:p>
            <w:pPr>
              <w:pStyle w:val="TableParagraph"/>
              <w:spacing w:before="42"/>
              <w:ind w:left="1432"/>
              <w:jc w:val="left"/>
              <w:rPr>
                <w:sz w:val="17"/>
              </w:rPr>
            </w:pPr>
            <w:r>
              <w:rPr>
                <w:sz w:val="17"/>
              </w:rPr>
              <w:t>Cuartiles comp ling ing</w:t>
            </w:r>
          </w:p>
        </w:tc>
        <w:tc>
          <w:tcPr>
            <w:tcW w:w="1012" w:type="dxa"/>
            <w:vMerge w:val="restart"/>
            <w:tcBorders>
              <w:left w:val="single" w:sz="5" w:space="0" w:color="000000"/>
            </w:tcBorders>
          </w:tcPr>
          <w:p>
            <w:pPr>
              <w:pStyle w:val="TableParagraph"/>
              <w:jc w:val="left"/>
              <w:rPr>
                <w:sz w:val="16"/>
              </w:rPr>
            </w:pPr>
          </w:p>
          <w:p>
            <w:pPr>
              <w:pStyle w:val="TableParagraph"/>
              <w:jc w:val="left"/>
              <w:rPr>
                <w:sz w:val="16"/>
              </w:rPr>
            </w:pPr>
          </w:p>
          <w:p>
            <w:pPr>
              <w:pStyle w:val="TableParagraph"/>
              <w:spacing w:before="139"/>
              <w:ind w:left="284"/>
              <w:jc w:val="left"/>
              <w:rPr>
                <w:sz w:val="17"/>
              </w:rPr>
            </w:pPr>
            <w:r>
              <w:rPr>
                <w:sz w:val="17"/>
              </w:rPr>
              <w:t>Total</w:t>
            </w:r>
          </w:p>
        </w:tc>
      </w:tr>
      <w:tr>
        <w:trPr>
          <w:trHeight w:val="478" w:hRule="exact"/>
        </w:trPr>
        <w:tc>
          <w:tcPr>
            <w:tcW w:w="2635" w:type="dxa"/>
            <w:gridSpan w:val="2"/>
            <w:vMerge/>
          </w:tcPr>
          <w:p>
            <w:pPr/>
          </w:p>
        </w:tc>
        <w:tc>
          <w:tcPr>
            <w:tcW w:w="998" w:type="dxa"/>
            <w:tcBorders>
              <w:top w:val="single" w:sz="5" w:space="0" w:color="000000"/>
              <w:right w:val="single" w:sz="5" w:space="0" w:color="000000"/>
            </w:tcBorders>
          </w:tcPr>
          <w:p>
            <w:pPr>
              <w:pStyle w:val="TableParagraph"/>
              <w:spacing w:before="8"/>
              <w:jc w:val="left"/>
              <w:rPr>
                <w:sz w:val="22"/>
              </w:rPr>
            </w:pPr>
          </w:p>
          <w:p>
            <w:pPr>
              <w:pStyle w:val="TableParagraph"/>
              <w:ind w:right="129"/>
              <w:rPr>
                <w:sz w:val="17"/>
              </w:rPr>
            </w:pPr>
            <w:r>
              <w:rPr>
                <w:sz w:val="17"/>
              </w:rPr>
              <w:t>CLE_bajo</w:t>
            </w:r>
          </w:p>
        </w:tc>
        <w:tc>
          <w:tcPr>
            <w:tcW w:w="1331" w:type="dxa"/>
            <w:tcBorders>
              <w:top w:val="single" w:sz="5" w:space="0" w:color="000000"/>
              <w:left w:val="single" w:sz="5" w:space="0" w:color="000000"/>
              <w:right w:val="single" w:sz="5" w:space="0" w:color="000000"/>
            </w:tcBorders>
          </w:tcPr>
          <w:p>
            <w:pPr>
              <w:pStyle w:val="TableParagraph"/>
              <w:spacing w:line="259" w:lineRule="auto" w:before="50"/>
              <w:ind w:left="479" w:right="167" w:hanging="332"/>
              <w:jc w:val="left"/>
              <w:rPr>
                <w:sz w:val="17"/>
              </w:rPr>
            </w:pPr>
            <w:r>
              <w:rPr>
                <w:sz w:val="17"/>
              </w:rPr>
              <w:t>CLE_medio_ bajo</w:t>
            </w:r>
          </w:p>
        </w:tc>
        <w:tc>
          <w:tcPr>
            <w:tcW w:w="1331" w:type="dxa"/>
            <w:tcBorders>
              <w:top w:val="single" w:sz="5" w:space="0" w:color="000000"/>
              <w:left w:val="single" w:sz="5" w:space="0" w:color="000000"/>
              <w:right w:val="single" w:sz="5" w:space="0" w:color="000000"/>
            </w:tcBorders>
          </w:tcPr>
          <w:p>
            <w:pPr>
              <w:pStyle w:val="TableParagraph"/>
              <w:spacing w:line="259" w:lineRule="auto" w:before="50"/>
              <w:ind w:left="506" w:right="168" w:hanging="360"/>
              <w:jc w:val="left"/>
              <w:rPr>
                <w:sz w:val="17"/>
              </w:rPr>
            </w:pPr>
            <w:r>
              <w:rPr>
                <w:sz w:val="17"/>
              </w:rPr>
              <w:t>CLE_medio_ alto</w:t>
            </w:r>
          </w:p>
        </w:tc>
        <w:tc>
          <w:tcPr>
            <w:tcW w:w="998" w:type="dxa"/>
            <w:tcBorders>
              <w:top w:val="single" w:sz="5" w:space="0" w:color="000000"/>
              <w:left w:val="single" w:sz="5" w:space="0" w:color="000000"/>
              <w:right w:val="single" w:sz="5" w:space="0" w:color="000000"/>
            </w:tcBorders>
          </w:tcPr>
          <w:p>
            <w:pPr>
              <w:pStyle w:val="TableParagraph"/>
              <w:spacing w:before="8"/>
              <w:jc w:val="left"/>
              <w:rPr>
                <w:sz w:val="22"/>
              </w:rPr>
            </w:pPr>
          </w:p>
          <w:p>
            <w:pPr>
              <w:pStyle w:val="TableParagraph"/>
              <w:ind w:right="157"/>
              <w:rPr>
                <w:sz w:val="17"/>
              </w:rPr>
            </w:pPr>
            <w:r>
              <w:rPr>
                <w:sz w:val="17"/>
              </w:rPr>
              <w:t>CLE_alto</w:t>
            </w:r>
          </w:p>
        </w:tc>
        <w:tc>
          <w:tcPr>
            <w:tcW w:w="1012" w:type="dxa"/>
            <w:vMerge/>
            <w:tcBorders>
              <w:left w:val="single" w:sz="5" w:space="0" w:color="000000"/>
            </w:tcBorders>
          </w:tcPr>
          <w:p>
            <w:pPr/>
          </w:p>
        </w:tc>
      </w:tr>
      <w:tr>
        <w:trPr>
          <w:trHeight w:val="217" w:hRule="exact"/>
        </w:trPr>
        <w:tc>
          <w:tcPr>
            <w:tcW w:w="988" w:type="dxa"/>
            <w:tcBorders>
              <w:bottom w:val="nil"/>
              <w:right w:val="nil"/>
            </w:tcBorders>
          </w:tcPr>
          <w:p>
            <w:pPr>
              <w:pStyle w:val="TableParagraph"/>
              <w:spacing w:line="183" w:lineRule="exact"/>
              <w:ind w:left="93" w:right="134"/>
              <w:jc w:val="left"/>
              <w:rPr>
                <w:sz w:val="17"/>
              </w:rPr>
            </w:pPr>
            <w:r>
              <w:rPr>
                <w:sz w:val="17"/>
              </w:rPr>
              <w:t>Cuartiles</w:t>
            </w:r>
          </w:p>
        </w:tc>
        <w:tc>
          <w:tcPr>
            <w:tcW w:w="1647" w:type="dxa"/>
            <w:tcBorders>
              <w:left w:val="nil"/>
              <w:bottom w:val="nil"/>
            </w:tcBorders>
          </w:tcPr>
          <w:p>
            <w:pPr>
              <w:pStyle w:val="TableParagraph"/>
              <w:spacing w:line="183" w:lineRule="exact"/>
              <w:ind w:left="141"/>
              <w:jc w:val="left"/>
              <w:rPr>
                <w:sz w:val="17"/>
              </w:rPr>
            </w:pPr>
            <w:r>
              <w:rPr>
                <w:sz w:val="17"/>
              </w:rPr>
              <w:t>CLE_bajo</w:t>
            </w:r>
          </w:p>
        </w:tc>
        <w:tc>
          <w:tcPr>
            <w:tcW w:w="998" w:type="dxa"/>
            <w:tcBorders>
              <w:bottom w:val="nil"/>
              <w:right w:val="single" w:sz="5" w:space="0" w:color="000000"/>
            </w:tcBorders>
          </w:tcPr>
          <w:p>
            <w:pPr>
              <w:pStyle w:val="TableParagraph"/>
              <w:spacing w:line="193" w:lineRule="exact"/>
              <w:ind w:right="124"/>
              <w:rPr>
                <w:sz w:val="17"/>
              </w:rPr>
            </w:pPr>
            <w:r>
              <w:rPr>
                <w:sz w:val="17"/>
              </w:rPr>
              <w:t>26</w:t>
            </w:r>
          </w:p>
        </w:tc>
        <w:tc>
          <w:tcPr>
            <w:tcW w:w="1331" w:type="dxa"/>
            <w:tcBorders>
              <w:left w:val="single" w:sz="5" w:space="0" w:color="000000"/>
              <w:bottom w:val="nil"/>
              <w:right w:val="single" w:sz="5" w:space="0" w:color="000000"/>
            </w:tcBorders>
          </w:tcPr>
          <w:p>
            <w:pPr>
              <w:pStyle w:val="TableParagraph"/>
              <w:spacing w:line="193" w:lineRule="exact"/>
              <w:ind w:right="125"/>
              <w:rPr>
                <w:sz w:val="17"/>
              </w:rPr>
            </w:pPr>
            <w:r>
              <w:rPr>
                <w:sz w:val="17"/>
              </w:rPr>
              <w:t>10</w:t>
            </w:r>
          </w:p>
        </w:tc>
        <w:tc>
          <w:tcPr>
            <w:tcW w:w="1331" w:type="dxa"/>
            <w:tcBorders>
              <w:left w:val="single" w:sz="5" w:space="0" w:color="000000"/>
              <w:bottom w:val="nil"/>
              <w:right w:val="single" w:sz="5" w:space="0" w:color="000000"/>
            </w:tcBorders>
          </w:tcPr>
          <w:p>
            <w:pPr>
              <w:pStyle w:val="TableParagraph"/>
              <w:spacing w:line="193" w:lineRule="exact"/>
              <w:ind w:right="122"/>
              <w:rPr>
                <w:sz w:val="17"/>
              </w:rPr>
            </w:pPr>
            <w:r>
              <w:rPr>
                <w:sz w:val="17"/>
              </w:rPr>
              <w:t>11</w:t>
            </w:r>
          </w:p>
        </w:tc>
        <w:tc>
          <w:tcPr>
            <w:tcW w:w="998" w:type="dxa"/>
            <w:tcBorders>
              <w:left w:val="single" w:sz="5" w:space="0" w:color="000000"/>
              <w:bottom w:val="nil"/>
              <w:right w:val="single" w:sz="5" w:space="0" w:color="000000"/>
            </w:tcBorders>
          </w:tcPr>
          <w:p>
            <w:pPr>
              <w:pStyle w:val="TableParagraph"/>
              <w:spacing w:line="193" w:lineRule="exact"/>
              <w:ind w:right="122"/>
              <w:rPr>
                <w:sz w:val="17"/>
              </w:rPr>
            </w:pPr>
            <w:r>
              <w:rPr>
                <w:sz w:val="17"/>
              </w:rPr>
              <w:t>10</w:t>
            </w:r>
          </w:p>
        </w:tc>
        <w:tc>
          <w:tcPr>
            <w:tcW w:w="1012" w:type="dxa"/>
            <w:tcBorders>
              <w:left w:val="single" w:sz="5" w:space="0" w:color="000000"/>
              <w:bottom w:val="nil"/>
            </w:tcBorders>
          </w:tcPr>
          <w:p>
            <w:pPr>
              <w:pStyle w:val="TableParagraph"/>
              <w:spacing w:line="193" w:lineRule="exact"/>
              <w:ind w:right="128"/>
              <w:rPr>
                <w:sz w:val="17"/>
              </w:rPr>
            </w:pPr>
            <w:r>
              <w:rPr>
                <w:sz w:val="17"/>
              </w:rPr>
              <w:t>57</w:t>
            </w:r>
          </w:p>
        </w:tc>
      </w:tr>
      <w:tr>
        <w:trPr>
          <w:trHeight w:val="526" w:hRule="exact"/>
        </w:trPr>
        <w:tc>
          <w:tcPr>
            <w:tcW w:w="988" w:type="dxa"/>
            <w:tcBorders>
              <w:top w:val="nil"/>
              <w:bottom w:val="nil"/>
              <w:right w:val="nil"/>
            </w:tcBorders>
          </w:tcPr>
          <w:p>
            <w:pPr>
              <w:pStyle w:val="TableParagraph"/>
              <w:spacing w:line="259" w:lineRule="auto"/>
              <w:ind w:left="93" w:right="134"/>
              <w:jc w:val="left"/>
              <w:rPr>
                <w:sz w:val="17"/>
              </w:rPr>
            </w:pPr>
            <w:r>
              <w:rPr>
                <w:sz w:val="17"/>
              </w:rPr>
              <w:t>comp lect español</w:t>
            </w:r>
          </w:p>
        </w:tc>
        <w:tc>
          <w:tcPr>
            <w:tcW w:w="1647" w:type="dxa"/>
            <w:tcBorders>
              <w:top w:val="nil"/>
              <w:left w:val="nil"/>
              <w:bottom w:val="nil"/>
            </w:tcBorders>
          </w:tcPr>
          <w:p>
            <w:pPr>
              <w:pStyle w:val="TableParagraph"/>
              <w:spacing w:line="312" w:lineRule="auto" w:before="33"/>
              <w:ind w:left="141"/>
              <w:jc w:val="left"/>
              <w:rPr>
                <w:sz w:val="17"/>
              </w:rPr>
            </w:pPr>
            <w:r>
              <w:rPr>
                <w:sz w:val="17"/>
              </w:rPr>
              <w:t>CLE_medio_bajo CLE_medio_alto</w:t>
            </w:r>
          </w:p>
        </w:tc>
        <w:tc>
          <w:tcPr>
            <w:tcW w:w="998" w:type="dxa"/>
            <w:tcBorders>
              <w:top w:val="nil"/>
              <w:bottom w:val="nil"/>
              <w:right w:val="single" w:sz="5" w:space="0" w:color="000000"/>
            </w:tcBorders>
          </w:tcPr>
          <w:p>
            <w:pPr>
              <w:pStyle w:val="TableParagraph"/>
              <w:spacing w:before="47"/>
              <w:ind w:right="124"/>
              <w:rPr>
                <w:sz w:val="17"/>
              </w:rPr>
            </w:pPr>
            <w:r>
              <w:rPr>
                <w:sz w:val="17"/>
              </w:rPr>
              <w:t>10</w:t>
            </w:r>
          </w:p>
          <w:p>
            <w:pPr>
              <w:pStyle w:val="TableParagraph"/>
              <w:spacing w:before="59"/>
              <w:ind w:right="124"/>
              <w:rPr>
                <w:sz w:val="17"/>
              </w:rPr>
            </w:pPr>
            <w:r>
              <w:rPr>
                <w:sz w:val="17"/>
              </w:rPr>
              <w:t>12</w:t>
            </w:r>
          </w:p>
        </w:tc>
        <w:tc>
          <w:tcPr>
            <w:tcW w:w="1331" w:type="dxa"/>
            <w:tcBorders>
              <w:top w:val="nil"/>
              <w:left w:val="single" w:sz="5" w:space="0" w:color="000000"/>
              <w:bottom w:val="nil"/>
              <w:right w:val="single" w:sz="5" w:space="0" w:color="000000"/>
            </w:tcBorders>
          </w:tcPr>
          <w:p>
            <w:pPr>
              <w:pStyle w:val="TableParagraph"/>
              <w:spacing w:before="47"/>
              <w:ind w:right="125"/>
              <w:rPr>
                <w:sz w:val="17"/>
              </w:rPr>
            </w:pPr>
            <w:r>
              <w:rPr>
                <w:sz w:val="17"/>
              </w:rPr>
              <w:t>17</w:t>
            </w:r>
          </w:p>
          <w:p>
            <w:pPr>
              <w:pStyle w:val="TableParagraph"/>
              <w:spacing w:before="59"/>
              <w:ind w:right="125"/>
              <w:rPr>
                <w:sz w:val="17"/>
              </w:rPr>
            </w:pPr>
            <w:r>
              <w:rPr>
                <w:sz w:val="17"/>
              </w:rPr>
              <w:t>14</w:t>
            </w:r>
          </w:p>
        </w:tc>
        <w:tc>
          <w:tcPr>
            <w:tcW w:w="1331" w:type="dxa"/>
            <w:tcBorders>
              <w:top w:val="nil"/>
              <w:left w:val="single" w:sz="5" w:space="0" w:color="000000"/>
              <w:bottom w:val="nil"/>
              <w:right w:val="single" w:sz="5" w:space="0" w:color="000000"/>
            </w:tcBorders>
          </w:tcPr>
          <w:p>
            <w:pPr>
              <w:pStyle w:val="TableParagraph"/>
              <w:spacing w:before="47"/>
              <w:ind w:right="122"/>
              <w:rPr>
                <w:sz w:val="17"/>
              </w:rPr>
            </w:pPr>
            <w:r>
              <w:rPr>
                <w:sz w:val="17"/>
              </w:rPr>
              <w:t>15</w:t>
            </w:r>
          </w:p>
          <w:p>
            <w:pPr>
              <w:pStyle w:val="TableParagraph"/>
              <w:spacing w:before="59"/>
              <w:ind w:right="122"/>
              <w:rPr>
                <w:sz w:val="17"/>
              </w:rPr>
            </w:pPr>
            <w:r>
              <w:rPr>
                <w:sz w:val="17"/>
              </w:rPr>
              <w:t>16</w:t>
            </w:r>
          </w:p>
        </w:tc>
        <w:tc>
          <w:tcPr>
            <w:tcW w:w="998" w:type="dxa"/>
            <w:tcBorders>
              <w:top w:val="nil"/>
              <w:left w:val="single" w:sz="5" w:space="0" w:color="000000"/>
              <w:bottom w:val="nil"/>
              <w:right w:val="single" w:sz="5" w:space="0" w:color="000000"/>
            </w:tcBorders>
          </w:tcPr>
          <w:p>
            <w:pPr>
              <w:pStyle w:val="TableParagraph"/>
              <w:spacing w:before="47"/>
              <w:ind w:right="122"/>
              <w:rPr>
                <w:sz w:val="17"/>
              </w:rPr>
            </w:pPr>
            <w:r>
              <w:rPr>
                <w:sz w:val="17"/>
              </w:rPr>
              <w:t>10</w:t>
            </w:r>
          </w:p>
          <w:p>
            <w:pPr>
              <w:pStyle w:val="TableParagraph"/>
              <w:spacing w:before="59"/>
              <w:ind w:right="122"/>
              <w:rPr>
                <w:sz w:val="17"/>
              </w:rPr>
            </w:pPr>
            <w:r>
              <w:rPr>
                <w:sz w:val="17"/>
              </w:rPr>
              <w:t>16</w:t>
            </w:r>
          </w:p>
        </w:tc>
        <w:tc>
          <w:tcPr>
            <w:tcW w:w="1012" w:type="dxa"/>
            <w:tcBorders>
              <w:top w:val="nil"/>
              <w:left w:val="single" w:sz="5" w:space="0" w:color="000000"/>
              <w:bottom w:val="nil"/>
            </w:tcBorders>
          </w:tcPr>
          <w:p>
            <w:pPr>
              <w:pStyle w:val="TableParagraph"/>
              <w:spacing w:before="47"/>
              <w:ind w:right="128"/>
              <w:rPr>
                <w:sz w:val="17"/>
              </w:rPr>
            </w:pPr>
            <w:r>
              <w:rPr>
                <w:sz w:val="17"/>
              </w:rPr>
              <w:t>52</w:t>
            </w:r>
          </w:p>
          <w:p>
            <w:pPr>
              <w:pStyle w:val="TableParagraph"/>
              <w:spacing w:before="59"/>
              <w:ind w:right="128"/>
              <w:rPr>
                <w:sz w:val="17"/>
              </w:rPr>
            </w:pPr>
            <w:r>
              <w:rPr>
                <w:sz w:val="17"/>
              </w:rPr>
              <w:t>58</w:t>
            </w:r>
          </w:p>
        </w:tc>
      </w:tr>
      <w:tr>
        <w:trPr>
          <w:trHeight w:val="252" w:hRule="exact"/>
        </w:trPr>
        <w:tc>
          <w:tcPr>
            <w:tcW w:w="988" w:type="dxa"/>
            <w:tcBorders>
              <w:top w:val="nil"/>
              <w:bottom w:val="nil"/>
              <w:right w:val="nil"/>
            </w:tcBorders>
          </w:tcPr>
          <w:p>
            <w:pPr/>
          </w:p>
        </w:tc>
        <w:tc>
          <w:tcPr>
            <w:tcW w:w="1647" w:type="dxa"/>
            <w:tcBorders>
              <w:top w:val="nil"/>
              <w:left w:val="nil"/>
              <w:bottom w:val="nil"/>
            </w:tcBorders>
          </w:tcPr>
          <w:p>
            <w:pPr>
              <w:pStyle w:val="TableParagraph"/>
              <w:spacing w:before="11"/>
              <w:ind w:left="141"/>
              <w:jc w:val="left"/>
              <w:rPr>
                <w:sz w:val="17"/>
              </w:rPr>
            </w:pPr>
            <w:r>
              <w:rPr>
                <w:sz w:val="17"/>
              </w:rPr>
              <w:t>CLE_alto</w:t>
            </w:r>
          </w:p>
        </w:tc>
        <w:tc>
          <w:tcPr>
            <w:tcW w:w="998" w:type="dxa"/>
            <w:tcBorders>
              <w:top w:val="nil"/>
              <w:bottom w:val="nil"/>
              <w:right w:val="single" w:sz="5" w:space="0" w:color="000000"/>
            </w:tcBorders>
          </w:tcPr>
          <w:p>
            <w:pPr>
              <w:pStyle w:val="TableParagraph"/>
              <w:spacing w:before="26"/>
              <w:ind w:right="124"/>
              <w:rPr>
                <w:sz w:val="17"/>
              </w:rPr>
            </w:pPr>
            <w:r>
              <w:rPr>
                <w:w w:val="101"/>
                <w:sz w:val="17"/>
              </w:rPr>
              <w:t>2</w:t>
            </w:r>
          </w:p>
        </w:tc>
        <w:tc>
          <w:tcPr>
            <w:tcW w:w="1331" w:type="dxa"/>
            <w:tcBorders>
              <w:top w:val="nil"/>
              <w:left w:val="single" w:sz="5" w:space="0" w:color="000000"/>
              <w:bottom w:val="nil"/>
              <w:right w:val="single" w:sz="5" w:space="0" w:color="000000"/>
            </w:tcBorders>
          </w:tcPr>
          <w:p>
            <w:pPr>
              <w:pStyle w:val="TableParagraph"/>
              <w:spacing w:before="26"/>
              <w:ind w:right="126"/>
              <w:rPr>
                <w:sz w:val="17"/>
              </w:rPr>
            </w:pPr>
            <w:r>
              <w:rPr>
                <w:w w:val="101"/>
                <w:sz w:val="17"/>
              </w:rPr>
              <w:t>9</w:t>
            </w:r>
          </w:p>
        </w:tc>
        <w:tc>
          <w:tcPr>
            <w:tcW w:w="1331" w:type="dxa"/>
            <w:tcBorders>
              <w:top w:val="nil"/>
              <w:left w:val="single" w:sz="5" w:space="0" w:color="000000"/>
              <w:bottom w:val="nil"/>
              <w:right w:val="single" w:sz="5" w:space="0" w:color="000000"/>
            </w:tcBorders>
          </w:tcPr>
          <w:p>
            <w:pPr>
              <w:pStyle w:val="TableParagraph"/>
              <w:spacing w:before="26"/>
              <w:ind w:right="122"/>
              <w:rPr>
                <w:sz w:val="17"/>
              </w:rPr>
            </w:pPr>
            <w:r>
              <w:rPr>
                <w:sz w:val="17"/>
              </w:rPr>
              <w:t>10</w:t>
            </w:r>
          </w:p>
        </w:tc>
        <w:tc>
          <w:tcPr>
            <w:tcW w:w="998" w:type="dxa"/>
            <w:tcBorders>
              <w:top w:val="nil"/>
              <w:left w:val="single" w:sz="5" w:space="0" w:color="000000"/>
              <w:bottom w:val="nil"/>
              <w:right w:val="single" w:sz="5" w:space="0" w:color="000000"/>
            </w:tcBorders>
          </w:tcPr>
          <w:p>
            <w:pPr>
              <w:pStyle w:val="TableParagraph"/>
              <w:spacing w:before="26"/>
              <w:ind w:right="122"/>
              <w:rPr>
                <w:sz w:val="17"/>
              </w:rPr>
            </w:pPr>
            <w:r>
              <w:rPr>
                <w:sz w:val="17"/>
              </w:rPr>
              <w:t>14</w:t>
            </w:r>
          </w:p>
        </w:tc>
        <w:tc>
          <w:tcPr>
            <w:tcW w:w="1012" w:type="dxa"/>
            <w:tcBorders>
              <w:top w:val="nil"/>
              <w:left w:val="single" w:sz="5" w:space="0" w:color="000000"/>
              <w:bottom w:val="nil"/>
            </w:tcBorders>
          </w:tcPr>
          <w:p>
            <w:pPr>
              <w:pStyle w:val="TableParagraph"/>
              <w:spacing w:before="26"/>
              <w:ind w:right="129"/>
              <w:rPr>
                <w:sz w:val="17"/>
              </w:rPr>
            </w:pPr>
            <w:r>
              <w:rPr>
                <w:sz w:val="17"/>
              </w:rPr>
              <w:t>35</w:t>
            </w:r>
          </w:p>
        </w:tc>
      </w:tr>
      <w:tr>
        <w:trPr>
          <w:trHeight w:val="268" w:hRule="exact"/>
        </w:trPr>
        <w:tc>
          <w:tcPr>
            <w:tcW w:w="988" w:type="dxa"/>
            <w:tcBorders>
              <w:top w:val="nil"/>
              <w:right w:val="nil"/>
            </w:tcBorders>
          </w:tcPr>
          <w:p>
            <w:pPr>
              <w:pStyle w:val="TableParagraph"/>
              <w:spacing w:before="14"/>
              <w:ind w:left="93" w:right="134"/>
              <w:jc w:val="left"/>
              <w:rPr>
                <w:sz w:val="17"/>
              </w:rPr>
            </w:pPr>
            <w:r>
              <w:rPr>
                <w:sz w:val="17"/>
              </w:rPr>
              <w:t>Total</w:t>
            </w:r>
          </w:p>
        </w:tc>
        <w:tc>
          <w:tcPr>
            <w:tcW w:w="1647" w:type="dxa"/>
            <w:tcBorders>
              <w:top w:val="nil"/>
              <w:left w:val="nil"/>
            </w:tcBorders>
          </w:tcPr>
          <w:p>
            <w:pPr/>
          </w:p>
        </w:tc>
        <w:tc>
          <w:tcPr>
            <w:tcW w:w="998" w:type="dxa"/>
            <w:tcBorders>
              <w:top w:val="nil"/>
              <w:right w:val="single" w:sz="5" w:space="0" w:color="000000"/>
            </w:tcBorders>
          </w:tcPr>
          <w:p>
            <w:pPr>
              <w:pStyle w:val="TableParagraph"/>
              <w:spacing w:before="28"/>
              <w:ind w:right="124"/>
              <w:rPr>
                <w:sz w:val="17"/>
              </w:rPr>
            </w:pPr>
            <w:r>
              <w:rPr>
                <w:sz w:val="17"/>
              </w:rPr>
              <w:t>50</w:t>
            </w:r>
          </w:p>
        </w:tc>
        <w:tc>
          <w:tcPr>
            <w:tcW w:w="1331" w:type="dxa"/>
            <w:tcBorders>
              <w:top w:val="nil"/>
              <w:left w:val="single" w:sz="5" w:space="0" w:color="000000"/>
              <w:right w:val="single" w:sz="5" w:space="0" w:color="000000"/>
            </w:tcBorders>
          </w:tcPr>
          <w:p>
            <w:pPr>
              <w:pStyle w:val="TableParagraph"/>
              <w:spacing w:before="28"/>
              <w:ind w:right="125"/>
              <w:rPr>
                <w:sz w:val="17"/>
              </w:rPr>
            </w:pPr>
            <w:r>
              <w:rPr>
                <w:sz w:val="17"/>
              </w:rPr>
              <w:t>50</w:t>
            </w:r>
          </w:p>
        </w:tc>
        <w:tc>
          <w:tcPr>
            <w:tcW w:w="1331" w:type="dxa"/>
            <w:tcBorders>
              <w:top w:val="nil"/>
              <w:left w:val="single" w:sz="5" w:space="0" w:color="000000"/>
              <w:right w:val="single" w:sz="5" w:space="0" w:color="000000"/>
            </w:tcBorders>
          </w:tcPr>
          <w:p>
            <w:pPr>
              <w:pStyle w:val="TableParagraph"/>
              <w:spacing w:before="28"/>
              <w:ind w:right="122"/>
              <w:rPr>
                <w:sz w:val="17"/>
              </w:rPr>
            </w:pPr>
            <w:r>
              <w:rPr>
                <w:sz w:val="17"/>
              </w:rPr>
              <w:t>52</w:t>
            </w:r>
          </w:p>
        </w:tc>
        <w:tc>
          <w:tcPr>
            <w:tcW w:w="998" w:type="dxa"/>
            <w:tcBorders>
              <w:top w:val="nil"/>
              <w:left w:val="single" w:sz="5" w:space="0" w:color="000000"/>
              <w:right w:val="single" w:sz="5" w:space="0" w:color="000000"/>
            </w:tcBorders>
          </w:tcPr>
          <w:p>
            <w:pPr>
              <w:pStyle w:val="TableParagraph"/>
              <w:spacing w:before="28"/>
              <w:ind w:right="122"/>
              <w:rPr>
                <w:sz w:val="17"/>
              </w:rPr>
            </w:pPr>
            <w:r>
              <w:rPr>
                <w:sz w:val="17"/>
              </w:rPr>
              <w:t>50</w:t>
            </w:r>
          </w:p>
        </w:tc>
        <w:tc>
          <w:tcPr>
            <w:tcW w:w="1012" w:type="dxa"/>
            <w:tcBorders>
              <w:top w:val="nil"/>
              <w:left w:val="single" w:sz="5" w:space="0" w:color="000000"/>
            </w:tcBorders>
          </w:tcPr>
          <w:p>
            <w:pPr>
              <w:pStyle w:val="TableParagraph"/>
              <w:spacing w:before="28"/>
              <w:ind w:right="128"/>
              <w:rPr>
                <w:sz w:val="17"/>
              </w:rPr>
            </w:pPr>
            <w:r>
              <w:rPr>
                <w:sz w:val="17"/>
              </w:rPr>
              <w:t>202</w:t>
            </w:r>
          </w:p>
        </w:tc>
      </w:tr>
    </w:tbl>
    <w:p>
      <w:pPr>
        <w:pStyle w:val="BodyText"/>
        <w:spacing w:before="1"/>
        <w:rPr>
          <w:sz w:val="16"/>
        </w:rPr>
      </w:pPr>
    </w:p>
    <w:p>
      <w:pPr>
        <w:spacing w:before="81"/>
        <w:ind w:left="2012" w:right="213" w:firstLine="0"/>
        <w:jc w:val="left"/>
        <w:rPr>
          <w:b/>
          <w:sz w:val="19"/>
        </w:rPr>
      </w:pPr>
      <w:r>
        <w:rPr>
          <w:b/>
          <w:w w:val="105"/>
          <w:sz w:val="19"/>
        </w:rPr>
        <w:t>Tabla 3.3. Tabla de contingencia para dos variables.</w:t>
      </w:r>
    </w:p>
    <w:p>
      <w:pPr>
        <w:pStyle w:val="BodyText"/>
        <w:rPr>
          <w:b/>
          <w:sz w:val="20"/>
        </w:rPr>
      </w:pPr>
    </w:p>
    <w:p>
      <w:pPr>
        <w:pStyle w:val="BodyText"/>
        <w:rPr>
          <w:b/>
          <w:sz w:val="20"/>
        </w:rPr>
      </w:pPr>
    </w:p>
    <w:p>
      <w:pPr>
        <w:pStyle w:val="BodyText"/>
        <w:rPr>
          <w:b/>
          <w:sz w:val="20"/>
        </w:rPr>
      </w:pPr>
    </w:p>
    <w:p>
      <w:pPr>
        <w:pStyle w:val="BodyText"/>
        <w:spacing w:before="6"/>
        <w:rPr>
          <w:b/>
          <w:sz w:val="19"/>
        </w:rPr>
      </w:pPr>
    </w:p>
    <w:p>
      <w:pPr>
        <w:pStyle w:val="BodyText"/>
        <w:spacing w:line="364" w:lineRule="auto"/>
        <w:ind w:left="115" w:right="101"/>
        <w:jc w:val="both"/>
      </w:pPr>
      <w:r>
        <w:rPr/>
        <w:t>Sólo diez sujetos cumplen con </w:t>
      </w:r>
      <w:r>
        <w:rPr>
          <w:spacing w:val="-5"/>
        </w:rPr>
        <w:t>la </w:t>
      </w:r>
      <w:r>
        <w:rPr/>
        <w:t>condición de alta  competencia  lingüística  en inglés y baja habilidad lectora en español, y sólo dos con la condición de baja competencia lingüística en inglés con alta habilidad lectora en español (Escenarios 2 y 1, respectivamente, </w:t>
      </w:r>
      <w:r>
        <w:rPr>
          <w:spacing w:val="-3"/>
        </w:rPr>
        <w:t>en </w:t>
      </w:r>
      <w:r>
        <w:rPr>
          <w:spacing w:val="-5"/>
        </w:rPr>
        <w:t>la </w:t>
      </w:r>
      <w:r>
        <w:rPr>
          <w:spacing w:val="-6"/>
        </w:rPr>
        <w:t>Tabla </w:t>
      </w:r>
      <w:r>
        <w:rPr/>
        <w:t>2.1). Esto  en principio hace suponer que </w:t>
      </w:r>
      <w:r>
        <w:rPr>
          <w:spacing w:val="-3"/>
        </w:rPr>
        <w:t>es  </w:t>
      </w:r>
      <w:r>
        <w:rPr/>
        <w:t>difícil que el proceso de compensación entre las variables  sea  significativo,  aunque existan sujetos con las condiciones, no son suficientes para establecer un patrón de hechos significativos. Salta a la vista el hecho que mientras hay 57 individuos cuyas habilidades  de comprensión de lectura en español </w:t>
      </w:r>
      <w:r>
        <w:rPr>
          <w:spacing w:val="4"/>
        </w:rPr>
        <w:t>se </w:t>
      </w:r>
      <w:r>
        <w:rPr/>
        <w:t>ubican en  el cuartil denominado “bajo”, solamente hay 35 con “alta” comprensión de lectura  en</w:t>
      </w:r>
      <w:r>
        <w:rPr>
          <w:spacing w:val="15"/>
        </w:rPr>
        <w:t> </w:t>
      </w:r>
      <w:r>
        <w:rPr/>
        <w:t>español.</w:t>
      </w:r>
    </w:p>
    <w:p>
      <w:pPr>
        <w:pStyle w:val="BodyText"/>
        <w:rPr>
          <w:sz w:val="22"/>
        </w:rPr>
      </w:pPr>
    </w:p>
    <w:p>
      <w:pPr>
        <w:pStyle w:val="BodyText"/>
        <w:spacing w:line="364" w:lineRule="auto" w:before="160"/>
        <w:ind w:left="115" w:right="101"/>
        <w:jc w:val="both"/>
      </w:pPr>
      <w:r>
        <w:rPr/>
        <w:t>En seguida se presenta la tabla de contingencias para tres variables (tabla 3.4.). Esta matriz muestra cuantos sujetos se encuentran dentro de los distintos cuartiles denominados como alto, medio alto, medio bajo y bajo, en relación a las   variables.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279"/>
        <w:jc w:val="both"/>
      </w:pPr>
      <w:r>
        <w:rPr/>
        <w:t>Para facilitar </w:t>
      </w:r>
      <w:r>
        <w:rPr>
          <w:spacing w:val="4"/>
        </w:rPr>
        <w:t>su </w:t>
      </w:r>
      <w:r>
        <w:rPr/>
        <w:t>lectura se ha asignado a cada columna una letra y a cada fila un número. Es así que el cuadrante </w:t>
      </w:r>
      <w:r>
        <w:rPr>
          <w:spacing w:val="3"/>
        </w:rPr>
        <w:t>A1 </w:t>
      </w:r>
      <w:r>
        <w:rPr/>
        <w:t>muestra las contingencias  para los sujetos  que resultaron con baja competencia lingüística </w:t>
      </w:r>
      <w:r>
        <w:rPr>
          <w:spacing w:val="-3"/>
        </w:rPr>
        <w:t>en </w:t>
      </w:r>
      <w:r>
        <w:rPr/>
        <w:t>inglés, baja habilidad lectora en inglés y los cuatro cuartiles de comprensión </w:t>
      </w:r>
      <w:r>
        <w:rPr>
          <w:spacing w:val="-3"/>
        </w:rPr>
        <w:t>de </w:t>
      </w:r>
      <w:r>
        <w:rPr/>
        <w:t>lectura en </w:t>
      </w:r>
      <w:r>
        <w:rPr>
          <w:spacing w:val="27"/>
        </w:rPr>
        <w:t> </w:t>
      </w:r>
      <w:r>
        <w:rPr/>
        <w:t>español.</w:t>
      </w:r>
    </w:p>
    <w:p>
      <w:pPr>
        <w:pStyle w:val="BodyText"/>
        <w:rPr>
          <w:sz w:val="20"/>
        </w:rPr>
      </w:pPr>
    </w:p>
    <w:p>
      <w:pPr>
        <w:pStyle w:val="BodyText"/>
        <w:spacing w:before="1"/>
        <w:rPr>
          <w:sz w:val="12"/>
        </w:rPr>
      </w:pPr>
      <w:r>
        <w:rPr/>
        <w:drawing>
          <wp:anchor distT="0" distB="0" distL="0" distR="0" allowOverlap="1" layoutInCell="1" locked="0" behindDoc="0" simplePos="0" relativeHeight="1312">
            <wp:simplePos x="0" y="0"/>
            <wp:positionH relativeFrom="page">
              <wp:posOffset>1072896</wp:posOffset>
            </wp:positionH>
            <wp:positionV relativeFrom="paragraph">
              <wp:posOffset>113070</wp:posOffset>
            </wp:positionV>
            <wp:extent cx="5547360" cy="3261360"/>
            <wp:effectExtent l="0" t="0" r="0" b="0"/>
            <wp:wrapTopAndBottom/>
            <wp:docPr id="19" name="image18.png" descr=""/>
            <wp:cNvGraphicFramePr>
              <a:graphicFrameLocks noChangeAspect="1"/>
            </wp:cNvGraphicFramePr>
            <a:graphic>
              <a:graphicData uri="http://schemas.openxmlformats.org/drawingml/2006/picture">
                <pic:pic>
                  <pic:nvPicPr>
                    <pic:cNvPr id="20" name="image18.png"/>
                    <pic:cNvPicPr/>
                  </pic:nvPicPr>
                  <pic:blipFill>
                    <a:blip r:embed="rId28" cstate="print"/>
                    <a:stretch>
                      <a:fillRect/>
                    </a:stretch>
                  </pic:blipFill>
                  <pic:spPr>
                    <a:xfrm>
                      <a:off x="0" y="0"/>
                      <a:ext cx="5547360" cy="3261360"/>
                    </a:xfrm>
                    <a:prstGeom prst="rect">
                      <a:avLst/>
                    </a:prstGeom>
                  </pic:spPr>
                </pic:pic>
              </a:graphicData>
            </a:graphic>
          </wp:anchor>
        </w:drawing>
      </w:r>
    </w:p>
    <w:p>
      <w:pPr>
        <w:spacing w:before="100"/>
        <w:ind w:left="2012" w:right="0" w:firstLine="0"/>
        <w:jc w:val="left"/>
        <w:rPr>
          <w:b/>
          <w:sz w:val="19"/>
        </w:rPr>
      </w:pPr>
      <w:r>
        <w:rPr>
          <w:b/>
          <w:w w:val="105"/>
          <w:sz w:val="19"/>
        </w:rPr>
        <w:t>Tabla 3.4. Tabla de contingencia para tres variables.</w:t>
      </w:r>
    </w:p>
    <w:p>
      <w:pPr>
        <w:pStyle w:val="BodyText"/>
        <w:rPr>
          <w:b/>
          <w:sz w:val="20"/>
        </w:rPr>
      </w:pPr>
    </w:p>
    <w:p>
      <w:pPr>
        <w:pStyle w:val="BodyText"/>
        <w:spacing w:before="10"/>
        <w:rPr>
          <w:b/>
          <w:sz w:val="24"/>
        </w:rPr>
      </w:pPr>
    </w:p>
    <w:p>
      <w:pPr>
        <w:pStyle w:val="BodyText"/>
        <w:spacing w:before="1"/>
        <w:ind w:left="115"/>
        <w:jc w:val="both"/>
      </w:pPr>
      <w:r>
        <w:rPr/>
        <w:t>De la tabla de contingencias podemos concluir lo  siguiente:</w:t>
      </w:r>
    </w:p>
    <w:p>
      <w:pPr>
        <w:pStyle w:val="BodyText"/>
        <w:rPr>
          <w:sz w:val="22"/>
        </w:rPr>
      </w:pPr>
    </w:p>
    <w:p>
      <w:pPr>
        <w:pStyle w:val="BodyText"/>
        <w:spacing w:before="1"/>
        <w:rPr>
          <w:sz w:val="25"/>
        </w:rPr>
      </w:pPr>
    </w:p>
    <w:p>
      <w:pPr>
        <w:pStyle w:val="ListParagraph"/>
        <w:numPr>
          <w:ilvl w:val="2"/>
          <w:numId w:val="16"/>
        </w:numPr>
        <w:tabs>
          <w:tab w:pos="817" w:val="left" w:leader="none"/>
        </w:tabs>
        <w:spacing w:line="364" w:lineRule="auto" w:before="0" w:after="0"/>
        <w:ind w:left="816" w:right="285" w:hanging="350"/>
        <w:jc w:val="both"/>
        <w:rPr>
          <w:sz w:val="23"/>
        </w:rPr>
      </w:pPr>
      <w:r>
        <w:rPr>
          <w:sz w:val="23"/>
        </w:rPr>
        <w:t>La tabla de contingencias para las tres variables (tabla 3.4) confirma el  hecho de que no existe</w:t>
      </w:r>
      <w:r>
        <w:rPr>
          <w:spacing w:val="55"/>
          <w:sz w:val="23"/>
        </w:rPr>
        <w:t> </w:t>
      </w:r>
      <w:r>
        <w:rPr>
          <w:sz w:val="23"/>
        </w:rPr>
        <w:t>compensación.</w:t>
      </w:r>
    </w:p>
    <w:p>
      <w:pPr>
        <w:pStyle w:val="ListParagraph"/>
        <w:numPr>
          <w:ilvl w:val="2"/>
          <w:numId w:val="16"/>
        </w:numPr>
        <w:tabs>
          <w:tab w:pos="817" w:val="left" w:leader="none"/>
        </w:tabs>
        <w:spacing w:line="364" w:lineRule="auto" w:before="5" w:after="0"/>
        <w:ind w:left="816" w:right="279" w:hanging="350"/>
        <w:jc w:val="both"/>
        <w:rPr>
          <w:sz w:val="23"/>
        </w:rPr>
      </w:pPr>
      <w:r>
        <w:rPr>
          <w:sz w:val="23"/>
        </w:rPr>
        <w:t>Se puede observar que hay un sujeto en el primero de  los dos grupos en   los que podría darse </w:t>
      </w:r>
      <w:r>
        <w:rPr>
          <w:spacing w:val="-5"/>
          <w:sz w:val="23"/>
        </w:rPr>
        <w:t>la </w:t>
      </w:r>
      <w:r>
        <w:rPr>
          <w:sz w:val="23"/>
        </w:rPr>
        <w:t>compensación: alta habilidad lectora en español </w:t>
      </w:r>
      <w:r>
        <w:rPr>
          <w:spacing w:val="2"/>
          <w:sz w:val="23"/>
        </w:rPr>
        <w:t>con </w:t>
      </w:r>
      <w:r>
        <w:rPr>
          <w:sz w:val="23"/>
        </w:rPr>
        <w:t>baja competencia lingüística en inglés y alta comprensión de  lectura  en inglés que se encuentra en el sector A4 </w:t>
      </w:r>
      <w:r>
        <w:rPr>
          <w:spacing w:val="-3"/>
          <w:sz w:val="23"/>
        </w:rPr>
        <w:t>de </w:t>
      </w:r>
      <w:r>
        <w:rPr>
          <w:sz w:val="23"/>
        </w:rPr>
        <w:t>la tabla de contingencias (tabla 3.4) y al primer escenario en la tabla 2.1 (página 36). </w:t>
      </w:r>
      <w:r>
        <w:rPr>
          <w:spacing w:val="2"/>
          <w:sz w:val="23"/>
        </w:rPr>
        <w:t>Por </w:t>
      </w:r>
      <w:r>
        <w:rPr>
          <w:sz w:val="23"/>
        </w:rPr>
        <w:t>otro lado, hay tres sujetos en el segundo grupo donde se podría demostrar el proceso de compensación:  baja  habilidad  lectora  en  español  </w:t>
      </w:r>
      <w:r>
        <w:rPr>
          <w:spacing w:val="2"/>
          <w:sz w:val="23"/>
        </w:rPr>
        <w:t>con  </w:t>
      </w:r>
      <w:r>
        <w:rPr>
          <w:sz w:val="23"/>
        </w:rPr>
        <w:t>alta   </w:t>
      </w:r>
      <w:r>
        <w:rPr>
          <w:spacing w:val="23"/>
          <w:sz w:val="23"/>
        </w:rPr>
        <w:t> </w:t>
      </w:r>
      <w:r>
        <w:rPr>
          <w:sz w:val="23"/>
        </w:rPr>
        <w:t>competencia</w:t>
      </w:r>
    </w:p>
    <w:p>
      <w:pPr>
        <w:spacing w:after="0" w:line="364" w:lineRule="auto"/>
        <w:jc w:val="both"/>
        <w:rPr>
          <w:sz w:val="23"/>
        </w:rPr>
        <w:sectPr>
          <w:pgSz w:w="11910" w:h="16840"/>
          <w:pgMar w:header="1424" w:footer="0" w:top="1840" w:bottom="280" w:left="1540" w:right="1360"/>
        </w:sectPr>
      </w:pPr>
    </w:p>
    <w:p>
      <w:pPr>
        <w:pStyle w:val="BodyText"/>
        <w:spacing w:before="11"/>
        <w:rPr>
          <w:sz w:val="16"/>
        </w:rPr>
      </w:pPr>
    </w:p>
    <w:p>
      <w:pPr>
        <w:pStyle w:val="BodyText"/>
        <w:spacing w:line="364" w:lineRule="auto" w:before="73"/>
        <w:ind w:left="816" w:right="103"/>
        <w:jc w:val="both"/>
      </w:pPr>
      <w:r>
        <w:rPr/>
        <w:t>lingüística en inglés y alta habilidad lectora en inglés, en la intersección D4  de </w:t>
      </w:r>
      <w:r>
        <w:rPr>
          <w:spacing w:val="-5"/>
        </w:rPr>
        <w:t>la </w:t>
      </w:r>
      <w:r>
        <w:rPr/>
        <w:t>tabla de contingencias y segundo escenario de la tabla 2.1. El número de individuos que muestran capacidad de compensar no  </w:t>
      </w:r>
      <w:r>
        <w:rPr>
          <w:spacing w:val="-3"/>
        </w:rPr>
        <w:t>es  </w:t>
      </w:r>
      <w:r>
        <w:rPr/>
        <w:t>estadísticamente significativo, solamente 4 de 202 ó un 1.98%  de  </w:t>
      </w:r>
      <w:r>
        <w:rPr>
          <w:spacing w:val="-5"/>
        </w:rPr>
        <w:t>la  </w:t>
      </w:r>
      <w:r>
        <w:rPr/>
        <w:t>muestra</w:t>
      </w:r>
      <w:r>
        <w:rPr>
          <w:spacing w:val="17"/>
        </w:rPr>
        <w:t> </w:t>
      </w:r>
      <w:r>
        <w:rPr/>
        <w:t>total.</w:t>
      </w:r>
    </w:p>
    <w:p>
      <w:pPr>
        <w:pStyle w:val="ListParagraph"/>
        <w:numPr>
          <w:ilvl w:val="2"/>
          <w:numId w:val="16"/>
        </w:numPr>
        <w:tabs>
          <w:tab w:pos="817" w:val="left" w:leader="none"/>
        </w:tabs>
        <w:spacing w:line="364" w:lineRule="auto" w:before="0" w:after="0"/>
        <w:ind w:left="816" w:right="101" w:hanging="350"/>
        <w:jc w:val="both"/>
        <w:rPr>
          <w:sz w:val="23"/>
        </w:rPr>
      </w:pPr>
      <w:r>
        <w:rPr>
          <w:sz w:val="23"/>
        </w:rPr>
        <w:t>De hecho, el grupo que señala el número de sujetos con alta competencia lingüística en inglés y baja comprensión lectora en inglés está en blanco (en el cuadrante </w:t>
      </w:r>
      <w:r>
        <w:rPr>
          <w:spacing w:val="-3"/>
          <w:sz w:val="23"/>
        </w:rPr>
        <w:t>D1 </w:t>
      </w:r>
      <w:r>
        <w:rPr>
          <w:sz w:val="23"/>
        </w:rPr>
        <w:t>en la tabla de contingencias), </w:t>
      </w:r>
      <w:r>
        <w:rPr>
          <w:spacing w:val="-3"/>
          <w:sz w:val="23"/>
        </w:rPr>
        <w:t>es </w:t>
      </w:r>
      <w:r>
        <w:rPr>
          <w:sz w:val="23"/>
        </w:rPr>
        <w:t>decir no hay ninguna persona que cumpla </w:t>
      </w:r>
      <w:r>
        <w:rPr>
          <w:spacing w:val="2"/>
          <w:sz w:val="23"/>
        </w:rPr>
        <w:t>con </w:t>
      </w:r>
      <w:r>
        <w:rPr>
          <w:sz w:val="23"/>
        </w:rPr>
        <w:t>esta combinación de características, independientemente de </w:t>
      </w:r>
      <w:r>
        <w:rPr>
          <w:spacing w:val="4"/>
          <w:sz w:val="23"/>
        </w:rPr>
        <w:t>su </w:t>
      </w:r>
      <w:r>
        <w:rPr>
          <w:sz w:val="23"/>
        </w:rPr>
        <w:t>resultado en comprensión de lectura en </w:t>
      </w:r>
      <w:r>
        <w:rPr>
          <w:spacing w:val="20"/>
          <w:sz w:val="23"/>
        </w:rPr>
        <w:t> </w:t>
      </w:r>
      <w:r>
        <w:rPr>
          <w:sz w:val="23"/>
        </w:rPr>
        <w:t>español.</w:t>
      </w:r>
    </w:p>
    <w:p>
      <w:pPr>
        <w:pStyle w:val="ListParagraph"/>
        <w:numPr>
          <w:ilvl w:val="2"/>
          <w:numId w:val="16"/>
        </w:numPr>
        <w:tabs>
          <w:tab w:pos="817" w:val="left" w:leader="none"/>
        </w:tabs>
        <w:spacing w:line="364" w:lineRule="auto" w:before="5" w:after="0"/>
        <w:ind w:left="816" w:right="98" w:hanging="350"/>
        <w:jc w:val="both"/>
        <w:rPr>
          <w:sz w:val="23"/>
        </w:rPr>
      </w:pPr>
      <w:r>
        <w:rPr>
          <w:sz w:val="23"/>
        </w:rPr>
        <w:t>Los dos grupos de combinaciones que presentaron mayor número de casos son: el de alta habilidad lectora en español con alta competencia lingüística en inglés y alta habilidad lectora en inglés, con un total de 12 individuos que cumplen la condición número 7 en </w:t>
      </w:r>
      <w:r>
        <w:rPr>
          <w:spacing w:val="-5"/>
          <w:sz w:val="23"/>
        </w:rPr>
        <w:t>la </w:t>
      </w:r>
      <w:r>
        <w:rPr>
          <w:sz w:val="23"/>
        </w:rPr>
        <w:t>tabla 2.1 y que se ubican en el sector D4 de la tabla de contingencias; y el grupo </w:t>
      </w:r>
      <w:r>
        <w:rPr>
          <w:spacing w:val="2"/>
          <w:sz w:val="23"/>
        </w:rPr>
        <w:t>con </w:t>
      </w:r>
      <w:r>
        <w:rPr>
          <w:sz w:val="23"/>
        </w:rPr>
        <w:t>baja habilidad lectora en español, baja competencia lingüística en inglés y media baja comprensión lectora en inglés, con doce individuos en el cuadrante A2 y que cumplen </w:t>
      </w:r>
      <w:r>
        <w:rPr>
          <w:spacing w:val="-5"/>
          <w:sz w:val="23"/>
        </w:rPr>
        <w:t>la </w:t>
      </w:r>
      <w:r>
        <w:rPr>
          <w:sz w:val="23"/>
        </w:rPr>
        <w:t>condición número 8 de </w:t>
      </w:r>
      <w:r>
        <w:rPr>
          <w:spacing w:val="-5"/>
          <w:sz w:val="23"/>
        </w:rPr>
        <w:t>la </w:t>
      </w:r>
      <w:r>
        <w:rPr>
          <w:sz w:val="23"/>
        </w:rPr>
        <w:t>tabla</w:t>
      </w:r>
      <w:r>
        <w:rPr>
          <w:spacing w:val="57"/>
          <w:sz w:val="23"/>
        </w:rPr>
        <w:t> </w:t>
      </w:r>
      <w:r>
        <w:rPr>
          <w:sz w:val="23"/>
        </w:rPr>
        <w:t>2.1.</w:t>
      </w:r>
    </w:p>
    <w:p>
      <w:pPr>
        <w:pStyle w:val="ListParagraph"/>
        <w:numPr>
          <w:ilvl w:val="2"/>
          <w:numId w:val="16"/>
        </w:numPr>
        <w:tabs>
          <w:tab w:pos="817" w:val="left" w:leader="none"/>
        </w:tabs>
        <w:spacing w:line="364" w:lineRule="auto" w:before="0" w:after="0"/>
        <w:ind w:left="816" w:right="107" w:hanging="350"/>
        <w:jc w:val="both"/>
        <w:rPr>
          <w:sz w:val="23"/>
        </w:rPr>
      </w:pPr>
      <w:r>
        <w:rPr>
          <w:sz w:val="23"/>
        </w:rPr>
        <w:t>Los sectores con el mayor número de casos son: donde intersectan los </w:t>
      </w:r>
      <w:r>
        <w:rPr>
          <w:spacing w:val="-3"/>
          <w:sz w:val="23"/>
        </w:rPr>
        <w:t>de </w:t>
      </w:r>
      <w:r>
        <w:rPr>
          <w:sz w:val="23"/>
        </w:rPr>
        <w:t>alta competencia lingüística en inglés y los de alta habilidad  lectora  en inglés, independientemente del nivel de lectura en español con </w:t>
      </w:r>
      <w:r>
        <w:rPr>
          <w:spacing w:val="-3"/>
          <w:sz w:val="23"/>
        </w:rPr>
        <w:t>27 </w:t>
      </w:r>
      <w:r>
        <w:rPr>
          <w:sz w:val="23"/>
        </w:rPr>
        <w:t>casos (sector D4 en la tabla de contingencias) y aquel donde cruzan los de baja competencia lingüística en inglés y media-baja habilidad lectora en inglés (sector </w:t>
      </w:r>
      <w:r>
        <w:rPr>
          <w:spacing w:val="2"/>
          <w:sz w:val="23"/>
        </w:rPr>
        <w:t>A2) </w:t>
      </w:r>
      <w:r>
        <w:rPr>
          <w:sz w:val="23"/>
        </w:rPr>
        <w:t>con 23</w:t>
      </w:r>
      <w:r>
        <w:rPr>
          <w:spacing w:val="13"/>
          <w:sz w:val="23"/>
        </w:rPr>
        <w:t> </w:t>
      </w:r>
      <w:r>
        <w:rPr>
          <w:sz w:val="23"/>
        </w:rPr>
        <w:t>casos.</w:t>
      </w:r>
    </w:p>
    <w:p>
      <w:pPr>
        <w:pStyle w:val="ListParagraph"/>
        <w:numPr>
          <w:ilvl w:val="2"/>
          <w:numId w:val="16"/>
        </w:numPr>
        <w:tabs>
          <w:tab w:pos="817" w:val="left" w:leader="none"/>
        </w:tabs>
        <w:spacing w:line="364" w:lineRule="auto" w:before="10" w:after="0"/>
        <w:ind w:left="816" w:right="103" w:hanging="350"/>
        <w:jc w:val="both"/>
        <w:rPr>
          <w:sz w:val="23"/>
        </w:rPr>
      </w:pPr>
      <w:r>
        <w:rPr>
          <w:sz w:val="23"/>
        </w:rPr>
        <w:t>Otro aspecto que debe mencionarse es el escaso número de casos  con  baja competencia lingüística </w:t>
      </w:r>
      <w:r>
        <w:rPr>
          <w:spacing w:val="-3"/>
          <w:sz w:val="23"/>
        </w:rPr>
        <w:t>en </w:t>
      </w:r>
      <w:r>
        <w:rPr>
          <w:sz w:val="23"/>
        </w:rPr>
        <w:t>inglés y </w:t>
      </w:r>
      <w:r>
        <w:rPr>
          <w:spacing w:val="2"/>
          <w:sz w:val="23"/>
        </w:rPr>
        <w:t>con </w:t>
      </w:r>
      <w:r>
        <w:rPr>
          <w:sz w:val="23"/>
        </w:rPr>
        <w:t>alta o media alta habilidad lectora en inglés, independientemente de su resultado </w:t>
      </w:r>
      <w:r>
        <w:rPr>
          <w:spacing w:val="-3"/>
          <w:sz w:val="23"/>
        </w:rPr>
        <w:t>en </w:t>
      </w:r>
      <w:r>
        <w:rPr>
          <w:sz w:val="23"/>
        </w:rPr>
        <w:t>comprensión </w:t>
      </w:r>
      <w:r>
        <w:rPr>
          <w:spacing w:val="-3"/>
          <w:sz w:val="23"/>
        </w:rPr>
        <w:t>de </w:t>
      </w:r>
      <w:r>
        <w:rPr>
          <w:sz w:val="23"/>
        </w:rPr>
        <w:t>lectura en español, siendo únicamente diez los participantes que muestran esta combinación de características, como </w:t>
      </w:r>
      <w:r>
        <w:rPr>
          <w:spacing w:val="4"/>
          <w:sz w:val="23"/>
        </w:rPr>
        <w:t>se </w:t>
      </w:r>
      <w:r>
        <w:rPr>
          <w:sz w:val="23"/>
        </w:rPr>
        <w:t>puede observar en  los sectores A3 y</w:t>
      </w:r>
      <w:r>
        <w:rPr>
          <w:spacing w:val="-8"/>
          <w:sz w:val="23"/>
        </w:rPr>
        <w:t> </w:t>
      </w:r>
      <w:r>
        <w:rPr>
          <w:spacing w:val="2"/>
          <w:sz w:val="23"/>
        </w:rPr>
        <w:t>A4.</w:t>
      </w:r>
    </w:p>
    <w:p>
      <w:pPr>
        <w:spacing w:after="0" w:line="364" w:lineRule="auto"/>
        <w:jc w:val="both"/>
        <w:rPr>
          <w:sz w:val="23"/>
        </w:rPr>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rPr>
          <w:i/>
        </w:rPr>
      </w:pPr>
      <w:r>
        <w:rPr/>
        <w:t>Los resultados de Anova para esta agrupación, en cuartiles fue de </w:t>
      </w:r>
      <w:r>
        <w:rPr>
          <w:i/>
        </w:rPr>
        <w:t>F(9,202)=1.193  </w:t>
      </w:r>
      <w:r>
        <w:rPr/>
        <w:t>y valor alfa de </w:t>
      </w:r>
      <w:r>
        <w:rPr>
          <w:i/>
        </w:rPr>
        <w:t>α=0.302 </w:t>
      </w:r>
      <w:r>
        <w:rPr/>
        <w:t>(ver anexo </w:t>
      </w:r>
      <w:r>
        <w:rPr>
          <w:spacing w:val="-3"/>
        </w:rPr>
        <w:t>C), </w:t>
      </w:r>
      <w:r>
        <w:rPr/>
        <w:t>que indica que </w:t>
      </w:r>
      <w:r>
        <w:rPr>
          <w:spacing w:val="-5"/>
        </w:rPr>
        <w:t>la </w:t>
      </w:r>
      <w:r>
        <w:rPr/>
        <w:t>relación entre variables </w:t>
      </w:r>
      <w:r>
        <w:rPr>
          <w:spacing w:val="-3"/>
        </w:rPr>
        <w:t>es </w:t>
      </w:r>
      <w:r>
        <w:rPr/>
        <w:t>significativa, </w:t>
      </w:r>
      <w:r>
        <w:rPr>
          <w:spacing w:val="-5"/>
        </w:rPr>
        <w:t>lo </w:t>
      </w:r>
      <w:r>
        <w:rPr/>
        <w:t>que refuta la hipótesis respecto a la compensación. Se corrió un análisis de varianzas para los modelos de dos y tres grupos, obteniendo para el de dos grupos valor </w:t>
      </w:r>
      <w:r>
        <w:rPr>
          <w:i/>
        </w:rPr>
        <w:t>F(1,202)=0.073 </w:t>
      </w:r>
      <w:r>
        <w:rPr/>
        <w:t>y </w:t>
      </w:r>
      <w:r>
        <w:rPr>
          <w:i/>
        </w:rPr>
        <w:t>α=0.787 </w:t>
      </w:r>
      <w:r>
        <w:rPr/>
        <w:t>(ver anexo G) y el modelo de tres grupos</w:t>
      </w:r>
      <w:r>
        <w:rPr>
          <w:spacing w:val="19"/>
        </w:rPr>
        <w:t> </w:t>
      </w:r>
      <w:r>
        <w:rPr/>
        <w:t>con</w:t>
      </w:r>
      <w:r>
        <w:rPr>
          <w:spacing w:val="16"/>
        </w:rPr>
        <w:t> </w:t>
      </w:r>
      <w:r>
        <w:rPr/>
        <w:t>valor</w:t>
      </w:r>
      <w:r>
        <w:rPr>
          <w:spacing w:val="14"/>
        </w:rPr>
        <w:t> </w:t>
      </w:r>
      <w:r>
        <w:rPr>
          <w:i/>
        </w:rPr>
        <w:t>F(4,202)=0.180</w:t>
      </w:r>
      <w:r>
        <w:rPr>
          <w:i/>
          <w:spacing w:val="16"/>
        </w:rPr>
        <w:t> </w:t>
      </w:r>
      <w:r>
        <w:rPr>
          <w:i/>
        </w:rPr>
        <w:t>y</w:t>
      </w:r>
      <w:r>
        <w:rPr>
          <w:i/>
          <w:spacing w:val="20"/>
        </w:rPr>
        <w:t> </w:t>
      </w:r>
      <w:r>
        <w:rPr>
          <w:i/>
        </w:rPr>
        <w:t>α=0.949</w:t>
      </w:r>
      <w:r>
        <w:rPr>
          <w:i/>
          <w:spacing w:val="21"/>
        </w:rPr>
        <w:t> </w:t>
      </w:r>
      <w:r>
        <w:rPr/>
        <w:t>(ver</w:t>
      </w:r>
      <w:r>
        <w:rPr>
          <w:spacing w:val="14"/>
        </w:rPr>
        <w:t> </w:t>
      </w:r>
      <w:r>
        <w:rPr/>
        <w:t>anexo</w:t>
      </w:r>
      <w:r>
        <w:rPr>
          <w:spacing w:val="11"/>
        </w:rPr>
        <w:t> </w:t>
      </w:r>
      <w:r>
        <w:rPr/>
        <w:t>F).</w:t>
      </w:r>
      <w:r>
        <w:rPr>
          <w:spacing w:val="19"/>
        </w:rPr>
        <w:t> </w:t>
      </w:r>
      <w:r>
        <w:rPr>
          <w:i/>
        </w:rPr>
        <w:t>El</w:t>
      </w:r>
      <w:r>
        <w:rPr>
          <w:i/>
          <w:spacing w:val="18"/>
        </w:rPr>
        <w:t> </w:t>
      </w:r>
      <w:r>
        <w:rPr>
          <w:i/>
        </w:rPr>
        <w:t>valor</w:t>
      </w:r>
      <w:r>
        <w:rPr>
          <w:i/>
          <w:spacing w:val="14"/>
        </w:rPr>
        <w:t> </w:t>
      </w:r>
      <w:r>
        <w:rPr>
          <w:i/>
        </w:rPr>
        <w:t>de</w:t>
      </w:r>
      <w:r>
        <w:rPr>
          <w:i/>
          <w:spacing w:val="21"/>
        </w:rPr>
        <w:t> </w:t>
      </w:r>
      <w:r>
        <w:rPr>
          <w:i/>
        </w:rPr>
        <w:t>α</w:t>
      </w:r>
      <w:r>
        <w:rPr>
          <w:i/>
          <w:spacing w:val="12"/>
        </w:rPr>
        <w:t> </w:t>
      </w:r>
      <w:r>
        <w:rPr>
          <w:i/>
        </w:rPr>
        <w:t>cercano</w:t>
      </w:r>
      <w:r>
        <w:rPr>
          <w:i/>
          <w:spacing w:val="16"/>
        </w:rPr>
        <w:t> </w:t>
      </w:r>
      <w:r>
        <w:rPr>
          <w:i/>
        </w:rPr>
        <w:t>a</w:t>
      </w:r>
    </w:p>
    <w:p>
      <w:pPr>
        <w:pStyle w:val="ListParagraph"/>
        <w:numPr>
          <w:ilvl w:val="1"/>
          <w:numId w:val="17"/>
        </w:numPr>
        <w:tabs>
          <w:tab w:pos="592" w:val="left" w:leader="none"/>
        </w:tabs>
        <w:spacing w:line="364" w:lineRule="auto" w:before="5" w:after="0"/>
        <w:ind w:left="116" w:right="100" w:firstLine="0"/>
        <w:jc w:val="both"/>
        <w:rPr>
          <w:sz w:val="23"/>
        </w:rPr>
      </w:pPr>
      <w:r>
        <w:rPr>
          <w:sz w:val="23"/>
        </w:rPr>
        <w:t>indica menor discriminación entre los grupos, por lo que el modelo de agrupación en cuartiles muestra una mayor discriminación entre estos. Una vez realizado el análisis de varianza se corrieron comparaciones posteriores múltiples, pruebas </w:t>
      </w:r>
      <w:r>
        <w:rPr>
          <w:i/>
          <w:sz w:val="23"/>
        </w:rPr>
        <w:t>post hoc</w:t>
      </w:r>
      <w:r>
        <w:rPr>
          <w:sz w:val="23"/>
        </w:rPr>
        <w:t>, con prueba estadística de Bonferroni (ver anexos D y E), donde se puede observar que hay diferencias significativas entre los grupos de ambas variables independientes, sin embargo, los grupos de comprensión de lectura en inglés muestran un grado de discriminación ligeramente mayor </w:t>
      </w:r>
      <w:r>
        <w:rPr>
          <w:spacing w:val="-4"/>
          <w:sz w:val="23"/>
        </w:rPr>
        <w:t>ya </w:t>
      </w:r>
      <w:r>
        <w:rPr>
          <w:sz w:val="23"/>
        </w:rPr>
        <w:t>que sólo </w:t>
      </w:r>
      <w:r>
        <w:rPr>
          <w:spacing w:val="-5"/>
          <w:sz w:val="23"/>
        </w:rPr>
        <w:t>la </w:t>
      </w:r>
      <w:r>
        <w:rPr>
          <w:sz w:val="23"/>
        </w:rPr>
        <w:t>comparación del grupo </w:t>
      </w:r>
      <w:r>
        <w:rPr>
          <w:i/>
          <w:sz w:val="23"/>
        </w:rPr>
        <w:t>bajo </w:t>
      </w:r>
      <w:r>
        <w:rPr>
          <w:sz w:val="23"/>
        </w:rPr>
        <w:t>con el </w:t>
      </w:r>
      <w:r>
        <w:rPr>
          <w:i/>
          <w:sz w:val="23"/>
        </w:rPr>
        <w:t>medio bajo </w:t>
      </w:r>
      <w:r>
        <w:rPr>
          <w:sz w:val="23"/>
        </w:rPr>
        <w:t>son lo suficientemente homogéneos como para no mostrar diferencias significativas. Mientras tanto, en la competencia lingüística hay dos pares de grupos que </w:t>
      </w:r>
      <w:r>
        <w:rPr>
          <w:spacing w:val="-3"/>
          <w:sz w:val="23"/>
        </w:rPr>
        <w:t>no </w:t>
      </w:r>
      <w:r>
        <w:rPr>
          <w:sz w:val="23"/>
        </w:rPr>
        <w:t>tienen diferencias  significativas, el  grupo medio bajo con el bajo y el medio bajo con el medio </w:t>
      </w:r>
      <w:r>
        <w:rPr>
          <w:spacing w:val="14"/>
          <w:sz w:val="23"/>
        </w:rPr>
        <w:t> </w:t>
      </w:r>
      <w:r>
        <w:rPr>
          <w:sz w:val="23"/>
        </w:rPr>
        <w:t>alto.</w:t>
      </w:r>
    </w:p>
    <w:p>
      <w:pPr>
        <w:pStyle w:val="BodyText"/>
        <w:rPr>
          <w:sz w:val="22"/>
        </w:rPr>
      </w:pPr>
    </w:p>
    <w:p>
      <w:pPr>
        <w:pStyle w:val="BodyText"/>
        <w:spacing w:line="367" w:lineRule="auto" w:before="150"/>
        <w:ind w:left="115" w:right="105"/>
        <w:jc w:val="both"/>
      </w:pPr>
      <w:r>
        <w:rPr/>
        <w:t>Un análisis de regresión múltiple (tabla 3.5) se llevó a cabo con la finalidad de comprobar la contribución de las variables independientes, comprensión de lectura en español y competencia lingüística en inglés, a la variable dependiente, comprensión de lectura en inglés.</w:t>
      </w:r>
    </w:p>
    <w:p>
      <w:pPr>
        <w:spacing w:after="0" w:line="367" w:lineRule="auto"/>
        <w:jc w:val="both"/>
        <w:sectPr>
          <w:pgSz w:w="11910" w:h="16840"/>
          <w:pgMar w:header="1424" w:footer="0" w:top="1840" w:bottom="280" w:left="1540" w:right="1540"/>
        </w:sectPr>
      </w:pPr>
    </w:p>
    <w:p>
      <w:pPr>
        <w:pStyle w:val="BodyText"/>
        <w:spacing w:before="7"/>
        <w:rPr>
          <w:sz w:val="28"/>
        </w:rPr>
      </w:pPr>
    </w:p>
    <w:p>
      <w:pPr>
        <w:spacing w:before="79"/>
        <w:ind w:left="781" w:right="1018" w:firstLine="0"/>
        <w:jc w:val="center"/>
        <w:rPr>
          <w:b/>
          <w:sz w:val="14"/>
        </w:rPr>
      </w:pPr>
      <w:r>
        <w:rPr>
          <w:b/>
          <w:sz w:val="18"/>
        </w:rPr>
        <w:t>Coeficientes</w:t>
      </w:r>
      <w:r>
        <w:rPr>
          <w:b/>
          <w:position w:val="7"/>
          <w:sz w:val="14"/>
        </w:rPr>
        <w:t>a</w:t>
      </w:r>
    </w:p>
    <w:p>
      <w:pPr>
        <w:pStyle w:val="BodyText"/>
        <w:spacing w:before="6"/>
        <w:rPr>
          <w:b/>
          <w:sz w:val="9"/>
        </w:rPr>
      </w:pPr>
    </w:p>
    <w:tbl>
      <w:tblPr>
        <w:tblW w:w="0" w:type="auto"/>
        <w:jc w:val="left"/>
        <w:tblInd w:w="269"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584"/>
        <w:gridCol w:w="1987"/>
        <w:gridCol w:w="1023"/>
        <w:gridCol w:w="1036"/>
        <w:gridCol w:w="1300"/>
        <w:gridCol w:w="1036"/>
        <w:gridCol w:w="1051"/>
      </w:tblGrid>
      <w:tr>
        <w:trPr>
          <w:trHeight w:val="706" w:hRule="exact"/>
        </w:trPr>
        <w:tc>
          <w:tcPr>
            <w:tcW w:w="2571" w:type="dxa"/>
            <w:gridSpan w:val="2"/>
            <w:vMerge w:val="restart"/>
          </w:tcPr>
          <w:p>
            <w:pPr>
              <w:pStyle w:val="TableParagraph"/>
              <w:jc w:val="left"/>
              <w:rPr>
                <w:b/>
                <w:sz w:val="18"/>
              </w:rPr>
            </w:pPr>
          </w:p>
          <w:p>
            <w:pPr>
              <w:pStyle w:val="TableParagraph"/>
              <w:jc w:val="left"/>
              <w:rPr>
                <w:b/>
                <w:sz w:val="18"/>
              </w:rPr>
            </w:pPr>
          </w:p>
          <w:p>
            <w:pPr>
              <w:pStyle w:val="TableParagraph"/>
              <w:jc w:val="left"/>
              <w:rPr>
                <w:b/>
                <w:sz w:val="18"/>
              </w:rPr>
            </w:pPr>
          </w:p>
          <w:p>
            <w:pPr>
              <w:pStyle w:val="TableParagraph"/>
              <w:spacing w:before="128"/>
              <w:ind w:left="97"/>
              <w:jc w:val="left"/>
              <w:rPr>
                <w:sz w:val="18"/>
              </w:rPr>
            </w:pPr>
            <w:r>
              <w:rPr>
                <w:sz w:val="18"/>
              </w:rPr>
              <w:t>Modelo</w:t>
            </w:r>
          </w:p>
        </w:tc>
        <w:tc>
          <w:tcPr>
            <w:tcW w:w="2060" w:type="dxa"/>
            <w:gridSpan w:val="2"/>
            <w:tcBorders>
              <w:bottom w:val="single" w:sz="6" w:space="0" w:color="000000"/>
              <w:right w:val="single" w:sz="6" w:space="0" w:color="000000"/>
            </w:tcBorders>
          </w:tcPr>
          <w:p>
            <w:pPr>
              <w:pStyle w:val="TableParagraph"/>
              <w:jc w:val="left"/>
              <w:rPr>
                <w:b/>
                <w:sz w:val="23"/>
              </w:rPr>
            </w:pPr>
          </w:p>
          <w:p>
            <w:pPr>
              <w:pStyle w:val="TableParagraph"/>
              <w:spacing w:line="256" w:lineRule="auto"/>
              <w:ind w:left="401" w:hanging="10"/>
              <w:jc w:val="left"/>
              <w:rPr>
                <w:sz w:val="18"/>
              </w:rPr>
            </w:pPr>
            <w:r>
              <w:rPr>
                <w:sz w:val="18"/>
              </w:rPr>
              <w:t>Coeficientes no estandarizados</w:t>
            </w:r>
          </w:p>
        </w:tc>
        <w:tc>
          <w:tcPr>
            <w:tcW w:w="1300" w:type="dxa"/>
            <w:tcBorders>
              <w:left w:val="single" w:sz="6" w:space="0" w:color="000000"/>
              <w:bottom w:val="single" w:sz="6" w:space="0" w:color="000000"/>
              <w:right w:val="single" w:sz="6" w:space="0" w:color="000000"/>
            </w:tcBorders>
          </w:tcPr>
          <w:p>
            <w:pPr>
              <w:pStyle w:val="TableParagraph"/>
              <w:spacing w:line="256" w:lineRule="auto" w:before="44"/>
              <w:ind w:left="129" w:right="156" w:firstLine="4"/>
              <w:jc w:val="center"/>
              <w:rPr>
                <w:sz w:val="18"/>
              </w:rPr>
            </w:pPr>
            <w:r>
              <w:rPr>
                <w:spacing w:val="-3"/>
                <w:sz w:val="18"/>
              </w:rPr>
              <w:t>Coeficientes estandarizad </w:t>
            </w:r>
            <w:r>
              <w:rPr>
                <w:sz w:val="18"/>
              </w:rPr>
              <w:t>os</w:t>
            </w:r>
          </w:p>
        </w:tc>
        <w:tc>
          <w:tcPr>
            <w:tcW w:w="1036" w:type="dxa"/>
            <w:vMerge w:val="restart"/>
            <w:tcBorders>
              <w:left w:val="single" w:sz="6" w:space="0" w:color="000000"/>
              <w:right w:val="single" w:sz="6" w:space="0" w:color="000000"/>
            </w:tcBorders>
          </w:tcPr>
          <w:p>
            <w:pPr>
              <w:pStyle w:val="TableParagraph"/>
              <w:jc w:val="left"/>
              <w:rPr>
                <w:b/>
                <w:sz w:val="18"/>
              </w:rPr>
            </w:pPr>
          </w:p>
          <w:p>
            <w:pPr>
              <w:pStyle w:val="TableParagraph"/>
              <w:jc w:val="left"/>
              <w:rPr>
                <w:b/>
                <w:sz w:val="18"/>
              </w:rPr>
            </w:pPr>
          </w:p>
          <w:p>
            <w:pPr>
              <w:pStyle w:val="TableParagraph"/>
              <w:jc w:val="left"/>
              <w:rPr>
                <w:b/>
                <w:sz w:val="18"/>
              </w:rPr>
            </w:pPr>
          </w:p>
          <w:p>
            <w:pPr>
              <w:pStyle w:val="TableParagraph"/>
              <w:spacing w:before="128"/>
              <w:ind w:right="36"/>
              <w:jc w:val="center"/>
              <w:rPr>
                <w:sz w:val="18"/>
              </w:rPr>
            </w:pPr>
            <w:r>
              <w:rPr>
                <w:w w:val="100"/>
                <w:sz w:val="18"/>
              </w:rPr>
              <w:t>t</w:t>
            </w:r>
          </w:p>
        </w:tc>
        <w:tc>
          <w:tcPr>
            <w:tcW w:w="1051" w:type="dxa"/>
            <w:vMerge w:val="restart"/>
            <w:tcBorders>
              <w:left w:val="single" w:sz="6" w:space="0" w:color="000000"/>
            </w:tcBorders>
          </w:tcPr>
          <w:p>
            <w:pPr>
              <w:pStyle w:val="TableParagraph"/>
              <w:jc w:val="left"/>
              <w:rPr>
                <w:b/>
                <w:sz w:val="18"/>
              </w:rPr>
            </w:pPr>
          </w:p>
          <w:p>
            <w:pPr>
              <w:pStyle w:val="TableParagraph"/>
              <w:jc w:val="left"/>
              <w:rPr>
                <w:b/>
                <w:sz w:val="18"/>
              </w:rPr>
            </w:pPr>
          </w:p>
          <w:p>
            <w:pPr>
              <w:pStyle w:val="TableParagraph"/>
              <w:jc w:val="left"/>
              <w:rPr>
                <w:b/>
                <w:sz w:val="18"/>
              </w:rPr>
            </w:pPr>
          </w:p>
          <w:p>
            <w:pPr>
              <w:pStyle w:val="TableParagraph"/>
              <w:spacing w:before="128"/>
              <w:ind w:left="337"/>
              <w:jc w:val="left"/>
              <w:rPr>
                <w:sz w:val="18"/>
              </w:rPr>
            </w:pPr>
            <w:r>
              <w:rPr>
                <w:sz w:val="18"/>
              </w:rPr>
              <w:t>Sig.</w:t>
            </w:r>
          </w:p>
        </w:tc>
      </w:tr>
      <w:tr>
        <w:trPr>
          <w:trHeight w:val="277" w:hRule="exact"/>
        </w:trPr>
        <w:tc>
          <w:tcPr>
            <w:tcW w:w="2571" w:type="dxa"/>
            <w:gridSpan w:val="2"/>
            <w:vMerge/>
          </w:tcPr>
          <w:p>
            <w:pPr/>
          </w:p>
        </w:tc>
        <w:tc>
          <w:tcPr>
            <w:tcW w:w="1023" w:type="dxa"/>
            <w:tcBorders>
              <w:top w:val="single" w:sz="6" w:space="0" w:color="000000"/>
              <w:right w:val="single" w:sz="6" w:space="0" w:color="000000"/>
            </w:tcBorders>
          </w:tcPr>
          <w:p>
            <w:pPr>
              <w:pStyle w:val="TableParagraph"/>
              <w:spacing w:before="50"/>
              <w:ind w:right="57"/>
              <w:jc w:val="center"/>
              <w:rPr>
                <w:sz w:val="18"/>
              </w:rPr>
            </w:pPr>
            <w:r>
              <w:rPr>
                <w:w w:val="99"/>
                <w:sz w:val="18"/>
              </w:rPr>
              <w:t>B</w:t>
            </w:r>
          </w:p>
        </w:tc>
        <w:tc>
          <w:tcPr>
            <w:tcW w:w="1036" w:type="dxa"/>
            <w:tcBorders>
              <w:top w:val="single" w:sz="6" w:space="0" w:color="000000"/>
              <w:left w:val="single" w:sz="6" w:space="0" w:color="000000"/>
              <w:right w:val="single" w:sz="6" w:space="0" w:color="000000"/>
            </w:tcBorders>
          </w:tcPr>
          <w:p>
            <w:pPr>
              <w:pStyle w:val="TableParagraph"/>
              <w:spacing w:before="50"/>
              <w:ind w:right="189"/>
              <w:rPr>
                <w:sz w:val="18"/>
              </w:rPr>
            </w:pPr>
            <w:r>
              <w:rPr>
                <w:sz w:val="18"/>
              </w:rPr>
              <w:t>Error típ.</w:t>
            </w:r>
          </w:p>
        </w:tc>
        <w:tc>
          <w:tcPr>
            <w:tcW w:w="1300" w:type="dxa"/>
            <w:tcBorders>
              <w:top w:val="single" w:sz="6" w:space="0" w:color="000000"/>
              <w:left w:val="single" w:sz="6" w:space="0" w:color="000000"/>
              <w:right w:val="single" w:sz="6" w:space="0" w:color="000000"/>
            </w:tcBorders>
          </w:tcPr>
          <w:p>
            <w:pPr>
              <w:pStyle w:val="TableParagraph"/>
              <w:spacing w:before="50"/>
              <w:ind w:left="429" w:right="445"/>
              <w:jc w:val="center"/>
              <w:rPr>
                <w:sz w:val="18"/>
              </w:rPr>
            </w:pPr>
            <w:r>
              <w:rPr>
                <w:sz w:val="18"/>
              </w:rPr>
              <w:t>Beta</w:t>
            </w:r>
          </w:p>
        </w:tc>
        <w:tc>
          <w:tcPr>
            <w:tcW w:w="1036" w:type="dxa"/>
            <w:vMerge/>
            <w:tcBorders>
              <w:left w:val="single" w:sz="6" w:space="0" w:color="000000"/>
              <w:right w:val="single" w:sz="6" w:space="0" w:color="000000"/>
            </w:tcBorders>
          </w:tcPr>
          <w:p>
            <w:pPr/>
          </w:p>
        </w:tc>
        <w:tc>
          <w:tcPr>
            <w:tcW w:w="1051" w:type="dxa"/>
            <w:vMerge/>
            <w:tcBorders>
              <w:left w:val="single" w:sz="6" w:space="0" w:color="000000"/>
            </w:tcBorders>
          </w:tcPr>
          <w:p>
            <w:pPr/>
          </w:p>
        </w:tc>
      </w:tr>
      <w:tr>
        <w:trPr>
          <w:trHeight w:val="244" w:hRule="exact"/>
        </w:trPr>
        <w:tc>
          <w:tcPr>
            <w:tcW w:w="584" w:type="dxa"/>
            <w:tcBorders>
              <w:bottom w:val="nil"/>
              <w:right w:val="nil"/>
            </w:tcBorders>
          </w:tcPr>
          <w:p>
            <w:pPr>
              <w:pStyle w:val="TableParagraph"/>
              <w:spacing w:line="185" w:lineRule="exact"/>
              <w:ind w:left="97"/>
              <w:jc w:val="left"/>
              <w:rPr>
                <w:sz w:val="18"/>
              </w:rPr>
            </w:pPr>
            <w:r>
              <w:rPr>
                <w:w w:val="99"/>
                <w:sz w:val="18"/>
              </w:rPr>
              <w:t>1</w:t>
            </w:r>
          </w:p>
        </w:tc>
        <w:tc>
          <w:tcPr>
            <w:tcW w:w="1987" w:type="dxa"/>
            <w:tcBorders>
              <w:left w:val="nil"/>
              <w:bottom w:val="nil"/>
            </w:tcBorders>
          </w:tcPr>
          <w:p>
            <w:pPr>
              <w:pStyle w:val="TableParagraph"/>
              <w:spacing w:line="185" w:lineRule="exact"/>
              <w:ind w:left="372"/>
              <w:jc w:val="left"/>
              <w:rPr>
                <w:sz w:val="18"/>
              </w:rPr>
            </w:pPr>
            <w:r>
              <w:rPr>
                <w:sz w:val="18"/>
              </w:rPr>
              <w:t>(Constante)</w:t>
            </w:r>
          </w:p>
        </w:tc>
        <w:tc>
          <w:tcPr>
            <w:tcW w:w="1023" w:type="dxa"/>
            <w:tcBorders>
              <w:bottom w:val="nil"/>
              <w:right w:val="single" w:sz="6" w:space="0" w:color="000000"/>
            </w:tcBorders>
          </w:tcPr>
          <w:p>
            <w:pPr>
              <w:pStyle w:val="TableParagraph"/>
              <w:spacing w:line="200" w:lineRule="exact"/>
              <w:ind w:right="130"/>
              <w:rPr>
                <w:sz w:val="18"/>
              </w:rPr>
            </w:pPr>
            <w:r>
              <w:rPr>
                <w:sz w:val="18"/>
              </w:rPr>
              <w:t>.576</w:t>
            </w:r>
          </w:p>
        </w:tc>
        <w:tc>
          <w:tcPr>
            <w:tcW w:w="1036" w:type="dxa"/>
            <w:tcBorders>
              <w:left w:val="single" w:sz="6" w:space="0" w:color="000000"/>
              <w:bottom w:val="nil"/>
              <w:right w:val="single" w:sz="6" w:space="0" w:color="000000"/>
            </w:tcBorders>
          </w:tcPr>
          <w:p>
            <w:pPr>
              <w:pStyle w:val="TableParagraph"/>
              <w:spacing w:line="200" w:lineRule="exact"/>
              <w:ind w:right="130"/>
              <w:rPr>
                <w:sz w:val="18"/>
              </w:rPr>
            </w:pPr>
            <w:r>
              <w:rPr>
                <w:sz w:val="18"/>
              </w:rPr>
              <w:t>.366</w:t>
            </w:r>
          </w:p>
        </w:tc>
        <w:tc>
          <w:tcPr>
            <w:tcW w:w="1300" w:type="dxa"/>
            <w:tcBorders>
              <w:left w:val="single" w:sz="6" w:space="0" w:color="000000"/>
              <w:bottom w:val="nil"/>
              <w:right w:val="single" w:sz="6" w:space="0" w:color="000000"/>
            </w:tcBorders>
          </w:tcPr>
          <w:p>
            <w:pPr/>
          </w:p>
        </w:tc>
        <w:tc>
          <w:tcPr>
            <w:tcW w:w="1036" w:type="dxa"/>
            <w:tcBorders>
              <w:left w:val="single" w:sz="6" w:space="0" w:color="000000"/>
              <w:bottom w:val="nil"/>
              <w:right w:val="single" w:sz="6" w:space="0" w:color="000000"/>
            </w:tcBorders>
          </w:tcPr>
          <w:p>
            <w:pPr>
              <w:pStyle w:val="TableParagraph"/>
              <w:spacing w:line="200" w:lineRule="exact"/>
              <w:ind w:right="133"/>
              <w:rPr>
                <w:sz w:val="18"/>
              </w:rPr>
            </w:pPr>
            <w:r>
              <w:rPr>
                <w:sz w:val="18"/>
              </w:rPr>
              <w:t>1.575</w:t>
            </w:r>
          </w:p>
        </w:tc>
        <w:tc>
          <w:tcPr>
            <w:tcW w:w="1051" w:type="dxa"/>
            <w:tcBorders>
              <w:left w:val="single" w:sz="6" w:space="0" w:color="000000"/>
              <w:bottom w:val="nil"/>
            </w:tcBorders>
          </w:tcPr>
          <w:p>
            <w:pPr>
              <w:pStyle w:val="TableParagraph"/>
              <w:spacing w:line="200" w:lineRule="exact"/>
              <w:ind w:right="139"/>
              <w:rPr>
                <w:sz w:val="18"/>
              </w:rPr>
            </w:pPr>
            <w:r>
              <w:rPr>
                <w:sz w:val="18"/>
              </w:rPr>
              <w:t>.117</w:t>
            </w:r>
          </w:p>
        </w:tc>
      </w:tr>
      <w:tr>
        <w:trPr>
          <w:trHeight w:val="489" w:hRule="exact"/>
        </w:trPr>
        <w:tc>
          <w:tcPr>
            <w:tcW w:w="584" w:type="dxa"/>
            <w:tcBorders>
              <w:top w:val="nil"/>
              <w:bottom w:val="single" w:sz="6" w:space="0" w:color="000000"/>
              <w:right w:val="nil"/>
            </w:tcBorders>
          </w:tcPr>
          <w:p>
            <w:pPr/>
          </w:p>
        </w:tc>
        <w:tc>
          <w:tcPr>
            <w:tcW w:w="1987" w:type="dxa"/>
            <w:tcBorders>
              <w:top w:val="nil"/>
              <w:left w:val="nil"/>
              <w:bottom w:val="single" w:sz="6" w:space="0" w:color="000000"/>
            </w:tcBorders>
          </w:tcPr>
          <w:p>
            <w:pPr>
              <w:pStyle w:val="TableParagraph"/>
              <w:spacing w:line="256" w:lineRule="auto" w:before="11"/>
              <w:ind w:left="372"/>
              <w:jc w:val="left"/>
              <w:rPr>
                <w:sz w:val="18"/>
              </w:rPr>
            </w:pPr>
            <w:r>
              <w:rPr>
                <w:sz w:val="18"/>
              </w:rPr>
              <w:t>Competencia Lingüística Inglés</w:t>
            </w:r>
          </w:p>
        </w:tc>
        <w:tc>
          <w:tcPr>
            <w:tcW w:w="1023" w:type="dxa"/>
            <w:tcBorders>
              <w:top w:val="nil"/>
              <w:bottom w:val="single" w:sz="6" w:space="0" w:color="000000"/>
              <w:right w:val="single" w:sz="6" w:space="0" w:color="000000"/>
            </w:tcBorders>
          </w:tcPr>
          <w:p>
            <w:pPr>
              <w:pStyle w:val="TableParagraph"/>
              <w:spacing w:before="136"/>
              <w:ind w:right="130"/>
              <w:rPr>
                <w:sz w:val="18"/>
              </w:rPr>
            </w:pPr>
            <w:r>
              <w:rPr>
                <w:sz w:val="18"/>
              </w:rPr>
              <w:t>.623</w:t>
            </w:r>
          </w:p>
        </w:tc>
        <w:tc>
          <w:tcPr>
            <w:tcW w:w="1036" w:type="dxa"/>
            <w:tcBorders>
              <w:top w:val="nil"/>
              <w:left w:val="single" w:sz="6" w:space="0" w:color="000000"/>
              <w:bottom w:val="single" w:sz="6" w:space="0" w:color="000000"/>
              <w:right w:val="single" w:sz="6" w:space="0" w:color="000000"/>
            </w:tcBorders>
          </w:tcPr>
          <w:p>
            <w:pPr>
              <w:pStyle w:val="TableParagraph"/>
              <w:spacing w:before="136"/>
              <w:ind w:right="130"/>
              <w:rPr>
                <w:sz w:val="18"/>
              </w:rPr>
            </w:pPr>
            <w:r>
              <w:rPr>
                <w:sz w:val="18"/>
              </w:rPr>
              <w:t>.069</w:t>
            </w:r>
          </w:p>
        </w:tc>
        <w:tc>
          <w:tcPr>
            <w:tcW w:w="1300" w:type="dxa"/>
            <w:tcBorders>
              <w:top w:val="nil"/>
              <w:left w:val="single" w:sz="6" w:space="0" w:color="000000"/>
              <w:bottom w:val="single" w:sz="6" w:space="0" w:color="000000"/>
              <w:right w:val="single" w:sz="6" w:space="0" w:color="000000"/>
            </w:tcBorders>
          </w:tcPr>
          <w:p>
            <w:pPr>
              <w:pStyle w:val="TableParagraph"/>
              <w:spacing w:before="136"/>
              <w:ind w:right="133"/>
              <w:rPr>
                <w:sz w:val="18"/>
              </w:rPr>
            </w:pPr>
            <w:r>
              <w:rPr>
                <w:sz w:val="18"/>
              </w:rPr>
              <w:t>.539</w:t>
            </w:r>
          </w:p>
        </w:tc>
        <w:tc>
          <w:tcPr>
            <w:tcW w:w="1036" w:type="dxa"/>
            <w:tcBorders>
              <w:top w:val="nil"/>
              <w:left w:val="single" w:sz="6" w:space="0" w:color="000000"/>
              <w:bottom w:val="single" w:sz="6" w:space="0" w:color="000000"/>
              <w:right w:val="single" w:sz="6" w:space="0" w:color="000000"/>
            </w:tcBorders>
          </w:tcPr>
          <w:p>
            <w:pPr>
              <w:pStyle w:val="TableParagraph"/>
              <w:spacing w:before="136"/>
              <w:ind w:right="133"/>
              <w:rPr>
                <w:sz w:val="18"/>
              </w:rPr>
            </w:pPr>
            <w:r>
              <w:rPr>
                <w:sz w:val="18"/>
              </w:rPr>
              <w:t>9.057</w:t>
            </w:r>
          </w:p>
        </w:tc>
        <w:tc>
          <w:tcPr>
            <w:tcW w:w="1051" w:type="dxa"/>
            <w:tcBorders>
              <w:top w:val="nil"/>
              <w:left w:val="single" w:sz="6" w:space="0" w:color="000000"/>
              <w:bottom w:val="single" w:sz="6" w:space="0" w:color="000000"/>
            </w:tcBorders>
          </w:tcPr>
          <w:p>
            <w:pPr>
              <w:pStyle w:val="TableParagraph"/>
              <w:spacing w:before="136"/>
              <w:ind w:right="140"/>
              <w:rPr>
                <w:sz w:val="18"/>
              </w:rPr>
            </w:pPr>
            <w:r>
              <w:rPr>
                <w:sz w:val="18"/>
              </w:rPr>
              <w:t>.000</w:t>
            </w:r>
          </w:p>
        </w:tc>
      </w:tr>
      <w:tr>
        <w:trPr>
          <w:trHeight w:val="260" w:hRule="exact"/>
        </w:trPr>
        <w:tc>
          <w:tcPr>
            <w:tcW w:w="584" w:type="dxa"/>
            <w:tcBorders>
              <w:top w:val="single" w:sz="6" w:space="0" w:color="000000"/>
              <w:bottom w:val="nil"/>
              <w:right w:val="nil"/>
            </w:tcBorders>
          </w:tcPr>
          <w:p>
            <w:pPr>
              <w:pStyle w:val="TableParagraph"/>
              <w:spacing w:before="1"/>
              <w:ind w:left="97"/>
              <w:jc w:val="left"/>
              <w:rPr>
                <w:sz w:val="18"/>
              </w:rPr>
            </w:pPr>
            <w:r>
              <w:rPr>
                <w:w w:val="99"/>
                <w:sz w:val="18"/>
              </w:rPr>
              <w:t>2</w:t>
            </w:r>
          </w:p>
        </w:tc>
        <w:tc>
          <w:tcPr>
            <w:tcW w:w="1987" w:type="dxa"/>
            <w:tcBorders>
              <w:top w:val="single" w:sz="6" w:space="0" w:color="000000"/>
              <w:left w:val="nil"/>
              <w:bottom w:val="nil"/>
            </w:tcBorders>
          </w:tcPr>
          <w:p>
            <w:pPr>
              <w:pStyle w:val="TableParagraph"/>
              <w:spacing w:before="1"/>
              <w:ind w:left="372"/>
              <w:jc w:val="left"/>
              <w:rPr>
                <w:sz w:val="18"/>
              </w:rPr>
            </w:pPr>
            <w:r>
              <w:rPr>
                <w:sz w:val="18"/>
              </w:rPr>
              <w:t>(Constante)</w:t>
            </w:r>
          </w:p>
        </w:tc>
        <w:tc>
          <w:tcPr>
            <w:tcW w:w="1023" w:type="dxa"/>
            <w:tcBorders>
              <w:top w:val="single" w:sz="6" w:space="0" w:color="000000"/>
              <w:bottom w:val="nil"/>
              <w:right w:val="single" w:sz="6" w:space="0" w:color="000000"/>
            </w:tcBorders>
          </w:tcPr>
          <w:p>
            <w:pPr>
              <w:pStyle w:val="TableParagraph"/>
              <w:spacing w:before="15"/>
              <w:ind w:right="130"/>
              <w:rPr>
                <w:sz w:val="18"/>
              </w:rPr>
            </w:pPr>
            <w:r>
              <w:rPr>
                <w:sz w:val="18"/>
              </w:rPr>
              <w:t>-.557</w:t>
            </w:r>
          </w:p>
        </w:tc>
        <w:tc>
          <w:tcPr>
            <w:tcW w:w="1036" w:type="dxa"/>
            <w:tcBorders>
              <w:top w:val="single" w:sz="6" w:space="0" w:color="000000"/>
              <w:left w:val="single" w:sz="6" w:space="0" w:color="000000"/>
              <w:bottom w:val="nil"/>
              <w:right w:val="single" w:sz="6" w:space="0" w:color="000000"/>
            </w:tcBorders>
          </w:tcPr>
          <w:p>
            <w:pPr>
              <w:pStyle w:val="TableParagraph"/>
              <w:spacing w:before="15"/>
              <w:ind w:right="130"/>
              <w:rPr>
                <w:sz w:val="18"/>
              </w:rPr>
            </w:pPr>
            <w:r>
              <w:rPr>
                <w:sz w:val="18"/>
              </w:rPr>
              <w:t>.416</w:t>
            </w:r>
          </w:p>
        </w:tc>
        <w:tc>
          <w:tcPr>
            <w:tcW w:w="1300" w:type="dxa"/>
            <w:tcBorders>
              <w:top w:val="single" w:sz="6" w:space="0" w:color="000000"/>
              <w:left w:val="single" w:sz="6" w:space="0" w:color="000000"/>
              <w:bottom w:val="nil"/>
              <w:right w:val="single" w:sz="6" w:space="0" w:color="000000"/>
            </w:tcBorders>
          </w:tcPr>
          <w:p>
            <w:pPr/>
          </w:p>
        </w:tc>
        <w:tc>
          <w:tcPr>
            <w:tcW w:w="1036" w:type="dxa"/>
            <w:tcBorders>
              <w:top w:val="single" w:sz="6" w:space="0" w:color="000000"/>
              <w:left w:val="single" w:sz="6" w:space="0" w:color="000000"/>
              <w:bottom w:val="nil"/>
              <w:right w:val="single" w:sz="6" w:space="0" w:color="000000"/>
            </w:tcBorders>
          </w:tcPr>
          <w:p>
            <w:pPr>
              <w:pStyle w:val="TableParagraph"/>
              <w:spacing w:before="15"/>
              <w:ind w:right="134"/>
              <w:rPr>
                <w:sz w:val="18"/>
              </w:rPr>
            </w:pPr>
            <w:r>
              <w:rPr>
                <w:sz w:val="18"/>
              </w:rPr>
              <w:t>-1.337</w:t>
            </w:r>
          </w:p>
        </w:tc>
        <w:tc>
          <w:tcPr>
            <w:tcW w:w="1051" w:type="dxa"/>
            <w:tcBorders>
              <w:top w:val="single" w:sz="6" w:space="0" w:color="000000"/>
              <w:left w:val="single" w:sz="6" w:space="0" w:color="000000"/>
              <w:bottom w:val="nil"/>
            </w:tcBorders>
          </w:tcPr>
          <w:p>
            <w:pPr>
              <w:pStyle w:val="TableParagraph"/>
              <w:spacing w:before="15"/>
              <w:ind w:right="139"/>
              <w:rPr>
                <w:sz w:val="18"/>
              </w:rPr>
            </w:pPr>
            <w:r>
              <w:rPr>
                <w:sz w:val="18"/>
              </w:rPr>
              <w:t>.183</w:t>
            </w:r>
          </w:p>
        </w:tc>
      </w:tr>
      <w:tr>
        <w:trPr>
          <w:trHeight w:val="478" w:hRule="exact"/>
        </w:trPr>
        <w:tc>
          <w:tcPr>
            <w:tcW w:w="584" w:type="dxa"/>
            <w:tcBorders>
              <w:top w:val="nil"/>
              <w:bottom w:val="nil"/>
              <w:right w:val="nil"/>
            </w:tcBorders>
          </w:tcPr>
          <w:p>
            <w:pPr/>
          </w:p>
        </w:tc>
        <w:tc>
          <w:tcPr>
            <w:tcW w:w="1987" w:type="dxa"/>
            <w:tcBorders>
              <w:top w:val="nil"/>
              <w:left w:val="nil"/>
              <w:bottom w:val="nil"/>
            </w:tcBorders>
          </w:tcPr>
          <w:p>
            <w:pPr>
              <w:pStyle w:val="TableParagraph"/>
              <w:spacing w:line="256" w:lineRule="auto" w:before="11"/>
              <w:ind w:left="372"/>
              <w:jc w:val="left"/>
              <w:rPr>
                <w:sz w:val="18"/>
              </w:rPr>
            </w:pPr>
            <w:r>
              <w:rPr>
                <w:sz w:val="18"/>
              </w:rPr>
              <w:t>Competencia Lingüística Inglés</w:t>
            </w:r>
          </w:p>
        </w:tc>
        <w:tc>
          <w:tcPr>
            <w:tcW w:w="1023" w:type="dxa"/>
            <w:tcBorders>
              <w:top w:val="nil"/>
              <w:bottom w:val="nil"/>
              <w:right w:val="single" w:sz="6" w:space="0" w:color="000000"/>
            </w:tcBorders>
          </w:tcPr>
          <w:p>
            <w:pPr>
              <w:pStyle w:val="TableParagraph"/>
              <w:spacing w:before="136"/>
              <w:ind w:right="130"/>
              <w:rPr>
                <w:sz w:val="18"/>
              </w:rPr>
            </w:pPr>
            <w:r>
              <w:rPr>
                <w:sz w:val="18"/>
              </w:rPr>
              <w:t>.487</w:t>
            </w:r>
          </w:p>
        </w:tc>
        <w:tc>
          <w:tcPr>
            <w:tcW w:w="1036" w:type="dxa"/>
            <w:tcBorders>
              <w:top w:val="nil"/>
              <w:left w:val="single" w:sz="6" w:space="0" w:color="000000"/>
              <w:bottom w:val="nil"/>
              <w:right w:val="single" w:sz="6" w:space="0" w:color="000000"/>
            </w:tcBorders>
          </w:tcPr>
          <w:p>
            <w:pPr>
              <w:pStyle w:val="TableParagraph"/>
              <w:spacing w:before="136"/>
              <w:ind w:right="130"/>
              <w:rPr>
                <w:sz w:val="18"/>
              </w:rPr>
            </w:pPr>
            <w:r>
              <w:rPr>
                <w:sz w:val="18"/>
              </w:rPr>
              <w:t>.071</w:t>
            </w:r>
          </w:p>
        </w:tc>
        <w:tc>
          <w:tcPr>
            <w:tcW w:w="1300" w:type="dxa"/>
            <w:tcBorders>
              <w:top w:val="nil"/>
              <w:left w:val="single" w:sz="6" w:space="0" w:color="000000"/>
              <w:bottom w:val="nil"/>
              <w:right w:val="single" w:sz="6" w:space="0" w:color="000000"/>
            </w:tcBorders>
          </w:tcPr>
          <w:p>
            <w:pPr>
              <w:pStyle w:val="TableParagraph"/>
              <w:spacing w:before="136"/>
              <w:ind w:right="133"/>
              <w:rPr>
                <w:sz w:val="18"/>
              </w:rPr>
            </w:pPr>
            <w:r>
              <w:rPr>
                <w:sz w:val="18"/>
              </w:rPr>
              <w:t>.422</w:t>
            </w:r>
          </w:p>
        </w:tc>
        <w:tc>
          <w:tcPr>
            <w:tcW w:w="1036" w:type="dxa"/>
            <w:tcBorders>
              <w:top w:val="nil"/>
              <w:left w:val="single" w:sz="6" w:space="0" w:color="000000"/>
              <w:bottom w:val="nil"/>
              <w:right w:val="single" w:sz="6" w:space="0" w:color="000000"/>
            </w:tcBorders>
          </w:tcPr>
          <w:p>
            <w:pPr>
              <w:pStyle w:val="TableParagraph"/>
              <w:spacing w:before="136"/>
              <w:ind w:right="133"/>
              <w:rPr>
                <w:sz w:val="18"/>
              </w:rPr>
            </w:pPr>
            <w:r>
              <w:rPr>
                <w:sz w:val="18"/>
              </w:rPr>
              <w:t>6.885</w:t>
            </w:r>
          </w:p>
        </w:tc>
        <w:tc>
          <w:tcPr>
            <w:tcW w:w="1051" w:type="dxa"/>
            <w:tcBorders>
              <w:top w:val="nil"/>
              <w:left w:val="single" w:sz="6" w:space="0" w:color="000000"/>
              <w:bottom w:val="nil"/>
            </w:tcBorders>
          </w:tcPr>
          <w:p>
            <w:pPr>
              <w:pStyle w:val="TableParagraph"/>
              <w:spacing w:before="136"/>
              <w:ind w:right="140"/>
              <w:rPr>
                <w:sz w:val="18"/>
              </w:rPr>
            </w:pPr>
            <w:r>
              <w:rPr>
                <w:sz w:val="18"/>
              </w:rPr>
              <w:t>.000</w:t>
            </w:r>
          </w:p>
        </w:tc>
      </w:tr>
      <w:tr>
        <w:trPr>
          <w:trHeight w:val="508" w:hRule="exact"/>
        </w:trPr>
        <w:tc>
          <w:tcPr>
            <w:tcW w:w="584" w:type="dxa"/>
            <w:tcBorders>
              <w:top w:val="nil"/>
              <w:right w:val="nil"/>
            </w:tcBorders>
          </w:tcPr>
          <w:p>
            <w:pPr/>
          </w:p>
        </w:tc>
        <w:tc>
          <w:tcPr>
            <w:tcW w:w="1987" w:type="dxa"/>
            <w:tcBorders>
              <w:top w:val="nil"/>
              <w:left w:val="nil"/>
            </w:tcBorders>
          </w:tcPr>
          <w:p>
            <w:pPr>
              <w:pStyle w:val="TableParagraph"/>
              <w:spacing w:line="256" w:lineRule="auto" w:before="19"/>
              <w:ind w:left="372"/>
              <w:jc w:val="left"/>
              <w:rPr>
                <w:sz w:val="18"/>
              </w:rPr>
            </w:pPr>
            <w:r>
              <w:rPr>
                <w:sz w:val="18"/>
              </w:rPr>
              <w:t>Comprensión Lectura Español</w:t>
            </w:r>
          </w:p>
        </w:tc>
        <w:tc>
          <w:tcPr>
            <w:tcW w:w="1023" w:type="dxa"/>
            <w:tcBorders>
              <w:top w:val="nil"/>
              <w:right w:val="single" w:sz="6" w:space="0" w:color="000000"/>
            </w:tcBorders>
          </w:tcPr>
          <w:p>
            <w:pPr>
              <w:pStyle w:val="TableParagraph"/>
              <w:spacing w:before="143"/>
              <w:ind w:right="131"/>
              <w:rPr>
                <w:sz w:val="18"/>
              </w:rPr>
            </w:pPr>
            <w:r>
              <w:rPr>
                <w:sz w:val="18"/>
              </w:rPr>
              <w:t>.313</w:t>
            </w:r>
          </w:p>
        </w:tc>
        <w:tc>
          <w:tcPr>
            <w:tcW w:w="1036" w:type="dxa"/>
            <w:tcBorders>
              <w:top w:val="nil"/>
              <w:left w:val="single" w:sz="6" w:space="0" w:color="000000"/>
              <w:right w:val="single" w:sz="6" w:space="0" w:color="000000"/>
            </w:tcBorders>
          </w:tcPr>
          <w:p>
            <w:pPr>
              <w:pStyle w:val="TableParagraph"/>
              <w:spacing w:before="143"/>
              <w:ind w:right="130"/>
              <w:rPr>
                <w:sz w:val="18"/>
              </w:rPr>
            </w:pPr>
            <w:r>
              <w:rPr>
                <w:sz w:val="18"/>
              </w:rPr>
              <w:t>.064</w:t>
            </w:r>
          </w:p>
        </w:tc>
        <w:tc>
          <w:tcPr>
            <w:tcW w:w="1300" w:type="dxa"/>
            <w:tcBorders>
              <w:top w:val="nil"/>
              <w:left w:val="single" w:sz="6" w:space="0" w:color="000000"/>
              <w:right w:val="single" w:sz="6" w:space="0" w:color="000000"/>
            </w:tcBorders>
          </w:tcPr>
          <w:p>
            <w:pPr>
              <w:pStyle w:val="TableParagraph"/>
              <w:spacing w:before="143"/>
              <w:ind w:right="134"/>
              <w:rPr>
                <w:sz w:val="18"/>
              </w:rPr>
            </w:pPr>
            <w:r>
              <w:rPr>
                <w:sz w:val="18"/>
              </w:rPr>
              <w:t>.301</w:t>
            </w:r>
          </w:p>
        </w:tc>
        <w:tc>
          <w:tcPr>
            <w:tcW w:w="1036" w:type="dxa"/>
            <w:tcBorders>
              <w:top w:val="nil"/>
              <w:left w:val="single" w:sz="6" w:space="0" w:color="000000"/>
              <w:right w:val="single" w:sz="6" w:space="0" w:color="000000"/>
            </w:tcBorders>
          </w:tcPr>
          <w:p>
            <w:pPr>
              <w:pStyle w:val="TableParagraph"/>
              <w:spacing w:before="143"/>
              <w:ind w:right="133"/>
              <w:rPr>
                <w:sz w:val="18"/>
              </w:rPr>
            </w:pPr>
            <w:r>
              <w:rPr>
                <w:sz w:val="18"/>
              </w:rPr>
              <w:t>4.908</w:t>
            </w:r>
          </w:p>
        </w:tc>
        <w:tc>
          <w:tcPr>
            <w:tcW w:w="1051" w:type="dxa"/>
            <w:tcBorders>
              <w:top w:val="nil"/>
              <w:left w:val="single" w:sz="6" w:space="0" w:color="000000"/>
            </w:tcBorders>
          </w:tcPr>
          <w:p>
            <w:pPr>
              <w:pStyle w:val="TableParagraph"/>
              <w:spacing w:before="143"/>
              <w:ind w:right="140"/>
              <w:rPr>
                <w:sz w:val="18"/>
              </w:rPr>
            </w:pPr>
            <w:r>
              <w:rPr>
                <w:sz w:val="18"/>
              </w:rPr>
              <w:t>.000</w:t>
            </w:r>
          </w:p>
        </w:tc>
      </w:tr>
    </w:tbl>
    <w:p>
      <w:pPr>
        <w:pStyle w:val="ListParagraph"/>
        <w:numPr>
          <w:ilvl w:val="2"/>
          <w:numId w:val="17"/>
        </w:numPr>
        <w:tabs>
          <w:tab w:pos="822" w:val="left" w:leader="none"/>
        </w:tabs>
        <w:spacing w:line="240" w:lineRule="auto" w:before="10" w:after="0"/>
        <w:ind w:left="821" w:right="0" w:hanging="206"/>
        <w:jc w:val="left"/>
        <w:rPr>
          <w:sz w:val="18"/>
        </w:rPr>
      </w:pPr>
      <w:r>
        <w:rPr>
          <w:spacing w:val="-3"/>
          <w:sz w:val="18"/>
        </w:rPr>
        <w:t>Variable</w:t>
      </w:r>
      <w:r>
        <w:rPr>
          <w:spacing w:val="-18"/>
          <w:sz w:val="18"/>
        </w:rPr>
        <w:t> </w:t>
      </w:r>
      <w:r>
        <w:rPr>
          <w:sz w:val="18"/>
        </w:rPr>
        <w:t>dependiente:</w:t>
      </w:r>
      <w:r>
        <w:rPr>
          <w:spacing w:val="-16"/>
          <w:sz w:val="18"/>
        </w:rPr>
        <w:t> </w:t>
      </w:r>
      <w:r>
        <w:rPr>
          <w:sz w:val="18"/>
        </w:rPr>
        <w:t>Comprensión</w:t>
      </w:r>
      <w:r>
        <w:rPr>
          <w:spacing w:val="-14"/>
          <w:sz w:val="18"/>
        </w:rPr>
        <w:t> </w:t>
      </w:r>
      <w:r>
        <w:rPr>
          <w:sz w:val="18"/>
        </w:rPr>
        <w:t>Lectura</w:t>
      </w:r>
      <w:r>
        <w:rPr>
          <w:spacing w:val="-18"/>
          <w:sz w:val="18"/>
        </w:rPr>
        <w:t> </w:t>
      </w:r>
      <w:r>
        <w:rPr>
          <w:spacing w:val="-3"/>
          <w:sz w:val="18"/>
        </w:rPr>
        <w:t>Inglés</w:t>
      </w:r>
    </w:p>
    <w:p>
      <w:pPr>
        <w:pStyle w:val="BodyText"/>
        <w:spacing w:before="9"/>
        <w:rPr>
          <w:sz w:val="18"/>
        </w:rPr>
      </w:pPr>
    </w:p>
    <w:p>
      <w:pPr>
        <w:spacing w:before="81"/>
        <w:ind w:left="2323" w:right="213" w:firstLine="0"/>
        <w:jc w:val="left"/>
        <w:rPr>
          <w:b/>
          <w:sz w:val="19"/>
        </w:rPr>
      </w:pPr>
      <w:r>
        <w:rPr>
          <w:b/>
          <w:w w:val="105"/>
          <w:sz w:val="19"/>
        </w:rPr>
        <w:t>Tabla 3.5. Coeficientes de regresión múltiple.</w:t>
      </w:r>
    </w:p>
    <w:p>
      <w:pPr>
        <w:pStyle w:val="BodyText"/>
        <w:rPr>
          <w:b/>
          <w:sz w:val="20"/>
        </w:rPr>
      </w:pPr>
    </w:p>
    <w:p>
      <w:pPr>
        <w:pStyle w:val="BodyText"/>
        <w:spacing w:before="10"/>
        <w:rPr>
          <w:b/>
          <w:sz w:val="24"/>
        </w:rPr>
      </w:pPr>
    </w:p>
    <w:p>
      <w:pPr>
        <w:pStyle w:val="BodyText"/>
        <w:spacing w:line="364" w:lineRule="auto" w:before="1"/>
        <w:ind w:left="115" w:right="102"/>
        <w:jc w:val="both"/>
        <w:rPr>
          <w:i/>
        </w:rPr>
      </w:pPr>
      <w:r>
        <w:rPr/>
        <w:t>Se obtuvo el coeficiente de regresión múltiple, valor β (beta), el cual resultó </w:t>
      </w:r>
      <w:r>
        <w:rPr>
          <w:spacing w:val="2"/>
        </w:rPr>
        <w:t>ser </w:t>
      </w:r>
      <w:r>
        <w:rPr>
          <w:i/>
        </w:rPr>
        <w:t>β=0.539</w:t>
      </w:r>
      <w:r>
        <w:rPr/>
        <w:t>, para la competencia lingüística en inglés, lo que demuestra que este  factor tiene mayor contribución en la comprensión de lectura en inglés. Al medir </w:t>
      </w:r>
      <w:r>
        <w:rPr>
          <w:spacing w:val="-5"/>
        </w:rPr>
        <w:t>la </w:t>
      </w:r>
      <w:r>
        <w:rPr/>
        <w:t>contribución simultánea de las variables se encuentra que el valor </w:t>
      </w:r>
      <w:r>
        <w:rPr>
          <w:i/>
        </w:rPr>
        <w:t>β=0.422 </w:t>
      </w:r>
      <w:r>
        <w:rPr/>
        <w:t>de </w:t>
      </w:r>
      <w:r>
        <w:rPr>
          <w:spacing w:val="-5"/>
        </w:rPr>
        <w:t>la </w:t>
      </w:r>
      <w:r>
        <w:rPr/>
        <w:t>competencia lingüística en inglés  contribuye en mayor medida a </w:t>
      </w:r>
      <w:r>
        <w:rPr>
          <w:spacing w:val="-5"/>
        </w:rPr>
        <w:t>la  </w:t>
      </w:r>
      <w:r>
        <w:rPr/>
        <w:t>comprensión  de lectura en inglés que </w:t>
      </w:r>
      <w:r>
        <w:rPr>
          <w:spacing w:val="-5"/>
        </w:rPr>
        <w:t>la </w:t>
      </w:r>
      <w:r>
        <w:rPr/>
        <w:t>comprensión de lectura en  español,  cuyo  valor  </w:t>
      </w:r>
      <w:r>
        <w:rPr>
          <w:i/>
        </w:rPr>
        <w:t>β=0.301, </w:t>
      </w:r>
      <w:r>
        <w:rPr>
          <w:spacing w:val="-3"/>
        </w:rPr>
        <w:t>es </w:t>
      </w:r>
      <w:r>
        <w:rPr/>
        <w:t>menor al de la competencia lingüística en </w:t>
      </w:r>
      <w:r>
        <w:rPr>
          <w:spacing w:val="28"/>
        </w:rPr>
        <w:t> </w:t>
      </w:r>
      <w:r>
        <w:rPr/>
        <w:t>inglés</w:t>
      </w:r>
      <w:r>
        <w:rPr>
          <w:i/>
        </w:rPr>
        <w:t>.</w:t>
      </w:r>
    </w:p>
    <w:p>
      <w:pPr>
        <w:spacing w:after="0" w:line="364" w:lineRule="auto"/>
        <w:jc w:val="both"/>
        <w:sectPr>
          <w:pgSz w:w="11910" w:h="16840"/>
          <w:pgMar w:header="1424" w:footer="0" w:top="1840" w:bottom="280" w:left="1540" w:right="1540"/>
        </w:sectPr>
      </w:pPr>
    </w:p>
    <w:p>
      <w:pPr>
        <w:pStyle w:val="BodyText"/>
        <w:spacing w:before="11"/>
        <w:rPr>
          <w:i/>
          <w:sz w:val="16"/>
        </w:rPr>
      </w:pPr>
    </w:p>
    <w:p>
      <w:pPr>
        <w:pStyle w:val="Heading3"/>
        <w:spacing w:before="73"/>
        <w:ind w:left="115"/>
      </w:pPr>
      <w:bookmarkStart w:name="_bookmark33" w:id="59"/>
      <w:bookmarkEnd w:id="59"/>
      <w:r>
        <w:rPr>
          <w:b w:val="0"/>
        </w:rPr>
      </w:r>
      <w:r>
        <w:rPr/>
        <w:t>3.2 DISCUSIÓN DE</w:t>
      </w:r>
      <w:r>
        <w:rPr>
          <w:spacing w:val="52"/>
        </w:rPr>
        <w:t> </w:t>
      </w:r>
      <w:r>
        <w:rPr>
          <w:spacing w:val="-4"/>
        </w:rPr>
        <w:t>RESULTADOS</w:t>
      </w:r>
    </w:p>
    <w:p>
      <w:pPr>
        <w:pStyle w:val="BodyText"/>
        <w:rPr>
          <w:b/>
          <w:sz w:val="22"/>
        </w:rPr>
      </w:pPr>
    </w:p>
    <w:p>
      <w:pPr>
        <w:pStyle w:val="BodyText"/>
        <w:spacing w:line="364" w:lineRule="auto" w:before="154"/>
        <w:ind w:left="115" w:right="104"/>
        <w:jc w:val="both"/>
      </w:pPr>
      <w:r>
        <w:rPr/>
        <w:t>En esta sección del trabajo se considera el análisis de los resultados  para  comentar los hallazgos encontrados, así como la sección teórica para también retomar algunos conceptos y vincularlos </w:t>
      </w:r>
      <w:r>
        <w:rPr>
          <w:spacing w:val="-3"/>
        </w:rPr>
        <w:t>con </w:t>
      </w:r>
      <w:r>
        <w:rPr/>
        <w:t>los resultados obtenidos en este estudio.</w:t>
      </w:r>
    </w:p>
    <w:p>
      <w:pPr>
        <w:pStyle w:val="BodyText"/>
        <w:rPr>
          <w:sz w:val="22"/>
        </w:rPr>
      </w:pPr>
    </w:p>
    <w:p>
      <w:pPr>
        <w:pStyle w:val="BodyText"/>
        <w:spacing w:line="364" w:lineRule="auto" w:before="155"/>
        <w:ind w:left="115" w:right="102"/>
        <w:jc w:val="both"/>
      </w:pPr>
      <w:r>
        <w:rPr/>
        <w:t>En cuanto al análisis de cada una de las variables, se ha podido determinar que tanto la comprensión lectora en español como la competencia lingüística en inglés muestran un comportamiento normal en relación a la curva. Sin embargo, los resultados de comprensión lectora en inglés muestran un sesgo que indica bajos resultados en esta variable. Incluso la media es mucho más baja que la de las variables independientes. Esto significa que los participantes tienen dificultades en comprender textos en inglés y que a pesar de mostrar cierto nivel de competencia lingüística en inglés, que es un factor que contribuye de manera importante en la comprensión de lectura, sus habilidades lectoras tanto en lengua inglesa como en español son pobres e insuficientes para obtener resultados  satisfactorios.</w:t>
      </w:r>
    </w:p>
    <w:p>
      <w:pPr>
        <w:pStyle w:val="BodyText"/>
        <w:rPr>
          <w:sz w:val="22"/>
        </w:rPr>
      </w:pPr>
    </w:p>
    <w:p>
      <w:pPr>
        <w:pStyle w:val="BodyText"/>
        <w:spacing w:line="367" w:lineRule="auto" w:before="150"/>
        <w:ind w:left="115" w:right="106"/>
        <w:jc w:val="both"/>
      </w:pPr>
      <w:r>
        <w:rPr/>
        <w:t>El resultado de la competencia lingüística </w:t>
      </w:r>
      <w:r>
        <w:rPr>
          <w:spacing w:val="-3"/>
        </w:rPr>
        <w:t>en </w:t>
      </w:r>
      <w:r>
        <w:rPr/>
        <w:t>inglés fue el esperado, </w:t>
      </w:r>
      <w:r>
        <w:rPr>
          <w:spacing w:val="-4"/>
        </w:rPr>
        <w:t>ya </w:t>
      </w:r>
      <w:r>
        <w:rPr/>
        <w:t>que los participantes fueron estudiantes </w:t>
      </w:r>
      <w:r>
        <w:rPr>
          <w:spacing w:val="-3"/>
        </w:rPr>
        <w:t>de </w:t>
      </w:r>
      <w:r>
        <w:rPr/>
        <w:t>nivel pre-intermedio a avanzado. En otras palabras, los participantes fueron seleccionados por </w:t>
      </w:r>
      <w:r>
        <w:rPr>
          <w:spacing w:val="4"/>
        </w:rPr>
        <w:t>su </w:t>
      </w:r>
      <w:r>
        <w:rPr/>
        <w:t>nivel de lengua tomando como referencia el nivel del curso en el que se encuentran. </w:t>
      </w:r>
      <w:r>
        <w:rPr>
          <w:spacing w:val="-5"/>
        </w:rPr>
        <w:t>Teniendo </w:t>
      </w:r>
      <w:r>
        <w:rPr/>
        <w:t>participantes de niveles tanto pre-intermedio, como intermedio  y avanzado  era  de esperarse que el grueso </w:t>
      </w:r>
      <w:r>
        <w:rPr>
          <w:spacing w:val="-3"/>
        </w:rPr>
        <w:t>de </w:t>
      </w:r>
      <w:r>
        <w:rPr/>
        <w:t>los resultados se acercara a la </w:t>
      </w:r>
      <w:r>
        <w:rPr>
          <w:spacing w:val="14"/>
        </w:rPr>
        <w:t> </w:t>
      </w:r>
      <w:r>
        <w:rPr/>
        <w:t>media.</w:t>
      </w:r>
    </w:p>
    <w:p>
      <w:pPr>
        <w:pStyle w:val="BodyText"/>
        <w:rPr>
          <w:sz w:val="22"/>
        </w:rPr>
      </w:pPr>
    </w:p>
    <w:p>
      <w:pPr>
        <w:pStyle w:val="BodyText"/>
        <w:spacing w:line="364" w:lineRule="auto" w:before="148"/>
        <w:ind w:left="115" w:right="103"/>
        <w:jc w:val="both"/>
      </w:pPr>
      <w:r>
        <w:rPr/>
        <w:t>No es el mismo caso para los resultados de comprensión de lectura en español,    de los que, a pesar de mostrar un comportamiento normal, </w:t>
      </w:r>
      <w:r>
        <w:rPr>
          <w:spacing w:val="4"/>
        </w:rPr>
        <w:t>se </w:t>
      </w:r>
      <w:r>
        <w:rPr/>
        <w:t>hubiese esperado  una media mucho </w:t>
      </w:r>
      <w:r>
        <w:rPr>
          <w:spacing w:val="-3"/>
        </w:rPr>
        <w:t>más </w:t>
      </w:r>
      <w:r>
        <w:rPr/>
        <w:t>alta. Esta afirmación se hace con base en el supuesto de que la competencia lingüística en L1 de los participantes </w:t>
      </w:r>
      <w:r>
        <w:rPr>
          <w:spacing w:val="-3"/>
        </w:rPr>
        <w:t>es </w:t>
      </w:r>
      <w:r>
        <w:rPr/>
        <w:t>alta y que dado que ésta </w:t>
      </w:r>
      <w:r>
        <w:rPr>
          <w:spacing w:val="-3"/>
        </w:rPr>
        <w:t>es </w:t>
      </w:r>
      <w:r>
        <w:rPr/>
        <w:t>un factor importante en </w:t>
      </w:r>
      <w:r>
        <w:rPr>
          <w:spacing w:val="-5"/>
        </w:rPr>
        <w:t>la </w:t>
      </w:r>
      <w:r>
        <w:rPr/>
        <w:t>comprensión de lectura, se esperaría que los resultados tendiesen a acercarse al límite superior del rango del indicador de comprensión de  lectura.  No obstante, este indicador muestra  una media de  </w:t>
      </w:r>
      <w:r>
        <w:rPr>
          <w:spacing w:val="6"/>
        </w:rPr>
        <w:t> </w:t>
      </w:r>
      <w:r>
        <w:rPr/>
        <w:t>5.87,</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r>
        <w:rPr/>
        <w:t>que si bien está por encima de </w:t>
      </w:r>
      <w:r>
        <w:rPr>
          <w:spacing w:val="-5"/>
        </w:rPr>
        <w:t>la </w:t>
      </w:r>
      <w:r>
        <w:rPr/>
        <w:t>mitad del rango, está muy alejado del 10.0, que  es el límite superior. Podemos, entonces, confirmar </w:t>
      </w:r>
      <w:r>
        <w:rPr>
          <w:spacing w:val="-5"/>
        </w:rPr>
        <w:t>la </w:t>
      </w:r>
      <w:r>
        <w:rPr/>
        <w:t>creencia generalizada entre   </w:t>
      </w:r>
      <w:r>
        <w:rPr>
          <w:spacing w:val="-5"/>
        </w:rPr>
        <w:t>la </w:t>
      </w:r>
      <w:r>
        <w:rPr/>
        <w:t>planta docente de que los estudiantes tienen un pobre ejercicio de sus  habilidades de lectura y por ende un </w:t>
      </w:r>
      <w:r>
        <w:rPr>
          <w:spacing w:val="-3"/>
        </w:rPr>
        <w:t>bajo </w:t>
      </w:r>
      <w:r>
        <w:rPr/>
        <w:t>desempeño en </w:t>
      </w:r>
      <w:r>
        <w:rPr>
          <w:spacing w:val="-5"/>
        </w:rPr>
        <w:t>la </w:t>
      </w:r>
      <w:r>
        <w:rPr/>
        <w:t>comprensión de  </w:t>
      </w:r>
      <w:r>
        <w:rPr>
          <w:spacing w:val="15"/>
        </w:rPr>
        <w:t> </w:t>
      </w:r>
      <w:r>
        <w:rPr/>
        <w:t>ésta.</w:t>
      </w:r>
    </w:p>
    <w:p>
      <w:pPr>
        <w:pStyle w:val="BodyText"/>
        <w:rPr>
          <w:sz w:val="22"/>
        </w:rPr>
      </w:pPr>
    </w:p>
    <w:p>
      <w:pPr>
        <w:pStyle w:val="BodyText"/>
        <w:spacing w:line="364" w:lineRule="auto" w:before="150"/>
        <w:ind w:left="115" w:right="102"/>
        <w:jc w:val="both"/>
      </w:pPr>
      <w:r>
        <w:rPr/>
        <w:t>Al combinar esta situación con la falta de competencia lingüística de los participantes </w:t>
      </w:r>
      <w:r>
        <w:rPr>
          <w:spacing w:val="4"/>
        </w:rPr>
        <w:t>se </w:t>
      </w:r>
      <w:r>
        <w:rPr/>
        <w:t>explica el resultado obtenido en </w:t>
      </w:r>
      <w:r>
        <w:rPr>
          <w:spacing w:val="-5"/>
        </w:rPr>
        <w:t>la </w:t>
      </w:r>
      <w:r>
        <w:rPr/>
        <w:t>comprensión de lectura  en inglés. En este estudio se ha confirmado que el resultado de  competencia lingüística en inglés es un mejor predictor de la comprensión de lectura en inglés que las habilidades de comprensión de lectura en español, sin embargo, estas últimas también son un </w:t>
      </w:r>
      <w:r>
        <w:rPr>
          <w:spacing w:val="-3"/>
        </w:rPr>
        <w:t>factor. </w:t>
      </w:r>
      <w:r>
        <w:rPr/>
        <w:t>En forma generalizada se puede establecer que los estudiantes de la Facultad de Lenguas tienen un bajo desempeño en </w:t>
      </w:r>
      <w:r>
        <w:rPr>
          <w:spacing w:val="-5"/>
        </w:rPr>
        <w:t>la  </w:t>
      </w:r>
      <w:r>
        <w:rPr/>
        <w:t>comprensión de lectura en lengua inglesa debido, en primer </w:t>
      </w:r>
      <w:r>
        <w:rPr>
          <w:spacing w:val="-3"/>
        </w:rPr>
        <w:t>lugar, </w:t>
      </w:r>
      <w:r>
        <w:rPr/>
        <w:t>a </w:t>
      </w:r>
      <w:r>
        <w:rPr>
          <w:spacing w:val="-5"/>
        </w:rPr>
        <w:t>la </w:t>
      </w:r>
      <w:r>
        <w:rPr/>
        <w:t>falta de desarrollo de su competencia lingüística y en menor grado a las habilidades  lectoras poco desarrolladas en </w:t>
      </w:r>
      <w:r>
        <w:rPr>
          <w:spacing w:val="-3"/>
        </w:rPr>
        <w:t>primera </w:t>
      </w:r>
      <w:r>
        <w:rPr>
          <w:spacing w:val="17"/>
        </w:rPr>
        <w:t> </w:t>
      </w:r>
      <w:r>
        <w:rPr/>
        <w:t>lengua.</w:t>
      </w:r>
    </w:p>
    <w:p>
      <w:pPr>
        <w:pStyle w:val="BodyText"/>
        <w:rPr>
          <w:sz w:val="22"/>
        </w:rPr>
      </w:pPr>
    </w:p>
    <w:p>
      <w:pPr>
        <w:pStyle w:val="BodyText"/>
        <w:spacing w:line="364" w:lineRule="auto" w:before="155"/>
        <w:ind w:left="115" w:right="104"/>
        <w:jc w:val="both"/>
      </w:pPr>
      <w:r>
        <w:rPr/>
        <w:t>Después de haber realizado el análisis de regresión múltiple, así como obtenido el anova, es posible determinar que los estudiantes de la Facultad de Lenguas de la</w:t>
      </w:r>
    </w:p>
    <w:p>
      <w:pPr>
        <w:pStyle w:val="BodyText"/>
        <w:spacing w:line="364" w:lineRule="auto"/>
        <w:ind w:left="115" w:right="103"/>
        <w:jc w:val="both"/>
      </w:pPr>
      <w:r>
        <w:rPr/>
        <w:t>U.A.E.M. en la comprensión de lectura en inglés no compensan una baja habilidad lectora en español </w:t>
      </w:r>
      <w:r>
        <w:rPr>
          <w:spacing w:val="2"/>
        </w:rPr>
        <w:t>con </w:t>
      </w:r>
      <w:r>
        <w:rPr/>
        <w:t>una alta competencia lingüística en inglés, ni una baja competencia lingüística en inglés con una alta habilidad lectora en español. Sí se dieron cuatro casos  de compensación dentro de una muestra de 202 individuos,  sin embargo, no resulta un comportamiento lo suficientemente significativo para poder predecir los resultados de comprensión lectora en inglés </w:t>
      </w:r>
      <w:r>
        <w:rPr>
          <w:spacing w:val="2"/>
        </w:rPr>
        <w:t>con </w:t>
      </w:r>
      <w:r>
        <w:rPr/>
        <w:t>base a </w:t>
      </w:r>
      <w:r>
        <w:rPr>
          <w:spacing w:val="-5"/>
        </w:rPr>
        <w:t>la </w:t>
      </w:r>
      <w:r>
        <w:rPr/>
        <w:t>interacción entre estas variables. Este resultado se contrapone a lo expuesto por </w:t>
      </w:r>
      <w:r>
        <w:rPr>
          <w:spacing w:val="-3"/>
        </w:rPr>
        <w:t>Yamashita </w:t>
      </w:r>
      <w:r>
        <w:rPr/>
        <w:t>(2002) quien determinó que la compensación emerge en  la  comprensión lectora en los estudiantes japoneses de inglés. Esto en principio se pensó deberse a factores culturales, como un mejor desarrollo del hábito  de  lectura en la cultura japonesa. Sin embargo al comparar las  medias  de comprensión de lectura en L1 </w:t>
      </w:r>
      <w:r>
        <w:rPr>
          <w:spacing w:val="-3"/>
        </w:rPr>
        <w:t>de </w:t>
      </w:r>
      <w:r>
        <w:rPr/>
        <w:t>ambos grupos </w:t>
      </w:r>
      <w:r>
        <w:rPr>
          <w:spacing w:val="4"/>
        </w:rPr>
        <w:t>se </w:t>
      </w:r>
      <w:r>
        <w:rPr/>
        <w:t>obtiene un índice de reactivos con  respuestas  correctas  más  alto  en  los  estudiantes  mexicanos  que  en   </w:t>
      </w:r>
      <w:r>
        <w:rPr>
          <w:spacing w:val="37"/>
        </w:rPr>
        <w:t> </w:t>
      </w:r>
      <w:r>
        <w:rPr/>
        <w:t>los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13"/>
        <w:jc w:val="both"/>
      </w:pPr>
      <w:r>
        <w:rPr/>
        <w:t>estudiantes japoneses, por lo que el resultado obtenido por </w:t>
      </w:r>
      <w:r>
        <w:rPr>
          <w:spacing w:val="-3"/>
        </w:rPr>
        <w:t>Yamashita </w:t>
      </w:r>
      <w:r>
        <w:rPr/>
        <w:t>pudiera deberse a cuestiones</w:t>
      </w:r>
      <w:r>
        <w:rPr>
          <w:spacing w:val="51"/>
        </w:rPr>
        <w:t> </w:t>
      </w:r>
      <w:r>
        <w:rPr/>
        <w:t>metodológicas.</w:t>
      </w:r>
    </w:p>
    <w:p>
      <w:pPr>
        <w:pStyle w:val="BodyText"/>
        <w:rPr>
          <w:sz w:val="22"/>
        </w:rPr>
      </w:pPr>
    </w:p>
    <w:p>
      <w:pPr>
        <w:pStyle w:val="BodyText"/>
        <w:spacing w:line="364" w:lineRule="auto" w:before="155"/>
        <w:ind w:left="115" w:right="102"/>
        <w:jc w:val="both"/>
      </w:pPr>
      <w:r>
        <w:rPr/>
        <w:t>En los resultados del presente estudio se observó que existe una contribución de ambas variables independientes, comprensión de lectura  en  español  y competencia lingüística </w:t>
      </w:r>
      <w:r>
        <w:rPr>
          <w:spacing w:val="-3"/>
        </w:rPr>
        <w:t>en </w:t>
      </w:r>
      <w:r>
        <w:rPr/>
        <w:t>inglés, en la variable dependiente, comprensión de lectura en inglés. Sin embargo, los coeficientes de correlación  muestran  una  mayor contribución de </w:t>
      </w:r>
      <w:r>
        <w:rPr>
          <w:spacing w:val="-5"/>
        </w:rPr>
        <w:t>la </w:t>
      </w:r>
      <w:r>
        <w:rPr/>
        <w:t>competencia lingüística en inglés. Esto significa que </w:t>
      </w:r>
      <w:r>
        <w:rPr>
          <w:spacing w:val="-5"/>
        </w:rPr>
        <w:t>la </w:t>
      </w:r>
      <w:r>
        <w:rPr/>
        <w:t>competencia lingüística en inglés es un factor que predice mejor los resultados en comprensión de lectura en inglés que la habilidad lectora en español, que también contribuye a </w:t>
      </w:r>
      <w:r>
        <w:rPr>
          <w:spacing w:val="-5"/>
        </w:rPr>
        <w:t>la </w:t>
      </w:r>
      <w:r>
        <w:rPr/>
        <w:t>comprensión de lectura en inglés pero en menor medida,  acorde  con las investigaciones realizadas </w:t>
      </w:r>
      <w:r>
        <w:rPr>
          <w:spacing w:val="-3"/>
        </w:rPr>
        <w:t>en </w:t>
      </w:r>
      <w:r>
        <w:rPr/>
        <w:t>este sentido (Alderson, 1984; Carrell, 1991, </w:t>
      </w:r>
      <w:r>
        <w:rPr>
          <w:spacing w:val="-3"/>
        </w:rPr>
        <w:t>Yamashita, </w:t>
      </w:r>
      <w:r>
        <w:rPr/>
        <w:t>2002). Así que, respondiendo a la pregunta de Alderson (1984): ¿Un buen lector en L1 </w:t>
      </w:r>
      <w:r>
        <w:rPr>
          <w:spacing w:val="-5"/>
        </w:rPr>
        <w:t>lo </w:t>
      </w:r>
      <w:r>
        <w:rPr>
          <w:spacing w:val="-3"/>
        </w:rPr>
        <w:t>es </w:t>
      </w:r>
      <w:r>
        <w:rPr/>
        <w:t>también en L2? La contribución de </w:t>
      </w:r>
      <w:r>
        <w:rPr>
          <w:spacing w:val="-5"/>
        </w:rPr>
        <w:t>la </w:t>
      </w:r>
      <w:r>
        <w:rPr/>
        <w:t>habilidad lectora en español a la comprensión de lectura en inglés confirma que lo es hasta cierto  punto, ya que como se ha visto </w:t>
      </w:r>
      <w:r>
        <w:rPr>
          <w:spacing w:val="-3"/>
        </w:rPr>
        <w:t>es </w:t>
      </w:r>
      <w:r>
        <w:rPr/>
        <w:t>mejor lector </w:t>
      </w:r>
      <w:r>
        <w:rPr>
          <w:spacing w:val="-3"/>
        </w:rPr>
        <w:t>en L2 </w:t>
      </w:r>
      <w:r>
        <w:rPr/>
        <w:t>el que tiene competencia lingüística, en los términos de Bachman (1990), más alta,  confirmando  </w:t>
      </w:r>
      <w:r>
        <w:rPr>
          <w:spacing w:val="-5"/>
        </w:rPr>
        <w:t>lo  </w:t>
      </w:r>
      <w:r>
        <w:rPr/>
        <w:t>propuesto por Alderson</w:t>
      </w:r>
      <w:r>
        <w:rPr>
          <w:spacing w:val="31"/>
        </w:rPr>
        <w:t> </w:t>
      </w:r>
      <w:r>
        <w:rPr/>
        <w:t>(2000).</w:t>
      </w:r>
    </w:p>
    <w:p>
      <w:pPr>
        <w:pStyle w:val="BodyText"/>
        <w:rPr>
          <w:sz w:val="22"/>
        </w:rPr>
      </w:pPr>
    </w:p>
    <w:p>
      <w:pPr>
        <w:pStyle w:val="BodyText"/>
        <w:spacing w:line="364" w:lineRule="auto" w:before="150"/>
        <w:ind w:left="115" w:right="101"/>
        <w:jc w:val="both"/>
      </w:pPr>
      <w:r>
        <w:rPr/>
        <w:t>El estudio confirma la Hipótesis del umbral lingüístico (</w:t>
      </w:r>
      <w:r>
        <w:rPr>
          <w:i/>
        </w:rPr>
        <w:t>Linguistic Threshold </w:t>
      </w:r>
      <w:r>
        <w:rPr>
          <w:i/>
        </w:rPr>
        <w:t>Hypothesis) </w:t>
      </w:r>
      <w:r>
        <w:rPr/>
        <w:t>(Clarke, 1979; Cummins, 1979), que establece </w:t>
      </w:r>
      <w:r>
        <w:rPr>
          <w:spacing w:val="-3"/>
        </w:rPr>
        <w:t>que </w:t>
      </w:r>
      <w:r>
        <w:rPr/>
        <w:t>antes de lograr </w:t>
      </w:r>
      <w:r>
        <w:rPr>
          <w:spacing w:val="-5"/>
        </w:rPr>
        <w:t>la </w:t>
      </w:r>
      <w:r>
        <w:rPr/>
        <w:t>comprensión de un texto en L2 </w:t>
      </w:r>
      <w:r>
        <w:rPr>
          <w:spacing w:val="-3"/>
        </w:rPr>
        <w:t>es </w:t>
      </w:r>
      <w:r>
        <w:rPr/>
        <w:t>necesario alcanzar un techo o  umbral.  Es notable la diferencia entre el número de individuos que muestran una baja competencia lingüística en inglés y alta o media-alta habilidad lectora en inglés,  sólo 10; contra el número de participantes con </w:t>
      </w:r>
      <w:r>
        <w:rPr>
          <w:spacing w:val="-5"/>
        </w:rPr>
        <w:t>la </w:t>
      </w:r>
      <w:r>
        <w:rPr/>
        <w:t>combinación de alta competencia lingüística </w:t>
      </w:r>
      <w:r>
        <w:rPr>
          <w:spacing w:val="-3"/>
        </w:rPr>
        <w:t>en </w:t>
      </w:r>
      <w:r>
        <w:rPr/>
        <w:t>inglés y alta o media-alta habilidad lectora en inglés que suman un total de 42 sujetos. Esto significa que los individuos que no han alcanzado este umbral en L2 no lograrán la comprensión de un texto en L2, además </w:t>
      </w:r>
      <w:r>
        <w:rPr>
          <w:spacing w:val="-3"/>
        </w:rPr>
        <w:t>de </w:t>
      </w:r>
      <w:r>
        <w:rPr/>
        <w:t>reafirmar   </w:t>
      </w:r>
      <w:r>
        <w:rPr>
          <w:spacing w:val="-5"/>
        </w:rPr>
        <w:t>lo </w:t>
      </w:r>
      <w:r>
        <w:rPr/>
        <w:t>comentado líneas arriba sobre la mayor contribución de la competencia  lingüística en L2 a la comprensión de lectura en </w:t>
      </w:r>
      <w:r>
        <w:rPr>
          <w:spacing w:val="4"/>
        </w:rPr>
        <w:t> </w:t>
      </w:r>
      <w:r>
        <w:rPr/>
        <w:t>L2.</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r>
        <w:rPr/>
        <w:t>Bernhardt y Kamil (1995) dicen que </w:t>
      </w:r>
      <w:r>
        <w:rPr>
          <w:spacing w:val="-5"/>
        </w:rPr>
        <w:t>la </w:t>
      </w:r>
      <w:r>
        <w:rPr/>
        <w:t>comprensión lectora en L2 </w:t>
      </w:r>
      <w:r>
        <w:rPr>
          <w:spacing w:val="-3"/>
        </w:rPr>
        <w:t>es </w:t>
      </w:r>
      <w:r>
        <w:rPr/>
        <w:t>resultado de dos lenguas y dos habilidades lectoras, sin embargo, el presente estudio muestra más afinidad con la opinión de Alderson (1984, 2000) y el estudio de Carrell (1991) en el sentido en que la competencia lingüística en L2 tiene una mayor contribución  a la comprensión de lectura en</w:t>
      </w:r>
      <w:r>
        <w:rPr>
          <w:spacing w:val="45"/>
        </w:rPr>
        <w:t> </w:t>
      </w:r>
      <w:r>
        <w:rPr/>
        <w:t>L2.</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Heading3"/>
        <w:spacing w:before="73"/>
        <w:ind w:right="1014"/>
        <w:jc w:val="center"/>
      </w:pPr>
      <w:bookmarkStart w:name="_bookmark34" w:id="60"/>
      <w:bookmarkEnd w:id="60"/>
      <w:r>
        <w:rPr>
          <w:b w:val="0"/>
        </w:rPr>
      </w:r>
      <w:r>
        <w:rPr/>
        <w:t>CONCLUSIONES</w:t>
      </w:r>
    </w:p>
    <w:p>
      <w:pPr>
        <w:pStyle w:val="BodyText"/>
        <w:rPr>
          <w:b/>
          <w:sz w:val="22"/>
        </w:rPr>
      </w:pPr>
    </w:p>
    <w:p>
      <w:pPr>
        <w:pStyle w:val="BodyText"/>
        <w:spacing w:line="364" w:lineRule="auto" w:before="154"/>
        <w:ind w:left="115" w:right="104"/>
        <w:jc w:val="both"/>
      </w:pPr>
      <w:r>
        <w:rPr/>
        <w:t>A continuación </w:t>
      </w:r>
      <w:r>
        <w:rPr>
          <w:spacing w:val="4"/>
        </w:rPr>
        <w:t>se </w:t>
      </w:r>
      <w:r>
        <w:rPr/>
        <w:t>presentan las conclusiones que se han  determinado </w:t>
      </w:r>
      <w:r>
        <w:rPr>
          <w:spacing w:val="2"/>
        </w:rPr>
        <w:t>con </w:t>
      </w:r>
      <w:r>
        <w:rPr/>
        <w:t>base  en los resultados obtenidos, los problemas que se presentaron  y  las  posibles líneas de investigación y trabajo a seguir en el  futuro.</w:t>
      </w:r>
    </w:p>
    <w:p>
      <w:pPr>
        <w:pStyle w:val="BodyText"/>
        <w:rPr>
          <w:sz w:val="22"/>
        </w:rPr>
      </w:pPr>
    </w:p>
    <w:p>
      <w:pPr>
        <w:pStyle w:val="BodyText"/>
        <w:spacing w:line="364" w:lineRule="auto" w:before="160"/>
        <w:ind w:left="115" w:right="103"/>
        <w:jc w:val="both"/>
      </w:pPr>
      <w:r>
        <w:rPr/>
        <w:t>El estudio intentaba demostrar que los estudiantes de lengua inglesa de </w:t>
      </w:r>
      <w:r>
        <w:rPr>
          <w:spacing w:val="-5"/>
        </w:rPr>
        <w:t>la </w:t>
      </w:r>
      <w:r>
        <w:rPr/>
        <w:t>Universidad Autónoma del Estado </w:t>
      </w:r>
      <w:r>
        <w:rPr>
          <w:spacing w:val="-3"/>
        </w:rPr>
        <w:t>de </w:t>
      </w:r>
      <w:r>
        <w:rPr/>
        <w:t>México (U.A.E.M.) compensan en la comprensión de lectura en inglés una baja competencia lingüística en lengua  inglesa con una alta habilidad lectora en español o una baja habilidad lectora en español con una alta competencia lingüística en inglés. </w:t>
      </w:r>
      <w:r>
        <w:rPr>
          <w:spacing w:val="3"/>
        </w:rPr>
        <w:t>Se </w:t>
      </w:r>
      <w:r>
        <w:rPr/>
        <w:t>midieron las tres variables</w:t>
      </w:r>
      <w:r>
        <w:rPr>
          <w:spacing w:val="23"/>
        </w:rPr>
        <w:t> </w:t>
      </w:r>
      <w:r>
        <w:rPr/>
        <w:t>para</w:t>
      </w:r>
      <w:r>
        <w:rPr>
          <w:spacing w:val="20"/>
        </w:rPr>
        <w:t> </w:t>
      </w:r>
      <w:r>
        <w:rPr/>
        <w:t>202</w:t>
      </w:r>
      <w:r>
        <w:rPr>
          <w:spacing w:val="19"/>
        </w:rPr>
        <w:t> </w:t>
      </w:r>
      <w:r>
        <w:rPr/>
        <w:t>estudiantes</w:t>
      </w:r>
      <w:r>
        <w:rPr>
          <w:spacing w:val="18"/>
        </w:rPr>
        <w:t> </w:t>
      </w:r>
      <w:r>
        <w:rPr/>
        <w:t>de</w:t>
      </w:r>
      <w:r>
        <w:rPr>
          <w:spacing w:val="20"/>
        </w:rPr>
        <w:t> </w:t>
      </w:r>
      <w:r>
        <w:rPr/>
        <w:t>lengua</w:t>
      </w:r>
      <w:r>
        <w:rPr>
          <w:spacing w:val="15"/>
        </w:rPr>
        <w:t> </w:t>
      </w:r>
      <w:r>
        <w:rPr/>
        <w:t>inglesa</w:t>
      </w:r>
      <w:r>
        <w:rPr>
          <w:spacing w:val="20"/>
        </w:rPr>
        <w:t> </w:t>
      </w:r>
      <w:r>
        <w:rPr>
          <w:spacing w:val="-3"/>
        </w:rPr>
        <w:t>de</w:t>
      </w:r>
      <w:r>
        <w:rPr>
          <w:spacing w:val="20"/>
        </w:rPr>
        <w:t> </w:t>
      </w:r>
      <w:r>
        <w:rPr/>
        <w:t>la</w:t>
      </w:r>
      <w:r>
        <w:rPr>
          <w:spacing w:val="15"/>
        </w:rPr>
        <w:t> </w:t>
      </w:r>
      <w:r>
        <w:rPr/>
        <w:t>Facultad</w:t>
      </w:r>
      <w:r>
        <w:rPr>
          <w:spacing w:val="20"/>
        </w:rPr>
        <w:t> </w:t>
      </w:r>
      <w:r>
        <w:rPr/>
        <w:t>de</w:t>
      </w:r>
      <w:r>
        <w:rPr>
          <w:spacing w:val="20"/>
        </w:rPr>
        <w:t> </w:t>
      </w:r>
      <w:r>
        <w:rPr/>
        <w:t>Lenguas</w:t>
      </w:r>
      <w:r>
        <w:rPr>
          <w:spacing w:val="17"/>
        </w:rPr>
        <w:t> </w:t>
      </w:r>
      <w:r>
        <w:rPr/>
        <w:t>de</w:t>
      </w:r>
      <w:r>
        <w:rPr>
          <w:spacing w:val="20"/>
        </w:rPr>
        <w:t> </w:t>
      </w:r>
      <w:r>
        <w:rPr>
          <w:spacing w:val="-5"/>
        </w:rPr>
        <w:t>la</w:t>
      </w:r>
    </w:p>
    <w:p>
      <w:pPr>
        <w:pStyle w:val="BodyText"/>
        <w:spacing w:line="364" w:lineRule="auto" w:before="5"/>
        <w:ind w:left="115" w:right="99"/>
        <w:jc w:val="both"/>
      </w:pPr>
      <w:r>
        <w:rPr/>
        <w:t>U.A.E.M. Una vez que se obtuvieron los resultados se realizó  el  análisis  estadístico que nos llevó a determinar que entre estos individuos no se encontró evidencia estadísticamente significativa que demostrara que se lleve a cabo el proceso de compensación</w:t>
      </w:r>
      <w:r>
        <w:rPr>
          <w:spacing w:val="56"/>
        </w:rPr>
        <w:t> </w:t>
      </w:r>
      <w:r>
        <w:rPr/>
        <w:t>mencionado.</w:t>
      </w:r>
    </w:p>
    <w:p>
      <w:pPr>
        <w:pStyle w:val="BodyText"/>
        <w:rPr>
          <w:sz w:val="22"/>
        </w:rPr>
      </w:pPr>
    </w:p>
    <w:p>
      <w:pPr>
        <w:pStyle w:val="BodyText"/>
        <w:spacing w:line="364" w:lineRule="auto" w:before="150"/>
        <w:ind w:left="115" w:right="100"/>
        <w:jc w:val="both"/>
      </w:pPr>
      <w:r>
        <w:rPr/>
        <w:t>El estudio se basó en otro realizado por </w:t>
      </w:r>
      <w:r>
        <w:rPr>
          <w:spacing w:val="-3"/>
        </w:rPr>
        <w:t>Yamashita </w:t>
      </w:r>
      <w:r>
        <w:rPr/>
        <w:t>(2002) quién, en contraste, afirma que dicha compensación existe en los estudiantes japoneses de lengua inglesa. La información sobre este estudio no fue </w:t>
      </w:r>
      <w:r>
        <w:rPr>
          <w:spacing w:val="-5"/>
        </w:rPr>
        <w:t>la </w:t>
      </w:r>
      <w:r>
        <w:rPr/>
        <w:t>suficiente para encontrar hechos que pudiesen ayudar a determinar diferencias significativas entre ambos trabajos. Otras </w:t>
      </w:r>
      <w:r>
        <w:rPr>
          <w:spacing w:val="-3"/>
        </w:rPr>
        <w:t>de </w:t>
      </w:r>
      <w:r>
        <w:rPr/>
        <w:t>las dificultades que se encontraron en la elaboración de este análisis fue el instrumento para medir la comprensión lectora en español. No se encontraron instrumentos probados, por lo que en el momento en que  se  determinó el diseño de un instrumento nuevo se decidió hacerlo similar al de comprensión de lectura en inglés. No fue posible encontrar referencias sobre el diseño de la sección de comprensión de lectura del TOEFL, sin embargo, los libros de preparación para este examen fueron una valiosa ayuda. En el piloteo se encontraron algunos  problemas </w:t>
      </w:r>
      <w:r>
        <w:rPr>
          <w:spacing w:val="2"/>
        </w:rPr>
        <w:t>con </w:t>
      </w:r>
      <w:r>
        <w:rPr/>
        <w:t>el diseño del examen, reactivos  muy difíciles  o muy sencillos, lo cual pudo resolverse con el análisis de reactivos. Una vez piloteado y corregido se dio una segunda fase </w:t>
      </w:r>
      <w:r>
        <w:rPr>
          <w:spacing w:val="-3"/>
        </w:rPr>
        <w:t>de  </w:t>
      </w:r>
      <w:r>
        <w:rPr/>
        <w:t>piloteo,  el problema  en  esta parte fue que sólo se realizó entre algunas personas, ocho en total, la mayoría  </w:t>
      </w:r>
      <w:r>
        <w:rPr>
          <w:spacing w:val="11"/>
        </w:rPr>
        <w:t> </w:t>
      </w:r>
      <w:r>
        <w:rPr/>
        <w:t>con</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1"/>
        <w:jc w:val="both"/>
      </w:pPr>
      <w:r>
        <w:rPr/>
        <w:t>un nivel educativo más alto que los participantes en el estudio. A pesar de esto, tanto este instrumento como el otro desarrollado, el </w:t>
      </w:r>
      <w:r>
        <w:rPr>
          <w:i/>
        </w:rPr>
        <w:t>vocabulary levels test</w:t>
      </w:r>
      <w:r>
        <w:rPr/>
        <w:t>, parecen haber cumplido con la expectativa, basando esta opinión tanto en los resultados obtenidos en el piloteo, como en la  investigación.</w:t>
      </w:r>
    </w:p>
    <w:p>
      <w:pPr>
        <w:pStyle w:val="BodyText"/>
        <w:rPr>
          <w:sz w:val="22"/>
        </w:rPr>
      </w:pPr>
    </w:p>
    <w:p>
      <w:pPr>
        <w:pStyle w:val="BodyText"/>
        <w:spacing w:line="364" w:lineRule="auto" w:before="150"/>
        <w:ind w:left="115" w:right="103"/>
        <w:jc w:val="both"/>
      </w:pPr>
      <w:r>
        <w:rPr/>
        <w:t>A pesar </w:t>
      </w:r>
      <w:r>
        <w:rPr>
          <w:spacing w:val="-3"/>
        </w:rPr>
        <w:t>de </w:t>
      </w:r>
      <w:r>
        <w:rPr/>
        <w:t>las situaciones mencionadas </w:t>
      </w:r>
      <w:r>
        <w:rPr>
          <w:spacing w:val="-3"/>
        </w:rPr>
        <w:t>en </w:t>
      </w:r>
      <w:r>
        <w:rPr/>
        <w:t>el párrafo anterior el estudio se  concluyó dando lugar a algunas reflexiones y conclusiones. </w:t>
      </w:r>
      <w:r>
        <w:rPr>
          <w:spacing w:val="-3"/>
        </w:rPr>
        <w:t>La </w:t>
      </w:r>
      <w:r>
        <w:rPr/>
        <w:t>primera conclusión   a que se ha podido llegar es que los estudiantes de licenciatura de la Universidad Autónoma del Estado </w:t>
      </w:r>
      <w:r>
        <w:rPr>
          <w:spacing w:val="-3"/>
        </w:rPr>
        <w:t>de </w:t>
      </w:r>
      <w:r>
        <w:rPr/>
        <w:t>México no compensan su falta de habilidad lectora en español </w:t>
      </w:r>
      <w:r>
        <w:rPr>
          <w:spacing w:val="2"/>
        </w:rPr>
        <w:t>con </w:t>
      </w:r>
      <w:r>
        <w:rPr/>
        <w:t>su competencia lingüística en inglés, ni </w:t>
      </w:r>
      <w:r>
        <w:rPr>
          <w:spacing w:val="4"/>
        </w:rPr>
        <w:t>su </w:t>
      </w:r>
      <w:r>
        <w:rPr/>
        <w:t>poca competencia lingüística en inglés </w:t>
      </w:r>
      <w:r>
        <w:rPr>
          <w:spacing w:val="2"/>
        </w:rPr>
        <w:t>con </w:t>
      </w:r>
      <w:r>
        <w:rPr/>
        <w:t>una alta habilidad lectora en español en </w:t>
      </w:r>
      <w:r>
        <w:rPr>
          <w:spacing w:val="-5"/>
        </w:rPr>
        <w:t>la  </w:t>
      </w:r>
      <w:r>
        <w:rPr/>
        <w:t>comprensión   de lectura en inglés. Los resultados de Anova muestran que  existe  poca  interacción entre estas </w:t>
      </w:r>
      <w:r>
        <w:rPr>
          <w:spacing w:val="-4"/>
        </w:rPr>
        <w:t>dos</w:t>
      </w:r>
      <w:r>
        <w:rPr>
          <w:spacing w:val="55"/>
        </w:rPr>
        <w:t> </w:t>
      </w:r>
      <w:r>
        <w:rPr/>
        <w:t>variables, de hecho sus  comportamientos  son similares, por lo que no </w:t>
      </w:r>
      <w:r>
        <w:rPr>
          <w:spacing w:val="-3"/>
        </w:rPr>
        <w:t>es </w:t>
      </w:r>
      <w:r>
        <w:rPr/>
        <w:t>significativo </w:t>
      </w:r>
      <w:r>
        <w:rPr>
          <w:spacing w:val="-3"/>
        </w:rPr>
        <w:t>el </w:t>
      </w:r>
      <w:r>
        <w:rPr/>
        <w:t>proceso de compensación en la comprensión de lectura en</w:t>
      </w:r>
      <w:r>
        <w:rPr>
          <w:spacing w:val="44"/>
        </w:rPr>
        <w:t> </w:t>
      </w:r>
      <w:r>
        <w:rPr/>
        <w:t>inglés.</w:t>
      </w:r>
    </w:p>
    <w:p>
      <w:pPr>
        <w:pStyle w:val="BodyText"/>
        <w:rPr>
          <w:sz w:val="22"/>
        </w:rPr>
      </w:pPr>
    </w:p>
    <w:p>
      <w:pPr>
        <w:pStyle w:val="BodyText"/>
        <w:spacing w:line="364" w:lineRule="auto" w:before="155"/>
        <w:ind w:left="115" w:right="103"/>
        <w:jc w:val="both"/>
      </w:pPr>
      <w:r>
        <w:rPr/>
        <w:t>A diferencia de los resultados mostrados por </w:t>
      </w:r>
      <w:r>
        <w:rPr>
          <w:spacing w:val="-3"/>
        </w:rPr>
        <w:t>Yamashita </w:t>
      </w:r>
      <w:r>
        <w:rPr/>
        <w:t>(2002), quien </w:t>
      </w:r>
      <w:r>
        <w:rPr>
          <w:spacing w:val="4"/>
        </w:rPr>
        <w:t>sí </w:t>
      </w:r>
      <w:r>
        <w:rPr/>
        <w:t>encontró estas características </w:t>
      </w:r>
      <w:r>
        <w:rPr>
          <w:spacing w:val="-3"/>
        </w:rPr>
        <w:t>en </w:t>
      </w:r>
      <w:r>
        <w:rPr/>
        <w:t>el proceso de comprensión </w:t>
      </w:r>
      <w:r>
        <w:rPr>
          <w:spacing w:val="-3"/>
        </w:rPr>
        <w:t>de </w:t>
      </w:r>
      <w:r>
        <w:rPr/>
        <w:t>lectura en los estudiantes japoneses de inglés, los estudiantes mexicanos no utilizan  sus  habilidades  lectoras o su alta competencia lingüística para compensar la falta de habilidad lectora en L1, español, o baja competencia lingüística en L2, inglés, para tener una mejor comprensión de lectura en inglés. Los procedimientos de  ambos  trabajos han sido similares </w:t>
      </w:r>
      <w:r>
        <w:rPr>
          <w:spacing w:val="-11"/>
        </w:rPr>
        <w:t>y, </w:t>
      </w:r>
      <w:r>
        <w:rPr/>
        <w:t>sin embargo, los resultados han sido distintos. </w:t>
      </w:r>
      <w:r>
        <w:rPr>
          <w:spacing w:val="3"/>
        </w:rPr>
        <w:t>El </w:t>
      </w:r>
      <w:r>
        <w:rPr/>
        <w:t>artículo de </w:t>
      </w:r>
      <w:r>
        <w:rPr>
          <w:spacing w:val="-3"/>
        </w:rPr>
        <w:t>Yamashita </w:t>
      </w:r>
      <w:r>
        <w:rPr/>
        <w:t>no ofrece los datos suficientes para hacer un análisis más detallado y determinar las diferencias entre su estudio y este trabajo, lo cual quedará para investigaciones</w:t>
      </w:r>
      <w:r>
        <w:rPr>
          <w:spacing w:val="30"/>
        </w:rPr>
        <w:t> </w:t>
      </w:r>
      <w:r>
        <w:rPr/>
        <w:t>futuras.</w:t>
      </w:r>
    </w:p>
    <w:p>
      <w:pPr>
        <w:pStyle w:val="BodyText"/>
        <w:rPr>
          <w:sz w:val="22"/>
        </w:rPr>
      </w:pPr>
    </w:p>
    <w:p>
      <w:pPr>
        <w:pStyle w:val="BodyText"/>
        <w:spacing w:line="364" w:lineRule="auto" w:before="155"/>
        <w:ind w:left="115" w:right="101"/>
        <w:jc w:val="both"/>
      </w:pPr>
      <w:r>
        <w:rPr/>
        <w:t>Los test </w:t>
      </w:r>
      <w:r>
        <w:rPr>
          <w:spacing w:val="-3"/>
        </w:rPr>
        <w:t>de </w:t>
      </w:r>
      <w:r>
        <w:rPr/>
        <w:t>competencia lingüística se componían de dos elementos principales, vocabulario y habilidades sintácticas que se midieron a través  de un </w:t>
      </w:r>
      <w:r>
        <w:rPr>
          <w:i/>
        </w:rPr>
        <w:t>cloze  </w:t>
      </w:r>
      <w:r>
        <w:rPr/>
        <w:t>test.  Los resultados en cuanto a la contribución de la competencia lingüística en </w:t>
      </w:r>
      <w:r>
        <w:rPr>
          <w:spacing w:val="-5"/>
        </w:rPr>
        <w:t>la </w:t>
      </w:r>
      <w:r>
        <w:rPr/>
        <w:t>comprensión  lectora  en  L2  nos  indican  que  precisamente  el  vocabulario  y   </w:t>
      </w:r>
      <w:r>
        <w:rPr>
          <w:spacing w:val="11"/>
        </w:rPr>
        <w:t> </w:t>
      </w:r>
      <w:r>
        <w:rPr/>
        <w:t>la</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6"/>
        <w:jc w:val="both"/>
      </w:pPr>
      <w:r>
        <w:rPr/>
        <w:t>habilidad sintáctica contribuyen al resultado de comprensión de lectura en inglés. Para futuras investigaciones podría medirse el grado de contribución de éstos elementos, vocabulario y manejo de estructuras sintácticas de manera individual a  </w:t>
      </w:r>
      <w:r>
        <w:rPr>
          <w:spacing w:val="-5"/>
        </w:rPr>
        <w:t>la </w:t>
      </w:r>
      <w:r>
        <w:rPr/>
        <w:t>comprensión lectora en</w:t>
      </w:r>
      <w:r>
        <w:rPr>
          <w:spacing w:val="57"/>
        </w:rPr>
        <w:t> </w:t>
      </w:r>
      <w:r>
        <w:rPr/>
        <w:t>L2.</w:t>
      </w:r>
    </w:p>
    <w:p>
      <w:pPr>
        <w:pStyle w:val="BodyText"/>
        <w:spacing w:line="364" w:lineRule="auto" w:before="5"/>
        <w:ind w:left="115" w:right="102"/>
        <w:jc w:val="both"/>
      </w:pPr>
      <w:r>
        <w:rPr/>
        <w:t>Los coeficientes </w:t>
      </w:r>
      <w:r>
        <w:rPr>
          <w:spacing w:val="-3"/>
        </w:rPr>
        <w:t>de </w:t>
      </w:r>
      <w:r>
        <w:rPr/>
        <w:t>correlación indican que ambas variables independientes, tanto comprensión de lectura en español como competencia lingüística en inglés contribuyen a la comprensión de lectura en inglés. Los resultados muestran que </w:t>
      </w:r>
      <w:r>
        <w:rPr>
          <w:spacing w:val="-5"/>
        </w:rPr>
        <w:t>la </w:t>
      </w:r>
      <w:r>
        <w:rPr/>
        <w:t>competencia lingüística en inglés predice con mayor certidumbre los resultados de comprensión de lectura en inglés que la habilidad lectora en español, aunque las habilidades lectoras se transmiten, a un grado </w:t>
      </w:r>
      <w:r>
        <w:rPr>
          <w:spacing w:val="-4"/>
        </w:rPr>
        <w:t>menor, </w:t>
      </w:r>
      <w:r>
        <w:rPr/>
        <w:t>a la comprensión de lectura en español, confirmando los estudios hechos al respecto (Alderson, 1984; Carrell, 1991, </w:t>
      </w:r>
      <w:r>
        <w:rPr>
          <w:spacing w:val="-3"/>
        </w:rPr>
        <w:t>Yamashita, </w:t>
      </w:r>
      <w:r>
        <w:rPr/>
        <w:t>2002). Al comprobarse, una </w:t>
      </w:r>
      <w:r>
        <w:rPr>
          <w:spacing w:val="2"/>
        </w:rPr>
        <w:t>vez </w:t>
      </w:r>
      <w:r>
        <w:rPr/>
        <w:t>más, la contribución de </w:t>
      </w:r>
      <w:r>
        <w:rPr>
          <w:spacing w:val="-5"/>
        </w:rPr>
        <w:t>la </w:t>
      </w:r>
      <w:r>
        <w:rPr/>
        <w:t>competencia lingüística a </w:t>
      </w:r>
      <w:r>
        <w:rPr>
          <w:spacing w:val="-5"/>
        </w:rPr>
        <w:t>la </w:t>
      </w:r>
      <w:r>
        <w:rPr/>
        <w:t>comprensión  de lectura en L2, se vuelve necesaria  una revisión del sistema de enseñanza de lengua, inglesa en este caso, a los distintos niveles educativos. Para que nuestros  licenciados sean capaces de leer  en inglés </w:t>
      </w:r>
      <w:r>
        <w:rPr>
          <w:spacing w:val="-3"/>
        </w:rPr>
        <w:t>es </w:t>
      </w:r>
      <w:r>
        <w:rPr/>
        <w:t>necesario desarrollar cierto nivel de competencia. La pregunta es ¿los egresados de las licenciaturas están alcanzando este nivel? Dado que  este  estudio toma como muestra estudiantes de licenciatura y que, en consecuencia, están aún en formación es difícil contestar a </w:t>
      </w:r>
      <w:r>
        <w:rPr>
          <w:spacing w:val="-5"/>
        </w:rPr>
        <w:t>la </w:t>
      </w:r>
      <w:r>
        <w:rPr/>
        <w:t>pregunta con base en sus resultados. Un estudio sobre profesionistas al momento de finalizar su carrera universitaria a nivel licenciatura, quienes </w:t>
      </w:r>
      <w:r>
        <w:rPr>
          <w:spacing w:val="-4"/>
        </w:rPr>
        <w:t>ya </w:t>
      </w:r>
      <w:r>
        <w:rPr/>
        <w:t>hayan culminado sus estudios de lengua nos permitiría hacer alguna propuesta que resuelva el </w:t>
      </w:r>
      <w:r>
        <w:rPr>
          <w:spacing w:val="40"/>
        </w:rPr>
        <w:t> </w:t>
      </w:r>
      <w:r>
        <w:rPr/>
        <w:t>cuestionamiento.</w:t>
      </w:r>
    </w:p>
    <w:p>
      <w:pPr>
        <w:pStyle w:val="BodyText"/>
        <w:rPr>
          <w:sz w:val="22"/>
        </w:rPr>
      </w:pPr>
    </w:p>
    <w:p>
      <w:pPr>
        <w:pStyle w:val="BodyText"/>
        <w:spacing w:line="364" w:lineRule="auto" w:before="150"/>
        <w:ind w:left="115" w:right="103"/>
        <w:jc w:val="both"/>
      </w:pPr>
      <w:r>
        <w:rPr/>
        <w:t>Los resultados de comprensión de lectura en español muestran  una  media  de 5.87, lo cual en principio sugiere un bajo nivel de habilidad lectora en L1 de parte  de los estudiantes, </w:t>
      </w:r>
      <w:r>
        <w:rPr>
          <w:spacing w:val="-4"/>
        </w:rPr>
        <w:t>ya </w:t>
      </w:r>
      <w:r>
        <w:rPr/>
        <w:t>que son estudiantes universitarios y </w:t>
      </w:r>
      <w:r>
        <w:rPr>
          <w:spacing w:val="4"/>
        </w:rPr>
        <w:t>se </w:t>
      </w:r>
      <w:r>
        <w:rPr/>
        <w:t>esperaría una mejor comprensión de lectura, sin embargo, se ha visto que esta media es incluso  superior a la media de estudiantes japoneses. Aún así es </w:t>
      </w:r>
      <w:r>
        <w:rPr>
          <w:spacing w:val="-3"/>
        </w:rPr>
        <w:t>un </w:t>
      </w:r>
      <w:r>
        <w:rPr/>
        <w:t>punto sobre el que habría de reflexionar en este sentido: </w:t>
      </w:r>
      <w:r>
        <w:rPr>
          <w:spacing w:val="-3"/>
        </w:rPr>
        <w:t>¿Es </w:t>
      </w:r>
      <w:r>
        <w:rPr/>
        <w:t>la media que se esperaría de los estudiantes universitarios? Esta media, 5.87, nos dice que nuestros alumnos son capaces de comprender menos del sesenta por ciento de lo que leen en su   </w:t>
      </w:r>
      <w:r>
        <w:rPr>
          <w:spacing w:val="3"/>
        </w:rPr>
        <w:t> </w:t>
      </w:r>
      <w:r>
        <w:rPr/>
        <w:t>propia</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103"/>
        <w:jc w:val="both"/>
      </w:pPr>
      <w:r>
        <w:rPr/>
        <w:t>lengua. </w:t>
      </w:r>
      <w:r>
        <w:rPr>
          <w:spacing w:val="-3"/>
        </w:rPr>
        <w:t>Sin </w:t>
      </w:r>
      <w:r>
        <w:rPr/>
        <w:t>duda, un foco de alarma que debe atenderse. Los alumnos de esta licenciatura muestran unas débiles habilidades de comprensión lectora, situación que puede deberse a muchos factores como nivel educativo de </w:t>
      </w:r>
      <w:r>
        <w:rPr>
          <w:spacing w:val="-5"/>
        </w:rPr>
        <w:t>la </w:t>
      </w:r>
      <w:r>
        <w:rPr/>
        <w:t>familia, nivel socioeconómico, formación educativa básica deficiente, por lo que estudios sobre  el peso de estas razones en los pobres resultados en comprensión lectora son imperantes, así como, ampliar esta </w:t>
      </w:r>
      <w:r>
        <w:rPr>
          <w:spacing w:val="-3"/>
        </w:rPr>
        <w:t>misma </w:t>
      </w:r>
      <w:r>
        <w:rPr/>
        <w:t>investigación a otros espacios universitarios y sectores </w:t>
      </w:r>
      <w:r>
        <w:rPr>
          <w:spacing w:val="-3"/>
        </w:rPr>
        <w:t>de </w:t>
      </w:r>
      <w:r>
        <w:rPr/>
        <w:t>la sociedad. De entre los factores mencionados </w:t>
      </w:r>
      <w:r>
        <w:rPr>
          <w:spacing w:val="-3"/>
        </w:rPr>
        <w:t>es </w:t>
      </w:r>
      <w:r>
        <w:rPr/>
        <w:t>necesario hacer énfasis en el aspecto de la formación educativa básica. Es obvio que las estrategias de enseñanza de comprensión de lectura  no  están  funcionando como debiesen. Una revisión a la manera en que se está trabajando   </w:t>
      </w:r>
      <w:r>
        <w:rPr>
          <w:spacing w:val="-5"/>
        </w:rPr>
        <w:t>la </w:t>
      </w:r>
      <w:r>
        <w:rPr/>
        <w:t>comprensión de lectura en los niveles educativos básico y medio superior es urgente.</w:t>
      </w:r>
    </w:p>
    <w:p>
      <w:pPr>
        <w:pStyle w:val="BodyText"/>
        <w:rPr>
          <w:sz w:val="22"/>
        </w:rPr>
      </w:pPr>
    </w:p>
    <w:p>
      <w:pPr>
        <w:pStyle w:val="BodyText"/>
        <w:spacing w:line="364" w:lineRule="auto" w:before="155"/>
        <w:ind w:left="115" w:right="99"/>
        <w:jc w:val="both"/>
      </w:pPr>
      <w:r>
        <w:rPr/>
        <w:t>Es preocupante que </w:t>
      </w:r>
      <w:r>
        <w:rPr>
          <w:spacing w:val="-3"/>
        </w:rPr>
        <w:t>los </w:t>
      </w:r>
      <w:r>
        <w:rPr/>
        <w:t>participantes en este trabajo, quienes  en teoría  deben tener un nivel de competencia lingüística y en consecuencia de comprensión  lectora en L2 más elevado que el estudiante de otras licenciaturas, obtengan resultados tan bajos. La reflexión en este sentido es: Si los alumnos de esta licenciatura están obteniendo estos resultados tan bajos ¿qué está sucediendo </w:t>
      </w:r>
      <w:r>
        <w:rPr>
          <w:spacing w:val="-3"/>
        </w:rPr>
        <w:t>en </w:t>
      </w:r>
      <w:r>
        <w:rPr/>
        <w:t>otras licenciaturas? Como profesores nuestra labor es, en principio, hacer el llamado, motivar al alumno, inculcarle el hábito, situación que es difícil desde el planteamiento pero que no debe dejarse pasar por </w:t>
      </w:r>
      <w:r>
        <w:rPr>
          <w:spacing w:val="5"/>
        </w:rPr>
        <w:t> </w:t>
      </w:r>
      <w:r>
        <w:rPr/>
        <w:t>alto.</w:t>
      </w:r>
    </w:p>
    <w:p>
      <w:pPr>
        <w:pStyle w:val="BodyText"/>
        <w:rPr>
          <w:sz w:val="22"/>
        </w:rPr>
      </w:pPr>
    </w:p>
    <w:p>
      <w:pPr>
        <w:pStyle w:val="BodyText"/>
        <w:spacing w:line="364" w:lineRule="auto" w:before="150"/>
        <w:ind w:left="115" w:right="100"/>
        <w:jc w:val="both"/>
      </w:pPr>
      <w:r>
        <w:rPr/>
        <w:t>En resumen. Es posible en este momento concluir que en los individuos que conforman nuestro grupo de estudio, no es estadísticamente significativo  el  proceso de compensación entre la habilidad lectora en español (L1) y  </w:t>
      </w:r>
      <w:r>
        <w:rPr>
          <w:spacing w:val="-5"/>
        </w:rPr>
        <w:t>la </w:t>
      </w:r>
      <w:r>
        <w:rPr/>
        <w:t>competencia lingüística en inglés (L2), en la comprensión de lectura en inglés. El estudio también confirma la relevancia de los componentes de </w:t>
      </w:r>
      <w:r>
        <w:rPr>
          <w:spacing w:val="-5"/>
        </w:rPr>
        <w:t>la </w:t>
      </w:r>
      <w:r>
        <w:rPr/>
        <w:t>competencia lingüística en L2 en </w:t>
      </w:r>
      <w:r>
        <w:rPr>
          <w:spacing w:val="-5"/>
        </w:rPr>
        <w:t>la </w:t>
      </w:r>
      <w:r>
        <w:rPr/>
        <w:t>comprensión de lectura en </w:t>
      </w:r>
      <w:r>
        <w:rPr>
          <w:spacing w:val="26"/>
        </w:rPr>
        <w:t> </w:t>
      </w:r>
      <w:r>
        <w:rPr/>
        <w:t>L2.</w:t>
      </w:r>
    </w:p>
    <w:p>
      <w:pPr>
        <w:pStyle w:val="BodyText"/>
        <w:rPr>
          <w:sz w:val="22"/>
        </w:rPr>
      </w:pPr>
    </w:p>
    <w:p>
      <w:pPr>
        <w:pStyle w:val="BodyText"/>
        <w:spacing w:line="364" w:lineRule="auto" w:before="155"/>
        <w:ind w:left="115" w:right="103"/>
        <w:jc w:val="both"/>
      </w:pPr>
      <w:r>
        <w:rPr/>
        <w:t>Estos hallazgos </w:t>
      </w:r>
      <w:r>
        <w:rPr>
          <w:spacing w:val="2"/>
        </w:rPr>
        <w:t>son </w:t>
      </w:r>
      <w:r>
        <w:rPr/>
        <w:t>pertinentes </w:t>
      </w:r>
      <w:r>
        <w:rPr>
          <w:spacing w:val="-3"/>
        </w:rPr>
        <w:t>en </w:t>
      </w:r>
      <w:r>
        <w:rPr/>
        <w:t>diversos ámbitos. En cuanto a  educación  básica   y   media-básica,   se   evidencian   las   fallas   en   </w:t>
      </w:r>
      <w:r>
        <w:rPr>
          <w:spacing w:val="-5"/>
        </w:rPr>
        <w:t>la   </w:t>
      </w:r>
      <w:r>
        <w:rPr/>
        <w:t>preparación   de</w:t>
      </w:r>
      <w:r>
        <w:rPr>
          <w:spacing w:val="36"/>
        </w:rPr>
        <w:t> </w:t>
      </w:r>
      <w:r>
        <w:rPr/>
        <w:t>los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BodyText"/>
        <w:spacing w:line="364" w:lineRule="auto" w:before="73"/>
        <w:ind w:left="115" w:right="99"/>
        <w:jc w:val="both"/>
      </w:pPr>
      <w:r>
        <w:rPr/>
        <w:t>estudiantes para niveles educativos superiores, al menos en el campo de </w:t>
      </w:r>
      <w:r>
        <w:rPr>
          <w:spacing w:val="-5"/>
        </w:rPr>
        <w:t>la </w:t>
      </w:r>
      <w:r>
        <w:rPr/>
        <w:t>comprensión de lectura y enseñanza del inglés como segunda  lengua.  Recalcamos la imperante necesidad de una revisión de los programas educativos que tienen este alcance, los cuales deben proveer a los estudiantes de estas dos herramientas indispensables para el desarrollo personal y profesional. No es, ni debe ser función o responsabilidad de las instituciones educativas  </w:t>
      </w:r>
      <w:r>
        <w:rPr>
          <w:spacing w:val="-3"/>
        </w:rPr>
        <w:t>de  </w:t>
      </w:r>
      <w:r>
        <w:rPr/>
        <w:t>nivel  superior la preparación de los estudiantes en lengua inglesa o en comprensión de lectura. Los organismos </w:t>
      </w:r>
      <w:r>
        <w:rPr>
          <w:spacing w:val="-3"/>
        </w:rPr>
        <w:t>de </w:t>
      </w:r>
      <w:r>
        <w:rPr/>
        <w:t>educación superior requieren para lograr </w:t>
      </w:r>
      <w:r>
        <w:rPr>
          <w:spacing w:val="2"/>
        </w:rPr>
        <w:t>sus </w:t>
      </w:r>
      <w:r>
        <w:rPr/>
        <w:t>objetivos primordiales estudiantes mejor preparados, que ya hayan obtenido a un nivel satisfactorio </w:t>
      </w:r>
      <w:r>
        <w:rPr>
          <w:spacing w:val="-5"/>
        </w:rPr>
        <w:t>la </w:t>
      </w:r>
      <w:r>
        <w:rPr/>
        <w:t>instrucción en estos campos para poder acceder al nivel de conocimientos y preparación que se busca en estas </w:t>
      </w:r>
      <w:r>
        <w:rPr>
          <w:spacing w:val="18"/>
        </w:rPr>
        <w:t> </w:t>
      </w:r>
      <w:r>
        <w:rPr/>
        <w:t>instancias.</w:t>
      </w:r>
    </w:p>
    <w:p>
      <w:pPr>
        <w:spacing w:after="0" w:line="364" w:lineRule="auto"/>
        <w:jc w:val="both"/>
        <w:sectPr>
          <w:pgSz w:w="11910" w:h="16840"/>
          <w:pgMar w:header="1424" w:footer="0" w:top="1840" w:bottom="280" w:left="1540" w:right="1540"/>
        </w:sectPr>
      </w:pPr>
    </w:p>
    <w:p>
      <w:pPr>
        <w:pStyle w:val="BodyText"/>
        <w:spacing w:before="11"/>
        <w:rPr>
          <w:sz w:val="16"/>
        </w:rPr>
      </w:pPr>
    </w:p>
    <w:p>
      <w:pPr>
        <w:pStyle w:val="Heading3"/>
        <w:spacing w:before="73"/>
        <w:ind w:right="1018"/>
        <w:jc w:val="center"/>
      </w:pPr>
      <w:bookmarkStart w:name="_bookmark35" w:id="61"/>
      <w:bookmarkEnd w:id="61"/>
      <w:r>
        <w:rPr>
          <w:b w:val="0"/>
        </w:rPr>
      </w:r>
      <w:r>
        <w:rPr/>
        <w:t>REFERENCIAS</w:t>
      </w:r>
    </w:p>
    <w:p>
      <w:pPr>
        <w:pStyle w:val="BodyText"/>
        <w:rPr>
          <w:b/>
          <w:sz w:val="22"/>
        </w:rPr>
      </w:pPr>
    </w:p>
    <w:p>
      <w:pPr>
        <w:pStyle w:val="BodyText"/>
        <w:spacing w:before="154"/>
        <w:ind w:left="663" w:right="104" w:hanging="548"/>
        <w:jc w:val="both"/>
      </w:pPr>
      <w:r>
        <w:rPr/>
        <w:t>Alderson, J.C. (1979). The Cloze Procedure and Proficiency in English  as  a  Foreign Language. </w:t>
      </w:r>
      <w:r>
        <w:rPr>
          <w:i/>
        </w:rPr>
        <w:t>TESOL Quarterly </w:t>
      </w:r>
      <w:r>
        <w:rPr/>
        <w:t>13 (2), </w:t>
      </w:r>
      <w:r>
        <w:rPr>
          <w:spacing w:val="3"/>
        </w:rPr>
        <w:t> </w:t>
      </w:r>
      <w:r>
        <w:rPr/>
        <w:t>219-227.</w:t>
      </w:r>
    </w:p>
    <w:p>
      <w:pPr>
        <w:pStyle w:val="BodyText"/>
        <w:rPr>
          <w:sz w:val="22"/>
        </w:rPr>
      </w:pPr>
    </w:p>
    <w:p>
      <w:pPr>
        <w:pStyle w:val="BodyText"/>
        <w:spacing w:line="244" w:lineRule="auto" w:before="159"/>
        <w:ind w:left="663" w:right="113" w:hanging="548"/>
        <w:jc w:val="both"/>
      </w:pPr>
      <w:r>
        <w:rPr/>
        <w:t>Alderson, J.C. (1984). Reading </w:t>
      </w:r>
      <w:r>
        <w:rPr>
          <w:spacing w:val="-5"/>
        </w:rPr>
        <w:t>in </w:t>
      </w:r>
      <w:r>
        <w:rPr/>
        <w:t>a foreign language: a reading problem or a language problem? En J.C. Alderson y Urquhart A.H. (eds.). </w:t>
      </w:r>
      <w:r>
        <w:rPr>
          <w:i/>
        </w:rPr>
        <w:t>Reading in a </w:t>
      </w:r>
      <w:r>
        <w:rPr>
          <w:i/>
        </w:rPr>
        <w:t>Foreign Language</w:t>
      </w:r>
      <w:r>
        <w:rPr/>
        <w:t>. London:</w:t>
      </w:r>
      <w:r>
        <w:rPr>
          <w:spacing w:val="56"/>
        </w:rPr>
        <w:t> </w:t>
      </w:r>
      <w:r>
        <w:rPr/>
        <w:t>Longman.</w:t>
      </w:r>
    </w:p>
    <w:p>
      <w:pPr>
        <w:pStyle w:val="BodyText"/>
        <w:rPr>
          <w:sz w:val="22"/>
        </w:rPr>
      </w:pPr>
    </w:p>
    <w:p>
      <w:pPr>
        <w:spacing w:before="149"/>
        <w:ind w:left="115" w:right="213" w:firstLine="0"/>
        <w:jc w:val="left"/>
        <w:rPr>
          <w:sz w:val="23"/>
        </w:rPr>
      </w:pPr>
      <w:r>
        <w:rPr>
          <w:sz w:val="23"/>
        </w:rPr>
        <w:t>Alderson, J.C. (2000). </w:t>
      </w:r>
      <w:r>
        <w:rPr>
          <w:i/>
          <w:sz w:val="23"/>
        </w:rPr>
        <w:t>Assessing Reading</w:t>
      </w:r>
      <w:r>
        <w:rPr>
          <w:sz w:val="23"/>
        </w:rPr>
        <w:t>. Cambridge:  CUP.</w:t>
      </w:r>
    </w:p>
    <w:p>
      <w:pPr>
        <w:pStyle w:val="BodyText"/>
        <w:rPr>
          <w:sz w:val="22"/>
        </w:rPr>
      </w:pPr>
    </w:p>
    <w:p>
      <w:pPr>
        <w:spacing w:line="244" w:lineRule="auto" w:before="149"/>
        <w:ind w:left="663" w:right="101" w:hanging="548"/>
        <w:jc w:val="both"/>
        <w:rPr>
          <w:sz w:val="23"/>
        </w:rPr>
      </w:pPr>
      <w:r>
        <w:rPr>
          <w:sz w:val="23"/>
        </w:rPr>
        <w:t>Alderson, C. (2006). </w:t>
      </w:r>
      <w:r>
        <w:rPr>
          <w:i/>
          <w:sz w:val="23"/>
        </w:rPr>
        <w:t>Diagnosing Foreign Language  Proficiency</w:t>
      </w:r>
      <w:r>
        <w:rPr>
          <w:sz w:val="23"/>
        </w:rPr>
        <w:t>.  London:  Continuum International Publishing</w:t>
      </w:r>
      <w:r>
        <w:rPr>
          <w:spacing w:val="59"/>
          <w:sz w:val="23"/>
        </w:rPr>
        <w:t> </w:t>
      </w:r>
      <w:r>
        <w:rPr>
          <w:sz w:val="23"/>
        </w:rPr>
        <w:t>Group.</w:t>
      </w:r>
    </w:p>
    <w:p>
      <w:pPr>
        <w:pStyle w:val="BodyText"/>
        <w:rPr>
          <w:sz w:val="22"/>
        </w:rPr>
      </w:pPr>
    </w:p>
    <w:p>
      <w:pPr>
        <w:pStyle w:val="BodyText"/>
        <w:spacing w:line="244" w:lineRule="auto" w:before="149"/>
        <w:ind w:left="663" w:right="111" w:hanging="548"/>
        <w:jc w:val="both"/>
      </w:pPr>
      <w:r>
        <w:rPr/>
        <w:t>Bachman, L.F. (1982). The Trait Structure of Cloze Test Scores. TESOL Quarterly, 16, 61-70.</w:t>
      </w:r>
    </w:p>
    <w:p>
      <w:pPr>
        <w:pStyle w:val="BodyText"/>
        <w:rPr>
          <w:sz w:val="22"/>
        </w:rPr>
      </w:pPr>
    </w:p>
    <w:p>
      <w:pPr>
        <w:pStyle w:val="BodyText"/>
        <w:spacing w:line="244" w:lineRule="auto" w:before="149"/>
        <w:ind w:left="663" w:right="105" w:hanging="548"/>
        <w:jc w:val="both"/>
      </w:pPr>
      <w:r>
        <w:rPr/>
        <w:t>Bachman, </w:t>
      </w:r>
      <w:r>
        <w:rPr>
          <w:spacing w:val="-7"/>
        </w:rPr>
        <w:t>L.F. </w:t>
      </w:r>
      <w:r>
        <w:rPr/>
        <w:t>(1985). Performance on Cloze </w:t>
      </w:r>
      <w:r>
        <w:rPr>
          <w:spacing w:val="-6"/>
        </w:rPr>
        <w:t>Tests </w:t>
      </w:r>
      <w:r>
        <w:rPr/>
        <w:t>with Fixed-ratio and Rational Deletions. </w:t>
      </w:r>
      <w:r>
        <w:rPr>
          <w:i/>
        </w:rPr>
        <w:t>TESOL Quarterly</w:t>
      </w:r>
      <w:r>
        <w:rPr/>
        <w:t>, 19,</w:t>
      </w:r>
      <w:r>
        <w:rPr>
          <w:spacing w:val="52"/>
        </w:rPr>
        <w:t> </w:t>
      </w:r>
      <w:r>
        <w:rPr/>
        <w:t>535-556.</w:t>
      </w:r>
    </w:p>
    <w:p>
      <w:pPr>
        <w:pStyle w:val="BodyText"/>
        <w:rPr>
          <w:sz w:val="22"/>
        </w:rPr>
      </w:pPr>
    </w:p>
    <w:p>
      <w:pPr>
        <w:spacing w:before="149"/>
        <w:ind w:left="663" w:right="106" w:hanging="548"/>
        <w:jc w:val="both"/>
        <w:rPr>
          <w:sz w:val="23"/>
        </w:rPr>
      </w:pPr>
      <w:r>
        <w:rPr>
          <w:sz w:val="23"/>
        </w:rPr>
        <w:t>Bachman, L.F. (1990). </w:t>
      </w:r>
      <w:r>
        <w:rPr>
          <w:i/>
          <w:sz w:val="23"/>
        </w:rPr>
        <w:t>Fundamental Considerations in Language Testing</w:t>
      </w:r>
      <w:r>
        <w:rPr>
          <w:sz w:val="23"/>
        </w:rPr>
        <w:t>. Oxford: OUP.</w:t>
      </w:r>
    </w:p>
    <w:p>
      <w:pPr>
        <w:pStyle w:val="BodyText"/>
        <w:rPr>
          <w:sz w:val="22"/>
        </w:rPr>
      </w:pPr>
    </w:p>
    <w:p>
      <w:pPr>
        <w:pStyle w:val="BodyText"/>
        <w:spacing w:line="247" w:lineRule="auto" w:before="154"/>
        <w:ind w:left="663" w:right="108" w:hanging="548"/>
        <w:jc w:val="both"/>
      </w:pPr>
      <w:r>
        <w:rPr/>
        <w:t>Bachman, </w:t>
      </w:r>
      <w:r>
        <w:rPr>
          <w:spacing w:val="-6"/>
        </w:rPr>
        <w:t>L.F. </w:t>
      </w:r>
      <w:r>
        <w:rPr/>
        <w:t>y </w:t>
      </w:r>
      <w:r>
        <w:rPr>
          <w:spacing w:val="-3"/>
        </w:rPr>
        <w:t>Palmer, </w:t>
      </w:r>
      <w:r>
        <w:rPr/>
        <w:t>A.S. (1982). The Construct </w:t>
      </w:r>
      <w:r>
        <w:rPr>
          <w:spacing w:val="-3"/>
        </w:rPr>
        <w:t>Validation </w:t>
      </w:r>
      <w:r>
        <w:rPr/>
        <w:t>of some  Components of Communicative Proficiency. </w:t>
      </w:r>
      <w:r>
        <w:rPr>
          <w:i/>
        </w:rPr>
        <w:t>TESOL Quarterly</w:t>
      </w:r>
      <w:r>
        <w:rPr/>
        <w:t>, 16, </w:t>
      </w:r>
      <w:r>
        <w:rPr>
          <w:spacing w:val="17"/>
        </w:rPr>
        <w:t> </w:t>
      </w:r>
      <w:r>
        <w:rPr/>
        <w:t>449-465.</w:t>
      </w:r>
    </w:p>
    <w:p>
      <w:pPr>
        <w:pStyle w:val="BodyText"/>
        <w:rPr>
          <w:sz w:val="22"/>
        </w:rPr>
      </w:pPr>
    </w:p>
    <w:p>
      <w:pPr>
        <w:spacing w:line="247" w:lineRule="auto" w:before="142"/>
        <w:ind w:left="663" w:right="108" w:hanging="548"/>
        <w:jc w:val="both"/>
        <w:rPr>
          <w:sz w:val="23"/>
        </w:rPr>
      </w:pPr>
      <w:r>
        <w:rPr>
          <w:sz w:val="23"/>
        </w:rPr>
        <w:t>Bachman, L.F. y Palmer, A.S. (1996). </w:t>
      </w:r>
      <w:r>
        <w:rPr>
          <w:i/>
          <w:sz w:val="23"/>
        </w:rPr>
        <w:t>Language testing in practice: designing and </w:t>
      </w:r>
      <w:r>
        <w:rPr>
          <w:i/>
          <w:sz w:val="23"/>
        </w:rPr>
        <w:t>developing useful language tests</w:t>
      </w:r>
      <w:r>
        <w:rPr>
          <w:sz w:val="23"/>
        </w:rPr>
        <w:t>. New York:  OUP.</w:t>
      </w:r>
    </w:p>
    <w:p>
      <w:pPr>
        <w:pStyle w:val="BodyText"/>
        <w:rPr>
          <w:sz w:val="22"/>
        </w:rPr>
      </w:pPr>
    </w:p>
    <w:p>
      <w:pPr>
        <w:spacing w:before="147"/>
        <w:ind w:left="663" w:right="113" w:hanging="548"/>
        <w:jc w:val="both"/>
        <w:rPr>
          <w:sz w:val="23"/>
        </w:rPr>
      </w:pPr>
      <w:r>
        <w:rPr>
          <w:sz w:val="23"/>
        </w:rPr>
        <w:t>Banton Smith, N. (2002). </w:t>
      </w:r>
      <w:r>
        <w:rPr>
          <w:i/>
          <w:sz w:val="23"/>
        </w:rPr>
        <w:t>American Reading Instruction</w:t>
      </w:r>
      <w:r>
        <w:rPr>
          <w:sz w:val="23"/>
        </w:rPr>
        <w:t>. International Reading Association.</w:t>
      </w:r>
    </w:p>
    <w:p>
      <w:pPr>
        <w:pStyle w:val="BodyText"/>
        <w:rPr>
          <w:sz w:val="22"/>
        </w:rPr>
      </w:pPr>
    </w:p>
    <w:p>
      <w:pPr>
        <w:spacing w:line="244" w:lineRule="auto" w:before="154"/>
        <w:ind w:left="663" w:right="107" w:hanging="548"/>
        <w:jc w:val="both"/>
        <w:rPr>
          <w:sz w:val="23"/>
        </w:rPr>
      </w:pPr>
      <w:r>
        <w:rPr>
          <w:sz w:val="23"/>
        </w:rPr>
        <w:t>Barnett, M. (1989). </w:t>
      </w:r>
      <w:r>
        <w:rPr>
          <w:i/>
          <w:sz w:val="23"/>
        </w:rPr>
        <w:t>More than Meets the Eye. Foreign Language Reading, Theory </w:t>
      </w:r>
      <w:r>
        <w:rPr>
          <w:i/>
          <w:sz w:val="23"/>
        </w:rPr>
        <w:t>and Practice</w:t>
      </w:r>
      <w:r>
        <w:rPr>
          <w:sz w:val="23"/>
        </w:rPr>
        <w:t>. New Jersey:</w:t>
      </w:r>
    </w:p>
    <w:p>
      <w:pPr>
        <w:pStyle w:val="BodyText"/>
        <w:rPr>
          <w:sz w:val="22"/>
        </w:rPr>
      </w:pPr>
    </w:p>
    <w:p>
      <w:pPr>
        <w:spacing w:before="149"/>
        <w:ind w:left="115" w:right="213" w:firstLine="0"/>
        <w:jc w:val="left"/>
        <w:rPr>
          <w:sz w:val="23"/>
        </w:rPr>
      </w:pPr>
      <w:r>
        <w:rPr>
          <w:sz w:val="23"/>
        </w:rPr>
        <w:t>Bartlett F.  (1932). </w:t>
      </w:r>
      <w:r>
        <w:rPr>
          <w:i/>
          <w:sz w:val="23"/>
        </w:rPr>
        <w:t>Remembering</w:t>
      </w:r>
      <w:r>
        <w:rPr>
          <w:sz w:val="23"/>
        </w:rPr>
        <w:t>, Cambridge: CUP.</w:t>
      </w:r>
    </w:p>
    <w:p>
      <w:pPr>
        <w:pStyle w:val="BodyText"/>
        <w:rPr>
          <w:sz w:val="22"/>
        </w:rPr>
      </w:pPr>
    </w:p>
    <w:p>
      <w:pPr>
        <w:spacing w:line="244" w:lineRule="auto" w:before="154"/>
        <w:ind w:left="663" w:right="101" w:hanging="548"/>
        <w:jc w:val="both"/>
        <w:rPr>
          <w:sz w:val="23"/>
        </w:rPr>
      </w:pPr>
      <w:r>
        <w:rPr>
          <w:sz w:val="23"/>
        </w:rPr>
        <w:t>Bernhardt, E.B. (1991). </w:t>
      </w:r>
      <w:r>
        <w:rPr>
          <w:i/>
          <w:sz w:val="23"/>
        </w:rPr>
        <w:t>Reading Development in a Second  Language</w:t>
      </w:r>
      <w:r>
        <w:rPr>
          <w:sz w:val="23"/>
        </w:rPr>
        <w:t>. Norwood,  </w:t>
      </w:r>
      <w:r>
        <w:rPr>
          <w:spacing w:val="2"/>
          <w:sz w:val="23"/>
        </w:rPr>
        <w:t>NJ:</w:t>
      </w:r>
      <w:r>
        <w:rPr>
          <w:spacing w:val="-4"/>
          <w:sz w:val="23"/>
        </w:rPr>
        <w:t> </w:t>
      </w:r>
      <w:r>
        <w:rPr>
          <w:sz w:val="23"/>
        </w:rPr>
        <w:t>Ablex.</w:t>
      </w:r>
    </w:p>
    <w:p>
      <w:pPr>
        <w:spacing w:after="0" w:line="244" w:lineRule="auto"/>
        <w:jc w:val="both"/>
        <w:rPr>
          <w:sz w:val="23"/>
        </w:rPr>
        <w:sectPr>
          <w:pgSz w:w="11910" w:h="16840"/>
          <w:pgMar w:header="1424" w:footer="0" w:top="1840" w:bottom="280" w:left="1540" w:right="1540"/>
        </w:sectPr>
      </w:pPr>
    </w:p>
    <w:p>
      <w:pPr>
        <w:pStyle w:val="BodyText"/>
        <w:spacing w:before="11"/>
        <w:rPr>
          <w:sz w:val="16"/>
        </w:rPr>
      </w:pPr>
    </w:p>
    <w:p>
      <w:pPr>
        <w:pStyle w:val="BodyText"/>
        <w:spacing w:line="244" w:lineRule="auto" w:before="73"/>
        <w:ind w:left="663" w:right="123" w:hanging="548"/>
        <w:jc w:val="both"/>
      </w:pPr>
      <w:r>
        <w:rPr/>
        <w:t>Bernhardt, E.B. y Kamil,M. L. (1995). Interpreting relationships between L1 and L2 reading: consolidating the linguistics interdependence hypotheses. </w:t>
      </w:r>
      <w:r>
        <w:rPr>
          <w:i/>
        </w:rPr>
        <w:t>Applied </w:t>
      </w:r>
      <w:r>
        <w:rPr>
          <w:i/>
        </w:rPr>
        <w:t>Linguistics</w:t>
      </w:r>
      <w:r>
        <w:rPr/>
        <w:t>, 16(1), 15-34.</w:t>
      </w:r>
    </w:p>
    <w:p>
      <w:pPr>
        <w:pStyle w:val="BodyText"/>
        <w:rPr>
          <w:sz w:val="22"/>
        </w:rPr>
      </w:pPr>
    </w:p>
    <w:p>
      <w:pPr>
        <w:spacing w:before="149"/>
        <w:ind w:left="115" w:right="0" w:firstLine="0"/>
        <w:jc w:val="left"/>
        <w:rPr>
          <w:sz w:val="23"/>
        </w:rPr>
      </w:pPr>
      <w:r>
        <w:rPr>
          <w:sz w:val="23"/>
        </w:rPr>
        <w:t>Birch, B.M. (2006). </w:t>
      </w:r>
      <w:r>
        <w:rPr>
          <w:i/>
          <w:sz w:val="23"/>
        </w:rPr>
        <w:t>English L2 Reading: Getting to the Bottom.  </w:t>
      </w:r>
      <w:r>
        <w:rPr>
          <w:sz w:val="23"/>
        </w:rPr>
        <w:t>Routledge.</w:t>
      </w:r>
    </w:p>
    <w:p>
      <w:pPr>
        <w:pStyle w:val="BodyText"/>
        <w:rPr>
          <w:sz w:val="22"/>
        </w:rPr>
      </w:pPr>
    </w:p>
    <w:p>
      <w:pPr>
        <w:spacing w:line="247" w:lineRule="auto" w:before="149"/>
        <w:ind w:left="663" w:right="126" w:hanging="548"/>
        <w:jc w:val="both"/>
        <w:rPr>
          <w:sz w:val="23"/>
        </w:rPr>
      </w:pPr>
      <w:r>
        <w:rPr>
          <w:sz w:val="23"/>
        </w:rPr>
        <w:t>Booth, D. (1998). </w:t>
      </w:r>
      <w:r>
        <w:rPr>
          <w:i/>
          <w:sz w:val="23"/>
        </w:rPr>
        <w:t>Guiding the Reading Process</w:t>
      </w:r>
      <w:r>
        <w:rPr>
          <w:sz w:val="23"/>
        </w:rPr>
        <w:t>. Pembroke Publishers. Markham, Ontario, Canada.</w:t>
      </w:r>
    </w:p>
    <w:p>
      <w:pPr>
        <w:pStyle w:val="BodyText"/>
        <w:rPr>
          <w:sz w:val="22"/>
        </w:rPr>
      </w:pPr>
    </w:p>
    <w:p>
      <w:pPr>
        <w:pStyle w:val="BodyText"/>
        <w:spacing w:line="244" w:lineRule="auto" w:before="147"/>
        <w:ind w:left="663" w:right="117" w:hanging="548"/>
        <w:jc w:val="both"/>
      </w:pPr>
      <w:r>
        <w:rPr/>
        <w:t>Bossers, B. (1991). On thresholds, ceilings and short-circuits: the relation between L1 reading, L2 reading and L2 knowledge. En J.H. Hulstijn and J.F. Matter (eds.), </w:t>
      </w:r>
      <w:r>
        <w:rPr>
          <w:i/>
        </w:rPr>
        <w:t>Reading in Two Languages: AILA review, </w:t>
      </w:r>
      <w:r>
        <w:rPr/>
        <w:t>8,  45-60.</w:t>
      </w:r>
    </w:p>
    <w:p>
      <w:pPr>
        <w:pStyle w:val="BodyText"/>
        <w:rPr>
          <w:sz w:val="22"/>
        </w:rPr>
      </w:pPr>
    </w:p>
    <w:p>
      <w:pPr>
        <w:pStyle w:val="BodyText"/>
        <w:spacing w:line="244" w:lineRule="auto" w:before="144"/>
        <w:ind w:left="663" w:right="124" w:hanging="548"/>
        <w:jc w:val="both"/>
      </w:pPr>
      <w:r>
        <w:rPr/>
        <w:t>Canale, M. y Swain, M.(1980).Theoretical bases of communicative approaches to second language teaching and testing. </w:t>
      </w:r>
      <w:r>
        <w:rPr>
          <w:i/>
        </w:rPr>
        <w:t>Applied Linguistics, </w:t>
      </w:r>
      <w:r>
        <w:rPr/>
        <w:t>1,  1-47</w:t>
      </w:r>
    </w:p>
    <w:p>
      <w:pPr>
        <w:pStyle w:val="BodyText"/>
        <w:rPr>
          <w:sz w:val="22"/>
        </w:rPr>
      </w:pPr>
    </w:p>
    <w:p>
      <w:pPr>
        <w:pStyle w:val="BodyText"/>
        <w:spacing w:line="244" w:lineRule="auto" w:before="144"/>
        <w:ind w:left="663" w:right="123" w:hanging="548"/>
        <w:jc w:val="both"/>
      </w:pPr>
      <w:r>
        <w:rPr/>
        <w:t>Canale, M. (1983). From communicative competence to communicative language pedagogy. En J.C. Richards y R. W Schmidt (eds.).</w:t>
      </w:r>
      <w:r>
        <w:rPr>
          <w:i/>
        </w:rPr>
        <w:t>Language and </w:t>
      </w:r>
      <w:r>
        <w:rPr>
          <w:i/>
        </w:rPr>
        <w:t>communication</w:t>
      </w:r>
      <w:r>
        <w:rPr/>
        <w:t>. New York:  Longman.</w:t>
      </w:r>
    </w:p>
    <w:p>
      <w:pPr>
        <w:pStyle w:val="BodyText"/>
        <w:rPr>
          <w:sz w:val="22"/>
        </w:rPr>
      </w:pPr>
    </w:p>
    <w:p>
      <w:pPr>
        <w:spacing w:line="244" w:lineRule="auto" w:before="154"/>
        <w:ind w:left="663" w:right="124" w:hanging="548"/>
        <w:jc w:val="both"/>
        <w:rPr>
          <w:sz w:val="23"/>
        </w:rPr>
      </w:pPr>
      <w:r>
        <w:rPr>
          <w:sz w:val="23"/>
        </w:rPr>
        <w:t>Canale, M. (1984). A communicative approach to language proficiency assessment in a minority setting. En Rivera, C. (ed.), </w:t>
      </w:r>
      <w:r>
        <w:rPr>
          <w:i/>
          <w:sz w:val="23"/>
        </w:rPr>
        <w:t>Communicative Competence </w:t>
      </w:r>
      <w:r>
        <w:rPr>
          <w:i/>
          <w:sz w:val="23"/>
        </w:rPr>
        <w:t>Approaches to Language Proficiency Assessment. Research and Application</w:t>
      </w:r>
      <w:r>
        <w:rPr>
          <w:sz w:val="23"/>
        </w:rPr>
        <w:t>. Clevedon, Avon: Multilingual Matters. Ltd.</w:t>
      </w:r>
    </w:p>
    <w:p>
      <w:pPr>
        <w:pStyle w:val="BodyText"/>
        <w:rPr>
          <w:sz w:val="22"/>
        </w:rPr>
      </w:pPr>
    </w:p>
    <w:p>
      <w:pPr>
        <w:spacing w:line="247" w:lineRule="auto" w:before="144"/>
        <w:ind w:left="663" w:right="128" w:hanging="548"/>
        <w:jc w:val="both"/>
        <w:rPr>
          <w:i/>
          <w:sz w:val="23"/>
        </w:rPr>
      </w:pPr>
      <w:r>
        <w:rPr>
          <w:sz w:val="23"/>
        </w:rPr>
        <w:t>Carrell, P. (1991). Second Language Reading: Reading Ability or Language Proficiency? </w:t>
      </w:r>
      <w:r>
        <w:rPr>
          <w:i/>
          <w:sz w:val="23"/>
        </w:rPr>
        <w:t>Applied Linguistics, 12,  159-179</w:t>
      </w:r>
    </w:p>
    <w:p>
      <w:pPr>
        <w:pStyle w:val="BodyText"/>
        <w:rPr>
          <w:i/>
          <w:sz w:val="22"/>
        </w:rPr>
      </w:pPr>
    </w:p>
    <w:p>
      <w:pPr>
        <w:spacing w:before="147"/>
        <w:ind w:left="663" w:right="124" w:hanging="548"/>
        <w:jc w:val="both"/>
        <w:rPr>
          <w:sz w:val="23"/>
        </w:rPr>
      </w:pPr>
      <w:r>
        <w:rPr>
          <w:sz w:val="23"/>
        </w:rPr>
        <w:t>Carrell, </w:t>
      </w:r>
      <w:r>
        <w:rPr>
          <w:spacing w:val="-9"/>
          <w:sz w:val="23"/>
        </w:rPr>
        <w:t>P., </w:t>
      </w:r>
      <w:r>
        <w:rPr>
          <w:sz w:val="23"/>
        </w:rPr>
        <w:t>Devine,J. y </w:t>
      </w:r>
      <w:r>
        <w:rPr>
          <w:spacing w:val="-3"/>
          <w:sz w:val="23"/>
        </w:rPr>
        <w:t>Eskey,D. </w:t>
      </w:r>
      <w:r>
        <w:rPr>
          <w:sz w:val="23"/>
        </w:rPr>
        <w:t>(eds.) (1988). </w:t>
      </w:r>
      <w:r>
        <w:rPr>
          <w:i/>
          <w:sz w:val="23"/>
        </w:rPr>
        <w:t>Interactive Approaches to Second </w:t>
      </w:r>
      <w:r>
        <w:rPr>
          <w:i/>
          <w:sz w:val="23"/>
        </w:rPr>
        <w:t>Language Reading</w:t>
      </w:r>
      <w:r>
        <w:rPr>
          <w:sz w:val="23"/>
        </w:rPr>
        <w:t>. Cambridge:</w:t>
      </w:r>
      <w:r>
        <w:rPr>
          <w:spacing w:val="50"/>
          <w:sz w:val="23"/>
        </w:rPr>
        <w:t> </w:t>
      </w:r>
      <w:r>
        <w:rPr>
          <w:spacing w:val="-6"/>
          <w:sz w:val="23"/>
        </w:rPr>
        <w:t>CUP.</w:t>
      </w:r>
    </w:p>
    <w:p>
      <w:pPr>
        <w:pStyle w:val="BodyText"/>
        <w:rPr>
          <w:sz w:val="22"/>
        </w:rPr>
      </w:pPr>
    </w:p>
    <w:p>
      <w:pPr>
        <w:spacing w:before="154"/>
        <w:ind w:left="115" w:right="0" w:firstLine="0"/>
        <w:jc w:val="left"/>
        <w:rPr>
          <w:sz w:val="23"/>
        </w:rPr>
      </w:pPr>
      <w:r>
        <w:rPr>
          <w:spacing w:val="-4"/>
          <w:sz w:val="23"/>
        </w:rPr>
        <w:t>Carver,T.K. </w:t>
      </w:r>
      <w:r>
        <w:rPr>
          <w:spacing w:val="55"/>
          <w:sz w:val="23"/>
        </w:rPr>
        <w:t> </w:t>
      </w:r>
      <w:r>
        <w:rPr>
          <w:sz w:val="23"/>
        </w:rPr>
        <w:t>(1977).   </w:t>
      </w:r>
      <w:r>
        <w:rPr>
          <w:i/>
          <w:sz w:val="23"/>
        </w:rPr>
        <w:t>A   conversation   book:   English   in   everyday   life</w:t>
      </w:r>
      <w:r>
        <w:rPr>
          <w:sz w:val="23"/>
        </w:rPr>
        <w:t>:   book 2.</w:t>
      </w:r>
    </w:p>
    <w:p>
      <w:pPr>
        <w:pStyle w:val="BodyText"/>
        <w:spacing w:before="4"/>
        <w:ind w:left="663" w:right="2980"/>
      </w:pPr>
      <w:r>
        <w:rPr/>
        <w:t>Englewood Cliffs, NewJersey: Prentice</w:t>
      </w:r>
      <w:r>
        <w:rPr>
          <w:spacing w:val="53"/>
        </w:rPr>
        <w:t> </w:t>
      </w:r>
      <w:r>
        <w:rPr/>
        <w:t>Hall.</w:t>
      </w:r>
    </w:p>
    <w:p>
      <w:pPr>
        <w:pStyle w:val="BodyText"/>
        <w:rPr>
          <w:sz w:val="22"/>
        </w:rPr>
      </w:pPr>
    </w:p>
    <w:p>
      <w:pPr>
        <w:spacing w:line="244" w:lineRule="auto" w:before="154"/>
        <w:ind w:left="663" w:right="121" w:hanging="548"/>
        <w:jc w:val="both"/>
        <w:rPr>
          <w:sz w:val="23"/>
        </w:rPr>
      </w:pPr>
      <w:r>
        <w:rPr>
          <w:sz w:val="23"/>
        </w:rPr>
        <w:t>Carver, R. (2000). </w:t>
      </w:r>
      <w:r>
        <w:rPr>
          <w:i/>
          <w:sz w:val="23"/>
        </w:rPr>
        <w:t>The Causes of High and Low Reading Achievement</w:t>
      </w:r>
      <w:r>
        <w:rPr>
          <w:sz w:val="23"/>
        </w:rPr>
        <w:t>. Mahwah, New Jersey: Lawrence Erlbaum Associates.</w:t>
      </w:r>
    </w:p>
    <w:p>
      <w:pPr>
        <w:pStyle w:val="BodyText"/>
        <w:rPr>
          <w:sz w:val="22"/>
        </w:rPr>
      </w:pPr>
    </w:p>
    <w:p>
      <w:pPr>
        <w:pStyle w:val="BodyText"/>
        <w:spacing w:before="149"/>
        <w:ind w:left="115"/>
      </w:pPr>
      <w:r>
        <w:rPr/>
        <w:t>Chapelle, C. &amp; Abraham R. (1990). Cloze Method: What Difference Does    It Make?</w:t>
      </w:r>
    </w:p>
    <w:p>
      <w:pPr>
        <w:spacing w:before="4"/>
        <w:ind w:left="663" w:right="2980" w:firstLine="0"/>
        <w:jc w:val="left"/>
        <w:rPr>
          <w:sz w:val="23"/>
        </w:rPr>
      </w:pPr>
      <w:r>
        <w:rPr>
          <w:i/>
          <w:sz w:val="23"/>
        </w:rPr>
        <w:t>Language </w:t>
      </w:r>
      <w:r>
        <w:rPr>
          <w:i/>
          <w:spacing w:val="-4"/>
          <w:sz w:val="23"/>
        </w:rPr>
        <w:t>Testing, </w:t>
      </w:r>
      <w:r>
        <w:rPr>
          <w:sz w:val="23"/>
        </w:rPr>
        <w:t>7,</w:t>
      </w:r>
      <w:r>
        <w:rPr>
          <w:spacing w:val="60"/>
          <w:sz w:val="23"/>
        </w:rPr>
        <w:t> </w:t>
      </w:r>
      <w:r>
        <w:rPr>
          <w:sz w:val="23"/>
        </w:rPr>
        <w:t>121-146.</w:t>
      </w:r>
    </w:p>
    <w:p>
      <w:pPr>
        <w:pStyle w:val="BodyText"/>
        <w:rPr>
          <w:sz w:val="22"/>
        </w:rPr>
      </w:pPr>
    </w:p>
    <w:p>
      <w:pPr>
        <w:spacing w:before="154"/>
        <w:ind w:left="115" w:right="0" w:firstLine="0"/>
        <w:jc w:val="left"/>
        <w:rPr>
          <w:sz w:val="23"/>
        </w:rPr>
      </w:pPr>
      <w:r>
        <w:rPr>
          <w:sz w:val="23"/>
        </w:rPr>
        <w:t>Chomsky, N. (1965). </w:t>
      </w:r>
      <w:r>
        <w:rPr>
          <w:i/>
          <w:sz w:val="23"/>
        </w:rPr>
        <w:t>Aspects of the theory of syntax</w:t>
      </w:r>
      <w:r>
        <w:rPr>
          <w:sz w:val="23"/>
        </w:rPr>
        <w:t>. Massachussetts: MIT  Press</w:t>
      </w:r>
    </w:p>
    <w:p>
      <w:pPr>
        <w:spacing w:after="0"/>
        <w:jc w:val="left"/>
        <w:rPr>
          <w:sz w:val="23"/>
        </w:rPr>
        <w:sectPr>
          <w:pgSz w:w="11910" w:h="16840"/>
          <w:pgMar w:header="1424" w:footer="0" w:top="1840" w:bottom="280" w:left="1540" w:right="1520"/>
        </w:sectPr>
      </w:pPr>
    </w:p>
    <w:p>
      <w:pPr>
        <w:pStyle w:val="BodyText"/>
        <w:rPr>
          <w:sz w:val="20"/>
        </w:rPr>
      </w:pPr>
    </w:p>
    <w:p>
      <w:pPr>
        <w:pStyle w:val="BodyText"/>
        <w:rPr>
          <w:sz w:val="20"/>
        </w:rPr>
      </w:pPr>
    </w:p>
    <w:p>
      <w:pPr>
        <w:pStyle w:val="BodyText"/>
        <w:spacing w:before="4"/>
        <w:rPr>
          <w:sz w:val="18"/>
        </w:rPr>
      </w:pPr>
    </w:p>
    <w:p>
      <w:pPr>
        <w:pStyle w:val="BodyText"/>
        <w:spacing w:line="244" w:lineRule="auto" w:before="1"/>
        <w:ind w:left="663" w:right="114" w:hanging="548"/>
        <w:jc w:val="both"/>
      </w:pPr>
      <w:r>
        <w:rPr/>
        <w:t>Clarke M.A. (1979). Reading in Spanish and English: Evidence from Adult ESL Students. </w:t>
      </w:r>
      <w:r>
        <w:rPr>
          <w:i/>
        </w:rPr>
        <w:t>Language Learning, </w:t>
      </w:r>
      <w:r>
        <w:rPr/>
        <w:t>29,  121-150.</w:t>
      </w:r>
    </w:p>
    <w:p>
      <w:pPr>
        <w:pStyle w:val="BodyText"/>
        <w:rPr>
          <w:sz w:val="22"/>
        </w:rPr>
      </w:pPr>
    </w:p>
    <w:p>
      <w:pPr>
        <w:spacing w:before="144"/>
        <w:ind w:left="115" w:right="0" w:firstLine="0"/>
        <w:jc w:val="left"/>
        <w:rPr>
          <w:sz w:val="23"/>
        </w:rPr>
      </w:pPr>
      <w:r>
        <w:rPr>
          <w:spacing w:val="-4"/>
          <w:sz w:val="23"/>
        </w:rPr>
        <w:t>Coady, </w:t>
      </w:r>
      <w:r>
        <w:rPr>
          <w:spacing w:val="55"/>
          <w:sz w:val="23"/>
        </w:rPr>
        <w:t> </w:t>
      </w:r>
      <w:r>
        <w:rPr>
          <w:spacing w:val="4"/>
          <w:sz w:val="23"/>
        </w:rPr>
        <w:t>J.   </w:t>
      </w:r>
      <w:r>
        <w:rPr>
          <w:sz w:val="23"/>
        </w:rPr>
        <w:t>&amp;   Huckin,   </w:t>
      </w:r>
      <w:r>
        <w:rPr>
          <w:spacing w:val="-14"/>
          <w:sz w:val="23"/>
        </w:rPr>
        <w:t>T.    </w:t>
      </w:r>
      <w:r>
        <w:rPr>
          <w:sz w:val="23"/>
        </w:rPr>
        <w:t>(1997).   </w:t>
      </w:r>
      <w:r>
        <w:rPr>
          <w:i/>
          <w:sz w:val="23"/>
        </w:rPr>
        <w:t>Second   Language   Vocabulary </w:t>
      </w:r>
      <w:r>
        <w:rPr>
          <w:i/>
          <w:spacing w:val="61"/>
          <w:sz w:val="23"/>
        </w:rPr>
        <w:t> </w:t>
      </w:r>
      <w:r>
        <w:rPr>
          <w:i/>
          <w:sz w:val="23"/>
        </w:rPr>
        <w:t>Acquisition</w:t>
      </w:r>
      <w:r>
        <w:rPr>
          <w:sz w:val="23"/>
        </w:rPr>
        <w:t>.</w:t>
      </w:r>
    </w:p>
    <w:p>
      <w:pPr>
        <w:pStyle w:val="BodyText"/>
        <w:spacing w:before="9"/>
        <w:ind w:left="663" w:right="2980"/>
      </w:pPr>
      <w:r>
        <w:rPr/>
        <w:t>Cambridge: CUP.</w:t>
      </w:r>
    </w:p>
    <w:p>
      <w:pPr>
        <w:pStyle w:val="BodyText"/>
        <w:rPr>
          <w:sz w:val="22"/>
        </w:rPr>
      </w:pPr>
    </w:p>
    <w:p>
      <w:pPr>
        <w:spacing w:before="154"/>
        <w:ind w:left="115" w:right="2980" w:firstLine="0"/>
        <w:jc w:val="left"/>
        <w:rPr>
          <w:sz w:val="23"/>
        </w:rPr>
      </w:pPr>
      <w:r>
        <w:rPr>
          <w:sz w:val="23"/>
        </w:rPr>
        <w:t>Cook, G. (2003). </w:t>
      </w:r>
      <w:r>
        <w:rPr>
          <w:i/>
          <w:sz w:val="23"/>
        </w:rPr>
        <w:t>Applied Linguistics</w:t>
      </w:r>
      <w:r>
        <w:rPr>
          <w:sz w:val="23"/>
        </w:rPr>
        <w:t>. Oxford:  OUP.</w:t>
      </w:r>
    </w:p>
    <w:p>
      <w:pPr>
        <w:pStyle w:val="BodyText"/>
        <w:rPr>
          <w:sz w:val="22"/>
        </w:rPr>
      </w:pPr>
    </w:p>
    <w:p>
      <w:pPr>
        <w:pStyle w:val="BodyText"/>
        <w:spacing w:line="244" w:lineRule="auto" w:before="149"/>
        <w:ind w:left="663" w:right="123" w:hanging="548"/>
        <w:jc w:val="both"/>
      </w:pPr>
      <w:r>
        <w:rPr/>
        <w:t>Cummins, J. (1978). Educational Implications of Mother Tongue Maintenance in Minority Language Groups. Canadian Modern Language Review,  34,  395- 416.</w:t>
      </w:r>
    </w:p>
    <w:p>
      <w:pPr>
        <w:pStyle w:val="BodyText"/>
        <w:rPr>
          <w:sz w:val="22"/>
        </w:rPr>
      </w:pPr>
    </w:p>
    <w:p>
      <w:pPr>
        <w:spacing w:line="244" w:lineRule="auto" w:before="149"/>
        <w:ind w:left="663" w:right="126" w:hanging="548"/>
        <w:jc w:val="both"/>
        <w:rPr>
          <w:sz w:val="23"/>
        </w:rPr>
      </w:pPr>
      <w:r>
        <w:rPr>
          <w:sz w:val="23"/>
        </w:rPr>
        <w:t>Cummins, J. (1979). Linguistic interdependence and  the educational development of bilingual children. </w:t>
      </w:r>
      <w:r>
        <w:rPr>
          <w:i/>
          <w:sz w:val="23"/>
        </w:rPr>
        <w:t>Review of Educational Research, </w:t>
      </w:r>
      <w:r>
        <w:rPr>
          <w:sz w:val="23"/>
        </w:rPr>
        <w:t>49, </w:t>
      </w:r>
      <w:r>
        <w:rPr>
          <w:spacing w:val="25"/>
          <w:sz w:val="23"/>
        </w:rPr>
        <w:t> </w:t>
      </w:r>
      <w:r>
        <w:rPr>
          <w:sz w:val="23"/>
        </w:rPr>
        <w:t>222-251.</w:t>
      </w:r>
    </w:p>
    <w:p>
      <w:pPr>
        <w:pStyle w:val="BodyText"/>
        <w:rPr>
          <w:sz w:val="22"/>
        </w:rPr>
      </w:pPr>
    </w:p>
    <w:p>
      <w:pPr>
        <w:spacing w:line="244" w:lineRule="auto" w:before="149"/>
        <w:ind w:left="663" w:right="128" w:hanging="548"/>
        <w:jc w:val="both"/>
        <w:rPr>
          <w:sz w:val="23"/>
        </w:rPr>
      </w:pPr>
      <w:r>
        <w:rPr>
          <w:sz w:val="23"/>
        </w:rPr>
        <w:t>Cummins, J. (2000) </w:t>
      </w:r>
      <w:r>
        <w:rPr>
          <w:i/>
          <w:sz w:val="23"/>
        </w:rPr>
        <w:t>Language, Power and Pedagogy: Bilingual Children in the </w:t>
      </w:r>
      <w:r>
        <w:rPr>
          <w:i/>
          <w:sz w:val="23"/>
        </w:rPr>
        <w:t>Crossfire. </w:t>
      </w:r>
      <w:r>
        <w:rPr>
          <w:sz w:val="23"/>
        </w:rPr>
        <w:t>Clevedon</w:t>
      </w:r>
      <w:r>
        <w:rPr>
          <w:i/>
          <w:sz w:val="23"/>
        </w:rPr>
        <w:t>: </w:t>
      </w:r>
      <w:r>
        <w:rPr>
          <w:sz w:val="23"/>
        </w:rPr>
        <w:t>Multilingual Matters  Ltd.</w:t>
      </w:r>
    </w:p>
    <w:p>
      <w:pPr>
        <w:pStyle w:val="BodyText"/>
        <w:rPr>
          <w:sz w:val="22"/>
        </w:rPr>
      </w:pPr>
    </w:p>
    <w:p>
      <w:pPr>
        <w:pStyle w:val="BodyText"/>
        <w:spacing w:line="244" w:lineRule="auto" w:before="144"/>
        <w:ind w:left="663" w:right="121" w:hanging="548"/>
        <w:jc w:val="both"/>
      </w:pPr>
      <w:r>
        <w:rPr/>
        <w:t>Cziko G.A. (1980). Language  Competence and  Reading Strategies: A comparison of first and Second Language Oral Reading Errors. </w:t>
      </w:r>
      <w:r>
        <w:rPr>
          <w:i/>
        </w:rPr>
        <w:t>Language Learning, </w:t>
      </w:r>
      <w:r>
        <w:rPr/>
        <w:t>30, 101-116.</w:t>
      </w:r>
    </w:p>
    <w:p>
      <w:pPr>
        <w:pStyle w:val="BodyText"/>
        <w:rPr>
          <w:sz w:val="22"/>
        </w:rPr>
      </w:pPr>
    </w:p>
    <w:p>
      <w:pPr>
        <w:spacing w:before="149"/>
        <w:ind w:left="115" w:right="0" w:firstLine="0"/>
        <w:jc w:val="left"/>
        <w:rPr>
          <w:sz w:val="23"/>
        </w:rPr>
      </w:pPr>
      <w:r>
        <w:rPr>
          <w:sz w:val="23"/>
        </w:rPr>
        <w:t>Dechant, E.  (1991).  </w:t>
      </w:r>
      <w:r>
        <w:rPr>
          <w:i/>
          <w:sz w:val="23"/>
        </w:rPr>
        <w:t>Understanding  and  Teaching  Reading: An  interactive model</w:t>
      </w:r>
      <w:r>
        <w:rPr>
          <w:sz w:val="23"/>
        </w:rPr>
        <w:t>.</w:t>
      </w:r>
    </w:p>
    <w:p>
      <w:pPr>
        <w:pStyle w:val="BodyText"/>
        <w:spacing w:before="9"/>
        <w:ind w:left="663"/>
      </w:pPr>
      <w:r>
        <w:rPr/>
        <w:t>Hillsdale, New Jersey: Lawrence Erlbaum  Associates.</w:t>
      </w:r>
    </w:p>
    <w:p>
      <w:pPr>
        <w:pStyle w:val="BodyText"/>
        <w:rPr>
          <w:sz w:val="22"/>
        </w:rPr>
      </w:pPr>
    </w:p>
    <w:p>
      <w:pPr>
        <w:spacing w:before="149"/>
        <w:ind w:left="115" w:right="0" w:firstLine="0"/>
        <w:jc w:val="left"/>
        <w:rPr>
          <w:sz w:val="23"/>
        </w:rPr>
      </w:pPr>
      <w:r>
        <w:rPr>
          <w:sz w:val="23"/>
        </w:rPr>
        <w:t>Devine,  T.  (1986).  </w:t>
      </w:r>
      <w:r>
        <w:rPr>
          <w:i/>
          <w:sz w:val="23"/>
        </w:rPr>
        <w:t>Teaching  Reading  Comprehension:  From  Theory  to Practice</w:t>
      </w:r>
      <w:r>
        <w:rPr>
          <w:sz w:val="23"/>
        </w:rPr>
        <w:t>.</w:t>
      </w:r>
    </w:p>
    <w:p>
      <w:pPr>
        <w:pStyle w:val="BodyText"/>
        <w:spacing w:before="9"/>
        <w:ind w:left="663" w:right="2980"/>
      </w:pPr>
      <w:r>
        <w:rPr/>
        <w:t>Newton, Massachusetts: Allyn and Bacon Inc.</w:t>
      </w:r>
    </w:p>
    <w:p>
      <w:pPr>
        <w:pStyle w:val="BodyText"/>
        <w:rPr>
          <w:sz w:val="22"/>
        </w:rPr>
      </w:pPr>
    </w:p>
    <w:p>
      <w:pPr>
        <w:spacing w:before="154"/>
        <w:ind w:left="663" w:right="123" w:hanging="548"/>
        <w:jc w:val="both"/>
        <w:rPr>
          <w:sz w:val="23"/>
        </w:rPr>
      </w:pPr>
      <w:r>
        <w:rPr>
          <w:sz w:val="23"/>
        </w:rPr>
        <w:t>Genesee, F. &amp; Upshur, J.A. (1996). </w:t>
      </w:r>
      <w:r>
        <w:rPr>
          <w:i/>
          <w:sz w:val="23"/>
        </w:rPr>
        <w:t>Classroom-based Evaluation in Second </w:t>
      </w:r>
      <w:r>
        <w:rPr>
          <w:i/>
          <w:sz w:val="23"/>
        </w:rPr>
        <w:t>Language Education</w:t>
      </w:r>
      <w:r>
        <w:rPr>
          <w:sz w:val="23"/>
        </w:rPr>
        <w:t>. New York: Cambridge University  Press.</w:t>
      </w:r>
    </w:p>
    <w:p>
      <w:pPr>
        <w:pStyle w:val="BodyText"/>
        <w:rPr>
          <w:sz w:val="22"/>
        </w:rPr>
      </w:pPr>
    </w:p>
    <w:p>
      <w:pPr>
        <w:spacing w:line="244" w:lineRule="auto" w:before="154"/>
        <w:ind w:left="663" w:right="121" w:hanging="548"/>
        <w:jc w:val="both"/>
        <w:rPr>
          <w:sz w:val="23"/>
        </w:rPr>
      </w:pPr>
      <w:r>
        <w:rPr>
          <w:sz w:val="23"/>
        </w:rPr>
        <w:t>Goodman, K.S. (1967). Reading: a Psycholinguistic Guessing  Game. </w:t>
      </w:r>
      <w:r>
        <w:rPr>
          <w:i/>
          <w:sz w:val="23"/>
        </w:rPr>
        <w:t>Journal  of  </w:t>
      </w:r>
      <w:r>
        <w:rPr>
          <w:i/>
          <w:sz w:val="23"/>
        </w:rPr>
        <w:t>the Reading Specialist</w:t>
      </w:r>
      <w:r>
        <w:rPr>
          <w:sz w:val="23"/>
        </w:rPr>
        <w:t>, 4,</w:t>
      </w:r>
      <w:r>
        <w:rPr>
          <w:spacing w:val="46"/>
          <w:sz w:val="23"/>
        </w:rPr>
        <w:t> </w:t>
      </w:r>
      <w:r>
        <w:rPr>
          <w:sz w:val="23"/>
        </w:rPr>
        <w:t>126-135.</w:t>
      </w:r>
    </w:p>
    <w:p>
      <w:pPr>
        <w:pStyle w:val="BodyText"/>
        <w:rPr>
          <w:sz w:val="22"/>
        </w:rPr>
      </w:pPr>
    </w:p>
    <w:p>
      <w:pPr>
        <w:spacing w:line="244" w:lineRule="auto" w:before="149"/>
        <w:ind w:left="663" w:right="121" w:hanging="548"/>
        <w:jc w:val="both"/>
        <w:rPr>
          <w:sz w:val="23"/>
        </w:rPr>
      </w:pPr>
      <w:r>
        <w:rPr>
          <w:sz w:val="23"/>
        </w:rPr>
        <w:t>Goodman, K.S. (1975). The Reading Process. En </w:t>
      </w:r>
      <w:r>
        <w:rPr>
          <w:spacing w:val="-11"/>
          <w:sz w:val="23"/>
        </w:rPr>
        <w:t>F.W.  </w:t>
      </w:r>
      <w:r>
        <w:rPr>
          <w:sz w:val="23"/>
        </w:rPr>
        <w:t>Gollash  (Ed.) Language  and </w:t>
      </w:r>
      <w:r>
        <w:rPr>
          <w:spacing w:val="-3"/>
          <w:sz w:val="23"/>
        </w:rPr>
        <w:t>Literacy. </w:t>
      </w:r>
      <w:r>
        <w:rPr>
          <w:i/>
          <w:sz w:val="23"/>
        </w:rPr>
        <w:t>The Selected Writings of Kenneth Goodman</w:t>
      </w:r>
      <w:r>
        <w:rPr>
          <w:sz w:val="23"/>
        </w:rPr>
        <w:t>.  London:  Routledge.</w:t>
      </w:r>
    </w:p>
    <w:p>
      <w:pPr>
        <w:spacing w:after="0" w:line="244" w:lineRule="auto"/>
        <w:jc w:val="both"/>
        <w:rPr>
          <w:sz w:val="23"/>
        </w:rPr>
        <w:sectPr>
          <w:pgSz w:w="11910" w:h="16840"/>
          <w:pgMar w:header="1424" w:footer="0" w:top="1840" w:bottom="280" w:left="1540" w:right="1520"/>
        </w:sectPr>
      </w:pPr>
    </w:p>
    <w:p>
      <w:pPr>
        <w:pStyle w:val="BodyText"/>
        <w:spacing w:before="11"/>
        <w:rPr>
          <w:sz w:val="16"/>
        </w:rPr>
      </w:pPr>
    </w:p>
    <w:p>
      <w:pPr>
        <w:pStyle w:val="BodyText"/>
        <w:spacing w:before="73"/>
        <w:ind w:left="663" w:right="101" w:hanging="548"/>
        <w:jc w:val="both"/>
      </w:pPr>
      <w:r>
        <w:rPr/>
        <w:t>Gough, P.B. (1972). One Second of Reading. En Language by Ear and by Eye. J.F. Kavanagh &amp; I.G. Mattingly. (Eds.) Massachusetts: MIT  Press.</w:t>
      </w:r>
    </w:p>
    <w:p>
      <w:pPr>
        <w:pStyle w:val="BodyText"/>
        <w:rPr>
          <w:sz w:val="22"/>
        </w:rPr>
      </w:pPr>
    </w:p>
    <w:p>
      <w:pPr>
        <w:pStyle w:val="BodyText"/>
        <w:spacing w:line="244" w:lineRule="auto" w:before="154"/>
        <w:ind w:left="663" w:right="104" w:hanging="548"/>
        <w:jc w:val="both"/>
      </w:pPr>
      <w:r>
        <w:rPr/>
        <w:t>Hazenberg, S. y Hulstijn, J. (1996). Defining a Minimal Second Language Vocabulary for non-native University Students: an Empirical Investigation. </w:t>
      </w:r>
      <w:r>
        <w:rPr>
          <w:i/>
        </w:rPr>
        <w:t>Applied Linguistics</w:t>
      </w:r>
      <w:r>
        <w:rPr/>
        <w:t>, 17:  145-163.</w:t>
      </w:r>
    </w:p>
    <w:p>
      <w:pPr>
        <w:pStyle w:val="BodyText"/>
        <w:rPr>
          <w:sz w:val="22"/>
        </w:rPr>
      </w:pPr>
    </w:p>
    <w:p>
      <w:pPr>
        <w:spacing w:before="154"/>
        <w:ind w:left="663" w:right="101" w:hanging="548"/>
        <w:jc w:val="both"/>
        <w:rPr>
          <w:sz w:val="23"/>
        </w:rPr>
      </w:pPr>
      <w:r>
        <w:rPr>
          <w:sz w:val="23"/>
        </w:rPr>
        <w:t>Harley, B., Allen, P., Cummins, J. y Swain, M. (eds.) (1990). </w:t>
      </w:r>
      <w:r>
        <w:rPr>
          <w:i/>
          <w:sz w:val="23"/>
        </w:rPr>
        <w:t>The development of </w:t>
      </w:r>
      <w:r>
        <w:rPr>
          <w:i/>
          <w:sz w:val="23"/>
        </w:rPr>
        <w:t>second language proficiency</w:t>
      </w:r>
      <w:r>
        <w:rPr>
          <w:sz w:val="23"/>
        </w:rPr>
        <w:t>. New York:  CUP.</w:t>
      </w:r>
    </w:p>
    <w:p>
      <w:pPr>
        <w:pStyle w:val="BodyText"/>
        <w:rPr>
          <w:sz w:val="22"/>
        </w:rPr>
      </w:pPr>
    </w:p>
    <w:p>
      <w:pPr>
        <w:spacing w:line="247" w:lineRule="auto" w:before="154"/>
        <w:ind w:left="663" w:right="101" w:hanging="548"/>
        <w:jc w:val="both"/>
        <w:rPr>
          <w:sz w:val="23"/>
        </w:rPr>
      </w:pPr>
      <w:r>
        <w:rPr>
          <w:sz w:val="23"/>
        </w:rPr>
        <w:t>Heredia, R.R. &amp; Altarriba, J. (2002). </w:t>
      </w:r>
      <w:r>
        <w:rPr>
          <w:i/>
          <w:sz w:val="23"/>
        </w:rPr>
        <w:t>Bilingual Sentence Processing</w:t>
      </w:r>
      <w:r>
        <w:rPr>
          <w:sz w:val="23"/>
        </w:rPr>
        <w:t>. Amsterdam: Elsevier.</w:t>
      </w:r>
    </w:p>
    <w:p>
      <w:pPr>
        <w:pStyle w:val="BodyText"/>
        <w:rPr>
          <w:sz w:val="22"/>
        </w:rPr>
      </w:pPr>
    </w:p>
    <w:p>
      <w:pPr>
        <w:spacing w:line="244" w:lineRule="auto" w:before="142"/>
        <w:ind w:left="663" w:right="104" w:hanging="548"/>
        <w:jc w:val="both"/>
        <w:rPr>
          <w:sz w:val="23"/>
        </w:rPr>
      </w:pPr>
      <w:r>
        <w:rPr>
          <w:sz w:val="23"/>
        </w:rPr>
        <w:t>Hernández S., Fernández-Collado, C. y Baptista, P. (2006). </w:t>
      </w:r>
      <w:r>
        <w:rPr>
          <w:i/>
          <w:sz w:val="23"/>
        </w:rPr>
        <w:t>Metodología de la </w:t>
      </w:r>
      <w:r>
        <w:rPr>
          <w:i/>
          <w:sz w:val="23"/>
        </w:rPr>
        <w:t>investigación</w:t>
      </w:r>
      <w:r>
        <w:rPr>
          <w:sz w:val="23"/>
        </w:rPr>
        <w:t>. México: McGraw Hill.</w:t>
      </w:r>
    </w:p>
    <w:p>
      <w:pPr>
        <w:pStyle w:val="BodyText"/>
        <w:rPr>
          <w:sz w:val="22"/>
        </w:rPr>
      </w:pPr>
    </w:p>
    <w:p>
      <w:pPr>
        <w:pStyle w:val="BodyText"/>
        <w:spacing w:before="144"/>
        <w:ind w:left="115"/>
      </w:pPr>
      <w:r>
        <w:rPr/>
        <w:t>Hu,  M. y Nation,  I.S.P.,  (2000).  Vocabulary Density and  Reading Comprehension.</w:t>
      </w:r>
    </w:p>
    <w:p>
      <w:pPr>
        <w:spacing w:before="9"/>
        <w:ind w:left="663" w:right="213" w:firstLine="0"/>
        <w:jc w:val="left"/>
        <w:rPr>
          <w:sz w:val="23"/>
        </w:rPr>
      </w:pPr>
      <w:r>
        <w:rPr>
          <w:i/>
          <w:sz w:val="23"/>
        </w:rPr>
        <w:t>Reading in a Foreign Language </w:t>
      </w:r>
      <w:r>
        <w:rPr>
          <w:sz w:val="23"/>
        </w:rPr>
        <w:t>13,  403-430.</w:t>
      </w:r>
    </w:p>
    <w:p>
      <w:pPr>
        <w:pStyle w:val="BodyText"/>
        <w:spacing w:line="660" w:lineRule="atLeast" w:before="12"/>
        <w:ind w:left="115"/>
      </w:pPr>
      <w:r>
        <w:rPr/>
        <w:t>Hulstijn, J. (1991). </w:t>
      </w:r>
      <w:r>
        <w:rPr>
          <w:i/>
        </w:rPr>
        <w:t>Reading in Two Languages</w:t>
      </w:r>
      <w:r>
        <w:rPr/>
        <w:t>. Amsterdam: Free University Press Hymes,  D. (1972). On Communicative  Competence. En  Pride J.B. &amp;  Holmes,    J.</w:t>
      </w:r>
    </w:p>
    <w:p>
      <w:pPr>
        <w:spacing w:before="9"/>
        <w:ind w:left="663" w:right="213" w:firstLine="0"/>
        <w:jc w:val="left"/>
        <w:rPr>
          <w:sz w:val="23"/>
        </w:rPr>
      </w:pPr>
      <w:r>
        <w:rPr>
          <w:sz w:val="23"/>
        </w:rPr>
        <w:t>(Eds.) </w:t>
      </w:r>
      <w:r>
        <w:rPr>
          <w:i/>
          <w:sz w:val="23"/>
        </w:rPr>
        <w:t>Sociolinguistics</w:t>
      </w:r>
      <w:r>
        <w:rPr>
          <w:sz w:val="23"/>
        </w:rPr>
        <w:t>. Harmondsworth. England:Penguin  Books.</w:t>
      </w:r>
    </w:p>
    <w:p>
      <w:pPr>
        <w:pStyle w:val="BodyText"/>
        <w:rPr>
          <w:sz w:val="22"/>
        </w:rPr>
      </w:pPr>
    </w:p>
    <w:p>
      <w:pPr>
        <w:pStyle w:val="BodyText"/>
        <w:spacing w:line="264" w:lineRule="exact" w:before="154"/>
        <w:ind w:left="115"/>
      </w:pPr>
      <w:r>
        <w:rPr/>
        <w:t>Jonz,  J.  (1990). Another  Turn  in  the  Conversation:  What  Does  Cloze Measure?</w:t>
      </w:r>
    </w:p>
    <w:p>
      <w:pPr>
        <w:spacing w:line="264" w:lineRule="exact" w:before="0"/>
        <w:ind w:left="663" w:right="213" w:firstLine="0"/>
        <w:jc w:val="left"/>
        <w:rPr>
          <w:sz w:val="23"/>
        </w:rPr>
      </w:pPr>
      <w:r>
        <w:rPr>
          <w:i/>
          <w:sz w:val="23"/>
        </w:rPr>
        <w:t>TESOL Quarterly </w:t>
      </w:r>
      <w:r>
        <w:rPr>
          <w:sz w:val="23"/>
        </w:rPr>
        <w:t>Vol. 24.  No. 1.  61-83.</w:t>
      </w:r>
    </w:p>
    <w:p>
      <w:pPr>
        <w:pStyle w:val="BodyText"/>
        <w:rPr>
          <w:sz w:val="22"/>
        </w:rPr>
      </w:pPr>
    </w:p>
    <w:p>
      <w:pPr>
        <w:spacing w:before="159"/>
        <w:ind w:left="663" w:right="112" w:hanging="548"/>
        <w:jc w:val="both"/>
        <w:rPr>
          <w:sz w:val="23"/>
        </w:rPr>
      </w:pPr>
      <w:r>
        <w:rPr>
          <w:sz w:val="23"/>
        </w:rPr>
        <w:t>Koda, K. (2005). </w:t>
      </w:r>
      <w:r>
        <w:rPr>
          <w:i/>
          <w:sz w:val="23"/>
        </w:rPr>
        <w:t>Insights into Second Language Reading: a cross-linguistic </w:t>
      </w:r>
      <w:r>
        <w:rPr>
          <w:i/>
          <w:sz w:val="23"/>
        </w:rPr>
        <w:t>approach</w:t>
      </w:r>
      <w:r>
        <w:rPr>
          <w:sz w:val="23"/>
        </w:rPr>
        <w:t>. Cambridge: CUP.</w:t>
      </w:r>
    </w:p>
    <w:p>
      <w:pPr>
        <w:pStyle w:val="BodyText"/>
        <w:rPr>
          <w:sz w:val="22"/>
        </w:rPr>
      </w:pPr>
    </w:p>
    <w:p>
      <w:pPr>
        <w:pStyle w:val="BodyText"/>
        <w:spacing w:line="247" w:lineRule="auto" w:before="154"/>
        <w:ind w:left="663" w:right="106" w:hanging="548"/>
        <w:jc w:val="both"/>
      </w:pPr>
      <w:r>
        <w:rPr/>
        <w:t>Kong, A. (2006) Connections between L1 and L2 Readings: Reading Strategies Used by Four Chinese Adult Readers</w:t>
      </w:r>
      <w:r>
        <w:rPr>
          <w:i/>
        </w:rPr>
        <w:t>. The Reading Matrix</w:t>
      </w:r>
      <w:r>
        <w:rPr/>
        <w:t>. Vol. 6. Nº.  2.</w:t>
      </w:r>
    </w:p>
    <w:p>
      <w:pPr>
        <w:pStyle w:val="BodyText"/>
        <w:rPr>
          <w:sz w:val="22"/>
        </w:rPr>
      </w:pPr>
    </w:p>
    <w:p>
      <w:pPr>
        <w:pStyle w:val="BodyText"/>
        <w:spacing w:line="244" w:lineRule="auto" w:before="142"/>
        <w:ind w:left="663" w:right="113" w:hanging="548"/>
        <w:jc w:val="both"/>
      </w:pPr>
      <w:r>
        <w:rPr/>
        <w:t>LaBerge, D. y Samuels, S.J. (1974). </w:t>
      </w:r>
      <w:r>
        <w:rPr>
          <w:spacing w:val="-4"/>
        </w:rPr>
        <w:t>Towards </w:t>
      </w:r>
      <w:r>
        <w:rPr/>
        <w:t>a theory of automatic information </w:t>
      </w:r>
      <w:r>
        <w:rPr>
          <w:spacing w:val="-5"/>
        </w:rPr>
        <w:t>in </w:t>
      </w:r>
      <w:r>
        <w:rPr/>
        <w:t>reading. </w:t>
      </w:r>
      <w:r>
        <w:rPr>
          <w:i/>
        </w:rPr>
        <w:t>Cognitive Psychology</w:t>
      </w:r>
      <w:r>
        <w:rPr/>
        <w:t>, 6,</w:t>
      </w:r>
      <w:r>
        <w:rPr>
          <w:spacing w:val="58"/>
        </w:rPr>
        <w:t> </w:t>
      </w:r>
      <w:r>
        <w:rPr/>
        <w:t>293-323</w:t>
      </w:r>
    </w:p>
    <w:p>
      <w:pPr>
        <w:pStyle w:val="BodyText"/>
        <w:rPr>
          <w:sz w:val="22"/>
        </w:rPr>
      </w:pPr>
    </w:p>
    <w:p>
      <w:pPr>
        <w:spacing w:line="244" w:lineRule="auto" w:before="149"/>
        <w:ind w:left="663" w:right="107" w:hanging="548"/>
        <w:jc w:val="both"/>
        <w:rPr>
          <w:sz w:val="23"/>
        </w:rPr>
      </w:pPr>
      <w:r>
        <w:rPr>
          <w:sz w:val="23"/>
        </w:rPr>
        <w:t>LaBerge, D. y Samuels,S.J. (1983). </w:t>
      </w:r>
      <w:r>
        <w:rPr>
          <w:i/>
          <w:sz w:val="23"/>
        </w:rPr>
        <w:t>A critique of </w:t>
      </w:r>
      <w:r>
        <w:rPr>
          <w:i/>
          <w:spacing w:val="-4"/>
          <w:sz w:val="23"/>
        </w:rPr>
        <w:t>“Towards </w:t>
      </w:r>
      <w:r>
        <w:rPr>
          <w:i/>
          <w:sz w:val="23"/>
        </w:rPr>
        <w:t>a theory of automatic </w:t>
      </w:r>
      <w:r>
        <w:rPr>
          <w:i/>
          <w:sz w:val="23"/>
        </w:rPr>
        <w:t>information processing </w:t>
      </w:r>
      <w:r>
        <w:rPr>
          <w:i/>
          <w:spacing w:val="-5"/>
          <w:sz w:val="23"/>
        </w:rPr>
        <w:t>in</w:t>
      </w:r>
      <w:r>
        <w:rPr>
          <w:i/>
          <w:spacing w:val="49"/>
          <w:sz w:val="23"/>
        </w:rPr>
        <w:t> </w:t>
      </w:r>
      <w:r>
        <w:rPr>
          <w:i/>
          <w:sz w:val="23"/>
        </w:rPr>
        <w:t>reading”</w:t>
      </w:r>
      <w:r>
        <w:rPr>
          <w:sz w:val="23"/>
        </w:rPr>
        <w:t>.</w:t>
      </w:r>
    </w:p>
    <w:p>
      <w:pPr>
        <w:spacing w:after="0" w:line="244" w:lineRule="auto"/>
        <w:jc w:val="both"/>
        <w:rPr>
          <w:sz w:val="23"/>
        </w:rPr>
        <w:sectPr>
          <w:pgSz w:w="11910" w:h="16840"/>
          <w:pgMar w:header="1424" w:footer="0" w:top="1840" w:bottom="280" w:left="1540" w:right="1540"/>
        </w:sectPr>
      </w:pPr>
    </w:p>
    <w:p>
      <w:pPr>
        <w:pStyle w:val="BodyText"/>
        <w:spacing w:before="11"/>
        <w:rPr>
          <w:sz w:val="16"/>
        </w:rPr>
      </w:pPr>
    </w:p>
    <w:p>
      <w:pPr>
        <w:pStyle w:val="BodyText"/>
        <w:spacing w:line="244" w:lineRule="auto" w:before="73"/>
        <w:ind w:left="663" w:right="107" w:hanging="548"/>
        <w:jc w:val="both"/>
      </w:pPr>
      <w:r>
        <w:rPr/>
        <w:t>Lee, J. y Schallert, D.L. (1997). The relative contribution of L2 language proficiency and L1 reading ability to L2 reading performance: a test of the threshold hypothesis in an EFL context. </w:t>
      </w:r>
      <w:r>
        <w:rPr>
          <w:i/>
        </w:rPr>
        <w:t>Tesol Quarterly, </w:t>
      </w:r>
      <w:r>
        <w:rPr/>
        <w:t>31(4),  713-739.</w:t>
      </w:r>
    </w:p>
    <w:p>
      <w:pPr>
        <w:pStyle w:val="BodyText"/>
        <w:rPr>
          <w:sz w:val="22"/>
        </w:rPr>
      </w:pPr>
    </w:p>
    <w:p>
      <w:pPr>
        <w:pStyle w:val="BodyText"/>
        <w:spacing w:line="244" w:lineRule="auto" w:before="149"/>
        <w:ind w:left="663" w:right="104" w:hanging="548"/>
        <w:jc w:val="both"/>
      </w:pPr>
      <w:r>
        <w:rPr/>
        <w:t>Meara, P. &amp; Jones, G. (1988a). </w:t>
      </w:r>
      <w:r>
        <w:rPr>
          <w:i/>
        </w:rPr>
        <w:t>Vocabulary Size as a Placement Indicator</w:t>
      </w:r>
      <w:r>
        <w:rPr/>
        <w:t>. En Grunwell, P. (Ed.), Applied Linguistics in Society (p.80-87). London: Center for Information on Language Teaching and  Research.</w:t>
      </w:r>
    </w:p>
    <w:p>
      <w:pPr>
        <w:pStyle w:val="BodyText"/>
        <w:rPr>
          <w:sz w:val="22"/>
        </w:rPr>
      </w:pPr>
    </w:p>
    <w:p>
      <w:pPr>
        <w:spacing w:line="244" w:lineRule="auto" w:before="144"/>
        <w:ind w:left="663" w:right="110" w:hanging="548"/>
        <w:jc w:val="both"/>
        <w:rPr>
          <w:sz w:val="23"/>
        </w:rPr>
      </w:pPr>
      <w:r>
        <w:rPr>
          <w:sz w:val="23"/>
        </w:rPr>
        <w:t>Meara, P. y Jones (1988b). En Read, J. (2000) </w:t>
      </w:r>
      <w:r>
        <w:rPr>
          <w:i/>
          <w:sz w:val="23"/>
        </w:rPr>
        <w:t>Assessing vocabulary. </w:t>
      </w:r>
      <w:r>
        <w:rPr>
          <w:sz w:val="23"/>
        </w:rPr>
        <w:t>Cambridge: CUP.</w:t>
      </w:r>
    </w:p>
    <w:p>
      <w:pPr>
        <w:pStyle w:val="BodyText"/>
        <w:rPr>
          <w:sz w:val="22"/>
        </w:rPr>
      </w:pPr>
    </w:p>
    <w:p>
      <w:pPr>
        <w:spacing w:before="154"/>
        <w:ind w:left="663" w:right="103" w:hanging="548"/>
        <w:jc w:val="both"/>
        <w:rPr>
          <w:sz w:val="23"/>
        </w:rPr>
      </w:pPr>
      <w:r>
        <w:rPr>
          <w:spacing w:val="-3"/>
          <w:sz w:val="23"/>
        </w:rPr>
        <w:t>Mertler, </w:t>
      </w:r>
      <w:r>
        <w:rPr>
          <w:sz w:val="23"/>
        </w:rPr>
        <w:t>C.A. (2006). </w:t>
      </w:r>
      <w:r>
        <w:rPr>
          <w:i/>
          <w:sz w:val="23"/>
        </w:rPr>
        <w:t>Action Research: </w:t>
      </w:r>
      <w:r>
        <w:rPr>
          <w:i/>
          <w:spacing w:val="-4"/>
          <w:sz w:val="23"/>
        </w:rPr>
        <w:t>Teachers</w:t>
      </w:r>
      <w:r>
        <w:rPr>
          <w:i/>
          <w:spacing w:val="55"/>
          <w:sz w:val="23"/>
        </w:rPr>
        <w:t> </w:t>
      </w:r>
      <w:r>
        <w:rPr>
          <w:i/>
          <w:sz w:val="23"/>
        </w:rPr>
        <w:t>and Researchers in  the  </w:t>
      </w:r>
      <w:r>
        <w:rPr>
          <w:i/>
          <w:sz w:val="23"/>
        </w:rPr>
        <w:t>Classroom</w:t>
      </w:r>
      <w:r>
        <w:rPr>
          <w:sz w:val="23"/>
        </w:rPr>
        <w:t>. Thousand Oaks, CA:</w:t>
      </w:r>
      <w:r>
        <w:rPr>
          <w:spacing w:val="58"/>
          <w:sz w:val="23"/>
        </w:rPr>
        <w:t> </w:t>
      </w:r>
      <w:r>
        <w:rPr>
          <w:sz w:val="23"/>
        </w:rPr>
        <w:t>SAGE.</w:t>
      </w:r>
    </w:p>
    <w:p>
      <w:pPr>
        <w:pStyle w:val="BodyText"/>
        <w:rPr>
          <w:sz w:val="22"/>
        </w:rPr>
      </w:pPr>
    </w:p>
    <w:p>
      <w:pPr>
        <w:spacing w:line="244" w:lineRule="auto" w:before="154"/>
        <w:ind w:left="663" w:right="107" w:hanging="548"/>
        <w:jc w:val="both"/>
        <w:rPr>
          <w:sz w:val="23"/>
        </w:rPr>
      </w:pPr>
      <w:r>
        <w:rPr>
          <w:sz w:val="23"/>
        </w:rPr>
        <w:t>Moore, </w:t>
      </w:r>
      <w:r>
        <w:rPr>
          <w:spacing w:val="-6"/>
          <w:sz w:val="23"/>
        </w:rPr>
        <w:t>P.M.D. </w:t>
      </w:r>
      <w:r>
        <w:rPr>
          <w:sz w:val="23"/>
        </w:rPr>
        <w:t>(2009). </w:t>
      </w:r>
      <w:r>
        <w:rPr>
          <w:i/>
          <w:sz w:val="23"/>
        </w:rPr>
        <w:t>La relación entre los niveles </w:t>
      </w:r>
      <w:r>
        <w:rPr>
          <w:i/>
          <w:spacing w:val="-3"/>
          <w:sz w:val="23"/>
        </w:rPr>
        <w:t>de </w:t>
      </w:r>
      <w:r>
        <w:rPr>
          <w:i/>
          <w:sz w:val="23"/>
        </w:rPr>
        <w:t>dominio de lengua inglesa y  </w:t>
      </w:r>
      <w:r>
        <w:rPr>
          <w:i/>
          <w:sz w:val="23"/>
        </w:rPr>
        <w:t>el procesamiento de textos en inglés por lectores hispanohablantes</w:t>
      </w:r>
      <w:r>
        <w:rPr>
          <w:sz w:val="23"/>
        </w:rPr>
        <w:t>. </w:t>
      </w:r>
      <w:r>
        <w:rPr>
          <w:spacing w:val="-7"/>
          <w:sz w:val="23"/>
        </w:rPr>
        <w:t>Tesis </w:t>
      </w:r>
      <w:r>
        <w:rPr>
          <w:sz w:val="23"/>
        </w:rPr>
        <w:t>Doctoral. Universidad Nacional Autónoma de  México.</w:t>
      </w:r>
    </w:p>
    <w:p>
      <w:pPr>
        <w:pStyle w:val="BodyText"/>
        <w:rPr>
          <w:sz w:val="22"/>
        </w:rPr>
      </w:pPr>
    </w:p>
    <w:p>
      <w:pPr>
        <w:spacing w:before="144"/>
        <w:ind w:left="115" w:right="213" w:firstLine="0"/>
        <w:jc w:val="left"/>
        <w:rPr>
          <w:sz w:val="23"/>
        </w:rPr>
      </w:pPr>
      <w:r>
        <w:rPr>
          <w:sz w:val="23"/>
        </w:rPr>
        <w:t>Munby, J. (1978). </w:t>
      </w:r>
      <w:r>
        <w:rPr>
          <w:i/>
          <w:sz w:val="23"/>
        </w:rPr>
        <w:t>Communicative Syllabus Design</w:t>
      </w:r>
      <w:r>
        <w:rPr>
          <w:sz w:val="23"/>
        </w:rPr>
        <w:t>. Cambridge.  CUP.</w:t>
      </w:r>
    </w:p>
    <w:p>
      <w:pPr>
        <w:pStyle w:val="BodyText"/>
        <w:rPr>
          <w:sz w:val="22"/>
        </w:rPr>
      </w:pPr>
    </w:p>
    <w:p>
      <w:pPr>
        <w:pStyle w:val="BodyText"/>
        <w:spacing w:before="6"/>
        <w:rPr>
          <w:sz w:val="25"/>
        </w:rPr>
      </w:pPr>
    </w:p>
    <w:p>
      <w:pPr>
        <w:pStyle w:val="BodyText"/>
        <w:ind w:left="115" w:right="213"/>
      </w:pPr>
      <w:r>
        <w:rPr/>
        <w:t>Nation, I.S.P. (1983). Testing and Teaching Vocabulary. </w:t>
      </w:r>
      <w:r>
        <w:rPr>
          <w:i/>
        </w:rPr>
        <w:t>Guidelines</w:t>
      </w:r>
      <w:r>
        <w:rPr/>
        <w:t>. 5,   12-25.</w:t>
      </w:r>
    </w:p>
    <w:p>
      <w:pPr>
        <w:pStyle w:val="BodyText"/>
        <w:rPr>
          <w:sz w:val="22"/>
        </w:rPr>
      </w:pPr>
    </w:p>
    <w:p>
      <w:pPr>
        <w:pStyle w:val="BodyText"/>
        <w:spacing w:before="8"/>
        <w:rPr>
          <w:sz w:val="24"/>
        </w:rPr>
      </w:pPr>
    </w:p>
    <w:p>
      <w:pPr>
        <w:spacing w:line="247" w:lineRule="auto" w:before="0"/>
        <w:ind w:left="663" w:right="113" w:hanging="548"/>
        <w:jc w:val="both"/>
        <w:rPr>
          <w:sz w:val="23"/>
        </w:rPr>
      </w:pPr>
      <w:r>
        <w:rPr>
          <w:sz w:val="23"/>
        </w:rPr>
        <w:t>Nation, I.S.P., (1990). </w:t>
      </w:r>
      <w:r>
        <w:rPr>
          <w:i/>
          <w:sz w:val="23"/>
        </w:rPr>
        <w:t>Teaching and Learning Vocabulary</w:t>
      </w:r>
      <w:r>
        <w:rPr>
          <w:sz w:val="23"/>
        </w:rPr>
        <w:t>. Boston: Heinle &amp; Heinle Publishers.</w:t>
      </w:r>
    </w:p>
    <w:p>
      <w:pPr>
        <w:spacing w:line="668" w:lineRule="exact" w:before="81"/>
        <w:ind w:left="115" w:right="14" w:firstLine="0"/>
        <w:jc w:val="left"/>
        <w:rPr>
          <w:sz w:val="23"/>
        </w:rPr>
      </w:pPr>
      <w:r>
        <w:rPr>
          <w:sz w:val="23"/>
        </w:rPr>
        <w:t>Nation, I.S.P., (2001). </w:t>
      </w:r>
      <w:r>
        <w:rPr>
          <w:i/>
          <w:sz w:val="23"/>
        </w:rPr>
        <w:t>Learning Vocabulary in Another Language</w:t>
      </w:r>
      <w:r>
        <w:rPr>
          <w:sz w:val="23"/>
        </w:rPr>
        <w:t>. Cambridge: CUP. Nation,  I.S.P.,   y  Coady,  J.  (1988).  </w:t>
      </w:r>
      <w:r>
        <w:rPr>
          <w:i/>
          <w:sz w:val="23"/>
        </w:rPr>
        <w:t>Vocabulary  and  Reading</w:t>
      </w:r>
      <w:r>
        <w:rPr>
          <w:sz w:val="23"/>
        </w:rPr>
        <w:t>.  En  Carter,  R.     y</w:t>
      </w:r>
    </w:p>
    <w:p>
      <w:pPr>
        <w:spacing w:line="184" w:lineRule="exact" w:before="0"/>
        <w:ind w:left="663" w:right="0" w:firstLine="0"/>
        <w:jc w:val="left"/>
        <w:rPr>
          <w:sz w:val="23"/>
        </w:rPr>
      </w:pPr>
      <w:r>
        <w:rPr>
          <w:sz w:val="23"/>
        </w:rPr>
        <w:t>McCarthy, M. (Eds.) </w:t>
      </w:r>
      <w:r>
        <w:rPr>
          <w:i/>
          <w:sz w:val="23"/>
        </w:rPr>
        <w:t>Vocabulary and Language Teaching</w:t>
      </w:r>
      <w:r>
        <w:rPr>
          <w:sz w:val="23"/>
        </w:rPr>
        <w:t>. London:  Longman.</w:t>
      </w:r>
    </w:p>
    <w:p>
      <w:pPr>
        <w:pStyle w:val="BodyText"/>
        <w:rPr>
          <w:sz w:val="22"/>
        </w:rPr>
      </w:pPr>
    </w:p>
    <w:p>
      <w:pPr>
        <w:spacing w:line="362" w:lineRule="auto" w:before="159"/>
        <w:ind w:left="663" w:right="106" w:hanging="548"/>
        <w:jc w:val="both"/>
        <w:rPr>
          <w:sz w:val="23"/>
        </w:rPr>
      </w:pPr>
      <w:r>
        <w:rPr>
          <w:sz w:val="23"/>
        </w:rPr>
        <w:t>Nuttall, C. (1996). </w:t>
      </w:r>
      <w:r>
        <w:rPr>
          <w:i/>
          <w:spacing w:val="-3"/>
          <w:sz w:val="23"/>
        </w:rPr>
        <w:t>Teaching </w:t>
      </w:r>
      <w:r>
        <w:rPr>
          <w:i/>
          <w:sz w:val="23"/>
        </w:rPr>
        <w:t>Reading Skills in a Foreign Language</w:t>
      </w:r>
      <w:r>
        <w:rPr>
          <w:sz w:val="23"/>
        </w:rPr>
        <w:t>. Oxford:  Macmillan</w:t>
      </w:r>
      <w:r>
        <w:rPr>
          <w:spacing w:val="29"/>
          <w:sz w:val="23"/>
        </w:rPr>
        <w:t> </w:t>
      </w:r>
      <w:r>
        <w:rPr>
          <w:sz w:val="23"/>
        </w:rPr>
        <w:t>Heinemann.</w:t>
      </w:r>
    </w:p>
    <w:p>
      <w:pPr>
        <w:pStyle w:val="BodyText"/>
        <w:rPr>
          <w:sz w:val="22"/>
        </w:rPr>
      </w:pPr>
    </w:p>
    <w:p>
      <w:pPr>
        <w:pStyle w:val="BodyText"/>
        <w:spacing w:line="244" w:lineRule="auto" w:before="158"/>
        <w:ind w:left="663" w:right="107" w:hanging="548"/>
        <w:jc w:val="both"/>
      </w:pPr>
      <w:r>
        <w:rPr/>
        <w:t>Oller, J.W. y Perkins, K. (1981). Research in language testing. Rowley: Newbury House.</w:t>
      </w:r>
    </w:p>
    <w:p>
      <w:pPr>
        <w:spacing w:after="0" w:line="244" w:lineRule="auto"/>
        <w:jc w:val="both"/>
        <w:sectPr>
          <w:pgSz w:w="11910" w:h="16840"/>
          <w:pgMar w:header="1424" w:footer="0" w:top="1840" w:bottom="280" w:left="1540" w:right="1540"/>
        </w:sectPr>
      </w:pPr>
    </w:p>
    <w:p>
      <w:pPr>
        <w:pStyle w:val="BodyText"/>
        <w:spacing w:before="11"/>
        <w:rPr>
          <w:sz w:val="16"/>
        </w:rPr>
      </w:pPr>
    </w:p>
    <w:p>
      <w:pPr>
        <w:spacing w:before="73"/>
        <w:ind w:left="663" w:right="123" w:hanging="548"/>
        <w:jc w:val="both"/>
        <w:rPr>
          <w:sz w:val="23"/>
        </w:rPr>
      </w:pPr>
      <w:r>
        <w:rPr>
          <w:sz w:val="23"/>
        </w:rPr>
        <w:t>Paribakht, T.S. &amp; Wesche, M. (1997). </w:t>
      </w:r>
      <w:r>
        <w:rPr>
          <w:i/>
          <w:sz w:val="23"/>
        </w:rPr>
        <w:t>Vocabulary Enhancement Activities and </w:t>
      </w:r>
      <w:r>
        <w:rPr>
          <w:i/>
          <w:sz w:val="23"/>
        </w:rPr>
        <w:t>Reading for Meaning in Second Language Vocabulary Acquisition</w:t>
      </w:r>
      <w:r>
        <w:rPr>
          <w:sz w:val="23"/>
        </w:rPr>
        <w:t>. En   Coady,</w:t>
      </w:r>
    </w:p>
    <w:p>
      <w:pPr>
        <w:pStyle w:val="BodyText"/>
        <w:spacing w:before="9"/>
        <w:ind w:left="663"/>
      </w:pPr>
      <w:r>
        <w:rPr/>
        <w:t>J. &amp; Huckin, T. (Eds.) Second Language Vocabulary Acquisition. Cambridge: CUP.</w:t>
      </w:r>
    </w:p>
    <w:p>
      <w:pPr>
        <w:pStyle w:val="BodyText"/>
        <w:rPr>
          <w:sz w:val="22"/>
        </w:rPr>
      </w:pPr>
    </w:p>
    <w:p>
      <w:pPr>
        <w:spacing w:line="247" w:lineRule="auto" w:before="154"/>
        <w:ind w:left="663" w:right="128" w:hanging="548"/>
        <w:jc w:val="both"/>
        <w:rPr>
          <w:sz w:val="23"/>
        </w:rPr>
      </w:pPr>
      <w:r>
        <w:rPr>
          <w:sz w:val="23"/>
        </w:rPr>
        <w:t>Parrott, M. (1993). </w:t>
      </w:r>
      <w:r>
        <w:rPr>
          <w:i/>
          <w:spacing w:val="-5"/>
          <w:sz w:val="23"/>
        </w:rPr>
        <w:t>Tasks  </w:t>
      </w:r>
      <w:r>
        <w:rPr>
          <w:i/>
          <w:sz w:val="23"/>
        </w:rPr>
        <w:t>for Language </w:t>
      </w:r>
      <w:r>
        <w:rPr>
          <w:i/>
          <w:spacing w:val="-3"/>
          <w:sz w:val="23"/>
        </w:rPr>
        <w:t>Teachers: </w:t>
      </w:r>
      <w:r>
        <w:rPr>
          <w:i/>
          <w:sz w:val="23"/>
        </w:rPr>
        <w:t>A Resource Book for </w:t>
      </w:r>
      <w:r>
        <w:rPr>
          <w:i/>
          <w:spacing w:val="-4"/>
          <w:sz w:val="23"/>
        </w:rPr>
        <w:t>Training </w:t>
      </w:r>
      <w:r>
        <w:rPr>
          <w:i/>
          <w:spacing w:val="55"/>
          <w:sz w:val="23"/>
        </w:rPr>
        <w:t> </w:t>
      </w:r>
      <w:r>
        <w:rPr>
          <w:i/>
          <w:sz w:val="23"/>
        </w:rPr>
        <w:t>and Development</w:t>
      </w:r>
      <w:r>
        <w:rPr>
          <w:sz w:val="23"/>
        </w:rPr>
        <w:t>. Cambridge:</w:t>
      </w:r>
      <w:r>
        <w:rPr>
          <w:spacing w:val="54"/>
          <w:sz w:val="23"/>
        </w:rPr>
        <w:t> </w:t>
      </w:r>
      <w:r>
        <w:rPr>
          <w:spacing w:val="-8"/>
          <w:sz w:val="23"/>
        </w:rPr>
        <w:t>CUP.</w:t>
      </w:r>
    </w:p>
    <w:p>
      <w:pPr>
        <w:pStyle w:val="BodyText"/>
        <w:rPr>
          <w:sz w:val="22"/>
        </w:rPr>
      </w:pPr>
    </w:p>
    <w:p>
      <w:pPr>
        <w:spacing w:line="244" w:lineRule="auto" w:before="142"/>
        <w:ind w:left="663" w:right="121" w:hanging="548"/>
        <w:jc w:val="both"/>
        <w:rPr>
          <w:sz w:val="23"/>
        </w:rPr>
      </w:pPr>
      <w:r>
        <w:rPr>
          <w:sz w:val="23"/>
        </w:rPr>
        <w:t>Phillips, D., (1996). </w:t>
      </w:r>
      <w:r>
        <w:rPr>
          <w:i/>
          <w:sz w:val="23"/>
        </w:rPr>
        <w:t>Longman Preparation Course for the TOEFL Test, Volume A</w:t>
      </w:r>
      <w:r>
        <w:rPr>
          <w:sz w:val="23"/>
        </w:rPr>
        <w:t>. New York: Longman.</w:t>
      </w:r>
    </w:p>
    <w:p>
      <w:pPr>
        <w:pStyle w:val="BodyText"/>
        <w:rPr>
          <w:sz w:val="22"/>
        </w:rPr>
      </w:pPr>
    </w:p>
    <w:p>
      <w:pPr>
        <w:spacing w:line="242" w:lineRule="auto" w:before="154"/>
        <w:ind w:left="663" w:right="106" w:hanging="548"/>
        <w:jc w:val="both"/>
        <w:rPr>
          <w:sz w:val="23"/>
        </w:rPr>
      </w:pPr>
      <w:r>
        <w:rPr>
          <w:sz w:val="23"/>
        </w:rPr>
        <w:t>Qian, D.D., (1998). </w:t>
      </w:r>
      <w:r>
        <w:rPr>
          <w:i/>
          <w:sz w:val="23"/>
        </w:rPr>
        <w:t>Depth of Vocabulary Knowledge: Assesing its Role in Adults’ </w:t>
      </w:r>
      <w:r>
        <w:rPr>
          <w:i/>
          <w:sz w:val="23"/>
        </w:rPr>
        <w:t>Reading Comprehension in English as a Second Language</w:t>
      </w:r>
      <w:r>
        <w:rPr>
          <w:sz w:val="23"/>
        </w:rPr>
        <w:t>. Unpublished doctoral dissertation. University of Toronto, Toronto, Ontario,  Canada.</w:t>
      </w:r>
    </w:p>
    <w:p>
      <w:pPr>
        <w:pStyle w:val="BodyText"/>
        <w:rPr>
          <w:sz w:val="22"/>
        </w:rPr>
      </w:pPr>
    </w:p>
    <w:p>
      <w:pPr>
        <w:spacing w:line="609" w:lineRule="auto" w:before="152"/>
        <w:ind w:left="115" w:right="0" w:firstLine="0"/>
        <w:jc w:val="left"/>
        <w:rPr>
          <w:sz w:val="23"/>
        </w:rPr>
      </w:pPr>
      <w:r>
        <w:rPr>
          <w:sz w:val="23"/>
        </w:rPr>
        <w:t>Read, J., (2000). </w:t>
      </w:r>
      <w:r>
        <w:rPr>
          <w:i/>
          <w:sz w:val="23"/>
        </w:rPr>
        <w:t>Assessing Vocabulary</w:t>
      </w:r>
      <w:r>
        <w:rPr>
          <w:sz w:val="23"/>
        </w:rPr>
        <w:t>. Cambridge: Cambridge University Press. </w:t>
      </w:r>
      <w:r>
        <w:rPr>
          <w:spacing w:val="-4"/>
          <w:sz w:val="23"/>
        </w:rPr>
        <w:t>Ritchey, </w:t>
      </w:r>
      <w:r>
        <w:rPr>
          <w:spacing w:val="-6"/>
          <w:sz w:val="23"/>
        </w:rPr>
        <w:t>F.J. </w:t>
      </w:r>
      <w:r>
        <w:rPr>
          <w:sz w:val="23"/>
        </w:rPr>
        <w:t>(2002). </w:t>
      </w:r>
      <w:r>
        <w:rPr>
          <w:i/>
          <w:sz w:val="23"/>
        </w:rPr>
        <w:t>Estadística para las Ciencias Sociales</w:t>
      </w:r>
      <w:r>
        <w:rPr>
          <w:sz w:val="23"/>
        </w:rPr>
        <w:t>. México: McGraw </w:t>
      </w:r>
      <w:r>
        <w:rPr>
          <w:spacing w:val="59"/>
          <w:sz w:val="23"/>
        </w:rPr>
        <w:t> </w:t>
      </w:r>
      <w:r>
        <w:rPr>
          <w:sz w:val="23"/>
        </w:rPr>
        <w:t>Hill.</w:t>
      </w:r>
    </w:p>
    <w:p>
      <w:pPr>
        <w:spacing w:line="244" w:lineRule="auto" w:before="12"/>
        <w:ind w:left="663" w:right="132" w:hanging="548"/>
        <w:jc w:val="both"/>
        <w:rPr>
          <w:sz w:val="23"/>
        </w:rPr>
      </w:pPr>
      <w:r>
        <w:rPr>
          <w:sz w:val="23"/>
        </w:rPr>
        <w:t>Rumelhart, D. E. (1977). </w:t>
      </w:r>
      <w:r>
        <w:rPr>
          <w:i/>
          <w:spacing w:val="-4"/>
          <w:sz w:val="23"/>
        </w:rPr>
        <w:t>Towards </w:t>
      </w:r>
      <w:r>
        <w:rPr>
          <w:i/>
          <w:sz w:val="23"/>
        </w:rPr>
        <w:t>an interactive model of reading.  </w:t>
      </w:r>
      <w:r>
        <w:rPr>
          <w:sz w:val="23"/>
        </w:rPr>
        <w:t>En S. Dornic  (ed.) </w:t>
      </w:r>
      <w:r>
        <w:rPr>
          <w:i/>
          <w:sz w:val="23"/>
        </w:rPr>
        <w:t>Attention and performance. </w:t>
      </w:r>
      <w:r>
        <w:rPr>
          <w:sz w:val="23"/>
        </w:rPr>
        <w:t>New </w:t>
      </w:r>
      <w:r>
        <w:rPr>
          <w:spacing w:val="-7"/>
          <w:sz w:val="23"/>
        </w:rPr>
        <w:t>York: </w:t>
      </w:r>
      <w:r>
        <w:rPr>
          <w:sz w:val="23"/>
        </w:rPr>
        <w:t>Academic </w:t>
      </w:r>
      <w:r>
        <w:rPr>
          <w:spacing w:val="25"/>
          <w:sz w:val="23"/>
        </w:rPr>
        <w:t> </w:t>
      </w:r>
      <w:r>
        <w:rPr>
          <w:sz w:val="23"/>
        </w:rPr>
        <w:t>Press.</w:t>
      </w:r>
    </w:p>
    <w:p>
      <w:pPr>
        <w:pStyle w:val="BodyText"/>
        <w:rPr>
          <w:sz w:val="22"/>
        </w:rPr>
      </w:pPr>
    </w:p>
    <w:p>
      <w:pPr>
        <w:spacing w:before="149"/>
        <w:ind w:left="663" w:right="127" w:hanging="548"/>
        <w:jc w:val="both"/>
        <w:rPr>
          <w:sz w:val="23"/>
        </w:rPr>
      </w:pPr>
      <w:r>
        <w:rPr>
          <w:sz w:val="23"/>
        </w:rPr>
        <w:t>Samuels, S.J. y Kamil (1988). En Carrell </w:t>
      </w:r>
      <w:r>
        <w:rPr>
          <w:i/>
          <w:sz w:val="23"/>
        </w:rPr>
        <w:t>et al </w:t>
      </w:r>
      <w:r>
        <w:rPr>
          <w:sz w:val="23"/>
        </w:rPr>
        <w:t>(1988) (eds.) </w:t>
      </w:r>
      <w:r>
        <w:rPr>
          <w:i/>
          <w:sz w:val="23"/>
        </w:rPr>
        <w:t>Interactive Approaches </w:t>
      </w:r>
      <w:r>
        <w:rPr>
          <w:i/>
          <w:sz w:val="23"/>
        </w:rPr>
        <w:t>to Second Language Reading</w:t>
      </w:r>
      <w:r>
        <w:rPr>
          <w:sz w:val="23"/>
        </w:rPr>
        <w:t>. Cambridge: </w:t>
      </w:r>
      <w:r>
        <w:rPr>
          <w:spacing w:val="3"/>
          <w:sz w:val="23"/>
        </w:rPr>
        <w:t> </w:t>
      </w:r>
      <w:r>
        <w:rPr>
          <w:spacing w:val="-6"/>
          <w:sz w:val="23"/>
        </w:rPr>
        <w:t>CUP.</w:t>
      </w:r>
    </w:p>
    <w:p>
      <w:pPr>
        <w:pStyle w:val="BodyText"/>
        <w:rPr>
          <w:sz w:val="22"/>
        </w:rPr>
      </w:pPr>
    </w:p>
    <w:p>
      <w:pPr>
        <w:spacing w:before="154"/>
        <w:ind w:left="115" w:right="0" w:firstLine="0"/>
        <w:jc w:val="left"/>
        <w:rPr>
          <w:sz w:val="23"/>
        </w:rPr>
      </w:pPr>
      <w:r>
        <w:rPr>
          <w:sz w:val="23"/>
        </w:rPr>
        <w:t>Schmitt, N. (2000). </w:t>
      </w:r>
      <w:r>
        <w:rPr>
          <w:i/>
          <w:sz w:val="23"/>
        </w:rPr>
        <w:t>Vocabulary in Language Teaching</w:t>
      </w:r>
      <w:r>
        <w:rPr>
          <w:sz w:val="23"/>
        </w:rPr>
        <w:t>. Cambridge:  CUP.</w:t>
      </w:r>
    </w:p>
    <w:p>
      <w:pPr>
        <w:pStyle w:val="BodyText"/>
        <w:rPr>
          <w:sz w:val="22"/>
        </w:rPr>
      </w:pPr>
    </w:p>
    <w:p>
      <w:pPr>
        <w:pStyle w:val="BodyText"/>
        <w:spacing w:before="6"/>
        <w:rPr>
          <w:sz w:val="25"/>
        </w:rPr>
      </w:pPr>
    </w:p>
    <w:p>
      <w:pPr>
        <w:pStyle w:val="BodyText"/>
        <w:spacing w:line="244" w:lineRule="auto"/>
        <w:ind w:left="663" w:right="124" w:hanging="548"/>
        <w:jc w:val="both"/>
      </w:pPr>
      <w:r>
        <w:rPr/>
        <w:t>Schmitt, N. Schmitt, D. y Clapham, C. (2001) Developing and exploring the behaviour of two new versions of the Vocabulary Levels Test. </w:t>
      </w:r>
      <w:r>
        <w:rPr>
          <w:i/>
        </w:rPr>
        <w:t>Language </w:t>
      </w:r>
      <w:r>
        <w:rPr>
          <w:i/>
        </w:rPr>
        <w:t>Testing</w:t>
      </w:r>
      <w:r>
        <w:rPr/>
        <w:t>, 18 (1), 55-88.</w:t>
      </w:r>
    </w:p>
    <w:p>
      <w:pPr>
        <w:pStyle w:val="BodyText"/>
        <w:rPr>
          <w:sz w:val="22"/>
        </w:rPr>
      </w:pPr>
    </w:p>
    <w:p>
      <w:pPr>
        <w:spacing w:before="144"/>
        <w:ind w:left="115" w:right="0" w:firstLine="0"/>
        <w:jc w:val="left"/>
        <w:rPr>
          <w:sz w:val="23"/>
        </w:rPr>
      </w:pPr>
      <w:r>
        <w:rPr>
          <w:sz w:val="23"/>
        </w:rPr>
        <w:t>Searle,  J.R.  (1969).  </w:t>
      </w:r>
      <w:r>
        <w:rPr>
          <w:i/>
          <w:sz w:val="23"/>
        </w:rPr>
        <w:t>Speech  Acts:  An  Essay  in  the  Philosophy  of     Language</w:t>
      </w:r>
      <w:r>
        <w:rPr>
          <w:sz w:val="23"/>
        </w:rPr>
        <w:t>.</w:t>
      </w:r>
    </w:p>
    <w:p>
      <w:pPr>
        <w:pStyle w:val="BodyText"/>
        <w:spacing w:before="4"/>
        <w:ind w:left="663" w:right="2980"/>
      </w:pPr>
      <w:r>
        <w:rPr/>
        <w:t>Cambridge: CUP</w:t>
      </w:r>
    </w:p>
    <w:p>
      <w:pPr>
        <w:pStyle w:val="BodyText"/>
        <w:rPr>
          <w:sz w:val="22"/>
        </w:rPr>
      </w:pPr>
    </w:p>
    <w:p>
      <w:pPr>
        <w:spacing w:before="154"/>
        <w:ind w:left="115" w:right="0" w:firstLine="0"/>
        <w:jc w:val="left"/>
        <w:rPr>
          <w:sz w:val="23"/>
        </w:rPr>
      </w:pPr>
      <w:r>
        <w:rPr>
          <w:sz w:val="23"/>
        </w:rPr>
        <w:t>Smith, F. (1971). </w:t>
      </w:r>
      <w:r>
        <w:rPr>
          <w:i/>
          <w:sz w:val="23"/>
        </w:rPr>
        <w:t>Understanding Reading</w:t>
      </w:r>
      <w:r>
        <w:rPr>
          <w:sz w:val="23"/>
        </w:rPr>
        <w:t>. Hillsdale, NJ: Lawrence  Earlbaum.</w:t>
      </w:r>
    </w:p>
    <w:p>
      <w:pPr>
        <w:pStyle w:val="BodyText"/>
        <w:rPr>
          <w:sz w:val="22"/>
        </w:rPr>
      </w:pPr>
    </w:p>
    <w:p>
      <w:pPr>
        <w:pStyle w:val="BodyText"/>
        <w:spacing w:before="1"/>
        <w:rPr>
          <w:sz w:val="25"/>
        </w:rPr>
      </w:pPr>
    </w:p>
    <w:p>
      <w:pPr>
        <w:pStyle w:val="BodyText"/>
        <w:spacing w:line="244" w:lineRule="auto"/>
        <w:ind w:left="663" w:right="124" w:hanging="548"/>
        <w:jc w:val="both"/>
      </w:pPr>
      <w:r>
        <w:rPr/>
        <w:t>Stanovich, K.E. (1980). Toward an interactive-compensatory model of individual differences in the development of reading fluency.  </w:t>
      </w:r>
      <w:r>
        <w:rPr>
          <w:i/>
        </w:rPr>
        <w:t>Reading  Research </w:t>
      </w:r>
      <w:r>
        <w:rPr>
          <w:i/>
        </w:rPr>
        <w:t>Quarterly </w:t>
      </w:r>
      <w:r>
        <w:rPr/>
        <w:t>16, 32-71.</w:t>
      </w:r>
    </w:p>
    <w:p>
      <w:pPr>
        <w:spacing w:after="0" w:line="244" w:lineRule="auto"/>
        <w:jc w:val="both"/>
        <w:sectPr>
          <w:pgSz w:w="11910" w:h="16840"/>
          <w:pgMar w:header="1424" w:footer="0" w:top="1840" w:bottom="280" w:left="1540" w:right="1520"/>
        </w:sectPr>
      </w:pPr>
    </w:p>
    <w:p>
      <w:pPr>
        <w:pStyle w:val="BodyText"/>
        <w:spacing w:before="11"/>
        <w:rPr>
          <w:sz w:val="16"/>
        </w:rPr>
      </w:pPr>
    </w:p>
    <w:p>
      <w:pPr>
        <w:spacing w:line="244" w:lineRule="auto" w:before="73"/>
        <w:ind w:left="663" w:right="103" w:hanging="548"/>
        <w:jc w:val="both"/>
        <w:rPr>
          <w:sz w:val="23"/>
        </w:rPr>
      </w:pPr>
      <w:r>
        <w:rPr>
          <w:sz w:val="23"/>
        </w:rPr>
        <w:t>Stahl, S. </w:t>
      </w:r>
      <w:r>
        <w:rPr>
          <w:i/>
          <w:sz w:val="23"/>
        </w:rPr>
        <w:t>et al </w:t>
      </w:r>
      <w:r>
        <w:rPr>
          <w:sz w:val="23"/>
        </w:rPr>
        <w:t>(1989). Prior Knowledge and Difficult Vocabulary </w:t>
      </w:r>
      <w:r>
        <w:rPr>
          <w:spacing w:val="-5"/>
          <w:sz w:val="23"/>
        </w:rPr>
        <w:t>in </w:t>
      </w:r>
      <w:r>
        <w:rPr>
          <w:sz w:val="23"/>
        </w:rPr>
        <w:t>the Comprehension of an Unfamiliar </w:t>
      </w:r>
      <w:r>
        <w:rPr>
          <w:spacing w:val="-4"/>
          <w:sz w:val="23"/>
        </w:rPr>
        <w:t>Test. </w:t>
      </w:r>
      <w:r>
        <w:rPr>
          <w:i/>
          <w:sz w:val="23"/>
        </w:rPr>
        <w:t>Reading Research Quarterly</w:t>
      </w:r>
      <w:r>
        <w:rPr>
          <w:sz w:val="23"/>
        </w:rPr>
        <w:t>, 24, 27-  43.</w:t>
      </w:r>
    </w:p>
    <w:p>
      <w:pPr>
        <w:pStyle w:val="BodyText"/>
        <w:rPr>
          <w:sz w:val="22"/>
        </w:rPr>
      </w:pPr>
    </w:p>
    <w:p>
      <w:pPr>
        <w:spacing w:before="149"/>
        <w:ind w:left="663" w:right="113" w:hanging="548"/>
        <w:jc w:val="both"/>
        <w:rPr>
          <w:sz w:val="23"/>
        </w:rPr>
      </w:pPr>
      <w:r>
        <w:rPr>
          <w:sz w:val="23"/>
        </w:rPr>
        <w:t>Stahl, S</w:t>
      </w:r>
      <w:r>
        <w:rPr>
          <w:i/>
          <w:sz w:val="23"/>
        </w:rPr>
        <w:t>. </w:t>
      </w:r>
      <w:r>
        <w:rPr>
          <w:sz w:val="23"/>
        </w:rPr>
        <w:t>(1991). Defining the Role of Prior Knowledge and Vocabulary in Reading Comprehension. </w:t>
      </w:r>
      <w:r>
        <w:rPr>
          <w:i/>
          <w:sz w:val="23"/>
        </w:rPr>
        <w:t>Journal of Reading Behaviour</w:t>
      </w:r>
      <w:r>
        <w:rPr>
          <w:sz w:val="23"/>
        </w:rPr>
        <w:t>, 13,  487-508.</w:t>
      </w:r>
    </w:p>
    <w:p>
      <w:pPr>
        <w:pStyle w:val="BodyText"/>
        <w:rPr>
          <w:sz w:val="22"/>
        </w:rPr>
      </w:pPr>
    </w:p>
    <w:p>
      <w:pPr>
        <w:spacing w:line="242" w:lineRule="auto" w:before="159"/>
        <w:ind w:left="663" w:right="103" w:hanging="548"/>
        <w:jc w:val="both"/>
        <w:rPr>
          <w:sz w:val="23"/>
        </w:rPr>
      </w:pPr>
      <w:r>
        <w:rPr>
          <w:spacing w:val="-3"/>
          <w:sz w:val="23"/>
        </w:rPr>
        <w:t>Swaffar, </w:t>
      </w:r>
      <w:r>
        <w:rPr>
          <w:sz w:val="23"/>
        </w:rPr>
        <w:t>J., Arens, K. y Byrnes, H. (1991). </w:t>
      </w:r>
      <w:r>
        <w:rPr>
          <w:i/>
          <w:sz w:val="23"/>
        </w:rPr>
        <w:t>Reading for Meaning. An Integrated </w:t>
      </w:r>
      <w:r>
        <w:rPr>
          <w:i/>
          <w:sz w:val="23"/>
        </w:rPr>
        <w:t>Approach to Language Learning</w:t>
      </w:r>
      <w:r>
        <w:rPr>
          <w:sz w:val="23"/>
        </w:rPr>
        <w:t>. Englewood Cliffs, New  Jersey:  Prentice  Hall.</w:t>
      </w:r>
    </w:p>
    <w:p>
      <w:pPr>
        <w:pStyle w:val="BodyText"/>
        <w:rPr>
          <w:sz w:val="22"/>
        </w:rPr>
      </w:pPr>
    </w:p>
    <w:p>
      <w:pPr>
        <w:spacing w:before="156"/>
        <w:ind w:left="663" w:right="104" w:hanging="548"/>
        <w:jc w:val="both"/>
        <w:rPr>
          <w:sz w:val="23"/>
        </w:rPr>
      </w:pPr>
      <w:r>
        <w:rPr>
          <w:spacing w:val="-5"/>
          <w:sz w:val="23"/>
        </w:rPr>
        <w:t>Tracey, </w:t>
      </w:r>
      <w:r>
        <w:rPr>
          <w:sz w:val="23"/>
        </w:rPr>
        <w:t>D.H. &amp; </w:t>
      </w:r>
      <w:r>
        <w:rPr>
          <w:spacing w:val="-3"/>
          <w:sz w:val="23"/>
        </w:rPr>
        <w:t>Morrow, </w:t>
      </w:r>
      <w:r>
        <w:rPr>
          <w:sz w:val="23"/>
        </w:rPr>
        <w:t>L.M. (2006) </w:t>
      </w:r>
      <w:r>
        <w:rPr>
          <w:i/>
          <w:sz w:val="23"/>
        </w:rPr>
        <w:t>Lenses on Reading: An  Introduction  to  </w:t>
      </w:r>
      <w:r>
        <w:rPr>
          <w:i/>
          <w:sz w:val="23"/>
        </w:rPr>
        <w:t>Theories and Models. </w:t>
      </w:r>
      <w:r>
        <w:rPr>
          <w:sz w:val="23"/>
        </w:rPr>
        <w:t>Guilford</w:t>
      </w:r>
      <w:r>
        <w:rPr>
          <w:spacing w:val="56"/>
          <w:sz w:val="23"/>
        </w:rPr>
        <w:t> </w:t>
      </w:r>
      <w:r>
        <w:rPr>
          <w:sz w:val="23"/>
        </w:rPr>
        <w:t>Press.</w:t>
      </w:r>
    </w:p>
    <w:p>
      <w:pPr>
        <w:pStyle w:val="BodyText"/>
        <w:rPr>
          <w:sz w:val="22"/>
        </w:rPr>
      </w:pPr>
    </w:p>
    <w:p>
      <w:pPr>
        <w:pStyle w:val="BodyText"/>
        <w:spacing w:line="244" w:lineRule="auto" w:before="154"/>
        <w:ind w:left="663" w:right="103" w:hanging="548"/>
        <w:jc w:val="both"/>
      </w:pPr>
      <w:r>
        <w:rPr/>
        <w:t>Verhoeven, </w:t>
      </w:r>
      <w:r>
        <w:rPr>
          <w:spacing w:val="-3"/>
        </w:rPr>
        <w:t>L. </w:t>
      </w:r>
      <w:r>
        <w:rPr/>
        <w:t>(1994). Transfer </w:t>
      </w:r>
      <w:r>
        <w:rPr>
          <w:spacing w:val="-5"/>
        </w:rPr>
        <w:t>in </w:t>
      </w:r>
      <w:r>
        <w:rPr/>
        <w:t>Bilingual Development: The Linguistic Interdependence Hypothesis Revisited</w:t>
      </w:r>
      <w:r>
        <w:rPr>
          <w:i/>
        </w:rPr>
        <w:t>. Language Learning</w:t>
      </w:r>
      <w:r>
        <w:rPr/>
        <w:t>. </w:t>
      </w:r>
      <w:r>
        <w:rPr>
          <w:spacing w:val="-3"/>
        </w:rPr>
        <w:t>Volume </w:t>
      </w:r>
      <w:r>
        <w:rPr/>
        <w:t>44 Issue  3 Page</w:t>
      </w:r>
      <w:r>
        <w:rPr>
          <w:spacing w:val="29"/>
        </w:rPr>
        <w:t> </w:t>
      </w:r>
      <w:r>
        <w:rPr/>
        <w:t>381-415.</w:t>
      </w:r>
    </w:p>
    <w:p>
      <w:pPr>
        <w:pStyle w:val="BodyText"/>
        <w:rPr>
          <w:sz w:val="22"/>
        </w:rPr>
      </w:pPr>
    </w:p>
    <w:p>
      <w:pPr>
        <w:spacing w:before="144"/>
        <w:ind w:left="115" w:right="213" w:firstLine="0"/>
        <w:jc w:val="left"/>
        <w:rPr>
          <w:sz w:val="23"/>
        </w:rPr>
      </w:pPr>
      <w:r>
        <w:rPr>
          <w:sz w:val="23"/>
        </w:rPr>
        <w:t>Widdowson, H.G. (1979). </w:t>
      </w:r>
      <w:r>
        <w:rPr>
          <w:i/>
          <w:sz w:val="23"/>
        </w:rPr>
        <w:t>Explorations in Applied Linguistics</w:t>
      </w:r>
      <w:r>
        <w:rPr>
          <w:sz w:val="23"/>
        </w:rPr>
        <w:t>. Oxford:  OUP.</w:t>
      </w:r>
    </w:p>
    <w:p>
      <w:pPr>
        <w:pStyle w:val="BodyText"/>
        <w:rPr>
          <w:sz w:val="22"/>
        </w:rPr>
      </w:pPr>
    </w:p>
    <w:p>
      <w:pPr>
        <w:pStyle w:val="BodyText"/>
        <w:spacing w:before="6"/>
        <w:rPr>
          <w:sz w:val="25"/>
        </w:rPr>
      </w:pPr>
    </w:p>
    <w:p>
      <w:pPr>
        <w:pStyle w:val="BodyText"/>
        <w:spacing w:line="244" w:lineRule="auto"/>
        <w:ind w:left="663" w:right="108" w:hanging="548"/>
        <w:jc w:val="both"/>
      </w:pPr>
      <w:r>
        <w:rPr/>
        <w:t>Yamashita, J. (2002) Mutual Compensation between L1 Reading Ability and L2 Language Proficiency in L2 Reading Comprehension. </w:t>
      </w:r>
      <w:r>
        <w:rPr>
          <w:i/>
        </w:rPr>
        <w:t>Journal of Research in </w:t>
      </w:r>
      <w:r>
        <w:rPr>
          <w:i/>
        </w:rPr>
        <w:t>Reading</w:t>
      </w:r>
      <w:r>
        <w:rPr/>
        <w:t>, 25 (1), 81-95.</w:t>
      </w:r>
    </w:p>
    <w:p>
      <w:pPr>
        <w:pStyle w:val="BodyText"/>
        <w:rPr>
          <w:sz w:val="22"/>
        </w:rPr>
      </w:pPr>
    </w:p>
    <w:p>
      <w:pPr>
        <w:pStyle w:val="BodyText"/>
        <w:spacing w:line="244" w:lineRule="auto" w:before="149"/>
        <w:ind w:left="663" w:right="106" w:hanging="548"/>
        <w:jc w:val="both"/>
      </w:pPr>
      <w:r>
        <w:rPr/>
        <w:t>Zwaan, R. &amp; Brown, C. (1996). The Influence of Language Proficiency and Comprehension Skill on Situation-Model Construction. </w:t>
      </w:r>
      <w:r>
        <w:rPr>
          <w:i/>
        </w:rPr>
        <w:t>Discourse Processes</w:t>
      </w:r>
      <w:r>
        <w:rPr/>
        <w:t>, 21, 289-327.</w:t>
      </w:r>
    </w:p>
    <w:p>
      <w:pPr>
        <w:spacing w:after="0" w:line="244" w:lineRule="auto"/>
        <w:jc w:val="both"/>
        <w:sectPr>
          <w:pgSz w:w="11910" w:h="16840"/>
          <w:pgMar w:header="1424" w:footer="0" w:top="1840" w:bottom="28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Heading3"/>
        <w:ind w:left="1018" w:right="1018"/>
        <w:jc w:val="center"/>
      </w:pPr>
      <w:bookmarkStart w:name="_bookmark36" w:id="62"/>
      <w:bookmarkEnd w:id="62"/>
      <w:r>
        <w:rPr>
          <w:b w:val="0"/>
        </w:rPr>
      </w:r>
      <w:r>
        <w:rPr/>
        <w:t>ANEXOS</w:t>
      </w:r>
    </w:p>
    <w:p>
      <w:pPr>
        <w:spacing w:after="0"/>
        <w:jc w:val="center"/>
        <w:sectPr>
          <w:pgSz w:w="11910" w:h="16840"/>
          <w:pgMar w:header="1424" w:footer="0" w:top="1840" w:bottom="280" w:left="1540" w:right="15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2"/>
        </w:rPr>
      </w:pPr>
    </w:p>
    <w:p>
      <w:pPr>
        <w:spacing w:before="74"/>
        <w:ind w:left="1128" w:right="213" w:firstLine="0"/>
        <w:jc w:val="left"/>
        <w:rPr>
          <w:b/>
          <w:sz w:val="23"/>
        </w:rPr>
      </w:pPr>
      <w:bookmarkStart w:name="_bookmark37" w:id="63"/>
      <w:bookmarkEnd w:id="63"/>
      <w:r>
        <w:rPr/>
      </w:r>
      <w:r>
        <w:rPr>
          <w:b/>
          <w:sz w:val="23"/>
        </w:rPr>
        <w:t>ANEXO A. </w:t>
      </w:r>
      <w:r>
        <w:rPr>
          <w:b/>
          <w:spacing w:val="-4"/>
          <w:sz w:val="23"/>
        </w:rPr>
        <w:t>TABLAS </w:t>
      </w:r>
      <w:r>
        <w:rPr>
          <w:b/>
          <w:spacing w:val="-3"/>
          <w:sz w:val="23"/>
        </w:rPr>
        <w:t>DE </w:t>
      </w:r>
      <w:r>
        <w:rPr>
          <w:b/>
          <w:sz w:val="23"/>
        </w:rPr>
        <w:t>FRECUENCIAS DE LAS  </w:t>
      </w:r>
      <w:r>
        <w:rPr>
          <w:b/>
          <w:spacing w:val="-3"/>
          <w:sz w:val="23"/>
        </w:rPr>
        <w:t>VARIABLES</w:t>
      </w:r>
    </w:p>
    <w:p>
      <w:pPr>
        <w:spacing w:after="0"/>
        <w:jc w:val="left"/>
        <w:rPr>
          <w:sz w:val="23"/>
        </w:rPr>
        <w:sectPr>
          <w:pgSz w:w="11910" w:h="16840"/>
          <w:pgMar w:header="1424" w:footer="0" w:top="1840" w:bottom="280" w:left="1540" w:right="1540"/>
        </w:sectPr>
      </w:pPr>
    </w:p>
    <w:p>
      <w:pPr>
        <w:pStyle w:val="BodyText"/>
        <w:rPr>
          <w:b/>
          <w:sz w:val="20"/>
        </w:rPr>
      </w:pPr>
    </w:p>
    <w:p>
      <w:pPr>
        <w:pStyle w:val="BodyText"/>
        <w:rPr>
          <w:b/>
          <w:sz w:val="20"/>
        </w:rPr>
      </w:pPr>
    </w:p>
    <w:p>
      <w:pPr>
        <w:pStyle w:val="BodyText"/>
        <w:spacing w:before="4"/>
        <w:rPr>
          <w:b/>
          <w:sz w:val="18"/>
        </w:rPr>
      </w:pPr>
    </w:p>
    <w:p>
      <w:pPr>
        <w:pStyle w:val="BodyText"/>
        <w:spacing w:before="1"/>
        <w:ind w:left="1960"/>
      </w:pPr>
      <w:r>
        <w:rPr/>
        <w:t>Anexo A. </w:t>
      </w:r>
      <w:r>
        <w:rPr>
          <w:spacing w:val="-5"/>
        </w:rPr>
        <w:t>Tablas </w:t>
      </w:r>
      <w:r>
        <w:rPr/>
        <w:t>de frecuencias de las</w:t>
      </w:r>
      <w:r>
        <w:rPr>
          <w:spacing w:val="57"/>
        </w:rPr>
        <w:t> </w:t>
      </w:r>
      <w:r>
        <w:rPr/>
        <w:t>variables</w:t>
      </w:r>
    </w:p>
    <w:p>
      <w:pPr>
        <w:pStyle w:val="BodyText"/>
        <w:spacing w:before="5"/>
        <w:rPr>
          <w:sz w:val="24"/>
        </w:rPr>
      </w:pPr>
    </w:p>
    <w:p>
      <w:pPr>
        <w:spacing w:before="0" w:after="31"/>
        <w:ind w:left="2036" w:right="2980" w:firstLine="0"/>
        <w:jc w:val="left"/>
        <w:rPr>
          <w:b/>
          <w:sz w:val="17"/>
        </w:rPr>
      </w:pPr>
      <w:r>
        <w:rPr>
          <w:b/>
          <w:w w:val="105"/>
          <w:sz w:val="17"/>
        </w:rPr>
        <w:t>Comprensión Lectura Español</w:t>
      </w:r>
    </w:p>
    <w:tbl>
      <w:tblPr>
        <w:tblW w:w="0" w:type="auto"/>
        <w:jc w:val="left"/>
        <w:tblInd w:w="11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585"/>
        <w:gridCol w:w="846"/>
        <w:gridCol w:w="1135"/>
        <w:gridCol w:w="989"/>
        <w:gridCol w:w="1356"/>
        <w:gridCol w:w="1428"/>
      </w:tblGrid>
      <w:tr>
        <w:trPr>
          <w:trHeight w:val="725" w:hRule="exact"/>
        </w:trPr>
        <w:tc>
          <w:tcPr>
            <w:tcW w:w="1430" w:type="dxa"/>
            <w:gridSpan w:val="2"/>
            <w:tcBorders>
              <w:left w:val="single" w:sz="13" w:space="0" w:color="000000"/>
              <w:right w:val="single" w:sz="13" w:space="0" w:color="000000"/>
            </w:tcBorders>
          </w:tcPr>
          <w:p>
            <w:pPr/>
          </w:p>
        </w:tc>
        <w:tc>
          <w:tcPr>
            <w:tcW w:w="1135" w:type="dxa"/>
            <w:tcBorders>
              <w:left w:val="single" w:sz="13" w:space="0" w:color="000000"/>
              <w:right w:val="single" w:sz="8" w:space="0" w:color="000000"/>
            </w:tcBorders>
          </w:tcPr>
          <w:p>
            <w:pPr>
              <w:pStyle w:val="TableParagraph"/>
              <w:jc w:val="left"/>
              <w:rPr>
                <w:b/>
                <w:sz w:val="18"/>
              </w:rPr>
            </w:pPr>
          </w:p>
          <w:p>
            <w:pPr>
              <w:pStyle w:val="TableParagraph"/>
              <w:spacing w:before="11"/>
              <w:jc w:val="left"/>
              <w:rPr>
                <w:b/>
                <w:sz w:val="21"/>
              </w:rPr>
            </w:pPr>
          </w:p>
          <w:p>
            <w:pPr>
              <w:pStyle w:val="TableParagraph"/>
              <w:ind w:left="139"/>
              <w:jc w:val="left"/>
              <w:rPr>
                <w:sz w:val="17"/>
              </w:rPr>
            </w:pPr>
            <w:r>
              <w:rPr>
                <w:w w:val="105"/>
                <w:sz w:val="17"/>
              </w:rPr>
              <w:t>Frequency</w:t>
            </w:r>
          </w:p>
        </w:tc>
        <w:tc>
          <w:tcPr>
            <w:tcW w:w="989" w:type="dxa"/>
            <w:tcBorders>
              <w:left w:val="single" w:sz="8" w:space="0" w:color="000000"/>
              <w:right w:val="single" w:sz="8" w:space="0" w:color="000000"/>
            </w:tcBorders>
          </w:tcPr>
          <w:p>
            <w:pPr>
              <w:pStyle w:val="TableParagraph"/>
              <w:jc w:val="left"/>
              <w:rPr>
                <w:b/>
                <w:sz w:val="18"/>
              </w:rPr>
            </w:pPr>
          </w:p>
          <w:p>
            <w:pPr>
              <w:pStyle w:val="TableParagraph"/>
              <w:spacing w:before="11"/>
              <w:jc w:val="left"/>
              <w:rPr>
                <w:b/>
                <w:sz w:val="21"/>
              </w:rPr>
            </w:pPr>
          </w:p>
          <w:p>
            <w:pPr>
              <w:pStyle w:val="TableParagraph"/>
              <w:ind w:left="187"/>
              <w:jc w:val="left"/>
              <w:rPr>
                <w:sz w:val="17"/>
              </w:rPr>
            </w:pPr>
            <w:r>
              <w:rPr>
                <w:w w:val="105"/>
                <w:sz w:val="17"/>
              </w:rPr>
              <w:t>Percent</w:t>
            </w:r>
          </w:p>
        </w:tc>
        <w:tc>
          <w:tcPr>
            <w:tcW w:w="1356" w:type="dxa"/>
            <w:tcBorders>
              <w:left w:val="single" w:sz="8" w:space="0" w:color="000000"/>
              <w:right w:val="single" w:sz="6" w:space="0" w:color="000000"/>
            </w:tcBorders>
          </w:tcPr>
          <w:p>
            <w:pPr>
              <w:pStyle w:val="TableParagraph"/>
              <w:jc w:val="left"/>
              <w:rPr>
                <w:b/>
                <w:sz w:val="18"/>
              </w:rPr>
            </w:pPr>
          </w:p>
          <w:p>
            <w:pPr>
              <w:pStyle w:val="TableParagraph"/>
              <w:spacing w:before="11"/>
              <w:jc w:val="left"/>
              <w:rPr>
                <w:b/>
                <w:sz w:val="21"/>
              </w:rPr>
            </w:pPr>
          </w:p>
          <w:p>
            <w:pPr>
              <w:pStyle w:val="TableParagraph"/>
              <w:ind w:left="148"/>
              <w:jc w:val="left"/>
              <w:rPr>
                <w:sz w:val="17"/>
              </w:rPr>
            </w:pPr>
            <w:r>
              <w:rPr>
                <w:w w:val="105"/>
                <w:sz w:val="17"/>
              </w:rPr>
              <w:t>Valid Percent</w:t>
            </w:r>
          </w:p>
        </w:tc>
        <w:tc>
          <w:tcPr>
            <w:tcW w:w="1428" w:type="dxa"/>
            <w:tcBorders>
              <w:left w:val="single" w:sz="6" w:space="0" w:color="000000"/>
            </w:tcBorders>
          </w:tcPr>
          <w:p>
            <w:pPr>
              <w:pStyle w:val="TableParagraph"/>
              <w:spacing w:line="310" w:lineRule="atLeast" w:before="28"/>
              <w:ind w:left="407" w:right="5" w:hanging="135"/>
              <w:jc w:val="left"/>
              <w:rPr>
                <w:sz w:val="17"/>
              </w:rPr>
            </w:pPr>
            <w:r>
              <w:rPr>
                <w:sz w:val="17"/>
              </w:rPr>
              <w:t>Cumulative </w:t>
            </w:r>
            <w:r>
              <w:rPr>
                <w:w w:val="105"/>
                <w:sz w:val="17"/>
              </w:rPr>
              <w:t>Percent</w:t>
            </w:r>
          </w:p>
        </w:tc>
      </w:tr>
      <w:tr>
        <w:trPr>
          <w:trHeight w:val="468" w:hRule="exact"/>
        </w:trPr>
        <w:tc>
          <w:tcPr>
            <w:tcW w:w="585" w:type="dxa"/>
            <w:tcBorders>
              <w:left w:val="single" w:sz="13" w:space="0" w:color="000000"/>
              <w:bottom w:val="nil"/>
              <w:right w:val="nil"/>
            </w:tcBorders>
          </w:tcPr>
          <w:p>
            <w:pPr>
              <w:pStyle w:val="TableParagraph"/>
              <w:spacing w:before="138"/>
              <w:ind w:left="14"/>
              <w:jc w:val="left"/>
              <w:rPr>
                <w:sz w:val="17"/>
              </w:rPr>
            </w:pPr>
            <w:r>
              <w:rPr>
                <w:w w:val="105"/>
                <w:sz w:val="17"/>
              </w:rPr>
              <w:t>Valid</w:t>
            </w:r>
          </w:p>
        </w:tc>
        <w:tc>
          <w:tcPr>
            <w:tcW w:w="846" w:type="dxa"/>
            <w:tcBorders>
              <w:left w:val="nil"/>
              <w:bottom w:val="nil"/>
              <w:right w:val="single" w:sz="13" w:space="0" w:color="000000"/>
            </w:tcBorders>
          </w:tcPr>
          <w:p>
            <w:pPr>
              <w:pStyle w:val="TableParagraph"/>
              <w:spacing w:before="138"/>
              <w:ind w:left="161"/>
              <w:jc w:val="left"/>
              <w:rPr>
                <w:sz w:val="17"/>
              </w:rPr>
            </w:pPr>
            <w:r>
              <w:rPr>
                <w:w w:val="105"/>
                <w:sz w:val="17"/>
              </w:rPr>
              <w:t>1.79</w:t>
            </w:r>
          </w:p>
        </w:tc>
        <w:tc>
          <w:tcPr>
            <w:tcW w:w="1135" w:type="dxa"/>
            <w:tcBorders>
              <w:left w:val="single" w:sz="13" w:space="0" w:color="000000"/>
              <w:bottom w:val="nil"/>
              <w:right w:val="single" w:sz="8" w:space="0" w:color="000000"/>
            </w:tcBorders>
          </w:tcPr>
          <w:p>
            <w:pPr>
              <w:pStyle w:val="TableParagraph"/>
              <w:spacing w:before="138"/>
              <w:ind w:right="14"/>
              <w:rPr>
                <w:sz w:val="17"/>
              </w:rPr>
            </w:pPr>
            <w:r>
              <w:rPr>
                <w:w w:val="104"/>
                <w:sz w:val="17"/>
              </w:rPr>
              <w:t>1</w:t>
            </w:r>
          </w:p>
        </w:tc>
        <w:tc>
          <w:tcPr>
            <w:tcW w:w="989" w:type="dxa"/>
            <w:tcBorders>
              <w:left w:val="single" w:sz="8" w:space="0" w:color="000000"/>
              <w:bottom w:val="nil"/>
              <w:right w:val="single" w:sz="8" w:space="0" w:color="000000"/>
            </w:tcBorders>
          </w:tcPr>
          <w:p>
            <w:pPr>
              <w:pStyle w:val="TableParagraph"/>
              <w:spacing w:before="138"/>
              <w:ind w:right="9"/>
              <w:rPr>
                <w:sz w:val="17"/>
              </w:rPr>
            </w:pPr>
            <w:r>
              <w:rPr>
                <w:w w:val="105"/>
                <w:sz w:val="17"/>
              </w:rPr>
              <w:t>.5</w:t>
            </w:r>
          </w:p>
        </w:tc>
        <w:tc>
          <w:tcPr>
            <w:tcW w:w="1356" w:type="dxa"/>
            <w:tcBorders>
              <w:left w:val="single" w:sz="8" w:space="0" w:color="000000"/>
              <w:bottom w:val="nil"/>
              <w:right w:val="single" w:sz="6" w:space="0" w:color="000000"/>
            </w:tcBorders>
          </w:tcPr>
          <w:p>
            <w:pPr>
              <w:pStyle w:val="TableParagraph"/>
              <w:spacing w:before="138"/>
              <w:ind w:right="14"/>
              <w:rPr>
                <w:sz w:val="17"/>
              </w:rPr>
            </w:pPr>
            <w:r>
              <w:rPr>
                <w:w w:val="105"/>
                <w:sz w:val="17"/>
              </w:rPr>
              <w:t>.5</w:t>
            </w:r>
          </w:p>
        </w:tc>
        <w:tc>
          <w:tcPr>
            <w:tcW w:w="1428" w:type="dxa"/>
            <w:tcBorders>
              <w:left w:val="single" w:sz="6" w:space="0" w:color="000000"/>
              <w:bottom w:val="nil"/>
            </w:tcBorders>
          </w:tcPr>
          <w:p>
            <w:pPr>
              <w:pStyle w:val="TableParagraph"/>
              <w:spacing w:before="138"/>
              <w:ind w:right="4"/>
              <w:rPr>
                <w:sz w:val="17"/>
              </w:rPr>
            </w:pPr>
            <w:r>
              <w:rPr>
                <w:w w:val="105"/>
                <w:sz w:val="17"/>
              </w:rPr>
              <w:t>.5</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2.31</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4"/>
                <w:sz w:val="17"/>
              </w:rPr>
              <w:t>1</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w w:val="105"/>
                <w:sz w:val="17"/>
              </w:rPr>
              <w:t>.5</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w w:val="105"/>
                <w:sz w:val="17"/>
              </w:rPr>
              <w:t>.5</w:t>
            </w:r>
          </w:p>
        </w:tc>
        <w:tc>
          <w:tcPr>
            <w:tcW w:w="1428" w:type="dxa"/>
            <w:tcBorders>
              <w:top w:val="nil"/>
              <w:left w:val="single" w:sz="6" w:space="0" w:color="000000"/>
              <w:bottom w:val="nil"/>
            </w:tcBorders>
          </w:tcPr>
          <w:p>
            <w:pPr>
              <w:pStyle w:val="TableParagraph"/>
              <w:spacing w:before="102"/>
              <w:ind w:right="4"/>
              <w:rPr>
                <w:sz w:val="17"/>
              </w:rPr>
            </w:pPr>
            <w:r>
              <w:rPr>
                <w:sz w:val="17"/>
              </w:rPr>
              <w:t>1.0</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2.56</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2</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1.0</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1.0</w:t>
            </w:r>
          </w:p>
        </w:tc>
        <w:tc>
          <w:tcPr>
            <w:tcW w:w="1428" w:type="dxa"/>
            <w:tcBorders>
              <w:top w:val="nil"/>
              <w:left w:val="single" w:sz="6" w:space="0" w:color="000000"/>
              <w:bottom w:val="nil"/>
            </w:tcBorders>
          </w:tcPr>
          <w:p>
            <w:pPr>
              <w:pStyle w:val="TableParagraph"/>
              <w:spacing w:before="99"/>
              <w:ind w:right="4"/>
              <w:rPr>
                <w:sz w:val="17"/>
              </w:rPr>
            </w:pPr>
            <w:r>
              <w:rPr>
                <w:sz w:val="17"/>
              </w:rPr>
              <w:t>2.0</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3.08</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1</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w w:val="105"/>
                <w:sz w:val="17"/>
              </w:rPr>
              <w:t>.5</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w w:val="105"/>
                <w:sz w:val="17"/>
              </w:rPr>
              <w:t>.5</w:t>
            </w:r>
          </w:p>
        </w:tc>
        <w:tc>
          <w:tcPr>
            <w:tcW w:w="1428" w:type="dxa"/>
            <w:tcBorders>
              <w:top w:val="nil"/>
              <w:left w:val="single" w:sz="6" w:space="0" w:color="000000"/>
              <w:bottom w:val="nil"/>
            </w:tcBorders>
          </w:tcPr>
          <w:p>
            <w:pPr>
              <w:pStyle w:val="TableParagraph"/>
              <w:spacing w:before="99"/>
              <w:ind w:right="4"/>
              <w:rPr>
                <w:sz w:val="17"/>
              </w:rPr>
            </w:pPr>
            <w:r>
              <w:rPr>
                <w:sz w:val="17"/>
              </w:rPr>
              <w:t>2.5</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3.33</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5</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2.5</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2.5</w:t>
            </w:r>
          </w:p>
        </w:tc>
        <w:tc>
          <w:tcPr>
            <w:tcW w:w="1428" w:type="dxa"/>
            <w:tcBorders>
              <w:top w:val="nil"/>
              <w:left w:val="single" w:sz="6" w:space="0" w:color="000000"/>
              <w:bottom w:val="nil"/>
            </w:tcBorders>
          </w:tcPr>
          <w:p>
            <w:pPr>
              <w:pStyle w:val="TableParagraph"/>
              <w:spacing w:before="99"/>
              <w:ind w:right="4"/>
              <w:rPr>
                <w:sz w:val="17"/>
              </w:rPr>
            </w:pPr>
            <w:r>
              <w:rPr>
                <w:sz w:val="17"/>
              </w:rPr>
              <w:t>5.0</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3.59</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4"/>
                <w:sz w:val="17"/>
              </w:rPr>
              <w:t>4</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2.0</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2.0</w:t>
            </w:r>
          </w:p>
        </w:tc>
        <w:tc>
          <w:tcPr>
            <w:tcW w:w="1428" w:type="dxa"/>
            <w:tcBorders>
              <w:top w:val="nil"/>
              <w:left w:val="single" w:sz="6" w:space="0" w:color="000000"/>
              <w:bottom w:val="nil"/>
            </w:tcBorders>
          </w:tcPr>
          <w:p>
            <w:pPr>
              <w:pStyle w:val="TableParagraph"/>
              <w:spacing w:before="102"/>
              <w:ind w:right="4"/>
              <w:rPr>
                <w:sz w:val="17"/>
              </w:rPr>
            </w:pPr>
            <w:r>
              <w:rPr>
                <w:sz w:val="17"/>
              </w:rPr>
              <w:t>6.9</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7"/>
              <w:ind w:left="161"/>
              <w:jc w:val="left"/>
              <w:rPr>
                <w:sz w:val="17"/>
              </w:rPr>
            </w:pPr>
            <w:r>
              <w:rPr>
                <w:w w:val="105"/>
                <w:sz w:val="17"/>
              </w:rPr>
              <w:t>3.85</w:t>
            </w:r>
          </w:p>
        </w:tc>
        <w:tc>
          <w:tcPr>
            <w:tcW w:w="1135" w:type="dxa"/>
            <w:tcBorders>
              <w:top w:val="nil"/>
              <w:left w:val="single" w:sz="13" w:space="0" w:color="000000"/>
              <w:bottom w:val="nil"/>
              <w:right w:val="single" w:sz="8" w:space="0" w:color="000000"/>
            </w:tcBorders>
          </w:tcPr>
          <w:p>
            <w:pPr>
              <w:pStyle w:val="TableParagraph"/>
              <w:spacing w:before="97"/>
              <w:ind w:right="14"/>
              <w:rPr>
                <w:sz w:val="17"/>
              </w:rPr>
            </w:pPr>
            <w:r>
              <w:rPr>
                <w:w w:val="104"/>
                <w:sz w:val="17"/>
              </w:rPr>
              <w:t>2</w:t>
            </w:r>
          </w:p>
        </w:tc>
        <w:tc>
          <w:tcPr>
            <w:tcW w:w="989" w:type="dxa"/>
            <w:tcBorders>
              <w:top w:val="nil"/>
              <w:left w:val="single" w:sz="8" w:space="0" w:color="000000"/>
              <w:bottom w:val="nil"/>
              <w:right w:val="single" w:sz="8" w:space="0" w:color="000000"/>
            </w:tcBorders>
          </w:tcPr>
          <w:p>
            <w:pPr>
              <w:pStyle w:val="TableParagraph"/>
              <w:spacing w:before="97"/>
              <w:ind w:right="9"/>
              <w:rPr>
                <w:sz w:val="17"/>
              </w:rPr>
            </w:pPr>
            <w:r>
              <w:rPr>
                <w:sz w:val="17"/>
              </w:rPr>
              <w:t>1.0</w:t>
            </w:r>
          </w:p>
        </w:tc>
        <w:tc>
          <w:tcPr>
            <w:tcW w:w="1356" w:type="dxa"/>
            <w:tcBorders>
              <w:top w:val="nil"/>
              <w:left w:val="single" w:sz="8" w:space="0" w:color="000000"/>
              <w:bottom w:val="nil"/>
              <w:right w:val="single" w:sz="6" w:space="0" w:color="000000"/>
            </w:tcBorders>
          </w:tcPr>
          <w:p>
            <w:pPr>
              <w:pStyle w:val="TableParagraph"/>
              <w:spacing w:before="97"/>
              <w:ind w:right="14"/>
              <w:rPr>
                <w:sz w:val="17"/>
              </w:rPr>
            </w:pPr>
            <w:r>
              <w:rPr>
                <w:sz w:val="17"/>
              </w:rPr>
              <w:t>1.0</w:t>
            </w:r>
          </w:p>
        </w:tc>
        <w:tc>
          <w:tcPr>
            <w:tcW w:w="1428" w:type="dxa"/>
            <w:tcBorders>
              <w:top w:val="nil"/>
              <w:left w:val="single" w:sz="6" w:space="0" w:color="000000"/>
              <w:bottom w:val="nil"/>
            </w:tcBorders>
          </w:tcPr>
          <w:p>
            <w:pPr>
              <w:pStyle w:val="TableParagraph"/>
              <w:spacing w:before="97"/>
              <w:ind w:right="4"/>
              <w:rPr>
                <w:sz w:val="17"/>
              </w:rPr>
            </w:pPr>
            <w:r>
              <w:rPr>
                <w:sz w:val="17"/>
              </w:rPr>
              <w:t>7.9</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4.10</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4"/>
                <w:sz w:val="17"/>
              </w:rPr>
              <w:t>3</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1.5</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1.5</w:t>
            </w:r>
          </w:p>
        </w:tc>
        <w:tc>
          <w:tcPr>
            <w:tcW w:w="1428" w:type="dxa"/>
            <w:tcBorders>
              <w:top w:val="nil"/>
              <w:left w:val="single" w:sz="6" w:space="0" w:color="000000"/>
              <w:bottom w:val="nil"/>
            </w:tcBorders>
          </w:tcPr>
          <w:p>
            <w:pPr>
              <w:pStyle w:val="TableParagraph"/>
              <w:spacing w:before="102"/>
              <w:ind w:right="4"/>
              <w:rPr>
                <w:sz w:val="17"/>
              </w:rPr>
            </w:pPr>
            <w:r>
              <w:rPr>
                <w:sz w:val="17"/>
              </w:rPr>
              <w:t>9.4</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4.36</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4</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2.0</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2.0</w:t>
            </w:r>
          </w:p>
        </w:tc>
        <w:tc>
          <w:tcPr>
            <w:tcW w:w="1428" w:type="dxa"/>
            <w:tcBorders>
              <w:top w:val="nil"/>
              <w:left w:val="single" w:sz="6" w:space="0" w:color="000000"/>
              <w:bottom w:val="nil"/>
            </w:tcBorders>
          </w:tcPr>
          <w:p>
            <w:pPr>
              <w:pStyle w:val="TableParagraph"/>
              <w:spacing w:before="99"/>
              <w:ind w:right="4"/>
              <w:rPr>
                <w:sz w:val="17"/>
              </w:rPr>
            </w:pPr>
            <w:r>
              <w:rPr>
                <w:w w:val="105"/>
                <w:sz w:val="17"/>
              </w:rPr>
              <w:t>11.4</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4.62</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9</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4.5</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4.5</w:t>
            </w:r>
          </w:p>
        </w:tc>
        <w:tc>
          <w:tcPr>
            <w:tcW w:w="1428" w:type="dxa"/>
            <w:tcBorders>
              <w:top w:val="nil"/>
              <w:left w:val="single" w:sz="6" w:space="0" w:color="000000"/>
              <w:bottom w:val="nil"/>
            </w:tcBorders>
          </w:tcPr>
          <w:p>
            <w:pPr>
              <w:pStyle w:val="TableParagraph"/>
              <w:spacing w:before="99"/>
              <w:ind w:right="4"/>
              <w:rPr>
                <w:sz w:val="17"/>
              </w:rPr>
            </w:pPr>
            <w:r>
              <w:rPr>
                <w:w w:val="105"/>
                <w:sz w:val="17"/>
              </w:rPr>
              <w:t>15.8</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4.87</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5"/>
                <w:sz w:val="17"/>
              </w:rPr>
              <w:t>12</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5.9</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5.9</w:t>
            </w:r>
          </w:p>
        </w:tc>
        <w:tc>
          <w:tcPr>
            <w:tcW w:w="1428" w:type="dxa"/>
            <w:tcBorders>
              <w:top w:val="nil"/>
              <w:left w:val="single" w:sz="6" w:space="0" w:color="000000"/>
              <w:bottom w:val="nil"/>
            </w:tcBorders>
          </w:tcPr>
          <w:p>
            <w:pPr>
              <w:pStyle w:val="TableParagraph"/>
              <w:spacing w:before="99"/>
              <w:ind w:right="4"/>
              <w:rPr>
                <w:sz w:val="17"/>
              </w:rPr>
            </w:pPr>
            <w:r>
              <w:rPr>
                <w:w w:val="105"/>
                <w:sz w:val="17"/>
              </w:rPr>
              <w:t>21.8</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5.13</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5"/>
                <w:sz w:val="17"/>
              </w:rPr>
              <w:t>13</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6.4</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6.4</w:t>
            </w:r>
          </w:p>
        </w:tc>
        <w:tc>
          <w:tcPr>
            <w:tcW w:w="1428" w:type="dxa"/>
            <w:tcBorders>
              <w:top w:val="nil"/>
              <w:left w:val="single" w:sz="6" w:space="0" w:color="000000"/>
              <w:bottom w:val="nil"/>
            </w:tcBorders>
          </w:tcPr>
          <w:p>
            <w:pPr>
              <w:pStyle w:val="TableParagraph"/>
              <w:spacing w:before="102"/>
              <w:ind w:right="4"/>
              <w:rPr>
                <w:sz w:val="17"/>
              </w:rPr>
            </w:pPr>
            <w:r>
              <w:rPr>
                <w:w w:val="105"/>
                <w:sz w:val="17"/>
              </w:rPr>
              <w:t>28.2</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7"/>
              <w:ind w:left="161"/>
              <w:jc w:val="left"/>
              <w:rPr>
                <w:sz w:val="17"/>
              </w:rPr>
            </w:pPr>
            <w:r>
              <w:rPr>
                <w:w w:val="105"/>
                <w:sz w:val="17"/>
              </w:rPr>
              <w:t>5.38</w:t>
            </w:r>
          </w:p>
        </w:tc>
        <w:tc>
          <w:tcPr>
            <w:tcW w:w="1135" w:type="dxa"/>
            <w:tcBorders>
              <w:top w:val="nil"/>
              <w:left w:val="single" w:sz="13" w:space="0" w:color="000000"/>
              <w:bottom w:val="nil"/>
              <w:right w:val="single" w:sz="8" w:space="0" w:color="000000"/>
            </w:tcBorders>
          </w:tcPr>
          <w:p>
            <w:pPr>
              <w:pStyle w:val="TableParagraph"/>
              <w:spacing w:before="97"/>
              <w:ind w:right="14"/>
              <w:rPr>
                <w:sz w:val="17"/>
              </w:rPr>
            </w:pPr>
            <w:r>
              <w:rPr>
                <w:w w:val="105"/>
                <w:sz w:val="17"/>
              </w:rPr>
              <w:t>17</w:t>
            </w:r>
          </w:p>
        </w:tc>
        <w:tc>
          <w:tcPr>
            <w:tcW w:w="989" w:type="dxa"/>
            <w:tcBorders>
              <w:top w:val="nil"/>
              <w:left w:val="single" w:sz="8" w:space="0" w:color="000000"/>
              <w:bottom w:val="nil"/>
              <w:right w:val="single" w:sz="8" w:space="0" w:color="000000"/>
            </w:tcBorders>
          </w:tcPr>
          <w:p>
            <w:pPr>
              <w:pStyle w:val="TableParagraph"/>
              <w:spacing w:before="97"/>
              <w:ind w:right="9"/>
              <w:rPr>
                <w:sz w:val="17"/>
              </w:rPr>
            </w:pPr>
            <w:r>
              <w:rPr>
                <w:sz w:val="17"/>
              </w:rPr>
              <w:t>8.4</w:t>
            </w:r>
          </w:p>
        </w:tc>
        <w:tc>
          <w:tcPr>
            <w:tcW w:w="1356" w:type="dxa"/>
            <w:tcBorders>
              <w:top w:val="nil"/>
              <w:left w:val="single" w:sz="8" w:space="0" w:color="000000"/>
              <w:bottom w:val="nil"/>
              <w:right w:val="single" w:sz="6" w:space="0" w:color="000000"/>
            </w:tcBorders>
          </w:tcPr>
          <w:p>
            <w:pPr>
              <w:pStyle w:val="TableParagraph"/>
              <w:spacing w:before="97"/>
              <w:ind w:right="14"/>
              <w:rPr>
                <w:sz w:val="17"/>
              </w:rPr>
            </w:pPr>
            <w:r>
              <w:rPr>
                <w:sz w:val="17"/>
              </w:rPr>
              <w:t>8.4</w:t>
            </w:r>
          </w:p>
        </w:tc>
        <w:tc>
          <w:tcPr>
            <w:tcW w:w="1428" w:type="dxa"/>
            <w:tcBorders>
              <w:top w:val="nil"/>
              <w:left w:val="single" w:sz="6" w:space="0" w:color="000000"/>
              <w:bottom w:val="nil"/>
            </w:tcBorders>
          </w:tcPr>
          <w:p>
            <w:pPr>
              <w:pStyle w:val="TableParagraph"/>
              <w:spacing w:before="97"/>
              <w:ind w:right="4"/>
              <w:rPr>
                <w:sz w:val="17"/>
              </w:rPr>
            </w:pPr>
            <w:r>
              <w:rPr>
                <w:w w:val="105"/>
                <w:sz w:val="17"/>
              </w:rPr>
              <w:t>36.6</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5.64</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5"/>
                <w:sz w:val="17"/>
              </w:rPr>
              <w:t>18</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8.9</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8.9</w:t>
            </w:r>
          </w:p>
        </w:tc>
        <w:tc>
          <w:tcPr>
            <w:tcW w:w="1428" w:type="dxa"/>
            <w:tcBorders>
              <w:top w:val="nil"/>
              <w:left w:val="single" w:sz="6" w:space="0" w:color="000000"/>
              <w:bottom w:val="nil"/>
            </w:tcBorders>
          </w:tcPr>
          <w:p>
            <w:pPr>
              <w:pStyle w:val="TableParagraph"/>
              <w:spacing w:before="102"/>
              <w:ind w:right="4"/>
              <w:rPr>
                <w:sz w:val="17"/>
              </w:rPr>
            </w:pPr>
            <w:r>
              <w:rPr>
                <w:w w:val="105"/>
                <w:sz w:val="17"/>
              </w:rPr>
              <w:t>45.5</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5.90</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5"/>
                <w:sz w:val="17"/>
              </w:rPr>
              <w:t>17</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8.4</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8.4</w:t>
            </w:r>
          </w:p>
        </w:tc>
        <w:tc>
          <w:tcPr>
            <w:tcW w:w="1428" w:type="dxa"/>
            <w:tcBorders>
              <w:top w:val="nil"/>
              <w:left w:val="single" w:sz="6" w:space="0" w:color="000000"/>
              <w:bottom w:val="nil"/>
            </w:tcBorders>
          </w:tcPr>
          <w:p>
            <w:pPr>
              <w:pStyle w:val="TableParagraph"/>
              <w:spacing w:before="99"/>
              <w:ind w:right="4"/>
              <w:rPr>
                <w:sz w:val="17"/>
              </w:rPr>
            </w:pPr>
            <w:r>
              <w:rPr>
                <w:w w:val="105"/>
                <w:sz w:val="17"/>
              </w:rPr>
              <w:t>54.0</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6.15</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5"/>
                <w:sz w:val="17"/>
              </w:rPr>
              <w:t>16</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7.9</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7.9</w:t>
            </w:r>
          </w:p>
        </w:tc>
        <w:tc>
          <w:tcPr>
            <w:tcW w:w="1428" w:type="dxa"/>
            <w:tcBorders>
              <w:top w:val="nil"/>
              <w:left w:val="single" w:sz="6" w:space="0" w:color="000000"/>
              <w:bottom w:val="nil"/>
            </w:tcBorders>
          </w:tcPr>
          <w:p>
            <w:pPr>
              <w:pStyle w:val="TableParagraph"/>
              <w:spacing w:before="99"/>
              <w:ind w:right="4"/>
              <w:rPr>
                <w:sz w:val="17"/>
              </w:rPr>
            </w:pPr>
            <w:r>
              <w:rPr>
                <w:w w:val="105"/>
                <w:sz w:val="17"/>
              </w:rPr>
              <w:t>61.9</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6.41</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5"/>
                <w:sz w:val="17"/>
              </w:rPr>
              <w:t>11</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5.4</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5.4</w:t>
            </w:r>
          </w:p>
        </w:tc>
        <w:tc>
          <w:tcPr>
            <w:tcW w:w="1428" w:type="dxa"/>
            <w:tcBorders>
              <w:top w:val="nil"/>
              <w:left w:val="single" w:sz="6" w:space="0" w:color="000000"/>
              <w:bottom w:val="nil"/>
            </w:tcBorders>
          </w:tcPr>
          <w:p>
            <w:pPr>
              <w:pStyle w:val="TableParagraph"/>
              <w:spacing w:before="99"/>
              <w:ind w:right="4"/>
              <w:rPr>
                <w:sz w:val="17"/>
              </w:rPr>
            </w:pPr>
            <w:r>
              <w:rPr>
                <w:w w:val="105"/>
                <w:sz w:val="17"/>
              </w:rPr>
              <w:t>67.3</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6.67</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5"/>
                <w:sz w:val="17"/>
              </w:rPr>
              <w:t>15</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7.4</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7.4</w:t>
            </w:r>
          </w:p>
        </w:tc>
        <w:tc>
          <w:tcPr>
            <w:tcW w:w="1428" w:type="dxa"/>
            <w:tcBorders>
              <w:top w:val="nil"/>
              <w:left w:val="single" w:sz="6" w:space="0" w:color="000000"/>
              <w:bottom w:val="nil"/>
            </w:tcBorders>
          </w:tcPr>
          <w:p>
            <w:pPr>
              <w:pStyle w:val="TableParagraph"/>
              <w:spacing w:before="102"/>
              <w:ind w:right="4"/>
              <w:rPr>
                <w:sz w:val="17"/>
              </w:rPr>
            </w:pPr>
            <w:r>
              <w:rPr>
                <w:w w:val="105"/>
                <w:sz w:val="17"/>
              </w:rPr>
              <w:t>74.8</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7"/>
              <w:ind w:left="161"/>
              <w:jc w:val="left"/>
              <w:rPr>
                <w:sz w:val="17"/>
              </w:rPr>
            </w:pPr>
            <w:r>
              <w:rPr>
                <w:w w:val="105"/>
                <w:sz w:val="17"/>
              </w:rPr>
              <w:t>6.92</w:t>
            </w:r>
          </w:p>
        </w:tc>
        <w:tc>
          <w:tcPr>
            <w:tcW w:w="1135" w:type="dxa"/>
            <w:tcBorders>
              <w:top w:val="nil"/>
              <w:left w:val="single" w:sz="13" w:space="0" w:color="000000"/>
              <w:bottom w:val="nil"/>
              <w:right w:val="single" w:sz="8" w:space="0" w:color="000000"/>
            </w:tcBorders>
          </w:tcPr>
          <w:p>
            <w:pPr>
              <w:pStyle w:val="TableParagraph"/>
              <w:spacing w:before="97"/>
              <w:ind w:right="14"/>
              <w:rPr>
                <w:sz w:val="17"/>
              </w:rPr>
            </w:pPr>
            <w:r>
              <w:rPr>
                <w:w w:val="105"/>
                <w:sz w:val="17"/>
              </w:rPr>
              <w:t>16</w:t>
            </w:r>
          </w:p>
        </w:tc>
        <w:tc>
          <w:tcPr>
            <w:tcW w:w="989" w:type="dxa"/>
            <w:tcBorders>
              <w:top w:val="nil"/>
              <w:left w:val="single" w:sz="8" w:space="0" w:color="000000"/>
              <w:bottom w:val="nil"/>
              <w:right w:val="single" w:sz="8" w:space="0" w:color="000000"/>
            </w:tcBorders>
          </w:tcPr>
          <w:p>
            <w:pPr>
              <w:pStyle w:val="TableParagraph"/>
              <w:spacing w:before="97"/>
              <w:ind w:right="9"/>
              <w:rPr>
                <w:sz w:val="17"/>
              </w:rPr>
            </w:pPr>
            <w:r>
              <w:rPr>
                <w:sz w:val="17"/>
              </w:rPr>
              <w:t>7.9</w:t>
            </w:r>
          </w:p>
        </w:tc>
        <w:tc>
          <w:tcPr>
            <w:tcW w:w="1356" w:type="dxa"/>
            <w:tcBorders>
              <w:top w:val="nil"/>
              <w:left w:val="single" w:sz="8" w:space="0" w:color="000000"/>
              <w:bottom w:val="nil"/>
              <w:right w:val="single" w:sz="6" w:space="0" w:color="000000"/>
            </w:tcBorders>
          </w:tcPr>
          <w:p>
            <w:pPr>
              <w:pStyle w:val="TableParagraph"/>
              <w:spacing w:before="97"/>
              <w:ind w:right="14"/>
              <w:rPr>
                <w:sz w:val="17"/>
              </w:rPr>
            </w:pPr>
            <w:r>
              <w:rPr>
                <w:sz w:val="17"/>
              </w:rPr>
              <w:t>7.9</w:t>
            </w:r>
          </w:p>
        </w:tc>
        <w:tc>
          <w:tcPr>
            <w:tcW w:w="1428" w:type="dxa"/>
            <w:tcBorders>
              <w:top w:val="nil"/>
              <w:left w:val="single" w:sz="6" w:space="0" w:color="000000"/>
              <w:bottom w:val="nil"/>
            </w:tcBorders>
          </w:tcPr>
          <w:p>
            <w:pPr>
              <w:pStyle w:val="TableParagraph"/>
              <w:spacing w:before="97"/>
              <w:ind w:right="4"/>
              <w:rPr>
                <w:sz w:val="17"/>
              </w:rPr>
            </w:pPr>
            <w:r>
              <w:rPr>
                <w:w w:val="105"/>
                <w:sz w:val="17"/>
              </w:rPr>
              <w:t>82.7</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7.18</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5"/>
                <w:sz w:val="17"/>
              </w:rPr>
              <w:t>13</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6.4</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6.4</w:t>
            </w:r>
          </w:p>
        </w:tc>
        <w:tc>
          <w:tcPr>
            <w:tcW w:w="1428" w:type="dxa"/>
            <w:tcBorders>
              <w:top w:val="nil"/>
              <w:left w:val="single" w:sz="6" w:space="0" w:color="000000"/>
              <w:bottom w:val="nil"/>
            </w:tcBorders>
          </w:tcPr>
          <w:p>
            <w:pPr>
              <w:pStyle w:val="TableParagraph"/>
              <w:spacing w:before="102"/>
              <w:ind w:right="4"/>
              <w:rPr>
                <w:sz w:val="17"/>
              </w:rPr>
            </w:pPr>
            <w:r>
              <w:rPr>
                <w:w w:val="105"/>
                <w:sz w:val="17"/>
              </w:rPr>
              <w:t>89.1</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7.44</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6</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3.0</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3.0</w:t>
            </w:r>
          </w:p>
        </w:tc>
        <w:tc>
          <w:tcPr>
            <w:tcW w:w="1428" w:type="dxa"/>
            <w:tcBorders>
              <w:top w:val="nil"/>
              <w:left w:val="single" w:sz="6" w:space="0" w:color="000000"/>
              <w:bottom w:val="nil"/>
            </w:tcBorders>
          </w:tcPr>
          <w:p>
            <w:pPr>
              <w:pStyle w:val="TableParagraph"/>
              <w:spacing w:before="99"/>
              <w:ind w:right="4"/>
              <w:rPr>
                <w:sz w:val="17"/>
              </w:rPr>
            </w:pPr>
            <w:r>
              <w:rPr>
                <w:w w:val="105"/>
                <w:sz w:val="17"/>
              </w:rPr>
              <w:t>92.1</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7.69</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5</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2.5</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2.5</w:t>
            </w:r>
          </w:p>
        </w:tc>
        <w:tc>
          <w:tcPr>
            <w:tcW w:w="1428" w:type="dxa"/>
            <w:tcBorders>
              <w:top w:val="nil"/>
              <w:left w:val="single" w:sz="6" w:space="0" w:color="000000"/>
              <w:bottom w:val="nil"/>
            </w:tcBorders>
          </w:tcPr>
          <w:p>
            <w:pPr>
              <w:pStyle w:val="TableParagraph"/>
              <w:spacing w:before="99"/>
              <w:ind w:right="4"/>
              <w:rPr>
                <w:sz w:val="17"/>
              </w:rPr>
            </w:pPr>
            <w:r>
              <w:rPr>
                <w:w w:val="105"/>
                <w:sz w:val="17"/>
              </w:rPr>
              <w:t>94.6</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7.95</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8</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4.0</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4.0</w:t>
            </w:r>
          </w:p>
        </w:tc>
        <w:tc>
          <w:tcPr>
            <w:tcW w:w="1428" w:type="dxa"/>
            <w:tcBorders>
              <w:top w:val="nil"/>
              <w:left w:val="single" w:sz="6" w:space="0" w:color="000000"/>
              <w:bottom w:val="nil"/>
            </w:tcBorders>
          </w:tcPr>
          <w:p>
            <w:pPr>
              <w:pStyle w:val="TableParagraph"/>
              <w:spacing w:before="99"/>
              <w:ind w:right="4"/>
              <w:rPr>
                <w:sz w:val="17"/>
              </w:rPr>
            </w:pPr>
            <w:r>
              <w:rPr>
                <w:w w:val="105"/>
                <w:sz w:val="17"/>
              </w:rPr>
              <w:t>98.5</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8.21</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4"/>
                <w:sz w:val="17"/>
              </w:rPr>
              <w:t>2</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1.0</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1.0</w:t>
            </w:r>
          </w:p>
        </w:tc>
        <w:tc>
          <w:tcPr>
            <w:tcW w:w="1428" w:type="dxa"/>
            <w:tcBorders>
              <w:top w:val="nil"/>
              <w:left w:val="single" w:sz="6" w:space="0" w:color="000000"/>
              <w:bottom w:val="nil"/>
            </w:tcBorders>
          </w:tcPr>
          <w:p>
            <w:pPr>
              <w:pStyle w:val="TableParagraph"/>
              <w:spacing w:before="102"/>
              <w:ind w:right="4"/>
              <w:rPr>
                <w:sz w:val="17"/>
              </w:rPr>
            </w:pPr>
            <w:r>
              <w:rPr>
                <w:w w:val="105"/>
                <w:sz w:val="17"/>
              </w:rPr>
              <w:t>99.5</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7"/>
              <w:ind w:left="161"/>
              <w:jc w:val="left"/>
              <w:rPr>
                <w:sz w:val="17"/>
              </w:rPr>
            </w:pPr>
            <w:r>
              <w:rPr>
                <w:w w:val="105"/>
                <w:sz w:val="17"/>
              </w:rPr>
              <w:t>8.72</w:t>
            </w:r>
          </w:p>
        </w:tc>
        <w:tc>
          <w:tcPr>
            <w:tcW w:w="1135" w:type="dxa"/>
            <w:tcBorders>
              <w:top w:val="nil"/>
              <w:left w:val="single" w:sz="13" w:space="0" w:color="000000"/>
              <w:bottom w:val="nil"/>
              <w:right w:val="single" w:sz="8" w:space="0" w:color="000000"/>
            </w:tcBorders>
          </w:tcPr>
          <w:p>
            <w:pPr>
              <w:pStyle w:val="TableParagraph"/>
              <w:spacing w:before="97"/>
              <w:ind w:right="14"/>
              <w:rPr>
                <w:sz w:val="17"/>
              </w:rPr>
            </w:pPr>
            <w:r>
              <w:rPr>
                <w:w w:val="104"/>
                <w:sz w:val="17"/>
              </w:rPr>
              <w:t>1</w:t>
            </w:r>
          </w:p>
        </w:tc>
        <w:tc>
          <w:tcPr>
            <w:tcW w:w="989" w:type="dxa"/>
            <w:tcBorders>
              <w:top w:val="nil"/>
              <w:left w:val="single" w:sz="8" w:space="0" w:color="000000"/>
              <w:bottom w:val="nil"/>
              <w:right w:val="single" w:sz="8" w:space="0" w:color="000000"/>
            </w:tcBorders>
          </w:tcPr>
          <w:p>
            <w:pPr>
              <w:pStyle w:val="TableParagraph"/>
              <w:spacing w:before="97"/>
              <w:ind w:right="9"/>
              <w:rPr>
                <w:sz w:val="17"/>
              </w:rPr>
            </w:pPr>
            <w:r>
              <w:rPr>
                <w:w w:val="105"/>
                <w:sz w:val="17"/>
              </w:rPr>
              <w:t>.5</w:t>
            </w:r>
          </w:p>
        </w:tc>
        <w:tc>
          <w:tcPr>
            <w:tcW w:w="1356" w:type="dxa"/>
            <w:tcBorders>
              <w:top w:val="nil"/>
              <w:left w:val="single" w:sz="8" w:space="0" w:color="000000"/>
              <w:bottom w:val="nil"/>
              <w:right w:val="single" w:sz="6" w:space="0" w:color="000000"/>
            </w:tcBorders>
          </w:tcPr>
          <w:p>
            <w:pPr>
              <w:pStyle w:val="TableParagraph"/>
              <w:spacing w:before="97"/>
              <w:ind w:right="14"/>
              <w:rPr>
                <w:sz w:val="17"/>
              </w:rPr>
            </w:pPr>
            <w:r>
              <w:rPr>
                <w:w w:val="105"/>
                <w:sz w:val="17"/>
              </w:rPr>
              <w:t>.5</w:t>
            </w:r>
          </w:p>
        </w:tc>
        <w:tc>
          <w:tcPr>
            <w:tcW w:w="1428" w:type="dxa"/>
            <w:tcBorders>
              <w:top w:val="nil"/>
              <w:left w:val="single" w:sz="6" w:space="0" w:color="000000"/>
              <w:bottom w:val="nil"/>
            </w:tcBorders>
          </w:tcPr>
          <w:p>
            <w:pPr>
              <w:pStyle w:val="TableParagraph"/>
              <w:spacing w:before="97"/>
              <w:ind w:right="4"/>
              <w:rPr>
                <w:sz w:val="17"/>
              </w:rPr>
            </w:pPr>
            <w:r>
              <w:rPr>
                <w:w w:val="105"/>
                <w:sz w:val="17"/>
              </w:rPr>
              <w:t>100.0</w:t>
            </w:r>
          </w:p>
        </w:tc>
      </w:tr>
      <w:tr>
        <w:trPr>
          <w:trHeight w:val="348" w:hRule="exact"/>
        </w:trPr>
        <w:tc>
          <w:tcPr>
            <w:tcW w:w="585" w:type="dxa"/>
            <w:tcBorders>
              <w:top w:val="nil"/>
              <w:left w:val="single" w:sz="13" w:space="0" w:color="000000"/>
              <w:right w:val="nil"/>
            </w:tcBorders>
          </w:tcPr>
          <w:p>
            <w:pPr/>
          </w:p>
        </w:tc>
        <w:tc>
          <w:tcPr>
            <w:tcW w:w="846" w:type="dxa"/>
            <w:tcBorders>
              <w:top w:val="nil"/>
              <w:left w:val="nil"/>
              <w:right w:val="single" w:sz="13" w:space="0" w:color="000000"/>
            </w:tcBorders>
          </w:tcPr>
          <w:p>
            <w:pPr>
              <w:pStyle w:val="TableParagraph"/>
              <w:spacing w:before="102"/>
              <w:ind w:left="161"/>
              <w:jc w:val="left"/>
              <w:rPr>
                <w:sz w:val="17"/>
              </w:rPr>
            </w:pPr>
            <w:r>
              <w:rPr>
                <w:w w:val="105"/>
                <w:sz w:val="17"/>
              </w:rPr>
              <w:t>Total</w:t>
            </w:r>
          </w:p>
        </w:tc>
        <w:tc>
          <w:tcPr>
            <w:tcW w:w="1135" w:type="dxa"/>
            <w:tcBorders>
              <w:top w:val="nil"/>
              <w:left w:val="single" w:sz="13" w:space="0" w:color="000000"/>
              <w:right w:val="single" w:sz="8" w:space="0" w:color="000000"/>
            </w:tcBorders>
          </w:tcPr>
          <w:p>
            <w:pPr>
              <w:pStyle w:val="TableParagraph"/>
              <w:spacing w:before="102"/>
              <w:ind w:right="14"/>
              <w:rPr>
                <w:sz w:val="17"/>
              </w:rPr>
            </w:pPr>
            <w:r>
              <w:rPr>
                <w:w w:val="105"/>
                <w:sz w:val="17"/>
              </w:rPr>
              <w:t>202</w:t>
            </w:r>
          </w:p>
        </w:tc>
        <w:tc>
          <w:tcPr>
            <w:tcW w:w="989" w:type="dxa"/>
            <w:tcBorders>
              <w:top w:val="nil"/>
              <w:left w:val="single" w:sz="8" w:space="0" w:color="000000"/>
              <w:right w:val="single" w:sz="8" w:space="0" w:color="000000"/>
            </w:tcBorders>
          </w:tcPr>
          <w:p>
            <w:pPr>
              <w:pStyle w:val="TableParagraph"/>
              <w:spacing w:before="102"/>
              <w:ind w:right="9"/>
              <w:rPr>
                <w:sz w:val="17"/>
              </w:rPr>
            </w:pPr>
            <w:r>
              <w:rPr>
                <w:w w:val="105"/>
                <w:sz w:val="17"/>
              </w:rPr>
              <w:t>100.0</w:t>
            </w:r>
          </w:p>
        </w:tc>
        <w:tc>
          <w:tcPr>
            <w:tcW w:w="1356" w:type="dxa"/>
            <w:tcBorders>
              <w:top w:val="nil"/>
              <w:left w:val="single" w:sz="8" w:space="0" w:color="000000"/>
              <w:right w:val="single" w:sz="6" w:space="0" w:color="000000"/>
            </w:tcBorders>
          </w:tcPr>
          <w:p>
            <w:pPr>
              <w:pStyle w:val="TableParagraph"/>
              <w:spacing w:before="102"/>
              <w:ind w:right="14"/>
              <w:rPr>
                <w:sz w:val="17"/>
              </w:rPr>
            </w:pPr>
            <w:r>
              <w:rPr>
                <w:w w:val="105"/>
                <w:sz w:val="17"/>
              </w:rPr>
              <w:t>100.0</w:t>
            </w:r>
          </w:p>
        </w:tc>
        <w:tc>
          <w:tcPr>
            <w:tcW w:w="1428" w:type="dxa"/>
            <w:tcBorders>
              <w:top w:val="nil"/>
              <w:left w:val="single" w:sz="6" w:space="0" w:color="000000"/>
            </w:tcBorders>
          </w:tcPr>
          <w:p>
            <w:pPr/>
          </w:p>
        </w:tc>
      </w:tr>
    </w:tbl>
    <w:p>
      <w:pPr>
        <w:spacing w:after="0"/>
        <w:sectPr>
          <w:pgSz w:w="11910" w:h="16840"/>
          <w:pgMar w:header="1424" w:footer="0" w:top="1840" w:bottom="280" w:left="1520" w:right="1540"/>
        </w:sectPr>
      </w:pPr>
    </w:p>
    <w:p>
      <w:pPr>
        <w:pStyle w:val="BodyText"/>
        <w:rPr>
          <w:b/>
          <w:sz w:val="28"/>
        </w:rPr>
      </w:pPr>
    </w:p>
    <w:p>
      <w:pPr>
        <w:spacing w:before="84" w:after="41"/>
        <w:ind w:left="2123" w:right="2980" w:firstLine="0"/>
        <w:jc w:val="left"/>
        <w:rPr>
          <w:b/>
          <w:sz w:val="17"/>
        </w:rPr>
      </w:pPr>
      <w:r>
        <w:rPr>
          <w:b/>
          <w:w w:val="105"/>
          <w:sz w:val="17"/>
        </w:rPr>
        <w:t>Comprensión Lectura Inglés</w:t>
      </w:r>
    </w:p>
    <w:tbl>
      <w:tblPr>
        <w:tblW w:w="0" w:type="auto"/>
        <w:jc w:val="left"/>
        <w:tblInd w:w="11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585"/>
        <w:gridCol w:w="846"/>
        <w:gridCol w:w="1135"/>
        <w:gridCol w:w="989"/>
        <w:gridCol w:w="1356"/>
        <w:gridCol w:w="1428"/>
      </w:tblGrid>
      <w:tr>
        <w:trPr>
          <w:trHeight w:val="720" w:hRule="exact"/>
        </w:trPr>
        <w:tc>
          <w:tcPr>
            <w:tcW w:w="1430" w:type="dxa"/>
            <w:gridSpan w:val="2"/>
            <w:tcBorders>
              <w:left w:val="single" w:sz="13" w:space="0" w:color="000000"/>
              <w:right w:val="single" w:sz="13" w:space="0" w:color="000000"/>
            </w:tcBorders>
          </w:tcPr>
          <w:p>
            <w:pPr/>
          </w:p>
        </w:tc>
        <w:tc>
          <w:tcPr>
            <w:tcW w:w="1135" w:type="dxa"/>
            <w:tcBorders>
              <w:left w:val="single" w:sz="13" w:space="0" w:color="000000"/>
              <w:right w:val="single" w:sz="8" w:space="0" w:color="000000"/>
            </w:tcBorders>
          </w:tcPr>
          <w:p>
            <w:pPr>
              <w:pStyle w:val="TableParagraph"/>
              <w:jc w:val="left"/>
              <w:rPr>
                <w:b/>
                <w:sz w:val="18"/>
              </w:rPr>
            </w:pPr>
          </w:p>
          <w:p>
            <w:pPr>
              <w:pStyle w:val="TableParagraph"/>
              <w:spacing w:before="1"/>
              <w:jc w:val="left"/>
              <w:rPr>
                <w:b/>
                <w:sz w:val="21"/>
              </w:rPr>
            </w:pPr>
          </w:p>
          <w:p>
            <w:pPr>
              <w:pStyle w:val="TableParagraph"/>
              <w:ind w:left="139"/>
              <w:jc w:val="left"/>
              <w:rPr>
                <w:sz w:val="17"/>
              </w:rPr>
            </w:pPr>
            <w:r>
              <w:rPr>
                <w:w w:val="105"/>
                <w:sz w:val="17"/>
              </w:rPr>
              <w:t>Frequency</w:t>
            </w:r>
          </w:p>
        </w:tc>
        <w:tc>
          <w:tcPr>
            <w:tcW w:w="989" w:type="dxa"/>
            <w:tcBorders>
              <w:left w:val="single" w:sz="8" w:space="0" w:color="000000"/>
              <w:right w:val="single" w:sz="8" w:space="0" w:color="000000"/>
            </w:tcBorders>
          </w:tcPr>
          <w:p>
            <w:pPr>
              <w:pStyle w:val="TableParagraph"/>
              <w:jc w:val="left"/>
              <w:rPr>
                <w:b/>
                <w:sz w:val="18"/>
              </w:rPr>
            </w:pPr>
          </w:p>
          <w:p>
            <w:pPr>
              <w:pStyle w:val="TableParagraph"/>
              <w:spacing w:before="1"/>
              <w:jc w:val="left"/>
              <w:rPr>
                <w:b/>
                <w:sz w:val="21"/>
              </w:rPr>
            </w:pPr>
          </w:p>
          <w:p>
            <w:pPr>
              <w:pStyle w:val="TableParagraph"/>
              <w:ind w:left="187"/>
              <w:jc w:val="left"/>
              <w:rPr>
                <w:sz w:val="17"/>
              </w:rPr>
            </w:pPr>
            <w:r>
              <w:rPr>
                <w:w w:val="105"/>
                <w:sz w:val="17"/>
              </w:rPr>
              <w:t>Percent</w:t>
            </w:r>
          </w:p>
        </w:tc>
        <w:tc>
          <w:tcPr>
            <w:tcW w:w="1356" w:type="dxa"/>
            <w:tcBorders>
              <w:left w:val="single" w:sz="8" w:space="0" w:color="000000"/>
              <w:right w:val="single" w:sz="6" w:space="0" w:color="000000"/>
            </w:tcBorders>
          </w:tcPr>
          <w:p>
            <w:pPr>
              <w:pStyle w:val="TableParagraph"/>
              <w:jc w:val="left"/>
              <w:rPr>
                <w:b/>
                <w:sz w:val="18"/>
              </w:rPr>
            </w:pPr>
          </w:p>
          <w:p>
            <w:pPr>
              <w:pStyle w:val="TableParagraph"/>
              <w:spacing w:before="1"/>
              <w:jc w:val="left"/>
              <w:rPr>
                <w:b/>
                <w:sz w:val="21"/>
              </w:rPr>
            </w:pPr>
          </w:p>
          <w:p>
            <w:pPr>
              <w:pStyle w:val="TableParagraph"/>
              <w:ind w:left="148"/>
              <w:jc w:val="left"/>
              <w:rPr>
                <w:sz w:val="17"/>
              </w:rPr>
            </w:pPr>
            <w:r>
              <w:rPr>
                <w:w w:val="105"/>
                <w:sz w:val="17"/>
              </w:rPr>
              <w:t>Valid Percent</w:t>
            </w:r>
          </w:p>
        </w:tc>
        <w:tc>
          <w:tcPr>
            <w:tcW w:w="1428" w:type="dxa"/>
            <w:tcBorders>
              <w:left w:val="single" w:sz="6" w:space="0" w:color="000000"/>
            </w:tcBorders>
          </w:tcPr>
          <w:p>
            <w:pPr>
              <w:pStyle w:val="TableParagraph"/>
              <w:spacing w:line="300" w:lineRule="atLeast" w:before="38"/>
              <w:ind w:left="407" w:right="5" w:hanging="135"/>
              <w:jc w:val="left"/>
              <w:rPr>
                <w:sz w:val="17"/>
              </w:rPr>
            </w:pPr>
            <w:r>
              <w:rPr>
                <w:sz w:val="17"/>
              </w:rPr>
              <w:t>Cumulative </w:t>
            </w:r>
            <w:r>
              <w:rPr>
                <w:w w:val="105"/>
                <w:sz w:val="17"/>
              </w:rPr>
              <w:t>Percent</w:t>
            </w:r>
          </w:p>
        </w:tc>
      </w:tr>
      <w:tr>
        <w:trPr>
          <w:trHeight w:val="471" w:hRule="exact"/>
        </w:trPr>
        <w:tc>
          <w:tcPr>
            <w:tcW w:w="585" w:type="dxa"/>
            <w:tcBorders>
              <w:left w:val="single" w:sz="13" w:space="0" w:color="000000"/>
              <w:bottom w:val="nil"/>
              <w:right w:val="nil"/>
            </w:tcBorders>
          </w:tcPr>
          <w:p>
            <w:pPr>
              <w:pStyle w:val="TableParagraph"/>
              <w:spacing w:before="143"/>
              <w:ind w:left="14"/>
              <w:jc w:val="left"/>
              <w:rPr>
                <w:sz w:val="17"/>
              </w:rPr>
            </w:pPr>
            <w:r>
              <w:rPr>
                <w:w w:val="105"/>
                <w:sz w:val="17"/>
              </w:rPr>
              <w:t>Valid</w:t>
            </w:r>
          </w:p>
        </w:tc>
        <w:tc>
          <w:tcPr>
            <w:tcW w:w="846" w:type="dxa"/>
            <w:tcBorders>
              <w:left w:val="nil"/>
              <w:bottom w:val="nil"/>
              <w:right w:val="single" w:sz="13" w:space="0" w:color="000000"/>
            </w:tcBorders>
          </w:tcPr>
          <w:p>
            <w:pPr>
              <w:pStyle w:val="TableParagraph"/>
              <w:spacing w:before="143"/>
              <w:ind w:left="161"/>
              <w:jc w:val="left"/>
              <w:rPr>
                <w:sz w:val="17"/>
              </w:rPr>
            </w:pPr>
            <w:r>
              <w:rPr>
                <w:w w:val="105"/>
                <w:sz w:val="17"/>
              </w:rPr>
              <w:t>1.28</w:t>
            </w:r>
          </w:p>
        </w:tc>
        <w:tc>
          <w:tcPr>
            <w:tcW w:w="1135" w:type="dxa"/>
            <w:tcBorders>
              <w:left w:val="single" w:sz="13" w:space="0" w:color="000000"/>
              <w:bottom w:val="nil"/>
              <w:right w:val="single" w:sz="8" w:space="0" w:color="000000"/>
            </w:tcBorders>
          </w:tcPr>
          <w:p>
            <w:pPr>
              <w:pStyle w:val="TableParagraph"/>
              <w:spacing w:before="143"/>
              <w:ind w:right="14"/>
              <w:rPr>
                <w:sz w:val="17"/>
              </w:rPr>
            </w:pPr>
            <w:r>
              <w:rPr>
                <w:w w:val="104"/>
                <w:sz w:val="17"/>
              </w:rPr>
              <w:t>1</w:t>
            </w:r>
          </w:p>
        </w:tc>
        <w:tc>
          <w:tcPr>
            <w:tcW w:w="989" w:type="dxa"/>
            <w:tcBorders>
              <w:left w:val="single" w:sz="8" w:space="0" w:color="000000"/>
              <w:bottom w:val="nil"/>
              <w:right w:val="single" w:sz="8" w:space="0" w:color="000000"/>
            </w:tcBorders>
          </w:tcPr>
          <w:p>
            <w:pPr>
              <w:pStyle w:val="TableParagraph"/>
              <w:spacing w:before="143"/>
              <w:ind w:right="9"/>
              <w:rPr>
                <w:sz w:val="17"/>
              </w:rPr>
            </w:pPr>
            <w:r>
              <w:rPr>
                <w:w w:val="105"/>
                <w:sz w:val="17"/>
              </w:rPr>
              <w:t>.5</w:t>
            </w:r>
          </w:p>
        </w:tc>
        <w:tc>
          <w:tcPr>
            <w:tcW w:w="1356" w:type="dxa"/>
            <w:tcBorders>
              <w:left w:val="single" w:sz="8" w:space="0" w:color="000000"/>
              <w:bottom w:val="nil"/>
              <w:right w:val="single" w:sz="6" w:space="0" w:color="000000"/>
            </w:tcBorders>
          </w:tcPr>
          <w:p>
            <w:pPr>
              <w:pStyle w:val="TableParagraph"/>
              <w:spacing w:before="143"/>
              <w:ind w:right="14"/>
              <w:rPr>
                <w:sz w:val="17"/>
              </w:rPr>
            </w:pPr>
            <w:r>
              <w:rPr>
                <w:w w:val="105"/>
                <w:sz w:val="17"/>
              </w:rPr>
              <w:t>.5</w:t>
            </w:r>
          </w:p>
        </w:tc>
        <w:tc>
          <w:tcPr>
            <w:tcW w:w="1428" w:type="dxa"/>
            <w:tcBorders>
              <w:left w:val="single" w:sz="6" w:space="0" w:color="000000"/>
              <w:bottom w:val="nil"/>
            </w:tcBorders>
          </w:tcPr>
          <w:p>
            <w:pPr>
              <w:pStyle w:val="TableParagraph"/>
              <w:spacing w:before="143"/>
              <w:ind w:right="4"/>
              <w:rPr>
                <w:sz w:val="17"/>
              </w:rPr>
            </w:pPr>
            <w:r>
              <w:rPr>
                <w:w w:val="105"/>
                <w:sz w:val="17"/>
              </w:rPr>
              <w:t>.5</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1.54</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2</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1.0</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1.0</w:t>
            </w:r>
          </w:p>
        </w:tc>
        <w:tc>
          <w:tcPr>
            <w:tcW w:w="1428" w:type="dxa"/>
            <w:tcBorders>
              <w:top w:val="nil"/>
              <w:left w:val="single" w:sz="6" w:space="0" w:color="000000"/>
              <w:bottom w:val="nil"/>
            </w:tcBorders>
          </w:tcPr>
          <w:p>
            <w:pPr>
              <w:pStyle w:val="TableParagraph"/>
              <w:spacing w:before="99"/>
              <w:ind w:right="4"/>
              <w:rPr>
                <w:sz w:val="17"/>
              </w:rPr>
            </w:pPr>
            <w:r>
              <w:rPr>
                <w:sz w:val="17"/>
              </w:rPr>
              <w:t>1.5</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1.79</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4</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2.0</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2.0</w:t>
            </w:r>
          </w:p>
        </w:tc>
        <w:tc>
          <w:tcPr>
            <w:tcW w:w="1428" w:type="dxa"/>
            <w:tcBorders>
              <w:top w:val="nil"/>
              <w:left w:val="single" w:sz="6" w:space="0" w:color="000000"/>
              <w:bottom w:val="nil"/>
            </w:tcBorders>
          </w:tcPr>
          <w:p>
            <w:pPr>
              <w:pStyle w:val="TableParagraph"/>
              <w:spacing w:before="99"/>
              <w:ind w:right="4"/>
              <w:rPr>
                <w:sz w:val="17"/>
              </w:rPr>
            </w:pPr>
            <w:r>
              <w:rPr>
                <w:sz w:val="17"/>
              </w:rPr>
              <w:t>3.5</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2.05</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7</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3.5</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3.5</w:t>
            </w:r>
          </w:p>
        </w:tc>
        <w:tc>
          <w:tcPr>
            <w:tcW w:w="1428" w:type="dxa"/>
            <w:tcBorders>
              <w:top w:val="nil"/>
              <w:left w:val="single" w:sz="6" w:space="0" w:color="000000"/>
              <w:bottom w:val="nil"/>
            </w:tcBorders>
          </w:tcPr>
          <w:p>
            <w:pPr>
              <w:pStyle w:val="TableParagraph"/>
              <w:spacing w:before="99"/>
              <w:ind w:right="4"/>
              <w:rPr>
                <w:sz w:val="17"/>
              </w:rPr>
            </w:pPr>
            <w:r>
              <w:rPr>
                <w:sz w:val="17"/>
              </w:rPr>
              <w:t>6.9</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2.31</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5"/>
                <w:sz w:val="17"/>
              </w:rPr>
              <w:t>13</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6.4</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6.4</w:t>
            </w:r>
          </w:p>
        </w:tc>
        <w:tc>
          <w:tcPr>
            <w:tcW w:w="1428" w:type="dxa"/>
            <w:tcBorders>
              <w:top w:val="nil"/>
              <w:left w:val="single" w:sz="6" w:space="0" w:color="000000"/>
              <w:bottom w:val="nil"/>
            </w:tcBorders>
          </w:tcPr>
          <w:p>
            <w:pPr>
              <w:pStyle w:val="TableParagraph"/>
              <w:spacing w:before="102"/>
              <w:ind w:right="4"/>
              <w:rPr>
                <w:sz w:val="17"/>
              </w:rPr>
            </w:pPr>
            <w:r>
              <w:rPr>
                <w:w w:val="105"/>
                <w:sz w:val="17"/>
              </w:rPr>
              <w:t>13.4</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7"/>
              <w:ind w:left="161"/>
              <w:jc w:val="left"/>
              <w:rPr>
                <w:sz w:val="17"/>
              </w:rPr>
            </w:pPr>
            <w:r>
              <w:rPr>
                <w:w w:val="105"/>
                <w:sz w:val="17"/>
              </w:rPr>
              <w:t>2.56</w:t>
            </w:r>
          </w:p>
        </w:tc>
        <w:tc>
          <w:tcPr>
            <w:tcW w:w="1135" w:type="dxa"/>
            <w:tcBorders>
              <w:top w:val="nil"/>
              <w:left w:val="single" w:sz="13" w:space="0" w:color="000000"/>
              <w:bottom w:val="nil"/>
              <w:right w:val="single" w:sz="8" w:space="0" w:color="000000"/>
            </w:tcBorders>
          </w:tcPr>
          <w:p>
            <w:pPr>
              <w:pStyle w:val="TableParagraph"/>
              <w:spacing w:before="97"/>
              <w:ind w:right="14"/>
              <w:rPr>
                <w:sz w:val="17"/>
              </w:rPr>
            </w:pPr>
            <w:r>
              <w:rPr>
                <w:w w:val="105"/>
                <w:sz w:val="17"/>
              </w:rPr>
              <w:t>13</w:t>
            </w:r>
          </w:p>
        </w:tc>
        <w:tc>
          <w:tcPr>
            <w:tcW w:w="989" w:type="dxa"/>
            <w:tcBorders>
              <w:top w:val="nil"/>
              <w:left w:val="single" w:sz="8" w:space="0" w:color="000000"/>
              <w:bottom w:val="nil"/>
              <w:right w:val="single" w:sz="8" w:space="0" w:color="000000"/>
            </w:tcBorders>
          </w:tcPr>
          <w:p>
            <w:pPr>
              <w:pStyle w:val="TableParagraph"/>
              <w:spacing w:before="97"/>
              <w:ind w:right="9"/>
              <w:rPr>
                <w:sz w:val="17"/>
              </w:rPr>
            </w:pPr>
            <w:r>
              <w:rPr>
                <w:sz w:val="17"/>
              </w:rPr>
              <w:t>6.4</w:t>
            </w:r>
          </w:p>
        </w:tc>
        <w:tc>
          <w:tcPr>
            <w:tcW w:w="1356" w:type="dxa"/>
            <w:tcBorders>
              <w:top w:val="nil"/>
              <w:left w:val="single" w:sz="8" w:space="0" w:color="000000"/>
              <w:bottom w:val="nil"/>
              <w:right w:val="single" w:sz="6" w:space="0" w:color="000000"/>
            </w:tcBorders>
          </w:tcPr>
          <w:p>
            <w:pPr>
              <w:pStyle w:val="TableParagraph"/>
              <w:spacing w:before="97"/>
              <w:ind w:right="14"/>
              <w:rPr>
                <w:sz w:val="17"/>
              </w:rPr>
            </w:pPr>
            <w:r>
              <w:rPr>
                <w:sz w:val="17"/>
              </w:rPr>
              <w:t>6.4</w:t>
            </w:r>
          </w:p>
        </w:tc>
        <w:tc>
          <w:tcPr>
            <w:tcW w:w="1428" w:type="dxa"/>
            <w:tcBorders>
              <w:top w:val="nil"/>
              <w:left w:val="single" w:sz="6" w:space="0" w:color="000000"/>
              <w:bottom w:val="nil"/>
            </w:tcBorders>
          </w:tcPr>
          <w:p>
            <w:pPr>
              <w:pStyle w:val="TableParagraph"/>
              <w:spacing w:before="97"/>
              <w:ind w:right="4"/>
              <w:rPr>
                <w:sz w:val="17"/>
              </w:rPr>
            </w:pPr>
            <w:r>
              <w:rPr>
                <w:w w:val="105"/>
                <w:sz w:val="17"/>
              </w:rPr>
              <w:t>19.8</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2.82</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5"/>
                <w:sz w:val="17"/>
              </w:rPr>
              <w:t>25</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12.4</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w w:val="105"/>
                <w:sz w:val="17"/>
              </w:rPr>
              <w:t>12.4</w:t>
            </w:r>
          </w:p>
        </w:tc>
        <w:tc>
          <w:tcPr>
            <w:tcW w:w="1428" w:type="dxa"/>
            <w:tcBorders>
              <w:top w:val="nil"/>
              <w:left w:val="single" w:sz="6" w:space="0" w:color="000000"/>
              <w:bottom w:val="nil"/>
            </w:tcBorders>
          </w:tcPr>
          <w:p>
            <w:pPr>
              <w:pStyle w:val="TableParagraph"/>
              <w:spacing w:before="102"/>
              <w:ind w:right="4"/>
              <w:rPr>
                <w:sz w:val="17"/>
              </w:rPr>
            </w:pPr>
            <w:r>
              <w:rPr>
                <w:w w:val="105"/>
                <w:sz w:val="17"/>
              </w:rPr>
              <w:t>32.2</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3.08</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5"/>
                <w:sz w:val="17"/>
              </w:rPr>
              <w:t>12</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5.9</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5.9</w:t>
            </w:r>
          </w:p>
        </w:tc>
        <w:tc>
          <w:tcPr>
            <w:tcW w:w="1428" w:type="dxa"/>
            <w:tcBorders>
              <w:top w:val="nil"/>
              <w:left w:val="single" w:sz="6" w:space="0" w:color="000000"/>
              <w:bottom w:val="nil"/>
            </w:tcBorders>
          </w:tcPr>
          <w:p>
            <w:pPr>
              <w:pStyle w:val="TableParagraph"/>
              <w:spacing w:before="99"/>
              <w:ind w:right="4"/>
              <w:rPr>
                <w:sz w:val="17"/>
              </w:rPr>
            </w:pPr>
            <w:r>
              <w:rPr>
                <w:w w:val="105"/>
                <w:sz w:val="17"/>
              </w:rPr>
              <w:t>38.1</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3.33</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5"/>
                <w:sz w:val="17"/>
              </w:rPr>
              <w:t>11</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5.4</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5.4</w:t>
            </w:r>
          </w:p>
        </w:tc>
        <w:tc>
          <w:tcPr>
            <w:tcW w:w="1428" w:type="dxa"/>
            <w:tcBorders>
              <w:top w:val="nil"/>
              <w:left w:val="single" w:sz="6" w:space="0" w:color="000000"/>
              <w:bottom w:val="nil"/>
            </w:tcBorders>
          </w:tcPr>
          <w:p>
            <w:pPr>
              <w:pStyle w:val="TableParagraph"/>
              <w:spacing w:before="99"/>
              <w:ind w:right="4"/>
              <w:rPr>
                <w:sz w:val="17"/>
              </w:rPr>
            </w:pPr>
            <w:r>
              <w:rPr>
                <w:w w:val="105"/>
                <w:sz w:val="17"/>
              </w:rPr>
              <w:t>43.6</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3.59</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5"/>
                <w:sz w:val="17"/>
              </w:rPr>
              <w:t>13</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6.4</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6.4</w:t>
            </w:r>
          </w:p>
        </w:tc>
        <w:tc>
          <w:tcPr>
            <w:tcW w:w="1428" w:type="dxa"/>
            <w:tcBorders>
              <w:top w:val="nil"/>
              <w:left w:val="single" w:sz="6" w:space="0" w:color="000000"/>
              <w:bottom w:val="nil"/>
            </w:tcBorders>
          </w:tcPr>
          <w:p>
            <w:pPr>
              <w:pStyle w:val="TableParagraph"/>
              <w:spacing w:before="99"/>
              <w:ind w:right="4"/>
              <w:rPr>
                <w:sz w:val="17"/>
              </w:rPr>
            </w:pPr>
            <w:r>
              <w:rPr>
                <w:w w:val="105"/>
                <w:sz w:val="17"/>
              </w:rPr>
              <w:t>50.0</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3.85</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5"/>
                <w:sz w:val="17"/>
              </w:rPr>
              <w:t>17</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8.4</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8.4</w:t>
            </w:r>
          </w:p>
        </w:tc>
        <w:tc>
          <w:tcPr>
            <w:tcW w:w="1428" w:type="dxa"/>
            <w:tcBorders>
              <w:top w:val="nil"/>
              <w:left w:val="single" w:sz="6" w:space="0" w:color="000000"/>
              <w:bottom w:val="nil"/>
            </w:tcBorders>
          </w:tcPr>
          <w:p>
            <w:pPr>
              <w:pStyle w:val="TableParagraph"/>
              <w:spacing w:before="102"/>
              <w:ind w:right="4"/>
              <w:rPr>
                <w:sz w:val="17"/>
              </w:rPr>
            </w:pPr>
            <w:r>
              <w:rPr>
                <w:w w:val="105"/>
                <w:sz w:val="17"/>
              </w:rPr>
              <w:t>58.4</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7"/>
              <w:ind w:left="161"/>
              <w:jc w:val="left"/>
              <w:rPr>
                <w:sz w:val="17"/>
              </w:rPr>
            </w:pPr>
            <w:r>
              <w:rPr>
                <w:w w:val="105"/>
                <w:sz w:val="17"/>
              </w:rPr>
              <w:t>4.10</w:t>
            </w:r>
          </w:p>
        </w:tc>
        <w:tc>
          <w:tcPr>
            <w:tcW w:w="1135" w:type="dxa"/>
            <w:tcBorders>
              <w:top w:val="nil"/>
              <w:left w:val="single" w:sz="13" w:space="0" w:color="000000"/>
              <w:bottom w:val="nil"/>
              <w:right w:val="single" w:sz="8" w:space="0" w:color="000000"/>
            </w:tcBorders>
          </w:tcPr>
          <w:p>
            <w:pPr>
              <w:pStyle w:val="TableParagraph"/>
              <w:spacing w:before="97"/>
              <w:ind w:right="14"/>
              <w:rPr>
                <w:sz w:val="17"/>
              </w:rPr>
            </w:pPr>
            <w:r>
              <w:rPr>
                <w:w w:val="105"/>
                <w:sz w:val="17"/>
              </w:rPr>
              <w:t>18</w:t>
            </w:r>
          </w:p>
        </w:tc>
        <w:tc>
          <w:tcPr>
            <w:tcW w:w="989" w:type="dxa"/>
            <w:tcBorders>
              <w:top w:val="nil"/>
              <w:left w:val="single" w:sz="8" w:space="0" w:color="000000"/>
              <w:bottom w:val="nil"/>
              <w:right w:val="single" w:sz="8" w:space="0" w:color="000000"/>
            </w:tcBorders>
          </w:tcPr>
          <w:p>
            <w:pPr>
              <w:pStyle w:val="TableParagraph"/>
              <w:spacing w:before="97"/>
              <w:ind w:right="9"/>
              <w:rPr>
                <w:sz w:val="17"/>
              </w:rPr>
            </w:pPr>
            <w:r>
              <w:rPr>
                <w:sz w:val="17"/>
              </w:rPr>
              <w:t>8.9</w:t>
            </w:r>
          </w:p>
        </w:tc>
        <w:tc>
          <w:tcPr>
            <w:tcW w:w="1356" w:type="dxa"/>
            <w:tcBorders>
              <w:top w:val="nil"/>
              <w:left w:val="single" w:sz="8" w:space="0" w:color="000000"/>
              <w:bottom w:val="nil"/>
              <w:right w:val="single" w:sz="6" w:space="0" w:color="000000"/>
            </w:tcBorders>
          </w:tcPr>
          <w:p>
            <w:pPr>
              <w:pStyle w:val="TableParagraph"/>
              <w:spacing w:before="97"/>
              <w:ind w:right="14"/>
              <w:rPr>
                <w:sz w:val="17"/>
              </w:rPr>
            </w:pPr>
            <w:r>
              <w:rPr>
                <w:sz w:val="17"/>
              </w:rPr>
              <w:t>8.9</w:t>
            </w:r>
          </w:p>
        </w:tc>
        <w:tc>
          <w:tcPr>
            <w:tcW w:w="1428" w:type="dxa"/>
            <w:tcBorders>
              <w:top w:val="nil"/>
              <w:left w:val="single" w:sz="6" w:space="0" w:color="000000"/>
              <w:bottom w:val="nil"/>
            </w:tcBorders>
          </w:tcPr>
          <w:p>
            <w:pPr>
              <w:pStyle w:val="TableParagraph"/>
              <w:spacing w:before="97"/>
              <w:ind w:right="4"/>
              <w:rPr>
                <w:sz w:val="17"/>
              </w:rPr>
            </w:pPr>
            <w:r>
              <w:rPr>
                <w:w w:val="105"/>
                <w:sz w:val="17"/>
              </w:rPr>
              <w:t>67.3</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4.36</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5"/>
                <w:sz w:val="17"/>
              </w:rPr>
              <w:t>10</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5.0</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5.0</w:t>
            </w:r>
          </w:p>
        </w:tc>
        <w:tc>
          <w:tcPr>
            <w:tcW w:w="1428" w:type="dxa"/>
            <w:tcBorders>
              <w:top w:val="nil"/>
              <w:left w:val="single" w:sz="6" w:space="0" w:color="000000"/>
              <w:bottom w:val="nil"/>
            </w:tcBorders>
          </w:tcPr>
          <w:p>
            <w:pPr>
              <w:pStyle w:val="TableParagraph"/>
              <w:spacing w:before="102"/>
              <w:ind w:right="4"/>
              <w:rPr>
                <w:sz w:val="17"/>
              </w:rPr>
            </w:pPr>
            <w:r>
              <w:rPr>
                <w:w w:val="105"/>
                <w:sz w:val="17"/>
              </w:rPr>
              <w:t>72.3</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4.62</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5"/>
                <w:sz w:val="17"/>
              </w:rPr>
              <w:t>10</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5.0</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5.0</w:t>
            </w:r>
          </w:p>
        </w:tc>
        <w:tc>
          <w:tcPr>
            <w:tcW w:w="1428" w:type="dxa"/>
            <w:tcBorders>
              <w:top w:val="nil"/>
              <w:left w:val="single" w:sz="6" w:space="0" w:color="000000"/>
              <w:bottom w:val="nil"/>
            </w:tcBorders>
          </w:tcPr>
          <w:p>
            <w:pPr>
              <w:pStyle w:val="TableParagraph"/>
              <w:spacing w:before="99"/>
              <w:ind w:right="4"/>
              <w:rPr>
                <w:sz w:val="17"/>
              </w:rPr>
            </w:pPr>
            <w:r>
              <w:rPr>
                <w:w w:val="105"/>
                <w:sz w:val="17"/>
              </w:rPr>
              <w:t>77.2</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4.87</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5"/>
                <w:sz w:val="17"/>
              </w:rPr>
              <w:t>13</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6.4</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6.4</w:t>
            </w:r>
          </w:p>
        </w:tc>
        <w:tc>
          <w:tcPr>
            <w:tcW w:w="1428" w:type="dxa"/>
            <w:tcBorders>
              <w:top w:val="nil"/>
              <w:left w:val="single" w:sz="6" w:space="0" w:color="000000"/>
              <w:bottom w:val="nil"/>
            </w:tcBorders>
          </w:tcPr>
          <w:p>
            <w:pPr>
              <w:pStyle w:val="TableParagraph"/>
              <w:spacing w:before="99"/>
              <w:ind w:right="4"/>
              <w:rPr>
                <w:sz w:val="17"/>
              </w:rPr>
            </w:pPr>
            <w:r>
              <w:rPr>
                <w:w w:val="105"/>
                <w:sz w:val="17"/>
              </w:rPr>
              <w:t>83.7</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5.13</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7</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3.5</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3.5</w:t>
            </w:r>
          </w:p>
        </w:tc>
        <w:tc>
          <w:tcPr>
            <w:tcW w:w="1428" w:type="dxa"/>
            <w:tcBorders>
              <w:top w:val="nil"/>
              <w:left w:val="single" w:sz="6" w:space="0" w:color="000000"/>
              <w:bottom w:val="nil"/>
            </w:tcBorders>
          </w:tcPr>
          <w:p>
            <w:pPr>
              <w:pStyle w:val="TableParagraph"/>
              <w:spacing w:before="99"/>
              <w:ind w:right="4"/>
              <w:rPr>
                <w:sz w:val="17"/>
              </w:rPr>
            </w:pPr>
            <w:r>
              <w:rPr>
                <w:w w:val="105"/>
                <w:sz w:val="17"/>
              </w:rPr>
              <w:t>87.1</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5.38</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4"/>
                <w:sz w:val="17"/>
              </w:rPr>
              <w:t>5</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2.5</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2.5</w:t>
            </w:r>
          </w:p>
        </w:tc>
        <w:tc>
          <w:tcPr>
            <w:tcW w:w="1428" w:type="dxa"/>
            <w:tcBorders>
              <w:top w:val="nil"/>
              <w:left w:val="single" w:sz="6" w:space="0" w:color="000000"/>
              <w:bottom w:val="nil"/>
            </w:tcBorders>
          </w:tcPr>
          <w:p>
            <w:pPr>
              <w:pStyle w:val="TableParagraph"/>
              <w:spacing w:before="102"/>
              <w:ind w:right="4"/>
              <w:rPr>
                <w:sz w:val="17"/>
              </w:rPr>
            </w:pPr>
            <w:r>
              <w:rPr>
                <w:w w:val="105"/>
                <w:sz w:val="17"/>
              </w:rPr>
              <w:t>89.6</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7"/>
              <w:ind w:left="161"/>
              <w:jc w:val="left"/>
              <w:rPr>
                <w:sz w:val="17"/>
              </w:rPr>
            </w:pPr>
            <w:r>
              <w:rPr>
                <w:w w:val="105"/>
                <w:sz w:val="17"/>
              </w:rPr>
              <w:t>5.64</w:t>
            </w:r>
          </w:p>
        </w:tc>
        <w:tc>
          <w:tcPr>
            <w:tcW w:w="1135" w:type="dxa"/>
            <w:tcBorders>
              <w:top w:val="nil"/>
              <w:left w:val="single" w:sz="13" w:space="0" w:color="000000"/>
              <w:bottom w:val="nil"/>
              <w:right w:val="single" w:sz="8" w:space="0" w:color="000000"/>
            </w:tcBorders>
          </w:tcPr>
          <w:p>
            <w:pPr>
              <w:pStyle w:val="TableParagraph"/>
              <w:spacing w:before="97"/>
              <w:ind w:right="14"/>
              <w:rPr>
                <w:sz w:val="17"/>
              </w:rPr>
            </w:pPr>
            <w:r>
              <w:rPr>
                <w:w w:val="104"/>
                <w:sz w:val="17"/>
              </w:rPr>
              <w:t>3</w:t>
            </w:r>
          </w:p>
        </w:tc>
        <w:tc>
          <w:tcPr>
            <w:tcW w:w="989" w:type="dxa"/>
            <w:tcBorders>
              <w:top w:val="nil"/>
              <w:left w:val="single" w:sz="8" w:space="0" w:color="000000"/>
              <w:bottom w:val="nil"/>
              <w:right w:val="single" w:sz="8" w:space="0" w:color="000000"/>
            </w:tcBorders>
          </w:tcPr>
          <w:p>
            <w:pPr>
              <w:pStyle w:val="TableParagraph"/>
              <w:spacing w:before="97"/>
              <w:ind w:right="9"/>
              <w:rPr>
                <w:sz w:val="17"/>
              </w:rPr>
            </w:pPr>
            <w:r>
              <w:rPr>
                <w:sz w:val="17"/>
              </w:rPr>
              <w:t>1.5</w:t>
            </w:r>
          </w:p>
        </w:tc>
        <w:tc>
          <w:tcPr>
            <w:tcW w:w="1356" w:type="dxa"/>
            <w:tcBorders>
              <w:top w:val="nil"/>
              <w:left w:val="single" w:sz="8" w:space="0" w:color="000000"/>
              <w:bottom w:val="nil"/>
              <w:right w:val="single" w:sz="6" w:space="0" w:color="000000"/>
            </w:tcBorders>
          </w:tcPr>
          <w:p>
            <w:pPr>
              <w:pStyle w:val="TableParagraph"/>
              <w:spacing w:before="97"/>
              <w:ind w:right="14"/>
              <w:rPr>
                <w:sz w:val="17"/>
              </w:rPr>
            </w:pPr>
            <w:r>
              <w:rPr>
                <w:sz w:val="17"/>
              </w:rPr>
              <w:t>1.5</w:t>
            </w:r>
          </w:p>
        </w:tc>
        <w:tc>
          <w:tcPr>
            <w:tcW w:w="1428" w:type="dxa"/>
            <w:tcBorders>
              <w:top w:val="nil"/>
              <w:left w:val="single" w:sz="6" w:space="0" w:color="000000"/>
              <w:bottom w:val="nil"/>
            </w:tcBorders>
          </w:tcPr>
          <w:p>
            <w:pPr>
              <w:pStyle w:val="TableParagraph"/>
              <w:spacing w:before="97"/>
              <w:ind w:right="4"/>
              <w:rPr>
                <w:sz w:val="17"/>
              </w:rPr>
            </w:pPr>
            <w:r>
              <w:rPr>
                <w:w w:val="105"/>
                <w:sz w:val="17"/>
              </w:rPr>
              <w:t>91.1</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5.90</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4"/>
                <w:sz w:val="17"/>
              </w:rPr>
              <w:t>3</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sz w:val="17"/>
              </w:rPr>
              <w:t>1.5</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sz w:val="17"/>
              </w:rPr>
              <w:t>1.5</w:t>
            </w:r>
          </w:p>
        </w:tc>
        <w:tc>
          <w:tcPr>
            <w:tcW w:w="1428" w:type="dxa"/>
            <w:tcBorders>
              <w:top w:val="nil"/>
              <w:left w:val="single" w:sz="6" w:space="0" w:color="000000"/>
              <w:bottom w:val="nil"/>
            </w:tcBorders>
          </w:tcPr>
          <w:p>
            <w:pPr>
              <w:pStyle w:val="TableParagraph"/>
              <w:spacing w:before="102"/>
              <w:ind w:right="4"/>
              <w:rPr>
                <w:sz w:val="17"/>
              </w:rPr>
            </w:pPr>
            <w:r>
              <w:rPr>
                <w:w w:val="105"/>
                <w:sz w:val="17"/>
              </w:rPr>
              <w:t>92.6</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6.15</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5</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2.5</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2.5</w:t>
            </w:r>
          </w:p>
        </w:tc>
        <w:tc>
          <w:tcPr>
            <w:tcW w:w="1428" w:type="dxa"/>
            <w:tcBorders>
              <w:top w:val="nil"/>
              <w:left w:val="single" w:sz="6" w:space="0" w:color="000000"/>
              <w:bottom w:val="nil"/>
            </w:tcBorders>
          </w:tcPr>
          <w:p>
            <w:pPr>
              <w:pStyle w:val="TableParagraph"/>
              <w:spacing w:before="99"/>
              <w:ind w:right="4"/>
              <w:rPr>
                <w:sz w:val="17"/>
              </w:rPr>
            </w:pPr>
            <w:r>
              <w:rPr>
                <w:w w:val="105"/>
                <w:sz w:val="17"/>
              </w:rPr>
              <w:t>95.0</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6.41</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2</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1.0</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1.0</w:t>
            </w:r>
          </w:p>
        </w:tc>
        <w:tc>
          <w:tcPr>
            <w:tcW w:w="1428" w:type="dxa"/>
            <w:tcBorders>
              <w:top w:val="nil"/>
              <w:left w:val="single" w:sz="6" w:space="0" w:color="000000"/>
              <w:bottom w:val="nil"/>
            </w:tcBorders>
          </w:tcPr>
          <w:p>
            <w:pPr>
              <w:pStyle w:val="TableParagraph"/>
              <w:spacing w:before="99"/>
              <w:ind w:right="4"/>
              <w:rPr>
                <w:sz w:val="17"/>
              </w:rPr>
            </w:pPr>
            <w:r>
              <w:rPr>
                <w:w w:val="105"/>
                <w:sz w:val="17"/>
              </w:rPr>
              <w:t>96.0</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6.67</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2</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sz w:val="17"/>
              </w:rPr>
              <w:t>1.0</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sz w:val="17"/>
              </w:rPr>
              <w:t>1.0</w:t>
            </w:r>
          </w:p>
        </w:tc>
        <w:tc>
          <w:tcPr>
            <w:tcW w:w="1428" w:type="dxa"/>
            <w:tcBorders>
              <w:top w:val="nil"/>
              <w:left w:val="single" w:sz="6" w:space="0" w:color="000000"/>
              <w:bottom w:val="nil"/>
            </w:tcBorders>
          </w:tcPr>
          <w:p>
            <w:pPr>
              <w:pStyle w:val="TableParagraph"/>
              <w:spacing w:before="99"/>
              <w:ind w:right="4"/>
              <w:rPr>
                <w:sz w:val="17"/>
              </w:rPr>
            </w:pPr>
            <w:r>
              <w:rPr>
                <w:w w:val="105"/>
                <w:sz w:val="17"/>
              </w:rPr>
              <w:t>97.0</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6.92</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4"/>
                <w:sz w:val="17"/>
              </w:rPr>
              <w:t>1</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w w:val="105"/>
                <w:sz w:val="17"/>
              </w:rPr>
              <w:t>.5</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w w:val="105"/>
                <w:sz w:val="17"/>
              </w:rPr>
              <w:t>.5</w:t>
            </w:r>
          </w:p>
        </w:tc>
        <w:tc>
          <w:tcPr>
            <w:tcW w:w="1428" w:type="dxa"/>
            <w:tcBorders>
              <w:top w:val="nil"/>
              <w:left w:val="single" w:sz="6" w:space="0" w:color="000000"/>
              <w:bottom w:val="nil"/>
            </w:tcBorders>
          </w:tcPr>
          <w:p>
            <w:pPr>
              <w:pStyle w:val="TableParagraph"/>
              <w:spacing w:before="102"/>
              <w:ind w:right="4"/>
              <w:rPr>
                <w:sz w:val="17"/>
              </w:rPr>
            </w:pPr>
            <w:r>
              <w:rPr>
                <w:w w:val="105"/>
                <w:sz w:val="17"/>
              </w:rPr>
              <w:t>97.5</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7"/>
              <w:ind w:left="161"/>
              <w:jc w:val="left"/>
              <w:rPr>
                <w:sz w:val="17"/>
              </w:rPr>
            </w:pPr>
            <w:r>
              <w:rPr>
                <w:w w:val="105"/>
                <w:sz w:val="17"/>
              </w:rPr>
              <w:t>7.18</w:t>
            </w:r>
          </w:p>
        </w:tc>
        <w:tc>
          <w:tcPr>
            <w:tcW w:w="1135" w:type="dxa"/>
            <w:tcBorders>
              <w:top w:val="nil"/>
              <w:left w:val="single" w:sz="13" w:space="0" w:color="000000"/>
              <w:bottom w:val="nil"/>
              <w:right w:val="single" w:sz="8" w:space="0" w:color="000000"/>
            </w:tcBorders>
          </w:tcPr>
          <w:p>
            <w:pPr>
              <w:pStyle w:val="TableParagraph"/>
              <w:spacing w:before="97"/>
              <w:ind w:right="14"/>
              <w:rPr>
                <w:sz w:val="17"/>
              </w:rPr>
            </w:pPr>
            <w:r>
              <w:rPr>
                <w:w w:val="104"/>
                <w:sz w:val="17"/>
              </w:rPr>
              <w:t>3</w:t>
            </w:r>
          </w:p>
        </w:tc>
        <w:tc>
          <w:tcPr>
            <w:tcW w:w="989" w:type="dxa"/>
            <w:tcBorders>
              <w:top w:val="nil"/>
              <w:left w:val="single" w:sz="8" w:space="0" w:color="000000"/>
              <w:bottom w:val="nil"/>
              <w:right w:val="single" w:sz="8" w:space="0" w:color="000000"/>
            </w:tcBorders>
          </w:tcPr>
          <w:p>
            <w:pPr>
              <w:pStyle w:val="TableParagraph"/>
              <w:spacing w:before="97"/>
              <w:ind w:right="9"/>
              <w:rPr>
                <w:sz w:val="17"/>
              </w:rPr>
            </w:pPr>
            <w:r>
              <w:rPr>
                <w:sz w:val="17"/>
              </w:rPr>
              <w:t>1.5</w:t>
            </w:r>
          </w:p>
        </w:tc>
        <w:tc>
          <w:tcPr>
            <w:tcW w:w="1356" w:type="dxa"/>
            <w:tcBorders>
              <w:top w:val="nil"/>
              <w:left w:val="single" w:sz="8" w:space="0" w:color="000000"/>
              <w:bottom w:val="nil"/>
              <w:right w:val="single" w:sz="6" w:space="0" w:color="000000"/>
            </w:tcBorders>
          </w:tcPr>
          <w:p>
            <w:pPr>
              <w:pStyle w:val="TableParagraph"/>
              <w:spacing w:before="97"/>
              <w:ind w:right="14"/>
              <w:rPr>
                <w:sz w:val="17"/>
              </w:rPr>
            </w:pPr>
            <w:r>
              <w:rPr>
                <w:sz w:val="17"/>
              </w:rPr>
              <w:t>1.5</w:t>
            </w:r>
          </w:p>
        </w:tc>
        <w:tc>
          <w:tcPr>
            <w:tcW w:w="1428" w:type="dxa"/>
            <w:tcBorders>
              <w:top w:val="nil"/>
              <w:left w:val="single" w:sz="6" w:space="0" w:color="000000"/>
              <w:bottom w:val="nil"/>
            </w:tcBorders>
          </w:tcPr>
          <w:p>
            <w:pPr>
              <w:pStyle w:val="TableParagraph"/>
              <w:spacing w:before="97"/>
              <w:ind w:right="4"/>
              <w:rPr>
                <w:sz w:val="17"/>
              </w:rPr>
            </w:pPr>
            <w:r>
              <w:rPr>
                <w:w w:val="105"/>
                <w:sz w:val="17"/>
              </w:rPr>
              <w:t>99.0</w:t>
            </w:r>
          </w:p>
        </w:tc>
      </w:tr>
      <w:tr>
        <w:trPr>
          <w:trHeight w:val="410"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102"/>
              <w:ind w:left="161"/>
              <w:jc w:val="left"/>
              <w:rPr>
                <w:sz w:val="17"/>
              </w:rPr>
            </w:pPr>
            <w:r>
              <w:rPr>
                <w:w w:val="105"/>
                <w:sz w:val="17"/>
              </w:rPr>
              <w:t>7.44</w:t>
            </w:r>
          </w:p>
        </w:tc>
        <w:tc>
          <w:tcPr>
            <w:tcW w:w="1135" w:type="dxa"/>
            <w:tcBorders>
              <w:top w:val="nil"/>
              <w:left w:val="single" w:sz="13" w:space="0" w:color="000000"/>
              <w:bottom w:val="nil"/>
              <w:right w:val="single" w:sz="8" w:space="0" w:color="000000"/>
            </w:tcBorders>
          </w:tcPr>
          <w:p>
            <w:pPr>
              <w:pStyle w:val="TableParagraph"/>
              <w:spacing w:before="102"/>
              <w:ind w:right="14"/>
              <w:rPr>
                <w:sz w:val="17"/>
              </w:rPr>
            </w:pPr>
            <w:r>
              <w:rPr>
                <w:w w:val="104"/>
                <w:sz w:val="17"/>
              </w:rPr>
              <w:t>1</w:t>
            </w:r>
          </w:p>
        </w:tc>
        <w:tc>
          <w:tcPr>
            <w:tcW w:w="989" w:type="dxa"/>
            <w:tcBorders>
              <w:top w:val="nil"/>
              <w:left w:val="single" w:sz="8" w:space="0" w:color="000000"/>
              <w:bottom w:val="nil"/>
              <w:right w:val="single" w:sz="8" w:space="0" w:color="000000"/>
            </w:tcBorders>
          </w:tcPr>
          <w:p>
            <w:pPr>
              <w:pStyle w:val="TableParagraph"/>
              <w:spacing w:before="102"/>
              <w:ind w:right="9"/>
              <w:rPr>
                <w:sz w:val="17"/>
              </w:rPr>
            </w:pPr>
            <w:r>
              <w:rPr>
                <w:w w:val="105"/>
                <w:sz w:val="17"/>
              </w:rPr>
              <w:t>.5</w:t>
            </w:r>
          </w:p>
        </w:tc>
        <w:tc>
          <w:tcPr>
            <w:tcW w:w="1356" w:type="dxa"/>
            <w:tcBorders>
              <w:top w:val="nil"/>
              <w:left w:val="single" w:sz="8" w:space="0" w:color="000000"/>
              <w:bottom w:val="nil"/>
              <w:right w:val="single" w:sz="6" w:space="0" w:color="000000"/>
            </w:tcBorders>
          </w:tcPr>
          <w:p>
            <w:pPr>
              <w:pStyle w:val="TableParagraph"/>
              <w:spacing w:before="102"/>
              <w:ind w:right="14"/>
              <w:rPr>
                <w:sz w:val="17"/>
              </w:rPr>
            </w:pPr>
            <w:r>
              <w:rPr>
                <w:w w:val="105"/>
                <w:sz w:val="17"/>
              </w:rPr>
              <w:t>.5</w:t>
            </w:r>
          </w:p>
        </w:tc>
        <w:tc>
          <w:tcPr>
            <w:tcW w:w="1428" w:type="dxa"/>
            <w:tcBorders>
              <w:top w:val="nil"/>
              <w:left w:val="single" w:sz="6" w:space="0" w:color="000000"/>
              <w:bottom w:val="nil"/>
            </w:tcBorders>
          </w:tcPr>
          <w:p>
            <w:pPr>
              <w:pStyle w:val="TableParagraph"/>
              <w:spacing w:before="102"/>
              <w:ind w:right="4"/>
              <w:rPr>
                <w:sz w:val="17"/>
              </w:rPr>
            </w:pPr>
            <w:r>
              <w:rPr>
                <w:w w:val="105"/>
                <w:sz w:val="17"/>
              </w:rPr>
              <w:t>99.5</w:t>
            </w:r>
          </w:p>
        </w:tc>
      </w:tr>
      <w:tr>
        <w:trPr>
          <w:trHeight w:val="408" w:hRule="exact"/>
        </w:trPr>
        <w:tc>
          <w:tcPr>
            <w:tcW w:w="585" w:type="dxa"/>
            <w:tcBorders>
              <w:top w:val="nil"/>
              <w:left w:val="single" w:sz="13" w:space="0" w:color="000000"/>
              <w:bottom w:val="nil"/>
              <w:right w:val="nil"/>
            </w:tcBorders>
          </w:tcPr>
          <w:p>
            <w:pPr/>
          </w:p>
        </w:tc>
        <w:tc>
          <w:tcPr>
            <w:tcW w:w="846" w:type="dxa"/>
            <w:tcBorders>
              <w:top w:val="nil"/>
              <w:left w:val="nil"/>
              <w:bottom w:val="nil"/>
              <w:right w:val="single" w:sz="13" w:space="0" w:color="000000"/>
            </w:tcBorders>
          </w:tcPr>
          <w:p>
            <w:pPr>
              <w:pStyle w:val="TableParagraph"/>
              <w:spacing w:before="99"/>
              <w:ind w:left="161"/>
              <w:jc w:val="left"/>
              <w:rPr>
                <w:sz w:val="17"/>
              </w:rPr>
            </w:pPr>
            <w:r>
              <w:rPr>
                <w:w w:val="105"/>
                <w:sz w:val="17"/>
              </w:rPr>
              <w:t>7.95</w:t>
            </w:r>
          </w:p>
        </w:tc>
        <w:tc>
          <w:tcPr>
            <w:tcW w:w="1135" w:type="dxa"/>
            <w:tcBorders>
              <w:top w:val="nil"/>
              <w:left w:val="single" w:sz="13" w:space="0" w:color="000000"/>
              <w:bottom w:val="nil"/>
              <w:right w:val="single" w:sz="8" w:space="0" w:color="000000"/>
            </w:tcBorders>
          </w:tcPr>
          <w:p>
            <w:pPr>
              <w:pStyle w:val="TableParagraph"/>
              <w:spacing w:before="99"/>
              <w:ind w:right="14"/>
              <w:rPr>
                <w:sz w:val="17"/>
              </w:rPr>
            </w:pPr>
            <w:r>
              <w:rPr>
                <w:w w:val="104"/>
                <w:sz w:val="17"/>
              </w:rPr>
              <w:t>1</w:t>
            </w:r>
          </w:p>
        </w:tc>
        <w:tc>
          <w:tcPr>
            <w:tcW w:w="989" w:type="dxa"/>
            <w:tcBorders>
              <w:top w:val="nil"/>
              <w:left w:val="single" w:sz="8" w:space="0" w:color="000000"/>
              <w:bottom w:val="nil"/>
              <w:right w:val="single" w:sz="8" w:space="0" w:color="000000"/>
            </w:tcBorders>
          </w:tcPr>
          <w:p>
            <w:pPr>
              <w:pStyle w:val="TableParagraph"/>
              <w:spacing w:before="99"/>
              <w:ind w:right="9"/>
              <w:rPr>
                <w:sz w:val="17"/>
              </w:rPr>
            </w:pPr>
            <w:r>
              <w:rPr>
                <w:w w:val="105"/>
                <w:sz w:val="17"/>
              </w:rPr>
              <w:t>.5</w:t>
            </w:r>
          </w:p>
        </w:tc>
        <w:tc>
          <w:tcPr>
            <w:tcW w:w="1356" w:type="dxa"/>
            <w:tcBorders>
              <w:top w:val="nil"/>
              <w:left w:val="single" w:sz="8" w:space="0" w:color="000000"/>
              <w:bottom w:val="nil"/>
              <w:right w:val="single" w:sz="6" w:space="0" w:color="000000"/>
            </w:tcBorders>
          </w:tcPr>
          <w:p>
            <w:pPr>
              <w:pStyle w:val="TableParagraph"/>
              <w:spacing w:before="99"/>
              <w:ind w:right="14"/>
              <w:rPr>
                <w:sz w:val="17"/>
              </w:rPr>
            </w:pPr>
            <w:r>
              <w:rPr>
                <w:w w:val="105"/>
                <w:sz w:val="17"/>
              </w:rPr>
              <w:t>.5</w:t>
            </w:r>
          </w:p>
        </w:tc>
        <w:tc>
          <w:tcPr>
            <w:tcW w:w="1428" w:type="dxa"/>
            <w:tcBorders>
              <w:top w:val="nil"/>
              <w:left w:val="single" w:sz="6" w:space="0" w:color="000000"/>
              <w:bottom w:val="nil"/>
            </w:tcBorders>
          </w:tcPr>
          <w:p>
            <w:pPr>
              <w:pStyle w:val="TableParagraph"/>
              <w:spacing w:before="99"/>
              <w:ind w:right="4"/>
              <w:rPr>
                <w:sz w:val="17"/>
              </w:rPr>
            </w:pPr>
            <w:r>
              <w:rPr>
                <w:w w:val="105"/>
                <w:sz w:val="17"/>
              </w:rPr>
              <w:t>100.0</w:t>
            </w:r>
          </w:p>
        </w:tc>
      </w:tr>
      <w:tr>
        <w:trPr>
          <w:trHeight w:val="350" w:hRule="exact"/>
        </w:trPr>
        <w:tc>
          <w:tcPr>
            <w:tcW w:w="585" w:type="dxa"/>
            <w:tcBorders>
              <w:top w:val="nil"/>
              <w:left w:val="single" w:sz="13" w:space="0" w:color="000000"/>
              <w:right w:val="nil"/>
            </w:tcBorders>
          </w:tcPr>
          <w:p>
            <w:pPr/>
          </w:p>
        </w:tc>
        <w:tc>
          <w:tcPr>
            <w:tcW w:w="846" w:type="dxa"/>
            <w:tcBorders>
              <w:top w:val="nil"/>
              <w:left w:val="nil"/>
              <w:right w:val="single" w:sz="13" w:space="0" w:color="000000"/>
            </w:tcBorders>
          </w:tcPr>
          <w:p>
            <w:pPr>
              <w:pStyle w:val="TableParagraph"/>
              <w:spacing w:before="99"/>
              <w:ind w:left="161"/>
              <w:jc w:val="left"/>
              <w:rPr>
                <w:sz w:val="17"/>
              </w:rPr>
            </w:pPr>
            <w:r>
              <w:rPr>
                <w:w w:val="105"/>
                <w:sz w:val="17"/>
              </w:rPr>
              <w:t>Total</w:t>
            </w:r>
          </w:p>
        </w:tc>
        <w:tc>
          <w:tcPr>
            <w:tcW w:w="1135" w:type="dxa"/>
            <w:tcBorders>
              <w:top w:val="nil"/>
              <w:left w:val="single" w:sz="13" w:space="0" w:color="000000"/>
              <w:right w:val="single" w:sz="8" w:space="0" w:color="000000"/>
            </w:tcBorders>
          </w:tcPr>
          <w:p>
            <w:pPr>
              <w:pStyle w:val="TableParagraph"/>
              <w:spacing w:before="99"/>
              <w:ind w:right="14"/>
              <w:rPr>
                <w:sz w:val="17"/>
              </w:rPr>
            </w:pPr>
            <w:r>
              <w:rPr>
                <w:w w:val="105"/>
                <w:sz w:val="17"/>
              </w:rPr>
              <w:t>202</w:t>
            </w:r>
          </w:p>
        </w:tc>
        <w:tc>
          <w:tcPr>
            <w:tcW w:w="989" w:type="dxa"/>
            <w:tcBorders>
              <w:top w:val="nil"/>
              <w:left w:val="single" w:sz="8" w:space="0" w:color="000000"/>
              <w:right w:val="single" w:sz="8" w:space="0" w:color="000000"/>
            </w:tcBorders>
          </w:tcPr>
          <w:p>
            <w:pPr>
              <w:pStyle w:val="TableParagraph"/>
              <w:spacing w:before="99"/>
              <w:ind w:right="9"/>
              <w:rPr>
                <w:sz w:val="17"/>
              </w:rPr>
            </w:pPr>
            <w:r>
              <w:rPr>
                <w:w w:val="105"/>
                <w:sz w:val="17"/>
              </w:rPr>
              <w:t>100.0</w:t>
            </w:r>
          </w:p>
        </w:tc>
        <w:tc>
          <w:tcPr>
            <w:tcW w:w="1356" w:type="dxa"/>
            <w:tcBorders>
              <w:top w:val="nil"/>
              <w:left w:val="single" w:sz="8" w:space="0" w:color="000000"/>
              <w:right w:val="single" w:sz="6" w:space="0" w:color="000000"/>
            </w:tcBorders>
          </w:tcPr>
          <w:p>
            <w:pPr>
              <w:pStyle w:val="TableParagraph"/>
              <w:spacing w:before="99"/>
              <w:ind w:right="14"/>
              <w:rPr>
                <w:sz w:val="17"/>
              </w:rPr>
            </w:pPr>
            <w:r>
              <w:rPr>
                <w:w w:val="105"/>
                <w:sz w:val="17"/>
              </w:rPr>
              <w:t>100.0</w:t>
            </w:r>
          </w:p>
        </w:tc>
        <w:tc>
          <w:tcPr>
            <w:tcW w:w="1428" w:type="dxa"/>
            <w:tcBorders>
              <w:top w:val="nil"/>
              <w:left w:val="single" w:sz="6" w:space="0" w:color="000000"/>
            </w:tcBorders>
          </w:tcPr>
          <w:p>
            <w:pPr/>
          </w:p>
        </w:tc>
      </w:tr>
    </w:tbl>
    <w:p>
      <w:pPr>
        <w:spacing w:after="0"/>
        <w:sectPr>
          <w:pgSz w:w="11910" w:h="16840"/>
          <w:pgMar w:header="1424" w:footer="0" w:top="1840" w:bottom="280" w:left="1520" w:right="15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8"/>
        </w:rPr>
      </w:pPr>
    </w:p>
    <w:p>
      <w:pPr>
        <w:pStyle w:val="Heading3"/>
        <w:spacing w:before="74"/>
        <w:ind w:left="884" w:right="213"/>
        <w:jc w:val="left"/>
      </w:pPr>
      <w:bookmarkStart w:name="_bookmark38" w:id="64"/>
      <w:bookmarkEnd w:id="64"/>
      <w:r>
        <w:rPr>
          <w:b w:val="0"/>
        </w:rPr>
      </w:r>
      <w:r>
        <w:rPr/>
        <w:t>ANEXO B. ESTADÍSTICA BÁSICA PARA LAS TRES VARIABLES.</w:t>
      </w:r>
    </w:p>
    <w:p>
      <w:pPr>
        <w:spacing w:after="0"/>
        <w:jc w:val="left"/>
        <w:sectPr>
          <w:pgSz w:w="11910" w:h="16840"/>
          <w:pgMar w:header="1424" w:footer="0" w:top="1840" w:bottom="280" w:left="1540" w:right="1540"/>
        </w:sectPr>
      </w:pPr>
    </w:p>
    <w:p>
      <w:pPr>
        <w:pStyle w:val="BodyText"/>
        <w:rPr>
          <w:b/>
          <w:sz w:val="20"/>
        </w:rPr>
      </w:pPr>
    </w:p>
    <w:p>
      <w:pPr>
        <w:pStyle w:val="BodyText"/>
        <w:rPr>
          <w:b/>
          <w:sz w:val="20"/>
        </w:rPr>
      </w:pPr>
    </w:p>
    <w:p>
      <w:pPr>
        <w:pStyle w:val="BodyText"/>
        <w:spacing w:before="4"/>
        <w:rPr>
          <w:b/>
          <w:sz w:val="18"/>
        </w:rPr>
      </w:pPr>
    </w:p>
    <w:p>
      <w:pPr>
        <w:pStyle w:val="BodyText"/>
        <w:spacing w:before="1"/>
        <w:ind w:left="1777"/>
      </w:pPr>
      <w:r>
        <w:rPr/>
        <w:t>Anexo B. Estadística básica para las tres  variables.</w:t>
      </w:r>
    </w:p>
    <w:p>
      <w:pPr>
        <w:pStyle w:val="BodyText"/>
        <w:spacing w:before="5"/>
        <w:rPr>
          <w:sz w:val="24"/>
        </w:rPr>
      </w:pPr>
    </w:p>
    <w:p>
      <w:pPr>
        <w:spacing w:before="0" w:after="31"/>
        <w:ind w:left="3166" w:right="4850" w:firstLine="0"/>
        <w:jc w:val="center"/>
        <w:rPr>
          <w:b/>
          <w:sz w:val="17"/>
        </w:rPr>
      </w:pPr>
      <w:r>
        <w:rPr>
          <w:b/>
          <w:w w:val="105"/>
          <w:sz w:val="17"/>
        </w:rPr>
        <w:t>Statistics</w:t>
      </w:r>
    </w:p>
    <w:tbl>
      <w:tblPr>
        <w:tblW w:w="0" w:type="auto"/>
        <w:jc w:val="left"/>
        <w:tblInd w:w="11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180"/>
        <w:gridCol w:w="1424"/>
        <w:gridCol w:w="1428"/>
        <w:gridCol w:w="1428"/>
        <w:gridCol w:w="1430"/>
      </w:tblGrid>
      <w:tr>
        <w:trPr>
          <w:trHeight w:val="725" w:hRule="exact"/>
        </w:trPr>
        <w:tc>
          <w:tcPr>
            <w:tcW w:w="2604" w:type="dxa"/>
            <w:gridSpan w:val="2"/>
            <w:tcBorders>
              <w:left w:val="single" w:sz="13" w:space="0" w:color="000000"/>
            </w:tcBorders>
          </w:tcPr>
          <w:p>
            <w:pPr/>
          </w:p>
        </w:tc>
        <w:tc>
          <w:tcPr>
            <w:tcW w:w="1428" w:type="dxa"/>
            <w:tcBorders>
              <w:right w:val="single" w:sz="6" w:space="0" w:color="000000"/>
            </w:tcBorders>
          </w:tcPr>
          <w:p>
            <w:pPr>
              <w:pStyle w:val="TableParagraph"/>
              <w:spacing w:line="310" w:lineRule="atLeast" w:before="28"/>
              <w:ind w:left="57" w:right="5" w:firstLine="115"/>
              <w:jc w:val="left"/>
              <w:rPr>
                <w:sz w:val="17"/>
              </w:rPr>
            </w:pPr>
            <w:r>
              <w:rPr>
                <w:w w:val="105"/>
                <w:sz w:val="17"/>
              </w:rPr>
              <w:t>Comprensión Lectura Español</w:t>
            </w:r>
          </w:p>
        </w:tc>
        <w:tc>
          <w:tcPr>
            <w:tcW w:w="1428" w:type="dxa"/>
            <w:tcBorders>
              <w:left w:val="single" w:sz="6" w:space="0" w:color="000000"/>
              <w:right w:val="single" w:sz="8" w:space="0" w:color="000000"/>
            </w:tcBorders>
          </w:tcPr>
          <w:p>
            <w:pPr>
              <w:pStyle w:val="TableParagraph"/>
              <w:spacing w:line="310" w:lineRule="atLeast" w:before="28"/>
              <w:ind w:left="158" w:firstLine="24"/>
              <w:jc w:val="left"/>
              <w:rPr>
                <w:sz w:val="17"/>
              </w:rPr>
            </w:pPr>
            <w:r>
              <w:rPr>
                <w:w w:val="105"/>
                <w:sz w:val="17"/>
              </w:rPr>
              <w:t>Comprensión Lectura Inglés</w:t>
            </w:r>
          </w:p>
        </w:tc>
        <w:tc>
          <w:tcPr>
            <w:tcW w:w="1430" w:type="dxa"/>
            <w:tcBorders>
              <w:left w:val="single" w:sz="8" w:space="0" w:color="000000"/>
            </w:tcBorders>
          </w:tcPr>
          <w:p>
            <w:pPr>
              <w:pStyle w:val="TableParagraph"/>
              <w:spacing w:line="310" w:lineRule="atLeast" w:before="28"/>
              <w:ind w:left="28" w:right="5" w:firstLine="158"/>
              <w:jc w:val="left"/>
              <w:rPr>
                <w:sz w:val="17"/>
              </w:rPr>
            </w:pPr>
            <w:r>
              <w:rPr>
                <w:w w:val="105"/>
                <w:sz w:val="17"/>
              </w:rPr>
              <w:t>Competencia Lingüística</w:t>
            </w:r>
            <w:r>
              <w:rPr>
                <w:spacing w:val="-31"/>
                <w:w w:val="105"/>
                <w:sz w:val="17"/>
              </w:rPr>
              <w:t> </w:t>
            </w:r>
            <w:r>
              <w:rPr>
                <w:w w:val="105"/>
                <w:sz w:val="17"/>
              </w:rPr>
              <w:t>Inglés</w:t>
            </w:r>
          </w:p>
        </w:tc>
      </w:tr>
      <w:tr>
        <w:trPr>
          <w:trHeight w:val="468" w:hRule="exact"/>
        </w:trPr>
        <w:tc>
          <w:tcPr>
            <w:tcW w:w="1180" w:type="dxa"/>
            <w:tcBorders>
              <w:left w:val="single" w:sz="13" w:space="0" w:color="000000"/>
              <w:bottom w:val="nil"/>
              <w:right w:val="nil"/>
            </w:tcBorders>
          </w:tcPr>
          <w:p>
            <w:pPr>
              <w:pStyle w:val="TableParagraph"/>
              <w:spacing w:before="138"/>
              <w:ind w:left="14"/>
              <w:jc w:val="left"/>
              <w:rPr>
                <w:sz w:val="17"/>
              </w:rPr>
            </w:pPr>
            <w:r>
              <w:rPr>
                <w:w w:val="104"/>
                <w:sz w:val="17"/>
              </w:rPr>
              <w:t>N</w:t>
            </w:r>
          </w:p>
        </w:tc>
        <w:tc>
          <w:tcPr>
            <w:tcW w:w="1424" w:type="dxa"/>
            <w:tcBorders>
              <w:left w:val="nil"/>
              <w:bottom w:val="nil"/>
            </w:tcBorders>
          </w:tcPr>
          <w:p>
            <w:pPr>
              <w:pStyle w:val="TableParagraph"/>
              <w:spacing w:before="138"/>
              <w:ind w:left="56"/>
              <w:jc w:val="left"/>
              <w:rPr>
                <w:sz w:val="17"/>
              </w:rPr>
            </w:pPr>
            <w:r>
              <w:rPr>
                <w:w w:val="105"/>
                <w:sz w:val="17"/>
              </w:rPr>
              <w:t>Valid</w:t>
            </w:r>
          </w:p>
        </w:tc>
        <w:tc>
          <w:tcPr>
            <w:tcW w:w="1428" w:type="dxa"/>
            <w:tcBorders>
              <w:bottom w:val="nil"/>
              <w:right w:val="single" w:sz="6" w:space="0" w:color="000000"/>
            </w:tcBorders>
          </w:tcPr>
          <w:p>
            <w:pPr>
              <w:pStyle w:val="TableParagraph"/>
              <w:spacing w:before="138"/>
              <w:ind w:right="19"/>
              <w:rPr>
                <w:sz w:val="17"/>
              </w:rPr>
            </w:pPr>
            <w:r>
              <w:rPr>
                <w:w w:val="105"/>
                <w:sz w:val="17"/>
              </w:rPr>
              <w:t>202</w:t>
            </w:r>
          </w:p>
        </w:tc>
        <w:tc>
          <w:tcPr>
            <w:tcW w:w="1428" w:type="dxa"/>
            <w:tcBorders>
              <w:left w:val="single" w:sz="6" w:space="0" w:color="000000"/>
              <w:bottom w:val="nil"/>
              <w:right w:val="single" w:sz="8" w:space="0" w:color="000000"/>
            </w:tcBorders>
          </w:tcPr>
          <w:p>
            <w:pPr>
              <w:pStyle w:val="TableParagraph"/>
              <w:spacing w:before="138"/>
              <w:ind w:right="14"/>
              <w:rPr>
                <w:sz w:val="17"/>
              </w:rPr>
            </w:pPr>
            <w:r>
              <w:rPr>
                <w:w w:val="105"/>
                <w:sz w:val="17"/>
              </w:rPr>
              <w:t>202</w:t>
            </w:r>
          </w:p>
        </w:tc>
        <w:tc>
          <w:tcPr>
            <w:tcW w:w="1430" w:type="dxa"/>
            <w:tcBorders>
              <w:left w:val="single" w:sz="8" w:space="0" w:color="000000"/>
              <w:bottom w:val="nil"/>
            </w:tcBorders>
          </w:tcPr>
          <w:p>
            <w:pPr>
              <w:pStyle w:val="TableParagraph"/>
              <w:spacing w:before="138"/>
              <w:ind w:right="4"/>
              <w:rPr>
                <w:sz w:val="17"/>
              </w:rPr>
            </w:pPr>
            <w:r>
              <w:rPr>
                <w:w w:val="105"/>
                <w:sz w:val="17"/>
              </w:rPr>
              <w:t>202</w:t>
            </w:r>
          </w:p>
        </w:tc>
      </w:tr>
      <w:tr>
        <w:trPr>
          <w:trHeight w:val="391" w:hRule="exact"/>
        </w:trPr>
        <w:tc>
          <w:tcPr>
            <w:tcW w:w="1180" w:type="dxa"/>
            <w:tcBorders>
              <w:top w:val="nil"/>
              <w:left w:val="single" w:sz="13" w:space="0" w:color="000000"/>
              <w:bottom w:val="nil"/>
              <w:right w:val="nil"/>
            </w:tcBorders>
          </w:tcPr>
          <w:p>
            <w:pPr/>
          </w:p>
        </w:tc>
        <w:tc>
          <w:tcPr>
            <w:tcW w:w="1424" w:type="dxa"/>
            <w:tcBorders>
              <w:top w:val="nil"/>
              <w:left w:val="nil"/>
              <w:bottom w:val="nil"/>
            </w:tcBorders>
          </w:tcPr>
          <w:p>
            <w:pPr>
              <w:pStyle w:val="TableParagraph"/>
              <w:spacing w:before="102"/>
              <w:ind w:left="56"/>
              <w:jc w:val="left"/>
              <w:rPr>
                <w:sz w:val="17"/>
              </w:rPr>
            </w:pPr>
            <w:r>
              <w:rPr>
                <w:w w:val="105"/>
                <w:sz w:val="17"/>
              </w:rPr>
              <w:t>Missing</w:t>
            </w:r>
          </w:p>
        </w:tc>
        <w:tc>
          <w:tcPr>
            <w:tcW w:w="1428" w:type="dxa"/>
            <w:tcBorders>
              <w:top w:val="nil"/>
              <w:bottom w:val="nil"/>
              <w:right w:val="single" w:sz="6" w:space="0" w:color="000000"/>
            </w:tcBorders>
          </w:tcPr>
          <w:p>
            <w:pPr>
              <w:pStyle w:val="TableParagraph"/>
              <w:spacing w:before="102"/>
              <w:ind w:right="19"/>
              <w:rPr>
                <w:sz w:val="17"/>
              </w:rPr>
            </w:pPr>
            <w:r>
              <w:rPr>
                <w:w w:val="104"/>
                <w:sz w:val="17"/>
              </w:rPr>
              <w:t>0</w:t>
            </w:r>
          </w:p>
        </w:tc>
        <w:tc>
          <w:tcPr>
            <w:tcW w:w="1428" w:type="dxa"/>
            <w:tcBorders>
              <w:top w:val="nil"/>
              <w:left w:val="single" w:sz="6" w:space="0" w:color="000000"/>
              <w:bottom w:val="nil"/>
              <w:right w:val="single" w:sz="8" w:space="0" w:color="000000"/>
            </w:tcBorders>
          </w:tcPr>
          <w:p>
            <w:pPr>
              <w:pStyle w:val="TableParagraph"/>
              <w:spacing w:before="102"/>
              <w:ind w:right="14"/>
              <w:rPr>
                <w:sz w:val="17"/>
              </w:rPr>
            </w:pPr>
            <w:r>
              <w:rPr>
                <w:w w:val="104"/>
                <w:sz w:val="17"/>
              </w:rPr>
              <w:t>0</w:t>
            </w:r>
          </w:p>
        </w:tc>
        <w:tc>
          <w:tcPr>
            <w:tcW w:w="1430" w:type="dxa"/>
            <w:tcBorders>
              <w:top w:val="nil"/>
              <w:left w:val="single" w:sz="8" w:space="0" w:color="000000"/>
              <w:bottom w:val="nil"/>
            </w:tcBorders>
          </w:tcPr>
          <w:p>
            <w:pPr>
              <w:pStyle w:val="TableParagraph"/>
              <w:spacing w:before="102"/>
              <w:ind w:right="4"/>
              <w:rPr>
                <w:sz w:val="17"/>
              </w:rPr>
            </w:pPr>
            <w:r>
              <w:rPr>
                <w:w w:val="104"/>
                <w:sz w:val="17"/>
              </w:rPr>
              <w:t>0</w:t>
            </w:r>
          </w:p>
        </w:tc>
      </w:tr>
      <w:tr>
        <w:trPr>
          <w:trHeight w:val="370" w:hRule="exact"/>
        </w:trPr>
        <w:tc>
          <w:tcPr>
            <w:tcW w:w="1180" w:type="dxa"/>
            <w:tcBorders>
              <w:top w:val="nil"/>
              <w:left w:val="single" w:sz="13" w:space="0" w:color="000000"/>
              <w:bottom w:val="nil"/>
              <w:right w:val="nil"/>
            </w:tcBorders>
          </w:tcPr>
          <w:p>
            <w:pPr>
              <w:pStyle w:val="TableParagraph"/>
              <w:spacing w:before="80"/>
              <w:ind w:left="14"/>
              <w:jc w:val="left"/>
              <w:rPr>
                <w:sz w:val="17"/>
              </w:rPr>
            </w:pPr>
            <w:r>
              <w:rPr>
                <w:w w:val="105"/>
                <w:sz w:val="17"/>
              </w:rPr>
              <w:t>Mean</w:t>
            </w:r>
          </w:p>
        </w:tc>
        <w:tc>
          <w:tcPr>
            <w:tcW w:w="1424" w:type="dxa"/>
            <w:tcBorders>
              <w:top w:val="nil"/>
              <w:left w:val="nil"/>
              <w:bottom w:val="nil"/>
            </w:tcBorders>
          </w:tcPr>
          <w:p>
            <w:pPr/>
          </w:p>
        </w:tc>
        <w:tc>
          <w:tcPr>
            <w:tcW w:w="1428" w:type="dxa"/>
            <w:tcBorders>
              <w:top w:val="nil"/>
              <w:bottom w:val="nil"/>
              <w:right w:val="single" w:sz="6" w:space="0" w:color="000000"/>
            </w:tcBorders>
          </w:tcPr>
          <w:p>
            <w:pPr>
              <w:pStyle w:val="TableParagraph"/>
              <w:spacing w:before="80"/>
              <w:ind w:right="19"/>
              <w:rPr>
                <w:sz w:val="17"/>
              </w:rPr>
            </w:pPr>
            <w:r>
              <w:rPr>
                <w:sz w:val="17"/>
              </w:rPr>
              <w:t>5.8695</w:t>
            </w:r>
          </w:p>
        </w:tc>
        <w:tc>
          <w:tcPr>
            <w:tcW w:w="1428" w:type="dxa"/>
            <w:tcBorders>
              <w:top w:val="nil"/>
              <w:left w:val="single" w:sz="6" w:space="0" w:color="000000"/>
              <w:bottom w:val="nil"/>
              <w:right w:val="single" w:sz="8" w:space="0" w:color="000000"/>
            </w:tcBorders>
          </w:tcPr>
          <w:p>
            <w:pPr>
              <w:pStyle w:val="TableParagraph"/>
              <w:spacing w:before="80"/>
              <w:ind w:right="14"/>
              <w:rPr>
                <w:sz w:val="17"/>
              </w:rPr>
            </w:pPr>
            <w:r>
              <w:rPr>
                <w:sz w:val="17"/>
              </w:rPr>
              <w:t>3.8144</w:t>
            </w:r>
          </w:p>
        </w:tc>
        <w:tc>
          <w:tcPr>
            <w:tcW w:w="1430" w:type="dxa"/>
            <w:tcBorders>
              <w:top w:val="nil"/>
              <w:left w:val="single" w:sz="8" w:space="0" w:color="000000"/>
              <w:bottom w:val="nil"/>
            </w:tcBorders>
          </w:tcPr>
          <w:p>
            <w:pPr>
              <w:pStyle w:val="TableParagraph"/>
              <w:spacing w:before="80"/>
              <w:ind w:right="4"/>
              <w:rPr>
                <w:sz w:val="17"/>
              </w:rPr>
            </w:pPr>
            <w:r>
              <w:rPr>
                <w:sz w:val="17"/>
              </w:rPr>
              <w:t>5.1967</w:t>
            </w:r>
          </w:p>
        </w:tc>
      </w:tr>
      <w:tr>
        <w:trPr>
          <w:trHeight w:val="349" w:hRule="exact"/>
        </w:trPr>
        <w:tc>
          <w:tcPr>
            <w:tcW w:w="1180" w:type="dxa"/>
            <w:tcBorders>
              <w:top w:val="nil"/>
              <w:left w:val="single" w:sz="13" w:space="0" w:color="000000"/>
              <w:bottom w:val="nil"/>
              <w:right w:val="nil"/>
            </w:tcBorders>
          </w:tcPr>
          <w:p>
            <w:pPr>
              <w:pStyle w:val="TableParagraph"/>
              <w:spacing w:before="80"/>
              <w:ind w:left="14"/>
              <w:jc w:val="left"/>
              <w:rPr>
                <w:sz w:val="17"/>
              </w:rPr>
            </w:pPr>
            <w:r>
              <w:rPr>
                <w:w w:val="105"/>
                <w:sz w:val="17"/>
              </w:rPr>
              <w:t>Median</w:t>
            </w:r>
          </w:p>
        </w:tc>
        <w:tc>
          <w:tcPr>
            <w:tcW w:w="1424" w:type="dxa"/>
            <w:tcBorders>
              <w:top w:val="nil"/>
              <w:left w:val="nil"/>
              <w:bottom w:val="nil"/>
            </w:tcBorders>
          </w:tcPr>
          <w:p>
            <w:pPr/>
          </w:p>
        </w:tc>
        <w:tc>
          <w:tcPr>
            <w:tcW w:w="1428" w:type="dxa"/>
            <w:tcBorders>
              <w:top w:val="nil"/>
              <w:bottom w:val="nil"/>
              <w:right w:val="single" w:sz="6" w:space="0" w:color="000000"/>
            </w:tcBorders>
          </w:tcPr>
          <w:p>
            <w:pPr>
              <w:pStyle w:val="TableParagraph"/>
              <w:spacing w:before="80"/>
              <w:ind w:right="19"/>
              <w:rPr>
                <w:sz w:val="17"/>
              </w:rPr>
            </w:pPr>
            <w:r>
              <w:rPr>
                <w:sz w:val="17"/>
              </w:rPr>
              <w:t>5.8974</w:t>
            </w:r>
          </w:p>
        </w:tc>
        <w:tc>
          <w:tcPr>
            <w:tcW w:w="1428" w:type="dxa"/>
            <w:tcBorders>
              <w:top w:val="nil"/>
              <w:left w:val="single" w:sz="6" w:space="0" w:color="000000"/>
              <w:bottom w:val="nil"/>
              <w:right w:val="single" w:sz="8" w:space="0" w:color="000000"/>
            </w:tcBorders>
          </w:tcPr>
          <w:p>
            <w:pPr>
              <w:pStyle w:val="TableParagraph"/>
              <w:spacing w:before="80"/>
              <w:ind w:right="14"/>
              <w:rPr>
                <w:sz w:val="17"/>
              </w:rPr>
            </w:pPr>
            <w:r>
              <w:rPr>
                <w:sz w:val="17"/>
              </w:rPr>
              <w:t>3.7179</w:t>
            </w:r>
          </w:p>
        </w:tc>
        <w:tc>
          <w:tcPr>
            <w:tcW w:w="1430" w:type="dxa"/>
            <w:tcBorders>
              <w:top w:val="nil"/>
              <w:left w:val="single" w:sz="8" w:space="0" w:color="000000"/>
              <w:bottom w:val="nil"/>
            </w:tcBorders>
          </w:tcPr>
          <w:p>
            <w:pPr>
              <w:pStyle w:val="TableParagraph"/>
              <w:spacing w:before="80"/>
              <w:ind w:right="4"/>
              <w:rPr>
                <w:sz w:val="17"/>
              </w:rPr>
            </w:pPr>
            <w:r>
              <w:rPr>
                <w:sz w:val="17"/>
              </w:rPr>
              <w:t>5.2222</w:t>
            </w:r>
          </w:p>
        </w:tc>
      </w:tr>
      <w:tr>
        <w:trPr>
          <w:trHeight w:val="388" w:hRule="exact"/>
        </w:trPr>
        <w:tc>
          <w:tcPr>
            <w:tcW w:w="1180" w:type="dxa"/>
            <w:tcBorders>
              <w:top w:val="nil"/>
              <w:left w:val="single" w:sz="13" w:space="0" w:color="000000"/>
              <w:bottom w:val="nil"/>
              <w:right w:val="nil"/>
            </w:tcBorders>
          </w:tcPr>
          <w:p>
            <w:pPr>
              <w:pStyle w:val="TableParagraph"/>
              <w:spacing w:before="101"/>
              <w:ind w:left="14"/>
              <w:jc w:val="left"/>
              <w:rPr>
                <w:sz w:val="17"/>
              </w:rPr>
            </w:pPr>
            <w:r>
              <w:rPr>
                <w:w w:val="105"/>
                <w:sz w:val="17"/>
              </w:rPr>
              <w:t>Mode</w:t>
            </w:r>
          </w:p>
        </w:tc>
        <w:tc>
          <w:tcPr>
            <w:tcW w:w="1424" w:type="dxa"/>
            <w:tcBorders>
              <w:top w:val="nil"/>
              <w:left w:val="nil"/>
              <w:bottom w:val="nil"/>
            </w:tcBorders>
          </w:tcPr>
          <w:p>
            <w:pPr/>
          </w:p>
        </w:tc>
        <w:tc>
          <w:tcPr>
            <w:tcW w:w="1428" w:type="dxa"/>
            <w:tcBorders>
              <w:top w:val="nil"/>
              <w:bottom w:val="nil"/>
              <w:right w:val="single" w:sz="6" w:space="0" w:color="000000"/>
            </w:tcBorders>
          </w:tcPr>
          <w:p>
            <w:pPr>
              <w:pStyle w:val="TableParagraph"/>
              <w:spacing w:before="101"/>
              <w:ind w:right="19"/>
              <w:rPr>
                <w:sz w:val="17"/>
              </w:rPr>
            </w:pPr>
            <w:r>
              <w:rPr>
                <w:w w:val="105"/>
                <w:sz w:val="17"/>
              </w:rPr>
              <w:t>5.64</w:t>
            </w:r>
          </w:p>
        </w:tc>
        <w:tc>
          <w:tcPr>
            <w:tcW w:w="1428" w:type="dxa"/>
            <w:tcBorders>
              <w:top w:val="nil"/>
              <w:left w:val="single" w:sz="6" w:space="0" w:color="000000"/>
              <w:bottom w:val="nil"/>
              <w:right w:val="single" w:sz="8" w:space="0" w:color="000000"/>
            </w:tcBorders>
          </w:tcPr>
          <w:p>
            <w:pPr>
              <w:pStyle w:val="TableParagraph"/>
              <w:spacing w:before="101"/>
              <w:ind w:right="14"/>
              <w:rPr>
                <w:sz w:val="17"/>
              </w:rPr>
            </w:pPr>
            <w:r>
              <w:rPr>
                <w:w w:val="105"/>
                <w:sz w:val="17"/>
              </w:rPr>
              <w:t>2.82</w:t>
            </w:r>
          </w:p>
        </w:tc>
        <w:tc>
          <w:tcPr>
            <w:tcW w:w="1430" w:type="dxa"/>
            <w:tcBorders>
              <w:top w:val="nil"/>
              <w:left w:val="single" w:sz="8" w:space="0" w:color="000000"/>
              <w:bottom w:val="nil"/>
            </w:tcBorders>
          </w:tcPr>
          <w:p>
            <w:pPr>
              <w:pStyle w:val="TableParagraph"/>
              <w:spacing w:before="67"/>
              <w:rPr>
                <w:sz w:val="11"/>
              </w:rPr>
            </w:pPr>
            <w:r>
              <w:rPr>
                <w:w w:val="105"/>
                <w:sz w:val="17"/>
              </w:rPr>
              <w:t>4.97</w:t>
            </w:r>
            <w:r>
              <w:rPr>
                <w:w w:val="105"/>
                <w:position w:val="9"/>
                <w:sz w:val="11"/>
              </w:rPr>
              <w:t>a</w:t>
            </w:r>
          </w:p>
        </w:tc>
      </w:tr>
      <w:tr>
        <w:trPr>
          <w:trHeight w:val="370" w:hRule="exact"/>
        </w:trPr>
        <w:tc>
          <w:tcPr>
            <w:tcW w:w="1180" w:type="dxa"/>
            <w:tcBorders>
              <w:top w:val="nil"/>
              <w:left w:val="single" w:sz="13" w:space="0" w:color="000000"/>
              <w:bottom w:val="nil"/>
              <w:right w:val="nil"/>
            </w:tcBorders>
          </w:tcPr>
          <w:p>
            <w:pPr>
              <w:pStyle w:val="TableParagraph"/>
              <w:spacing w:before="78"/>
              <w:ind w:left="14"/>
              <w:jc w:val="left"/>
              <w:rPr>
                <w:sz w:val="17"/>
              </w:rPr>
            </w:pPr>
            <w:r>
              <w:rPr>
                <w:w w:val="105"/>
                <w:sz w:val="17"/>
              </w:rPr>
              <w:t>Std. Deviation</w:t>
            </w:r>
          </w:p>
        </w:tc>
        <w:tc>
          <w:tcPr>
            <w:tcW w:w="1424" w:type="dxa"/>
            <w:tcBorders>
              <w:top w:val="nil"/>
              <w:left w:val="nil"/>
              <w:bottom w:val="nil"/>
            </w:tcBorders>
          </w:tcPr>
          <w:p>
            <w:pPr/>
          </w:p>
        </w:tc>
        <w:tc>
          <w:tcPr>
            <w:tcW w:w="1428" w:type="dxa"/>
            <w:tcBorders>
              <w:top w:val="nil"/>
              <w:bottom w:val="nil"/>
              <w:right w:val="single" w:sz="6" w:space="0" w:color="000000"/>
            </w:tcBorders>
          </w:tcPr>
          <w:p>
            <w:pPr>
              <w:pStyle w:val="TableParagraph"/>
              <w:spacing w:before="78"/>
              <w:ind w:right="19"/>
              <w:rPr>
                <w:sz w:val="17"/>
              </w:rPr>
            </w:pPr>
            <w:r>
              <w:rPr>
                <w:w w:val="105"/>
                <w:sz w:val="17"/>
              </w:rPr>
              <w:t>1.25349</w:t>
            </w:r>
          </w:p>
        </w:tc>
        <w:tc>
          <w:tcPr>
            <w:tcW w:w="1428" w:type="dxa"/>
            <w:tcBorders>
              <w:top w:val="nil"/>
              <w:left w:val="single" w:sz="6" w:space="0" w:color="000000"/>
              <w:bottom w:val="nil"/>
              <w:right w:val="single" w:sz="8" w:space="0" w:color="000000"/>
            </w:tcBorders>
          </w:tcPr>
          <w:p>
            <w:pPr>
              <w:pStyle w:val="TableParagraph"/>
              <w:spacing w:before="78"/>
              <w:ind w:right="14"/>
              <w:rPr>
                <w:sz w:val="17"/>
              </w:rPr>
            </w:pPr>
            <w:r>
              <w:rPr>
                <w:w w:val="105"/>
                <w:sz w:val="17"/>
              </w:rPr>
              <w:t>1.30618</w:t>
            </w:r>
          </w:p>
        </w:tc>
        <w:tc>
          <w:tcPr>
            <w:tcW w:w="1430" w:type="dxa"/>
            <w:tcBorders>
              <w:top w:val="nil"/>
              <w:left w:val="single" w:sz="8" w:space="0" w:color="000000"/>
              <w:bottom w:val="nil"/>
            </w:tcBorders>
          </w:tcPr>
          <w:p>
            <w:pPr>
              <w:pStyle w:val="TableParagraph"/>
              <w:spacing w:before="78"/>
              <w:ind w:right="4"/>
              <w:rPr>
                <w:sz w:val="17"/>
              </w:rPr>
            </w:pPr>
            <w:r>
              <w:rPr>
                <w:w w:val="105"/>
                <w:sz w:val="17"/>
              </w:rPr>
              <w:t>1.13049</w:t>
            </w:r>
          </w:p>
        </w:tc>
      </w:tr>
      <w:tr>
        <w:trPr>
          <w:trHeight w:val="372" w:hRule="exact"/>
        </w:trPr>
        <w:tc>
          <w:tcPr>
            <w:tcW w:w="1180" w:type="dxa"/>
            <w:tcBorders>
              <w:top w:val="nil"/>
              <w:left w:val="single" w:sz="13" w:space="0" w:color="000000"/>
              <w:bottom w:val="nil"/>
              <w:right w:val="nil"/>
            </w:tcBorders>
          </w:tcPr>
          <w:p>
            <w:pPr>
              <w:pStyle w:val="TableParagraph"/>
              <w:spacing w:before="83"/>
              <w:ind w:left="14"/>
              <w:jc w:val="left"/>
              <w:rPr>
                <w:sz w:val="17"/>
              </w:rPr>
            </w:pPr>
            <w:r>
              <w:rPr>
                <w:w w:val="105"/>
                <w:sz w:val="17"/>
              </w:rPr>
              <w:t>Minimum</w:t>
            </w:r>
          </w:p>
        </w:tc>
        <w:tc>
          <w:tcPr>
            <w:tcW w:w="1424" w:type="dxa"/>
            <w:tcBorders>
              <w:top w:val="nil"/>
              <w:left w:val="nil"/>
              <w:bottom w:val="nil"/>
            </w:tcBorders>
          </w:tcPr>
          <w:p>
            <w:pPr/>
          </w:p>
        </w:tc>
        <w:tc>
          <w:tcPr>
            <w:tcW w:w="1428" w:type="dxa"/>
            <w:tcBorders>
              <w:top w:val="nil"/>
              <w:bottom w:val="nil"/>
              <w:right w:val="single" w:sz="6" w:space="0" w:color="000000"/>
            </w:tcBorders>
          </w:tcPr>
          <w:p>
            <w:pPr>
              <w:pStyle w:val="TableParagraph"/>
              <w:spacing w:before="83"/>
              <w:ind w:right="19"/>
              <w:rPr>
                <w:sz w:val="17"/>
              </w:rPr>
            </w:pPr>
            <w:r>
              <w:rPr>
                <w:w w:val="105"/>
                <w:sz w:val="17"/>
              </w:rPr>
              <w:t>1.79</w:t>
            </w:r>
          </w:p>
        </w:tc>
        <w:tc>
          <w:tcPr>
            <w:tcW w:w="1428" w:type="dxa"/>
            <w:tcBorders>
              <w:top w:val="nil"/>
              <w:left w:val="single" w:sz="6" w:space="0" w:color="000000"/>
              <w:bottom w:val="nil"/>
              <w:right w:val="single" w:sz="8" w:space="0" w:color="000000"/>
            </w:tcBorders>
          </w:tcPr>
          <w:p>
            <w:pPr>
              <w:pStyle w:val="TableParagraph"/>
              <w:spacing w:before="83"/>
              <w:ind w:right="14"/>
              <w:rPr>
                <w:sz w:val="17"/>
              </w:rPr>
            </w:pPr>
            <w:r>
              <w:rPr>
                <w:w w:val="105"/>
                <w:sz w:val="17"/>
              </w:rPr>
              <w:t>1.28</w:t>
            </w:r>
          </w:p>
        </w:tc>
        <w:tc>
          <w:tcPr>
            <w:tcW w:w="1430" w:type="dxa"/>
            <w:tcBorders>
              <w:top w:val="nil"/>
              <w:left w:val="single" w:sz="8" w:space="0" w:color="000000"/>
              <w:bottom w:val="nil"/>
            </w:tcBorders>
          </w:tcPr>
          <w:p>
            <w:pPr>
              <w:pStyle w:val="TableParagraph"/>
              <w:spacing w:before="83"/>
              <w:ind w:right="4"/>
              <w:rPr>
                <w:sz w:val="17"/>
              </w:rPr>
            </w:pPr>
            <w:r>
              <w:rPr>
                <w:w w:val="105"/>
                <w:sz w:val="17"/>
              </w:rPr>
              <w:t>2.47</w:t>
            </w:r>
          </w:p>
        </w:tc>
      </w:tr>
      <w:tr>
        <w:trPr>
          <w:trHeight w:val="370" w:hRule="exact"/>
        </w:trPr>
        <w:tc>
          <w:tcPr>
            <w:tcW w:w="1180" w:type="dxa"/>
            <w:tcBorders>
              <w:top w:val="nil"/>
              <w:left w:val="single" w:sz="13" w:space="0" w:color="000000"/>
              <w:bottom w:val="nil"/>
              <w:right w:val="nil"/>
            </w:tcBorders>
          </w:tcPr>
          <w:p>
            <w:pPr>
              <w:pStyle w:val="TableParagraph"/>
              <w:spacing w:before="80"/>
              <w:ind w:left="14"/>
              <w:jc w:val="left"/>
              <w:rPr>
                <w:sz w:val="17"/>
              </w:rPr>
            </w:pPr>
            <w:r>
              <w:rPr>
                <w:w w:val="105"/>
                <w:sz w:val="17"/>
              </w:rPr>
              <w:t>Maximum</w:t>
            </w:r>
          </w:p>
        </w:tc>
        <w:tc>
          <w:tcPr>
            <w:tcW w:w="1424" w:type="dxa"/>
            <w:tcBorders>
              <w:top w:val="nil"/>
              <w:left w:val="nil"/>
              <w:bottom w:val="nil"/>
            </w:tcBorders>
          </w:tcPr>
          <w:p>
            <w:pPr/>
          </w:p>
        </w:tc>
        <w:tc>
          <w:tcPr>
            <w:tcW w:w="1428" w:type="dxa"/>
            <w:tcBorders>
              <w:top w:val="nil"/>
              <w:bottom w:val="nil"/>
              <w:right w:val="single" w:sz="6" w:space="0" w:color="000000"/>
            </w:tcBorders>
          </w:tcPr>
          <w:p>
            <w:pPr>
              <w:pStyle w:val="TableParagraph"/>
              <w:spacing w:before="80"/>
              <w:ind w:right="19"/>
              <w:rPr>
                <w:sz w:val="17"/>
              </w:rPr>
            </w:pPr>
            <w:r>
              <w:rPr>
                <w:w w:val="105"/>
                <w:sz w:val="17"/>
              </w:rPr>
              <w:t>8.72</w:t>
            </w:r>
          </w:p>
        </w:tc>
        <w:tc>
          <w:tcPr>
            <w:tcW w:w="1428" w:type="dxa"/>
            <w:tcBorders>
              <w:top w:val="nil"/>
              <w:left w:val="single" w:sz="6" w:space="0" w:color="000000"/>
              <w:bottom w:val="nil"/>
              <w:right w:val="single" w:sz="8" w:space="0" w:color="000000"/>
            </w:tcBorders>
          </w:tcPr>
          <w:p>
            <w:pPr>
              <w:pStyle w:val="TableParagraph"/>
              <w:spacing w:before="80"/>
              <w:ind w:right="14"/>
              <w:rPr>
                <w:sz w:val="17"/>
              </w:rPr>
            </w:pPr>
            <w:r>
              <w:rPr>
                <w:w w:val="105"/>
                <w:sz w:val="17"/>
              </w:rPr>
              <w:t>7.95</w:t>
            </w:r>
          </w:p>
        </w:tc>
        <w:tc>
          <w:tcPr>
            <w:tcW w:w="1430" w:type="dxa"/>
            <w:tcBorders>
              <w:top w:val="nil"/>
              <w:left w:val="single" w:sz="8" w:space="0" w:color="000000"/>
              <w:bottom w:val="nil"/>
            </w:tcBorders>
          </w:tcPr>
          <w:p>
            <w:pPr>
              <w:pStyle w:val="TableParagraph"/>
              <w:spacing w:before="80"/>
              <w:ind w:right="4"/>
              <w:rPr>
                <w:sz w:val="17"/>
              </w:rPr>
            </w:pPr>
            <w:r>
              <w:rPr>
                <w:w w:val="105"/>
                <w:sz w:val="17"/>
              </w:rPr>
              <w:t>8.08</w:t>
            </w:r>
          </w:p>
        </w:tc>
      </w:tr>
      <w:tr>
        <w:trPr>
          <w:trHeight w:val="374" w:hRule="exact"/>
        </w:trPr>
        <w:tc>
          <w:tcPr>
            <w:tcW w:w="1180" w:type="dxa"/>
            <w:tcBorders>
              <w:top w:val="nil"/>
              <w:left w:val="single" w:sz="13" w:space="0" w:color="000000"/>
              <w:bottom w:val="nil"/>
              <w:right w:val="nil"/>
            </w:tcBorders>
          </w:tcPr>
          <w:p>
            <w:pPr>
              <w:pStyle w:val="TableParagraph"/>
              <w:spacing w:before="80"/>
              <w:ind w:left="14"/>
              <w:jc w:val="left"/>
              <w:rPr>
                <w:sz w:val="17"/>
              </w:rPr>
            </w:pPr>
            <w:r>
              <w:rPr>
                <w:w w:val="105"/>
                <w:sz w:val="17"/>
              </w:rPr>
              <w:t>Percentiles</w:t>
            </w:r>
          </w:p>
        </w:tc>
        <w:tc>
          <w:tcPr>
            <w:tcW w:w="1424" w:type="dxa"/>
            <w:tcBorders>
              <w:top w:val="nil"/>
              <w:left w:val="nil"/>
              <w:bottom w:val="nil"/>
            </w:tcBorders>
          </w:tcPr>
          <w:p>
            <w:pPr>
              <w:pStyle w:val="TableParagraph"/>
              <w:spacing w:before="80"/>
              <w:ind w:left="56"/>
              <w:jc w:val="left"/>
              <w:rPr>
                <w:sz w:val="17"/>
              </w:rPr>
            </w:pPr>
            <w:r>
              <w:rPr>
                <w:w w:val="105"/>
                <w:sz w:val="17"/>
              </w:rPr>
              <w:t>25</w:t>
            </w:r>
          </w:p>
        </w:tc>
        <w:tc>
          <w:tcPr>
            <w:tcW w:w="1428" w:type="dxa"/>
            <w:tcBorders>
              <w:top w:val="nil"/>
              <w:bottom w:val="nil"/>
              <w:right w:val="single" w:sz="6" w:space="0" w:color="000000"/>
            </w:tcBorders>
          </w:tcPr>
          <w:p>
            <w:pPr>
              <w:pStyle w:val="TableParagraph"/>
              <w:spacing w:before="80"/>
              <w:ind w:right="19"/>
              <w:rPr>
                <w:sz w:val="17"/>
              </w:rPr>
            </w:pPr>
            <w:r>
              <w:rPr>
                <w:sz w:val="17"/>
              </w:rPr>
              <w:t>5.1282</w:t>
            </w:r>
          </w:p>
        </w:tc>
        <w:tc>
          <w:tcPr>
            <w:tcW w:w="1428" w:type="dxa"/>
            <w:tcBorders>
              <w:top w:val="nil"/>
              <w:left w:val="single" w:sz="6" w:space="0" w:color="000000"/>
              <w:bottom w:val="nil"/>
              <w:right w:val="single" w:sz="8" w:space="0" w:color="000000"/>
            </w:tcBorders>
          </w:tcPr>
          <w:p>
            <w:pPr>
              <w:pStyle w:val="TableParagraph"/>
              <w:spacing w:before="80"/>
              <w:ind w:right="14"/>
              <w:rPr>
                <w:sz w:val="17"/>
              </w:rPr>
            </w:pPr>
            <w:r>
              <w:rPr>
                <w:sz w:val="17"/>
              </w:rPr>
              <w:t>2.8205</w:t>
            </w:r>
          </w:p>
        </w:tc>
        <w:tc>
          <w:tcPr>
            <w:tcW w:w="1430" w:type="dxa"/>
            <w:tcBorders>
              <w:top w:val="nil"/>
              <w:left w:val="single" w:sz="8" w:space="0" w:color="000000"/>
              <w:bottom w:val="nil"/>
            </w:tcBorders>
          </w:tcPr>
          <w:p>
            <w:pPr>
              <w:pStyle w:val="TableParagraph"/>
              <w:spacing w:before="80"/>
              <w:ind w:right="4"/>
              <w:rPr>
                <w:sz w:val="17"/>
              </w:rPr>
            </w:pPr>
            <w:r>
              <w:rPr>
                <w:sz w:val="17"/>
              </w:rPr>
              <w:t>4.3646</w:t>
            </w:r>
          </w:p>
        </w:tc>
      </w:tr>
      <w:tr>
        <w:trPr>
          <w:trHeight w:val="379" w:hRule="exact"/>
        </w:trPr>
        <w:tc>
          <w:tcPr>
            <w:tcW w:w="1180" w:type="dxa"/>
            <w:tcBorders>
              <w:top w:val="nil"/>
              <w:left w:val="single" w:sz="13" w:space="0" w:color="000000"/>
              <w:bottom w:val="nil"/>
              <w:right w:val="nil"/>
            </w:tcBorders>
          </w:tcPr>
          <w:p>
            <w:pPr/>
          </w:p>
        </w:tc>
        <w:tc>
          <w:tcPr>
            <w:tcW w:w="1424" w:type="dxa"/>
            <w:tcBorders>
              <w:top w:val="nil"/>
              <w:left w:val="nil"/>
              <w:bottom w:val="nil"/>
            </w:tcBorders>
          </w:tcPr>
          <w:p>
            <w:pPr>
              <w:pStyle w:val="TableParagraph"/>
              <w:spacing w:before="85"/>
              <w:ind w:left="56"/>
              <w:jc w:val="left"/>
              <w:rPr>
                <w:sz w:val="17"/>
              </w:rPr>
            </w:pPr>
            <w:r>
              <w:rPr>
                <w:w w:val="105"/>
                <w:sz w:val="17"/>
              </w:rPr>
              <w:t>50</w:t>
            </w:r>
          </w:p>
        </w:tc>
        <w:tc>
          <w:tcPr>
            <w:tcW w:w="1428" w:type="dxa"/>
            <w:tcBorders>
              <w:top w:val="nil"/>
              <w:bottom w:val="nil"/>
              <w:right w:val="single" w:sz="6" w:space="0" w:color="000000"/>
            </w:tcBorders>
          </w:tcPr>
          <w:p>
            <w:pPr>
              <w:pStyle w:val="TableParagraph"/>
              <w:spacing w:before="85"/>
              <w:ind w:right="19"/>
              <w:rPr>
                <w:sz w:val="17"/>
              </w:rPr>
            </w:pPr>
            <w:r>
              <w:rPr>
                <w:sz w:val="17"/>
              </w:rPr>
              <w:t>5.8974</w:t>
            </w:r>
          </w:p>
        </w:tc>
        <w:tc>
          <w:tcPr>
            <w:tcW w:w="1428" w:type="dxa"/>
            <w:tcBorders>
              <w:top w:val="nil"/>
              <w:left w:val="single" w:sz="6" w:space="0" w:color="000000"/>
              <w:bottom w:val="nil"/>
              <w:right w:val="single" w:sz="8" w:space="0" w:color="000000"/>
            </w:tcBorders>
          </w:tcPr>
          <w:p>
            <w:pPr>
              <w:pStyle w:val="TableParagraph"/>
              <w:spacing w:before="85"/>
              <w:ind w:right="14"/>
              <w:rPr>
                <w:sz w:val="17"/>
              </w:rPr>
            </w:pPr>
            <w:r>
              <w:rPr>
                <w:sz w:val="17"/>
              </w:rPr>
              <w:t>3.7179</w:t>
            </w:r>
          </w:p>
        </w:tc>
        <w:tc>
          <w:tcPr>
            <w:tcW w:w="1430" w:type="dxa"/>
            <w:tcBorders>
              <w:top w:val="nil"/>
              <w:left w:val="single" w:sz="8" w:space="0" w:color="000000"/>
              <w:bottom w:val="nil"/>
            </w:tcBorders>
          </w:tcPr>
          <w:p>
            <w:pPr>
              <w:pStyle w:val="TableParagraph"/>
              <w:spacing w:before="85"/>
              <w:ind w:right="4"/>
              <w:rPr>
                <w:sz w:val="17"/>
              </w:rPr>
            </w:pPr>
            <w:r>
              <w:rPr>
                <w:sz w:val="17"/>
              </w:rPr>
              <w:t>5.2222</w:t>
            </w:r>
          </w:p>
        </w:tc>
      </w:tr>
      <w:tr>
        <w:trPr>
          <w:trHeight w:val="331" w:hRule="exact"/>
        </w:trPr>
        <w:tc>
          <w:tcPr>
            <w:tcW w:w="1180" w:type="dxa"/>
            <w:tcBorders>
              <w:top w:val="nil"/>
              <w:left w:val="single" w:sz="13" w:space="0" w:color="000000"/>
              <w:right w:val="nil"/>
            </w:tcBorders>
          </w:tcPr>
          <w:p>
            <w:pPr/>
          </w:p>
        </w:tc>
        <w:tc>
          <w:tcPr>
            <w:tcW w:w="1424" w:type="dxa"/>
            <w:tcBorders>
              <w:top w:val="nil"/>
              <w:left w:val="nil"/>
            </w:tcBorders>
          </w:tcPr>
          <w:p>
            <w:pPr>
              <w:pStyle w:val="TableParagraph"/>
              <w:spacing w:before="85"/>
              <w:ind w:left="56"/>
              <w:jc w:val="left"/>
              <w:rPr>
                <w:sz w:val="17"/>
              </w:rPr>
            </w:pPr>
            <w:r>
              <w:rPr>
                <w:w w:val="105"/>
                <w:sz w:val="17"/>
              </w:rPr>
              <w:t>75</w:t>
            </w:r>
          </w:p>
        </w:tc>
        <w:tc>
          <w:tcPr>
            <w:tcW w:w="1428" w:type="dxa"/>
            <w:tcBorders>
              <w:top w:val="nil"/>
              <w:right w:val="single" w:sz="6" w:space="0" w:color="000000"/>
            </w:tcBorders>
          </w:tcPr>
          <w:p>
            <w:pPr>
              <w:pStyle w:val="TableParagraph"/>
              <w:spacing w:before="85"/>
              <w:ind w:right="19"/>
              <w:rPr>
                <w:sz w:val="17"/>
              </w:rPr>
            </w:pPr>
            <w:r>
              <w:rPr>
                <w:sz w:val="17"/>
              </w:rPr>
              <w:t>6.9231</w:t>
            </w:r>
          </w:p>
        </w:tc>
        <w:tc>
          <w:tcPr>
            <w:tcW w:w="1428" w:type="dxa"/>
            <w:tcBorders>
              <w:top w:val="nil"/>
              <w:left w:val="single" w:sz="6" w:space="0" w:color="000000"/>
              <w:right w:val="single" w:sz="8" w:space="0" w:color="000000"/>
            </w:tcBorders>
          </w:tcPr>
          <w:p>
            <w:pPr>
              <w:pStyle w:val="TableParagraph"/>
              <w:spacing w:before="85"/>
              <w:ind w:right="14"/>
              <w:rPr>
                <w:sz w:val="17"/>
              </w:rPr>
            </w:pPr>
            <w:r>
              <w:rPr>
                <w:sz w:val="17"/>
              </w:rPr>
              <w:t>4.6154</w:t>
            </w:r>
          </w:p>
        </w:tc>
        <w:tc>
          <w:tcPr>
            <w:tcW w:w="1430" w:type="dxa"/>
            <w:tcBorders>
              <w:top w:val="nil"/>
              <w:left w:val="single" w:sz="8" w:space="0" w:color="000000"/>
            </w:tcBorders>
          </w:tcPr>
          <w:p>
            <w:pPr>
              <w:pStyle w:val="TableParagraph"/>
              <w:spacing w:before="85"/>
              <w:ind w:right="4"/>
              <w:rPr>
                <w:sz w:val="17"/>
              </w:rPr>
            </w:pPr>
            <w:r>
              <w:rPr>
                <w:sz w:val="17"/>
              </w:rPr>
              <w:t>6.0451</w:t>
            </w:r>
          </w:p>
        </w:tc>
      </w:tr>
    </w:tbl>
    <w:p>
      <w:pPr>
        <w:pStyle w:val="ListParagraph"/>
        <w:numPr>
          <w:ilvl w:val="0"/>
          <w:numId w:val="18"/>
        </w:numPr>
        <w:tabs>
          <w:tab w:pos="357" w:val="left" w:leader="none"/>
        </w:tabs>
        <w:spacing w:line="240" w:lineRule="auto" w:before="119" w:after="0"/>
        <w:ind w:left="356" w:right="0" w:hanging="192"/>
        <w:jc w:val="left"/>
        <w:rPr>
          <w:sz w:val="17"/>
        </w:rPr>
      </w:pPr>
      <w:r>
        <w:rPr>
          <w:w w:val="105"/>
          <w:sz w:val="17"/>
        </w:rPr>
        <w:t>Multiple</w:t>
      </w:r>
      <w:r>
        <w:rPr>
          <w:spacing w:val="-7"/>
          <w:w w:val="105"/>
          <w:sz w:val="17"/>
        </w:rPr>
        <w:t> </w:t>
      </w:r>
      <w:r>
        <w:rPr>
          <w:w w:val="105"/>
          <w:sz w:val="17"/>
        </w:rPr>
        <w:t>modes</w:t>
      </w:r>
      <w:r>
        <w:rPr>
          <w:spacing w:val="-15"/>
          <w:w w:val="105"/>
          <w:sz w:val="17"/>
        </w:rPr>
        <w:t> </w:t>
      </w:r>
      <w:r>
        <w:rPr>
          <w:w w:val="105"/>
          <w:sz w:val="17"/>
        </w:rPr>
        <w:t>exist.</w:t>
      </w:r>
      <w:r>
        <w:rPr>
          <w:spacing w:val="-10"/>
          <w:w w:val="105"/>
          <w:sz w:val="17"/>
        </w:rPr>
        <w:t> </w:t>
      </w:r>
      <w:r>
        <w:rPr>
          <w:w w:val="105"/>
          <w:sz w:val="17"/>
        </w:rPr>
        <w:t>The</w:t>
      </w:r>
      <w:r>
        <w:rPr>
          <w:spacing w:val="-7"/>
          <w:w w:val="105"/>
          <w:sz w:val="17"/>
        </w:rPr>
        <w:t> </w:t>
      </w:r>
      <w:r>
        <w:rPr>
          <w:spacing w:val="-3"/>
          <w:w w:val="105"/>
          <w:sz w:val="17"/>
        </w:rPr>
        <w:t>smallest</w:t>
      </w:r>
      <w:r>
        <w:rPr>
          <w:spacing w:val="-5"/>
          <w:w w:val="105"/>
          <w:sz w:val="17"/>
        </w:rPr>
        <w:t> </w:t>
      </w:r>
      <w:r>
        <w:rPr>
          <w:w w:val="105"/>
          <w:sz w:val="17"/>
        </w:rPr>
        <w:t>value</w:t>
      </w:r>
      <w:r>
        <w:rPr>
          <w:spacing w:val="-7"/>
          <w:w w:val="105"/>
          <w:sz w:val="17"/>
        </w:rPr>
        <w:t> </w:t>
      </w:r>
      <w:r>
        <w:rPr>
          <w:spacing w:val="-3"/>
          <w:w w:val="105"/>
          <w:sz w:val="17"/>
        </w:rPr>
        <w:t>is</w:t>
      </w:r>
      <w:r>
        <w:rPr>
          <w:spacing w:val="-11"/>
          <w:w w:val="105"/>
          <w:sz w:val="17"/>
        </w:rPr>
        <w:t> </w:t>
      </w:r>
      <w:r>
        <w:rPr>
          <w:w w:val="105"/>
          <w:sz w:val="17"/>
        </w:rPr>
        <w:t>shown</w:t>
      </w:r>
    </w:p>
    <w:p>
      <w:pPr>
        <w:spacing w:after="0" w:line="240" w:lineRule="auto"/>
        <w:jc w:val="left"/>
        <w:rPr>
          <w:sz w:val="17"/>
        </w:rPr>
        <w:sectPr>
          <w:pgSz w:w="11910" w:h="16840"/>
          <w:pgMar w:header="1424" w:footer="0" w:top="1840" w:bottom="280" w:left="152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3"/>
        <w:spacing w:before="74"/>
        <w:ind w:left="2352" w:right="213"/>
        <w:jc w:val="left"/>
      </w:pPr>
      <w:bookmarkStart w:name="_bookmark39" w:id="65"/>
      <w:bookmarkEnd w:id="65"/>
      <w:r>
        <w:rPr>
          <w:b w:val="0"/>
        </w:rPr>
      </w:r>
      <w:r>
        <w:rPr/>
        <w:t>ANEXO C. ANOVA CUATRO  GRUPOS</w:t>
      </w:r>
    </w:p>
    <w:p>
      <w:pPr>
        <w:spacing w:after="0"/>
        <w:jc w:val="left"/>
        <w:sectPr>
          <w:pgSz w:w="11910" w:h="16840"/>
          <w:pgMar w:header="1424" w:footer="0" w:top="1840" w:bottom="280" w:left="1540" w:right="1540"/>
        </w:sectPr>
      </w:pPr>
    </w:p>
    <w:p>
      <w:pPr>
        <w:pStyle w:val="BodyText"/>
        <w:rPr>
          <w:b/>
          <w:sz w:val="20"/>
        </w:rPr>
      </w:pPr>
    </w:p>
    <w:p>
      <w:pPr>
        <w:pStyle w:val="BodyText"/>
        <w:rPr>
          <w:b/>
          <w:sz w:val="20"/>
        </w:rPr>
      </w:pPr>
    </w:p>
    <w:p>
      <w:pPr>
        <w:pStyle w:val="BodyText"/>
        <w:spacing w:before="4"/>
        <w:rPr>
          <w:b/>
          <w:sz w:val="18"/>
        </w:rPr>
      </w:pPr>
    </w:p>
    <w:p>
      <w:pPr>
        <w:pStyle w:val="BodyText"/>
        <w:spacing w:before="1"/>
        <w:ind w:left="2828" w:right="213"/>
      </w:pPr>
      <w:r>
        <w:rPr/>
        <w:t>Anexo C. Anova cuatro grupos</w:t>
      </w:r>
    </w:p>
    <w:p>
      <w:pPr>
        <w:pStyle w:val="BodyText"/>
        <w:rPr>
          <w:sz w:val="22"/>
        </w:rPr>
      </w:pPr>
    </w:p>
    <w:p>
      <w:pPr>
        <w:pStyle w:val="BodyText"/>
        <w:rPr>
          <w:sz w:val="22"/>
        </w:rPr>
      </w:pPr>
    </w:p>
    <w:p>
      <w:pPr>
        <w:pStyle w:val="BodyText"/>
        <w:spacing w:before="5"/>
        <w:rPr>
          <w:sz w:val="18"/>
        </w:rPr>
      </w:pPr>
    </w:p>
    <w:p>
      <w:pPr>
        <w:spacing w:before="0"/>
        <w:ind w:left="2492" w:right="213" w:firstLine="0"/>
        <w:jc w:val="left"/>
        <w:rPr>
          <w:b/>
          <w:sz w:val="18"/>
        </w:rPr>
      </w:pPr>
      <w:r>
        <w:rPr>
          <w:b/>
          <w:sz w:val="18"/>
        </w:rPr>
        <w:t>Pruebas de los efectos inter-sujetos</w:t>
      </w:r>
    </w:p>
    <w:p>
      <w:pPr>
        <w:pStyle w:val="BodyText"/>
        <w:spacing w:before="6"/>
        <w:rPr>
          <w:b/>
          <w:sz w:val="14"/>
        </w:rPr>
      </w:pPr>
    </w:p>
    <w:p>
      <w:pPr>
        <w:spacing w:before="0" w:after="3"/>
        <w:ind w:left="399" w:right="213" w:firstLine="0"/>
        <w:jc w:val="left"/>
        <w:rPr>
          <w:sz w:val="18"/>
        </w:rPr>
      </w:pPr>
      <w:r>
        <w:rPr>
          <w:sz w:val="18"/>
        </w:rPr>
        <w:t>Variable dependiente: Comprensión Lectura Inglés</w:t>
      </w:r>
    </w:p>
    <w:tbl>
      <w:tblPr>
        <w:tblW w:w="0" w:type="auto"/>
        <w:jc w:val="left"/>
        <w:tblInd w:w="27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755"/>
        <w:gridCol w:w="1278"/>
        <w:gridCol w:w="1053"/>
        <w:gridCol w:w="1165"/>
        <w:gridCol w:w="1053"/>
        <w:gridCol w:w="1306"/>
      </w:tblGrid>
      <w:tr>
        <w:trPr>
          <w:trHeight w:val="728" w:hRule="exact"/>
        </w:trPr>
        <w:tc>
          <w:tcPr>
            <w:tcW w:w="1755" w:type="dxa"/>
          </w:tcPr>
          <w:p>
            <w:pPr>
              <w:pStyle w:val="TableParagraph"/>
              <w:jc w:val="left"/>
              <w:rPr>
                <w:sz w:val="18"/>
              </w:rPr>
            </w:pPr>
          </w:p>
          <w:p>
            <w:pPr>
              <w:pStyle w:val="TableParagraph"/>
              <w:spacing w:before="4"/>
              <w:jc w:val="left"/>
              <w:rPr>
                <w:sz w:val="24"/>
              </w:rPr>
            </w:pPr>
          </w:p>
          <w:p>
            <w:pPr>
              <w:pStyle w:val="TableParagraph"/>
              <w:ind w:left="99"/>
              <w:jc w:val="left"/>
              <w:rPr>
                <w:sz w:val="18"/>
              </w:rPr>
            </w:pPr>
            <w:r>
              <w:rPr>
                <w:sz w:val="18"/>
              </w:rPr>
              <w:t>Fuente</w:t>
            </w:r>
          </w:p>
        </w:tc>
        <w:tc>
          <w:tcPr>
            <w:tcW w:w="1278" w:type="dxa"/>
            <w:tcBorders>
              <w:right w:val="single" w:sz="6" w:space="0" w:color="000000"/>
            </w:tcBorders>
          </w:tcPr>
          <w:p>
            <w:pPr>
              <w:pStyle w:val="TableParagraph"/>
              <w:spacing w:line="259" w:lineRule="auto" w:before="40"/>
              <w:ind w:left="178" w:right="225" w:firstLine="9"/>
              <w:jc w:val="center"/>
              <w:rPr>
                <w:sz w:val="18"/>
              </w:rPr>
            </w:pPr>
            <w:r>
              <w:rPr>
                <w:sz w:val="18"/>
              </w:rPr>
              <w:t>Suma de cuadrados tipo III</w:t>
            </w:r>
          </w:p>
        </w:tc>
        <w:tc>
          <w:tcPr>
            <w:tcW w:w="1053" w:type="dxa"/>
            <w:tcBorders>
              <w:left w:val="single" w:sz="6" w:space="0" w:color="000000"/>
              <w:right w:val="single" w:sz="6" w:space="0" w:color="000000"/>
            </w:tcBorders>
          </w:tcPr>
          <w:p>
            <w:pPr>
              <w:pStyle w:val="TableParagraph"/>
              <w:jc w:val="left"/>
              <w:rPr>
                <w:sz w:val="18"/>
              </w:rPr>
            </w:pPr>
          </w:p>
          <w:p>
            <w:pPr>
              <w:pStyle w:val="TableParagraph"/>
              <w:spacing w:before="4"/>
              <w:jc w:val="left"/>
              <w:rPr>
                <w:sz w:val="24"/>
              </w:rPr>
            </w:pPr>
          </w:p>
          <w:p>
            <w:pPr>
              <w:pStyle w:val="TableParagraph"/>
              <w:ind w:left="405" w:right="452"/>
              <w:jc w:val="center"/>
              <w:rPr>
                <w:sz w:val="18"/>
              </w:rPr>
            </w:pPr>
            <w:r>
              <w:rPr>
                <w:sz w:val="18"/>
              </w:rPr>
              <w:t>gl</w:t>
            </w:r>
          </w:p>
        </w:tc>
        <w:tc>
          <w:tcPr>
            <w:tcW w:w="1165" w:type="dxa"/>
            <w:tcBorders>
              <w:left w:val="single" w:sz="6" w:space="0" w:color="000000"/>
              <w:right w:val="single" w:sz="6" w:space="0" w:color="000000"/>
            </w:tcBorders>
          </w:tcPr>
          <w:p>
            <w:pPr>
              <w:pStyle w:val="TableParagraph"/>
              <w:spacing w:before="1"/>
              <w:jc w:val="left"/>
              <w:rPr>
                <w:sz w:val="23"/>
              </w:rPr>
            </w:pPr>
          </w:p>
          <w:p>
            <w:pPr>
              <w:pStyle w:val="TableParagraph"/>
              <w:spacing w:line="256" w:lineRule="auto"/>
              <w:ind w:left="134" w:right="167" w:firstLine="177"/>
              <w:jc w:val="left"/>
              <w:rPr>
                <w:sz w:val="18"/>
              </w:rPr>
            </w:pPr>
            <w:r>
              <w:rPr>
                <w:sz w:val="18"/>
              </w:rPr>
              <w:t>Media cuadrática</w:t>
            </w:r>
          </w:p>
        </w:tc>
        <w:tc>
          <w:tcPr>
            <w:tcW w:w="1053" w:type="dxa"/>
            <w:tcBorders>
              <w:left w:val="single" w:sz="6" w:space="0" w:color="000000"/>
              <w:right w:val="single" w:sz="6" w:space="0" w:color="000000"/>
            </w:tcBorders>
          </w:tcPr>
          <w:p>
            <w:pPr>
              <w:pStyle w:val="TableParagraph"/>
              <w:jc w:val="left"/>
              <w:rPr>
                <w:sz w:val="18"/>
              </w:rPr>
            </w:pPr>
          </w:p>
          <w:p>
            <w:pPr>
              <w:pStyle w:val="TableParagraph"/>
              <w:spacing w:before="4"/>
              <w:jc w:val="left"/>
              <w:rPr>
                <w:sz w:val="24"/>
              </w:rPr>
            </w:pPr>
          </w:p>
          <w:p>
            <w:pPr>
              <w:pStyle w:val="TableParagraph"/>
              <w:ind w:right="39"/>
              <w:jc w:val="center"/>
              <w:rPr>
                <w:sz w:val="18"/>
              </w:rPr>
            </w:pPr>
            <w:r>
              <w:rPr>
                <w:w w:val="101"/>
                <w:sz w:val="18"/>
              </w:rPr>
              <w:t>F</w:t>
            </w:r>
          </w:p>
        </w:tc>
        <w:tc>
          <w:tcPr>
            <w:tcW w:w="1306" w:type="dxa"/>
            <w:tcBorders>
              <w:left w:val="single" w:sz="6" w:space="0" w:color="000000"/>
            </w:tcBorders>
          </w:tcPr>
          <w:p>
            <w:pPr>
              <w:pStyle w:val="TableParagraph"/>
              <w:jc w:val="left"/>
              <w:rPr>
                <w:sz w:val="18"/>
              </w:rPr>
            </w:pPr>
          </w:p>
          <w:p>
            <w:pPr>
              <w:pStyle w:val="TableParagraph"/>
              <w:spacing w:before="4"/>
              <w:jc w:val="left"/>
              <w:rPr>
                <w:sz w:val="24"/>
              </w:rPr>
            </w:pPr>
          </w:p>
          <w:p>
            <w:pPr>
              <w:pStyle w:val="TableParagraph"/>
              <w:ind w:right="140"/>
              <w:rPr>
                <w:sz w:val="18"/>
              </w:rPr>
            </w:pPr>
            <w:r>
              <w:rPr>
                <w:sz w:val="18"/>
              </w:rPr>
              <w:t>Significación</w:t>
            </w:r>
          </w:p>
        </w:tc>
      </w:tr>
      <w:tr>
        <w:trPr>
          <w:trHeight w:val="248" w:hRule="exact"/>
        </w:trPr>
        <w:tc>
          <w:tcPr>
            <w:tcW w:w="1755" w:type="dxa"/>
            <w:tcBorders>
              <w:bottom w:val="nil"/>
            </w:tcBorders>
          </w:tcPr>
          <w:p>
            <w:pPr>
              <w:pStyle w:val="TableParagraph"/>
              <w:spacing w:line="187" w:lineRule="exact"/>
              <w:ind w:left="99"/>
              <w:jc w:val="left"/>
              <w:rPr>
                <w:sz w:val="18"/>
              </w:rPr>
            </w:pPr>
            <w:r>
              <w:rPr>
                <w:sz w:val="18"/>
              </w:rPr>
              <w:t>Modelo corregido</w:t>
            </w:r>
          </w:p>
        </w:tc>
        <w:tc>
          <w:tcPr>
            <w:tcW w:w="1278" w:type="dxa"/>
            <w:tcBorders>
              <w:bottom w:val="nil"/>
              <w:right w:val="single" w:sz="6" w:space="0" w:color="000000"/>
            </w:tcBorders>
          </w:tcPr>
          <w:p>
            <w:pPr>
              <w:pStyle w:val="TableParagraph"/>
              <w:spacing w:line="201" w:lineRule="exact"/>
              <w:ind w:right="52"/>
              <w:rPr>
                <w:sz w:val="14"/>
              </w:rPr>
            </w:pPr>
            <w:r>
              <w:rPr>
                <w:sz w:val="18"/>
              </w:rPr>
              <w:t>154.108</w:t>
            </w:r>
            <w:r>
              <w:rPr>
                <w:position w:val="6"/>
                <w:sz w:val="14"/>
              </w:rPr>
              <w:t>a</w:t>
            </w:r>
          </w:p>
        </w:tc>
        <w:tc>
          <w:tcPr>
            <w:tcW w:w="1053" w:type="dxa"/>
            <w:tcBorders>
              <w:left w:val="single" w:sz="6" w:space="0" w:color="000000"/>
              <w:bottom w:val="nil"/>
              <w:right w:val="single" w:sz="6" w:space="0" w:color="000000"/>
            </w:tcBorders>
          </w:tcPr>
          <w:p>
            <w:pPr>
              <w:pStyle w:val="TableParagraph"/>
              <w:spacing w:line="201" w:lineRule="exact"/>
              <w:ind w:right="131"/>
              <w:rPr>
                <w:sz w:val="18"/>
              </w:rPr>
            </w:pPr>
            <w:r>
              <w:rPr>
                <w:sz w:val="18"/>
              </w:rPr>
              <w:t>15</w:t>
            </w:r>
          </w:p>
        </w:tc>
        <w:tc>
          <w:tcPr>
            <w:tcW w:w="1165" w:type="dxa"/>
            <w:tcBorders>
              <w:left w:val="single" w:sz="6" w:space="0" w:color="000000"/>
              <w:bottom w:val="nil"/>
              <w:right w:val="single" w:sz="6" w:space="0" w:color="000000"/>
            </w:tcBorders>
          </w:tcPr>
          <w:p>
            <w:pPr>
              <w:pStyle w:val="TableParagraph"/>
              <w:spacing w:line="201" w:lineRule="exact"/>
              <w:ind w:right="129"/>
              <w:rPr>
                <w:sz w:val="18"/>
              </w:rPr>
            </w:pPr>
            <w:r>
              <w:rPr>
                <w:sz w:val="18"/>
              </w:rPr>
              <w:t>10.274</w:t>
            </w:r>
          </w:p>
        </w:tc>
        <w:tc>
          <w:tcPr>
            <w:tcW w:w="1053" w:type="dxa"/>
            <w:tcBorders>
              <w:left w:val="single" w:sz="6" w:space="0" w:color="000000"/>
              <w:bottom w:val="nil"/>
              <w:right w:val="single" w:sz="6" w:space="0" w:color="000000"/>
            </w:tcBorders>
          </w:tcPr>
          <w:p>
            <w:pPr>
              <w:pStyle w:val="TableParagraph"/>
              <w:spacing w:line="201" w:lineRule="exact"/>
              <w:ind w:right="131"/>
              <w:rPr>
                <w:sz w:val="18"/>
              </w:rPr>
            </w:pPr>
            <w:r>
              <w:rPr>
                <w:sz w:val="18"/>
              </w:rPr>
              <w:t>10.121</w:t>
            </w:r>
          </w:p>
        </w:tc>
        <w:tc>
          <w:tcPr>
            <w:tcW w:w="1306" w:type="dxa"/>
            <w:tcBorders>
              <w:left w:val="single" w:sz="6" w:space="0" w:color="000000"/>
              <w:bottom w:val="nil"/>
            </w:tcBorders>
          </w:tcPr>
          <w:p>
            <w:pPr>
              <w:pStyle w:val="TableParagraph"/>
              <w:spacing w:line="201" w:lineRule="exact"/>
              <w:ind w:right="134"/>
              <w:rPr>
                <w:sz w:val="18"/>
              </w:rPr>
            </w:pPr>
            <w:r>
              <w:rPr>
                <w:sz w:val="18"/>
              </w:rPr>
              <w:t>.000</w:t>
            </w:r>
          </w:p>
        </w:tc>
      </w:tr>
      <w:tr>
        <w:trPr>
          <w:trHeight w:val="266" w:hRule="exact"/>
        </w:trPr>
        <w:tc>
          <w:tcPr>
            <w:tcW w:w="1755" w:type="dxa"/>
            <w:tcBorders>
              <w:top w:val="nil"/>
              <w:bottom w:val="nil"/>
            </w:tcBorders>
          </w:tcPr>
          <w:p>
            <w:pPr>
              <w:pStyle w:val="TableParagraph"/>
              <w:spacing w:before="15"/>
              <w:ind w:left="99"/>
              <w:jc w:val="left"/>
              <w:rPr>
                <w:sz w:val="18"/>
              </w:rPr>
            </w:pPr>
            <w:r>
              <w:rPr>
                <w:sz w:val="18"/>
              </w:rPr>
              <w:t>Intersección</w:t>
            </w:r>
          </w:p>
        </w:tc>
        <w:tc>
          <w:tcPr>
            <w:tcW w:w="1278" w:type="dxa"/>
            <w:tcBorders>
              <w:top w:val="nil"/>
              <w:bottom w:val="nil"/>
              <w:right w:val="single" w:sz="6" w:space="0" w:color="000000"/>
            </w:tcBorders>
          </w:tcPr>
          <w:p>
            <w:pPr>
              <w:pStyle w:val="TableParagraph"/>
              <w:spacing w:before="29"/>
              <w:ind w:right="128"/>
              <w:rPr>
                <w:sz w:val="18"/>
              </w:rPr>
            </w:pPr>
            <w:r>
              <w:rPr>
                <w:sz w:val="18"/>
              </w:rPr>
              <w:t>2277.189</w:t>
            </w:r>
          </w:p>
        </w:tc>
        <w:tc>
          <w:tcPr>
            <w:tcW w:w="1053" w:type="dxa"/>
            <w:tcBorders>
              <w:top w:val="nil"/>
              <w:left w:val="single" w:sz="6" w:space="0" w:color="000000"/>
              <w:bottom w:val="nil"/>
              <w:right w:val="single" w:sz="6" w:space="0" w:color="000000"/>
            </w:tcBorders>
          </w:tcPr>
          <w:p>
            <w:pPr>
              <w:pStyle w:val="TableParagraph"/>
              <w:spacing w:before="29"/>
              <w:ind w:right="131"/>
              <w:rPr>
                <w:sz w:val="18"/>
              </w:rPr>
            </w:pPr>
            <w:r>
              <w:rPr>
                <w:w w:val="101"/>
                <w:sz w:val="18"/>
              </w:rPr>
              <w:t>1</w:t>
            </w:r>
          </w:p>
        </w:tc>
        <w:tc>
          <w:tcPr>
            <w:tcW w:w="1165" w:type="dxa"/>
            <w:tcBorders>
              <w:top w:val="nil"/>
              <w:left w:val="single" w:sz="6" w:space="0" w:color="000000"/>
              <w:bottom w:val="nil"/>
              <w:right w:val="single" w:sz="6" w:space="0" w:color="000000"/>
            </w:tcBorders>
          </w:tcPr>
          <w:p>
            <w:pPr>
              <w:pStyle w:val="TableParagraph"/>
              <w:spacing w:before="29"/>
              <w:ind w:right="129"/>
              <w:rPr>
                <w:sz w:val="18"/>
              </w:rPr>
            </w:pPr>
            <w:r>
              <w:rPr>
                <w:sz w:val="18"/>
              </w:rPr>
              <w:t>2277.189</w:t>
            </w:r>
          </w:p>
        </w:tc>
        <w:tc>
          <w:tcPr>
            <w:tcW w:w="1053" w:type="dxa"/>
            <w:tcBorders>
              <w:top w:val="nil"/>
              <w:left w:val="single" w:sz="6" w:space="0" w:color="000000"/>
              <w:bottom w:val="nil"/>
              <w:right w:val="single" w:sz="6" w:space="0" w:color="000000"/>
            </w:tcBorders>
          </w:tcPr>
          <w:p>
            <w:pPr>
              <w:pStyle w:val="TableParagraph"/>
              <w:spacing w:before="29"/>
              <w:ind w:right="131"/>
              <w:rPr>
                <w:sz w:val="18"/>
              </w:rPr>
            </w:pPr>
            <w:r>
              <w:rPr>
                <w:sz w:val="18"/>
              </w:rPr>
              <w:t>2243.207</w:t>
            </w:r>
          </w:p>
        </w:tc>
        <w:tc>
          <w:tcPr>
            <w:tcW w:w="1306" w:type="dxa"/>
            <w:tcBorders>
              <w:top w:val="nil"/>
              <w:left w:val="single" w:sz="6" w:space="0" w:color="000000"/>
              <w:bottom w:val="nil"/>
            </w:tcBorders>
          </w:tcPr>
          <w:p>
            <w:pPr>
              <w:pStyle w:val="TableParagraph"/>
              <w:spacing w:before="29"/>
              <w:ind w:right="134"/>
              <w:rPr>
                <w:sz w:val="18"/>
              </w:rPr>
            </w:pPr>
            <w:r>
              <w:rPr>
                <w:sz w:val="18"/>
              </w:rPr>
              <w:t>.000</w:t>
            </w:r>
          </w:p>
        </w:tc>
      </w:tr>
      <w:tr>
        <w:trPr>
          <w:trHeight w:val="264" w:hRule="exact"/>
        </w:trPr>
        <w:tc>
          <w:tcPr>
            <w:tcW w:w="1755" w:type="dxa"/>
            <w:tcBorders>
              <w:top w:val="nil"/>
              <w:bottom w:val="nil"/>
            </w:tcBorders>
          </w:tcPr>
          <w:p>
            <w:pPr>
              <w:pStyle w:val="TableParagraph"/>
              <w:spacing w:before="12"/>
              <w:ind w:left="99"/>
              <w:jc w:val="left"/>
              <w:rPr>
                <w:sz w:val="18"/>
              </w:rPr>
            </w:pPr>
            <w:r>
              <w:rPr>
                <w:sz w:val="18"/>
              </w:rPr>
              <w:t>cuarcle</w:t>
            </w:r>
          </w:p>
        </w:tc>
        <w:tc>
          <w:tcPr>
            <w:tcW w:w="1278" w:type="dxa"/>
            <w:tcBorders>
              <w:top w:val="nil"/>
              <w:bottom w:val="nil"/>
              <w:right w:val="single" w:sz="6" w:space="0" w:color="000000"/>
            </w:tcBorders>
          </w:tcPr>
          <w:p>
            <w:pPr>
              <w:pStyle w:val="TableParagraph"/>
              <w:spacing w:before="27"/>
              <w:ind w:right="128"/>
              <w:rPr>
                <w:sz w:val="18"/>
              </w:rPr>
            </w:pPr>
            <w:r>
              <w:rPr>
                <w:sz w:val="18"/>
              </w:rPr>
              <w:t>38.679</w:t>
            </w:r>
          </w:p>
        </w:tc>
        <w:tc>
          <w:tcPr>
            <w:tcW w:w="1053" w:type="dxa"/>
            <w:tcBorders>
              <w:top w:val="nil"/>
              <w:left w:val="single" w:sz="6" w:space="0" w:color="000000"/>
              <w:bottom w:val="nil"/>
              <w:right w:val="single" w:sz="6" w:space="0" w:color="000000"/>
            </w:tcBorders>
          </w:tcPr>
          <w:p>
            <w:pPr>
              <w:pStyle w:val="TableParagraph"/>
              <w:spacing w:before="27"/>
              <w:ind w:right="131"/>
              <w:rPr>
                <w:sz w:val="18"/>
              </w:rPr>
            </w:pPr>
            <w:r>
              <w:rPr>
                <w:w w:val="101"/>
                <w:sz w:val="18"/>
              </w:rPr>
              <w:t>3</w:t>
            </w:r>
          </w:p>
        </w:tc>
        <w:tc>
          <w:tcPr>
            <w:tcW w:w="1165" w:type="dxa"/>
            <w:tcBorders>
              <w:top w:val="nil"/>
              <w:left w:val="single" w:sz="6" w:space="0" w:color="000000"/>
              <w:bottom w:val="nil"/>
              <w:right w:val="single" w:sz="6" w:space="0" w:color="000000"/>
            </w:tcBorders>
          </w:tcPr>
          <w:p>
            <w:pPr>
              <w:pStyle w:val="TableParagraph"/>
              <w:spacing w:before="27"/>
              <w:ind w:right="129"/>
              <w:rPr>
                <w:sz w:val="18"/>
              </w:rPr>
            </w:pPr>
            <w:r>
              <w:rPr>
                <w:sz w:val="18"/>
              </w:rPr>
              <w:t>12.893</w:t>
            </w:r>
          </w:p>
        </w:tc>
        <w:tc>
          <w:tcPr>
            <w:tcW w:w="1053" w:type="dxa"/>
            <w:tcBorders>
              <w:top w:val="nil"/>
              <w:left w:val="single" w:sz="6" w:space="0" w:color="000000"/>
              <w:bottom w:val="nil"/>
              <w:right w:val="single" w:sz="6" w:space="0" w:color="000000"/>
            </w:tcBorders>
          </w:tcPr>
          <w:p>
            <w:pPr>
              <w:pStyle w:val="TableParagraph"/>
              <w:spacing w:before="27"/>
              <w:ind w:right="132"/>
              <w:rPr>
                <w:sz w:val="18"/>
              </w:rPr>
            </w:pPr>
            <w:r>
              <w:rPr>
                <w:sz w:val="18"/>
              </w:rPr>
              <w:t>12.701</w:t>
            </w:r>
          </w:p>
        </w:tc>
        <w:tc>
          <w:tcPr>
            <w:tcW w:w="1306" w:type="dxa"/>
            <w:tcBorders>
              <w:top w:val="nil"/>
              <w:left w:val="single" w:sz="6" w:space="0" w:color="000000"/>
              <w:bottom w:val="nil"/>
            </w:tcBorders>
          </w:tcPr>
          <w:p>
            <w:pPr>
              <w:pStyle w:val="TableParagraph"/>
              <w:spacing w:before="27"/>
              <w:ind w:right="134"/>
              <w:rPr>
                <w:sz w:val="18"/>
              </w:rPr>
            </w:pPr>
            <w:r>
              <w:rPr>
                <w:sz w:val="18"/>
              </w:rPr>
              <w:t>.000</w:t>
            </w:r>
          </w:p>
        </w:tc>
      </w:tr>
      <w:tr>
        <w:trPr>
          <w:trHeight w:val="266" w:hRule="exact"/>
        </w:trPr>
        <w:tc>
          <w:tcPr>
            <w:tcW w:w="1755" w:type="dxa"/>
            <w:tcBorders>
              <w:top w:val="nil"/>
              <w:bottom w:val="nil"/>
            </w:tcBorders>
          </w:tcPr>
          <w:p>
            <w:pPr>
              <w:pStyle w:val="TableParagraph"/>
              <w:spacing w:before="12"/>
              <w:ind w:left="99"/>
              <w:jc w:val="left"/>
              <w:rPr>
                <w:sz w:val="18"/>
              </w:rPr>
            </w:pPr>
            <w:r>
              <w:rPr>
                <w:sz w:val="18"/>
              </w:rPr>
              <w:t>cuarcling</w:t>
            </w:r>
          </w:p>
        </w:tc>
        <w:tc>
          <w:tcPr>
            <w:tcW w:w="1278" w:type="dxa"/>
            <w:tcBorders>
              <w:top w:val="nil"/>
              <w:bottom w:val="nil"/>
              <w:right w:val="single" w:sz="6" w:space="0" w:color="000000"/>
            </w:tcBorders>
          </w:tcPr>
          <w:p>
            <w:pPr>
              <w:pStyle w:val="TableParagraph"/>
              <w:spacing w:before="27"/>
              <w:ind w:right="128"/>
              <w:rPr>
                <w:sz w:val="18"/>
              </w:rPr>
            </w:pPr>
            <w:r>
              <w:rPr>
                <w:sz w:val="18"/>
              </w:rPr>
              <w:t>55.672</w:t>
            </w:r>
          </w:p>
        </w:tc>
        <w:tc>
          <w:tcPr>
            <w:tcW w:w="1053" w:type="dxa"/>
            <w:tcBorders>
              <w:top w:val="nil"/>
              <w:left w:val="single" w:sz="6" w:space="0" w:color="000000"/>
              <w:bottom w:val="nil"/>
              <w:right w:val="single" w:sz="6" w:space="0" w:color="000000"/>
            </w:tcBorders>
          </w:tcPr>
          <w:p>
            <w:pPr>
              <w:pStyle w:val="TableParagraph"/>
              <w:spacing w:before="27"/>
              <w:ind w:right="131"/>
              <w:rPr>
                <w:sz w:val="18"/>
              </w:rPr>
            </w:pPr>
            <w:r>
              <w:rPr>
                <w:w w:val="101"/>
                <w:sz w:val="18"/>
              </w:rPr>
              <w:t>3</w:t>
            </w:r>
          </w:p>
        </w:tc>
        <w:tc>
          <w:tcPr>
            <w:tcW w:w="1165" w:type="dxa"/>
            <w:tcBorders>
              <w:top w:val="nil"/>
              <w:left w:val="single" w:sz="6" w:space="0" w:color="000000"/>
              <w:bottom w:val="nil"/>
              <w:right w:val="single" w:sz="6" w:space="0" w:color="000000"/>
            </w:tcBorders>
          </w:tcPr>
          <w:p>
            <w:pPr>
              <w:pStyle w:val="TableParagraph"/>
              <w:spacing w:before="27"/>
              <w:ind w:right="130"/>
              <w:rPr>
                <w:sz w:val="18"/>
              </w:rPr>
            </w:pPr>
            <w:r>
              <w:rPr>
                <w:sz w:val="18"/>
              </w:rPr>
              <w:t>18.557</w:t>
            </w:r>
          </w:p>
        </w:tc>
        <w:tc>
          <w:tcPr>
            <w:tcW w:w="1053" w:type="dxa"/>
            <w:tcBorders>
              <w:top w:val="nil"/>
              <w:left w:val="single" w:sz="6" w:space="0" w:color="000000"/>
              <w:bottom w:val="nil"/>
              <w:right w:val="single" w:sz="6" w:space="0" w:color="000000"/>
            </w:tcBorders>
          </w:tcPr>
          <w:p>
            <w:pPr>
              <w:pStyle w:val="TableParagraph"/>
              <w:spacing w:before="27"/>
              <w:ind w:right="131"/>
              <w:rPr>
                <w:sz w:val="18"/>
              </w:rPr>
            </w:pPr>
            <w:r>
              <w:rPr>
                <w:sz w:val="18"/>
              </w:rPr>
              <w:t>18.281</w:t>
            </w:r>
          </w:p>
        </w:tc>
        <w:tc>
          <w:tcPr>
            <w:tcW w:w="1306" w:type="dxa"/>
            <w:tcBorders>
              <w:top w:val="nil"/>
              <w:left w:val="single" w:sz="6" w:space="0" w:color="000000"/>
              <w:bottom w:val="nil"/>
            </w:tcBorders>
          </w:tcPr>
          <w:p>
            <w:pPr>
              <w:pStyle w:val="TableParagraph"/>
              <w:spacing w:before="27"/>
              <w:ind w:right="134"/>
              <w:rPr>
                <w:sz w:val="18"/>
              </w:rPr>
            </w:pPr>
            <w:r>
              <w:rPr>
                <w:sz w:val="18"/>
              </w:rPr>
              <w:t>.000</w:t>
            </w:r>
          </w:p>
        </w:tc>
      </w:tr>
      <w:tr>
        <w:trPr>
          <w:trHeight w:val="266" w:hRule="exact"/>
        </w:trPr>
        <w:tc>
          <w:tcPr>
            <w:tcW w:w="1755" w:type="dxa"/>
            <w:tcBorders>
              <w:top w:val="nil"/>
              <w:bottom w:val="nil"/>
            </w:tcBorders>
          </w:tcPr>
          <w:p>
            <w:pPr>
              <w:pStyle w:val="TableParagraph"/>
              <w:spacing w:before="15"/>
              <w:ind w:left="99"/>
              <w:jc w:val="left"/>
              <w:rPr>
                <w:sz w:val="18"/>
              </w:rPr>
            </w:pPr>
            <w:r>
              <w:rPr>
                <w:sz w:val="18"/>
              </w:rPr>
              <w:t>cuarcle * cuarcling</w:t>
            </w:r>
          </w:p>
        </w:tc>
        <w:tc>
          <w:tcPr>
            <w:tcW w:w="1278" w:type="dxa"/>
            <w:tcBorders>
              <w:top w:val="nil"/>
              <w:bottom w:val="nil"/>
              <w:right w:val="single" w:sz="6" w:space="0" w:color="000000"/>
            </w:tcBorders>
          </w:tcPr>
          <w:p>
            <w:pPr>
              <w:pStyle w:val="TableParagraph"/>
              <w:spacing w:before="29"/>
              <w:ind w:right="129"/>
              <w:rPr>
                <w:sz w:val="18"/>
              </w:rPr>
            </w:pPr>
            <w:r>
              <w:rPr>
                <w:sz w:val="18"/>
              </w:rPr>
              <w:t>10.900</w:t>
            </w:r>
          </w:p>
        </w:tc>
        <w:tc>
          <w:tcPr>
            <w:tcW w:w="1053" w:type="dxa"/>
            <w:tcBorders>
              <w:top w:val="nil"/>
              <w:left w:val="single" w:sz="6" w:space="0" w:color="000000"/>
              <w:bottom w:val="nil"/>
              <w:right w:val="single" w:sz="6" w:space="0" w:color="000000"/>
            </w:tcBorders>
          </w:tcPr>
          <w:p>
            <w:pPr>
              <w:pStyle w:val="TableParagraph"/>
              <w:spacing w:before="29"/>
              <w:ind w:right="131"/>
              <w:rPr>
                <w:sz w:val="18"/>
              </w:rPr>
            </w:pPr>
            <w:r>
              <w:rPr>
                <w:w w:val="101"/>
                <w:sz w:val="18"/>
              </w:rPr>
              <w:t>9</w:t>
            </w:r>
          </w:p>
        </w:tc>
        <w:tc>
          <w:tcPr>
            <w:tcW w:w="1165" w:type="dxa"/>
            <w:tcBorders>
              <w:top w:val="nil"/>
              <w:left w:val="single" w:sz="6" w:space="0" w:color="000000"/>
              <w:bottom w:val="nil"/>
              <w:right w:val="single" w:sz="6" w:space="0" w:color="000000"/>
            </w:tcBorders>
          </w:tcPr>
          <w:p>
            <w:pPr>
              <w:pStyle w:val="TableParagraph"/>
              <w:spacing w:before="29"/>
              <w:ind w:right="129"/>
              <w:rPr>
                <w:sz w:val="18"/>
              </w:rPr>
            </w:pPr>
            <w:r>
              <w:rPr>
                <w:sz w:val="18"/>
              </w:rPr>
              <w:t>1.211</w:t>
            </w:r>
          </w:p>
        </w:tc>
        <w:tc>
          <w:tcPr>
            <w:tcW w:w="1053" w:type="dxa"/>
            <w:tcBorders>
              <w:top w:val="nil"/>
              <w:left w:val="single" w:sz="6" w:space="0" w:color="000000"/>
              <w:bottom w:val="nil"/>
              <w:right w:val="single" w:sz="6" w:space="0" w:color="000000"/>
            </w:tcBorders>
          </w:tcPr>
          <w:p>
            <w:pPr>
              <w:pStyle w:val="TableParagraph"/>
              <w:spacing w:before="29"/>
              <w:ind w:right="131"/>
              <w:rPr>
                <w:sz w:val="18"/>
              </w:rPr>
            </w:pPr>
            <w:r>
              <w:rPr>
                <w:sz w:val="18"/>
              </w:rPr>
              <w:t>1.193</w:t>
            </w:r>
          </w:p>
        </w:tc>
        <w:tc>
          <w:tcPr>
            <w:tcW w:w="1306" w:type="dxa"/>
            <w:tcBorders>
              <w:top w:val="nil"/>
              <w:left w:val="single" w:sz="6" w:space="0" w:color="000000"/>
              <w:bottom w:val="nil"/>
            </w:tcBorders>
          </w:tcPr>
          <w:p>
            <w:pPr>
              <w:pStyle w:val="TableParagraph"/>
              <w:spacing w:before="29"/>
              <w:ind w:right="135"/>
              <w:rPr>
                <w:sz w:val="18"/>
              </w:rPr>
            </w:pPr>
            <w:r>
              <w:rPr>
                <w:sz w:val="18"/>
              </w:rPr>
              <w:t>.302</w:t>
            </w:r>
          </w:p>
        </w:tc>
      </w:tr>
      <w:tr>
        <w:trPr>
          <w:trHeight w:val="266" w:hRule="exact"/>
        </w:trPr>
        <w:tc>
          <w:tcPr>
            <w:tcW w:w="1755" w:type="dxa"/>
            <w:tcBorders>
              <w:top w:val="nil"/>
              <w:bottom w:val="nil"/>
            </w:tcBorders>
          </w:tcPr>
          <w:p>
            <w:pPr>
              <w:pStyle w:val="TableParagraph"/>
              <w:spacing w:before="12"/>
              <w:ind w:left="99"/>
              <w:jc w:val="left"/>
              <w:rPr>
                <w:sz w:val="18"/>
              </w:rPr>
            </w:pPr>
            <w:r>
              <w:rPr>
                <w:sz w:val="18"/>
              </w:rPr>
              <w:t>Error</w:t>
            </w:r>
          </w:p>
        </w:tc>
        <w:tc>
          <w:tcPr>
            <w:tcW w:w="1278" w:type="dxa"/>
            <w:tcBorders>
              <w:top w:val="nil"/>
              <w:bottom w:val="nil"/>
              <w:right w:val="single" w:sz="6" w:space="0" w:color="000000"/>
            </w:tcBorders>
          </w:tcPr>
          <w:p>
            <w:pPr>
              <w:pStyle w:val="TableParagraph"/>
              <w:spacing w:before="27"/>
              <w:ind w:right="128"/>
              <w:rPr>
                <w:sz w:val="18"/>
              </w:rPr>
            </w:pPr>
            <w:r>
              <w:rPr>
                <w:sz w:val="18"/>
              </w:rPr>
              <w:t>188.818</w:t>
            </w:r>
          </w:p>
        </w:tc>
        <w:tc>
          <w:tcPr>
            <w:tcW w:w="1053" w:type="dxa"/>
            <w:tcBorders>
              <w:top w:val="nil"/>
              <w:left w:val="single" w:sz="6" w:space="0" w:color="000000"/>
              <w:bottom w:val="nil"/>
              <w:right w:val="single" w:sz="6" w:space="0" w:color="000000"/>
            </w:tcBorders>
          </w:tcPr>
          <w:p>
            <w:pPr>
              <w:pStyle w:val="TableParagraph"/>
              <w:spacing w:before="27"/>
              <w:ind w:right="130"/>
              <w:rPr>
                <w:sz w:val="18"/>
              </w:rPr>
            </w:pPr>
            <w:r>
              <w:rPr>
                <w:sz w:val="18"/>
              </w:rPr>
              <w:t>186</w:t>
            </w:r>
          </w:p>
        </w:tc>
        <w:tc>
          <w:tcPr>
            <w:tcW w:w="1165" w:type="dxa"/>
            <w:tcBorders>
              <w:top w:val="nil"/>
              <w:left w:val="single" w:sz="6" w:space="0" w:color="000000"/>
              <w:bottom w:val="nil"/>
              <w:right w:val="single" w:sz="6" w:space="0" w:color="000000"/>
            </w:tcBorders>
          </w:tcPr>
          <w:p>
            <w:pPr>
              <w:pStyle w:val="TableParagraph"/>
              <w:spacing w:before="27"/>
              <w:ind w:right="130"/>
              <w:rPr>
                <w:sz w:val="18"/>
              </w:rPr>
            </w:pPr>
            <w:r>
              <w:rPr>
                <w:sz w:val="18"/>
              </w:rPr>
              <w:t>1.015</w:t>
            </w:r>
          </w:p>
        </w:tc>
        <w:tc>
          <w:tcPr>
            <w:tcW w:w="1053" w:type="dxa"/>
            <w:tcBorders>
              <w:top w:val="nil"/>
              <w:left w:val="single" w:sz="6" w:space="0" w:color="000000"/>
              <w:bottom w:val="nil"/>
              <w:right w:val="single" w:sz="6" w:space="0" w:color="000000"/>
            </w:tcBorders>
          </w:tcPr>
          <w:p>
            <w:pPr/>
          </w:p>
        </w:tc>
        <w:tc>
          <w:tcPr>
            <w:tcW w:w="1306" w:type="dxa"/>
            <w:tcBorders>
              <w:top w:val="nil"/>
              <w:left w:val="single" w:sz="6" w:space="0" w:color="000000"/>
              <w:bottom w:val="nil"/>
            </w:tcBorders>
          </w:tcPr>
          <w:p>
            <w:pPr/>
          </w:p>
        </w:tc>
      </w:tr>
      <w:tr>
        <w:trPr>
          <w:trHeight w:val="266" w:hRule="exact"/>
        </w:trPr>
        <w:tc>
          <w:tcPr>
            <w:tcW w:w="1755" w:type="dxa"/>
            <w:tcBorders>
              <w:top w:val="nil"/>
              <w:bottom w:val="nil"/>
            </w:tcBorders>
          </w:tcPr>
          <w:p>
            <w:pPr>
              <w:pStyle w:val="TableParagraph"/>
              <w:spacing w:before="15"/>
              <w:ind w:left="99"/>
              <w:jc w:val="left"/>
              <w:rPr>
                <w:sz w:val="18"/>
              </w:rPr>
            </w:pPr>
            <w:r>
              <w:rPr>
                <w:sz w:val="18"/>
              </w:rPr>
              <w:t>Total</w:t>
            </w:r>
          </w:p>
        </w:tc>
        <w:tc>
          <w:tcPr>
            <w:tcW w:w="1278" w:type="dxa"/>
            <w:tcBorders>
              <w:top w:val="nil"/>
              <w:bottom w:val="nil"/>
              <w:right w:val="single" w:sz="6" w:space="0" w:color="000000"/>
            </w:tcBorders>
          </w:tcPr>
          <w:p>
            <w:pPr>
              <w:pStyle w:val="TableParagraph"/>
              <w:spacing w:before="29"/>
              <w:ind w:right="129"/>
              <w:rPr>
                <w:sz w:val="18"/>
              </w:rPr>
            </w:pPr>
            <w:r>
              <w:rPr>
                <w:sz w:val="18"/>
              </w:rPr>
              <w:t>3281.986</w:t>
            </w:r>
          </w:p>
        </w:tc>
        <w:tc>
          <w:tcPr>
            <w:tcW w:w="1053" w:type="dxa"/>
            <w:tcBorders>
              <w:top w:val="nil"/>
              <w:left w:val="single" w:sz="6" w:space="0" w:color="000000"/>
              <w:bottom w:val="nil"/>
              <w:right w:val="single" w:sz="6" w:space="0" w:color="000000"/>
            </w:tcBorders>
          </w:tcPr>
          <w:p>
            <w:pPr>
              <w:pStyle w:val="TableParagraph"/>
              <w:spacing w:before="29"/>
              <w:ind w:right="130"/>
              <w:rPr>
                <w:sz w:val="18"/>
              </w:rPr>
            </w:pPr>
            <w:r>
              <w:rPr>
                <w:sz w:val="18"/>
              </w:rPr>
              <w:t>202</w:t>
            </w:r>
          </w:p>
        </w:tc>
        <w:tc>
          <w:tcPr>
            <w:tcW w:w="1165" w:type="dxa"/>
            <w:tcBorders>
              <w:top w:val="nil"/>
              <w:left w:val="single" w:sz="6" w:space="0" w:color="000000"/>
              <w:bottom w:val="nil"/>
              <w:right w:val="single" w:sz="6" w:space="0" w:color="000000"/>
            </w:tcBorders>
          </w:tcPr>
          <w:p>
            <w:pPr/>
          </w:p>
        </w:tc>
        <w:tc>
          <w:tcPr>
            <w:tcW w:w="1053" w:type="dxa"/>
            <w:tcBorders>
              <w:top w:val="nil"/>
              <w:left w:val="single" w:sz="6" w:space="0" w:color="000000"/>
              <w:bottom w:val="nil"/>
              <w:right w:val="single" w:sz="6" w:space="0" w:color="000000"/>
            </w:tcBorders>
          </w:tcPr>
          <w:p>
            <w:pPr/>
          </w:p>
        </w:tc>
        <w:tc>
          <w:tcPr>
            <w:tcW w:w="1306" w:type="dxa"/>
            <w:tcBorders>
              <w:top w:val="nil"/>
              <w:left w:val="single" w:sz="6" w:space="0" w:color="000000"/>
              <w:bottom w:val="nil"/>
            </w:tcBorders>
          </w:tcPr>
          <w:p>
            <w:pPr/>
          </w:p>
        </w:tc>
      </w:tr>
      <w:tr>
        <w:trPr>
          <w:trHeight w:val="285" w:hRule="exact"/>
        </w:trPr>
        <w:tc>
          <w:tcPr>
            <w:tcW w:w="1755" w:type="dxa"/>
            <w:tcBorders>
              <w:top w:val="nil"/>
            </w:tcBorders>
          </w:tcPr>
          <w:p>
            <w:pPr>
              <w:pStyle w:val="TableParagraph"/>
              <w:spacing w:before="12"/>
              <w:ind w:left="99"/>
              <w:jc w:val="left"/>
              <w:rPr>
                <w:sz w:val="18"/>
              </w:rPr>
            </w:pPr>
            <w:r>
              <w:rPr>
                <w:sz w:val="18"/>
              </w:rPr>
              <w:t>Total corregida</w:t>
            </w:r>
          </w:p>
        </w:tc>
        <w:tc>
          <w:tcPr>
            <w:tcW w:w="1278" w:type="dxa"/>
            <w:tcBorders>
              <w:top w:val="nil"/>
              <w:right w:val="single" w:sz="6" w:space="0" w:color="000000"/>
            </w:tcBorders>
          </w:tcPr>
          <w:p>
            <w:pPr>
              <w:pStyle w:val="TableParagraph"/>
              <w:spacing w:before="27"/>
              <w:ind w:right="129"/>
              <w:rPr>
                <w:sz w:val="18"/>
              </w:rPr>
            </w:pPr>
            <w:r>
              <w:rPr>
                <w:sz w:val="18"/>
              </w:rPr>
              <w:t>342.926</w:t>
            </w:r>
          </w:p>
        </w:tc>
        <w:tc>
          <w:tcPr>
            <w:tcW w:w="1053" w:type="dxa"/>
            <w:tcBorders>
              <w:top w:val="nil"/>
              <w:left w:val="single" w:sz="6" w:space="0" w:color="000000"/>
              <w:right w:val="single" w:sz="6" w:space="0" w:color="000000"/>
            </w:tcBorders>
          </w:tcPr>
          <w:p>
            <w:pPr>
              <w:pStyle w:val="TableParagraph"/>
              <w:spacing w:before="27"/>
              <w:ind w:right="130"/>
              <w:rPr>
                <w:sz w:val="18"/>
              </w:rPr>
            </w:pPr>
            <w:r>
              <w:rPr>
                <w:sz w:val="18"/>
              </w:rPr>
              <w:t>201</w:t>
            </w:r>
          </w:p>
        </w:tc>
        <w:tc>
          <w:tcPr>
            <w:tcW w:w="1165" w:type="dxa"/>
            <w:tcBorders>
              <w:top w:val="nil"/>
              <w:left w:val="single" w:sz="6" w:space="0" w:color="000000"/>
              <w:right w:val="single" w:sz="6" w:space="0" w:color="000000"/>
            </w:tcBorders>
          </w:tcPr>
          <w:p>
            <w:pPr/>
          </w:p>
        </w:tc>
        <w:tc>
          <w:tcPr>
            <w:tcW w:w="1053" w:type="dxa"/>
            <w:tcBorders>
              <w:top w:val="nil"/>
              <w:left w:val="single" w:sz="6" w:space="0" w:color="000000"/>
              <w:right w:val="single" w:sz="6" w:space="0" w:color="000000"/>
            </w:tcBorders>
          </w:tcPr>
          <w:p>
            <w:pPr/>
          </w:p>
        </w:tc>
        <w:tc>
          <w:tcPr>
            <w:tcW w:w="1306" w:type="dxa"/>
            <w:tcBorders>
              <w:top w:val="nil"/>
              <w:left w:val="single" w:sz="6" w:space="0" w:color="000000"/>
            </w:tcBorders>
          </w:tcPr>
          <w:p>
            <w:pPr/>
          </w:p>
        </w:tc>
      </w:tr>
    </w:tbl>
    <w:p>
      <w:pPr>
        <w:pStyle w:val="ListParagraph"/>
        <w:numPr>
          <w:ilvl w:val="1"/>
          <w:numId w:val="18"/>
        </w:numPr>
        <w:tabs>
          <w:tab w:pos="832" w:val="left" w:leader="none"/>
        </w:tabs>
        <w:spacing w:line="240" w:lineRule="auto" w:before="10" w:after="0"/>
        <w:ind w:left="831" w:right="0" w:hanging="211"/>
        <w:jc w:val="left"/>
        <w:rPr>
          <w:sz w:val="18"/>
        </w:rPr>
      </w:pPr>
      <w:r>
        <w:rPr>
          <w:sz w:val="18"/>
        </w:rPr>
        <w:t>R cuadrado = .449 (R cuadrado corregida = </w:t>
      </w:r>
      <w:r>
        <w:rPr>
          <w:spacing w:val="2"/>
          <w:sz w:val="18"/>
        </w:rPr>
        <w:t> </w:t>
      </w:r>
      <w:r>
        <w:rPr>
          <w:sz w:val="18"/>
        </w:rPr>
        <w:t>.405)</w:t>
      </w:r>
    </w:p>
    <w:p>
      <w:pPr>
        <w:spacing w:after="0" w:line="240" w:lineRule="auto"/>
        <w:jc w:val="left"/>
        <w:rPr>
          <w:sz w:val="18"/>
        </w:rPr>
        <w:sectPr>
          <w:pgSz w:w="11910" w:h="16840"/>
          <w:pgMar w:header="1424" w:footer="0" w:top="1840" w:bottom="28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Heading3"/>
        <w:spacing w:line="244" w:lineRule="auto" w:before="74"/>
        <w:ind w:left="3821" w:right="213" w:hanging="3144"/>
        <w:jc w:val="left"/>
      </w:pPr>
      <w:bookmarkStart w:name="_bookmark40" w:id="66"/>
      <w:bookmarkEnd w:id="66"/>
      <w:r>
        <w:rPr>
          <w:b w:val="0"/>
        </w:rPr>
      </w:r>
      <w:r>
        <w:rPr/>
        <w:t>ANEXO D. PRUEBAS POST HOC. COMPRENSIÓN DE LECTURA EN ESPAÑOL.</w:t>
      </w:r>
    </w:p>
    <w:p>
      <w:pPr>
        <w:spacing w:after="0" w:line="244" w:lineRule="auto"/>
        <w:jc w:val="left"/>
        <w:sectPr>
          <w:pgSz w:w="11910" w:h="16840"/>
          <w:pgMar w:header="1424" w:footer="0" w:top="1840" w:bottom="280" w:left="1540" w:right="1540"/>
        </w:sectPr>
      </w:pPr>
    </w:p>
    <w:p>
      <w:pPr>
        <w:pStyle w:val="BodyText"/>
        <w:spacing w:before="11"/>
        <w:rPr>
          <w:b/>
          <w:sz w:val="16"/>
        </w:rPr>
      </w:pPr>
    </w:p>
    <w:p>
      <w:pPr>
        <w:pStyle w:val="BodyText"/>
        <w:spacing w:before="73"/>
        <w:ind w:left="1020" w:right="1018"/>
        <w:jc w:val="center"/>
      </w:pPr>
      <w:r>
        <w:rPr/>
        <w:t>Anexo D. Pruebas Post Hoc. Comprensión de lectura en  español.</w:t>
      </w:r>
    </w:p>
    <w:p>
      <w:pPr>
        <w:pStyle w:val="BodyText"/>
        <w:spacing w:before="5"/>
        <w:rPr>
          <w:sz w:val="24"/>
        </w:rPr>
      </w:pPr>
    </w:p>
    <w:p>
      <w:pPr>
        <w:spacing w:before="0"/>
        <w:ind w:left="984" w:right="1018" w:firstLine="0"/>
        <w:jc w:val="center"/>
        <w:rPr>
          <w:b/>
          <w:sz w:val="15"/>
        </w:rPr>
      </w:pPr>
      <w:r>
        <w:rPr>
          <w:b/>
          <w:sz w:val="15"/>
        </w:rPr>
        <w:t>Comparaciones múltiples</w:t>
      </w:r>
    </w:p>
    <w:p>
      <w:pPr>
        <w:pStyle w:val="BodyText"/>
        <w:spacing w:before="6"/>
        <w:rPr>
          <w:b/>
          <w:sz w:val="12"/>
        </w:rPr>
      </w:pPr>
    </w:p>
    <w:p>
      <w:pPr>
        <w:spacing w:line="307" w:lineRule="auto" w:before="0"/>
        <w:ind w:left="355" w:right="4604" w:firstLine="0"/>
        <w:jc w:val="left"/>
        <w:rPr>
          <w:sz w:val="15"/>
        </w:rPr>
      </w:pPr>
      <w:r>
        <w:rPr/>
        <w:pict>
          <v:shape style="position:absolute;margin-left:89.478165pt;margin-top:19.68306pt;width:417.2pt;height:184.15pt;mso-position-horizontal-relative:page;mso-position-vertical-relative:paragraph;z-index:1336" type="#_x0000_t202" filled="false" stroked="false">
            <v:textbox inset="0,0,0,0">
              <w:txbxContent>
                <w:tbl>
                  <w:tblPr>
                    <w:tblW w:w="0" w:type="auto"/>
                    <w:jc w:val="left"/>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1606"/>
                    <w:gridCol w:w="1711"/>
                    <w:gridCol w:w="1036"/>
                    <w:gridCol w:w="873"/>
                    <w:gridCol w:w="1070"/>
                    <w:gridCol w:w="1129"/>
                    <w:gridCol w:w="884"/>
                  </w:tblGrid>
                  <w:tr>
                    <w:trPr>
                      <w:trHeight w:val="593" w:hRule="exact"/>
                    </w:trPr>
                    <w:tc>
                      <w:tcPr>
                        <w:tcW w:w="1606" w:type="dxa"/>
                        <w:vMerge w:val="restart"/>
                        <w:tcBorders>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8"/>
                          <w:jc w:val="left"/>
                          <w:rPr>
                            <w:sz w:val="12"/>
                          </w:rPr>
                        </w:pPr>
                      </w:p>
                      <w:p>
                        <w:pPr>
                          <w:pStyle w:val="TableParagraph"/>
                          <w:spacing w:line="254" w:lineRule="auto"/>
                          <w:ind w:left="83" w:right="113"/>
                          <w:jc w:val="left"/>
                          <w:rPr>
                            <w:sz w:val="15"/>
                          </w:rPr>
                        </w:pPr>
                        <w:r>
                          <w:rPr>
                            <w:sz w:val="15"/>
                          </w:rPr>
                          <w:t>(I) Cuartiles comp lect español</w:t>
                        </w:r>
                      </w:p>
                    </w:tc>
                    <w:tc>
                      <w:tcPr>
                        <w:tcW w:w="1711" w:type="dxa"/>
                        <w:vMerge w:val="restart"/>
                        <w:tcBorders>
                          <w:lef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8"/>
                          <w:jc w:val="left"/>
                          <w:rPr>
                            <w:sz w:val="12"/>
                          </w:rPr>
                        </w:pPr>
                      </w:p>
                      <w:p>
                        <w:pPr>
                          <w:pStyle w:val="TableParagraph"/>
                          <w:spacing w:line="254" w:lineRule="auto"/>
                          <w:ind w:left="140" w:right="128"/>
                          <w:jc w:val="left"/>
                          <w:rPr>
                            <w:sz w:val="15"/>
                          </w:rPr>
                        </w:pPr>
                        <w:r>
                          <w:rPr>
                            <w:sz w:val="15"/>
                          </w:rPr>
                          <w:t>(J) Cuartiles comp lect español</w:t>
                        </w:r>
                      </w:p>
                    </w:tc>
                    <w:tc>
                      <w:tcPr>
                        <w:tcW w:w="1036" w:type="dxa"/>
                        <w:vMerge w:val="restart"/>
                        <w:tcBorders>
                          <w:right w:val="single" w:sz="5" w:space="0" w:color="000000"/>
                        </w:tcBorders>
                      </w:tcPr>
                      <w:p>
                        <w:pPr>
                          <w:pStyle w:val="TableParagraph"/>
                          <w:jc w:val="left"/>
                          <w:rPr>
                            <w:sz w:val="14"/>
                          </w:rPr>
                        </w:pPr>
                      </w:p>
                      <w:p>
                        <w:pPr>
                          <w:pStyle w:val="TableParagraph"/>
                          <w:jc w:val="left"/>
                          <w:rPr>
                            <w:sz w:val="14"/>
                          </w:rPr>
                        </w:pPr>
                      </w:p>
                      <w:p>
                        <w:pPr>
                          <w:pStyle w:val="TableParagraph"/>
                          <w:spacing w:line="256" w:lineRule="auto" w:before="120"/>
                          <w:ind w:left="97" w:right="138" w:firstLine="9"/>
                          <w:jc w:val="center"/>
                          <w:rPr>
                            <w:sz w:val="15"/>
                          </w:rPr>
                        </w:pPr>
                        <w:r>
                          <w:rPr>
                            <w:spacing w:val="-3"/>
                            <w:sz w:val="15"/>
                          </w:rPr>
                          <w:t>Diferencia entre medias </w:t>
                        </w:r>
                        <w:r>
                          <w:rPr>
                            <w:sz w:val="15"/>
                          </w:rPr>
                          <w:t>(I-J)</w:t>
                        </w:r>
                      </w:p>
                    </w:tc>
                    <w:tc>
                      <w:tcPr>
                        <w:tcW w:w="873" w:type="dxa"/>
                        <w:vMerge w:val="restart"/>
                        <w:tcBorders>
                          <w:left w:val="single" w:sz="5" w:space="0" w:color="000000"/>
                          <w:right w:val="single" w:sz="5" w:space="0" w:color="000000"/>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6"/>
                          <w:jc w:val="left"/>
                          <w:rPr>
                            <w:sz w:val="14"/>
                          </w:rPr>
                        </w:pPr>
                      </w:p>
                      <w:p>
                        <w:pPr>
                          <w:pStyle w:val="TableParagraph"/>
                          <w:spacing w:before="1"/>
                          <w:ind w:left="124"/>
                          <w:jc w:val="left"/>
                          <w:rPr>
                            <w:sz w:val="15"/>
                          </w:rPr>
                        </w:pPr>
                        <w:r>
                          <w:rPr>
                            <w:sz w:val="15"/>
                          </w:rPr>
                          <w:t>Error típ.</w:t>
                        </w:r>
                      </w:p>
                    </w:tc>
                    <w:tc>
                      <w:tcPr>
                        <w:tcW w:w="1070" w:type="dxa"/>
                        <w:vMerge w:val="restart"/>
                        <w:tcBorders>
                          <w:left w:val="single" w:sz="5" w:space="0" w:color="000000"/>
                          <w:right w:val="single" w:sz="5" w:space="0" w:color="000000"/>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6"/>
                          <w:jc w:val="left"/>
                          <w:rPr>
                            <w:sz w:val="14"/>
                          </w:rPr>
                        </w:pPr>
                      </w:p>
                      <w:p>
                        <w:pPr>
                          <w:pStyle w:val="TableParagraph"/>
                          <w:spacing w:before="1"/>
                          <w:ind w:left="100"/>
                          <w:jc w:val="left"/>
                          <w:rPr>
                            <w:sz w:val="15"/>
                          </w:rPr>
                        </w:pPr>
                        <w:r>
                          <w:rPr>
                            <w:sz w:val="15"/>
                          </w:rPr>
                          <w:t>Significación</w:t>
                        </w:r>
                      </w:p>
                    </w:tc>
                    <w:tc>
                      <w:tcPr>
                        <w:tcW w:w="2013" w:type="dxa"/>
                        <w:gridSpan w:val="2"/>
                        <w:tcBorders>
                          <w:left w:val="single" w:sz="5" w:space="0" w:color="000000"/>
                          <w:bottom w:val="single" w:sz="5" w:space="0" w:color="000000"/>
                        </w:tcBorders>
                      </w:tcPr>
                      <w:p>
                        <w:pPr>
                          <w:pStyle w:val="TableParagraph"/>
                          <w:spacing w:before="3"/>
                          <w:jc w:val="left"/>
                          <w:rPr>
                            <w:sz w:val="19"/>
                          </w:rPr>
                        </w:pPr>
                      </w:p>
                      <w:p>
                        <w:pPr>
                          <w:pStyle w:val="TableParagraph"/>
                          <w:spacing w:line="261" w:lineRule="auto"/>
                          <w:ind w:left="811" w:right="148" w:hanging="610"/>
                          <w:jc w:val="left"/>
                          <w:rPr>
                            <w:sz w:val="15"/>
                          </w:rPr>
                        </w:pPr>
                        <w:r>
                          <w:rPr>
                            <w:sz w:val="15"/>
                          </w:rPr>
                          <w:t>Intervalo de confianza al 95%.</w:t>
                        </w:r>
                      </w:p>
                    </w:tc>
                  </w:tr>
                  <w:tr>
                    <w:trPr>
                      <w:trHeight w:val="418" w:hRule="exact"/>
                    </w:trPr>
                    <w:tc>
                      <w:tcPr>
                        <w:tcW w:w="1606" w:type="dxa"/>
                        <w:vMerge/>
                        <w:tcBorders>
                          <w:right w:val="nil"/>
                        </w:tcBorders>
                      </w:tcPr>
                      <w:p>
                        <w:pPr/>
                      </w:p>
                    </w:tc>
                    <w:tc>
                      <w:tcPr>
                        <w:tcW w:w="1711" w:type="dxa"/>
                        <w:vMerge/>
                        <w:tcBorders>
                          <w:left w:val="nil"/>
                        </w:tcBorders>
                      </w:tcPr>
                      <w:p>
                        <w:pPr/>
                      </w:p>
                    </w:tc>
                    <w:tc>
                      <w:tcPr>
                        <w:tcW w:w="1036" w:type="dxa"/>
                        <w:vMerge/>
                        <w:tcBorders>
                          <w:right w:val="single" w:sz="5" w:space="0" w:color="000000"/>
                        </w:tcBorders>
                      </w:tcPr>
                      <w:p>
                        <w:pPr/>
                      </w:p>
                    </w:tc>
                    <w:tc>
                      <w:tcPr>
                        <w:tcW w:w="873" w:type="dxa"/>
                        <w:vMerge/>
                        <w:tcBorders>
                          <w:left w:val="single" w:sz="5" w:space="0" w:color="000000"/>
                          <w:right w:val="single" w:sz="5" w:space="0" w:color="000000"/>
                        </w:tcBorders>
                      </w:tcPr>
                      <w:p>
                        <w:pPr/>
                      </w:p>
                    </w:tc>
                    <w:tc>
                      <w:tcPr>
                        <w:tcW w:w="1070" w:type="dxa"/>
                        <w:vMerge/>
                        <w:tcBorders>
                          <w:left w:val="single" w:sz="5" w:space="0" w:color="000000"/>
                          <w:right w:val="single" w:sz="5" w:space="0" w:color="000000"/>
                        </w:tcBorders>
                      </w:tcPr>
                      <w:p>
                        <w:pPr/>
                      </w:p>
                    </w:tc>
                    <w:tc>
                      <w:tcPr>
                        <w:tcW w:w="1129" w:type="dxa"/>
                        <w:tcBorders>
                          <w:top w:val="single" w:sz="5" w:space="0" w:color="000000"/>
                          <w:left w:val="single" w:sz="5" w:space="0" w:color="000000"/>
                          <w:right w:val="single" w:sz="5" w:space="0" w:color="000000"/>
                        </w:tcBorders>
                      </w:tcPr>
                      <w:p>
                        <w:pPr>
                          <w:pStyle w:val="TableParagraph"/>
                          <w:spacing w:before="6"/>
                          <w:jc w:val="left"/>
                          <w:rPr>
                            <w:sz w:val="19"/>
                          </w:rPr>
                        </w:pPr>
                      </w:p>
                      <w:p>
                        <w:pPr>
                          <w:pStyle w:val="TableParagraph"/>
                          <w:ind w:right="128"/>
                          <w:rPr>
                            <w:sz w:val="15"/>
                          </w:rPr>
                        </w:pPr>
                        <w:r>
                          <w:rPr>
                            <w:sz w:val="15"/>
                          </w:rPr>
                          <w:t>Límite inferior</w:t>
                        </w:r>
                      </w:p>
                    </w:tc>
                    <w:tc>
                      <w:tcPr>
                        <w:tcW w:w="884" w:type="dxa"/>
                        <w:tcBorders>
                          <w:top w:val="single" w:sz="5" w:space="0" w:color="000000"/>
                          <w:left w:val="single" w:sz="5" w:space="0" w:color="000000"/>
                        </w:tcBorders>
                      </w:tcPr>
                      <w:p>
                        <w:pPr>
                          <w:pStyle w:val="TableParagraph"/>
                          <w:spacing w:line="254" w:lineRule="auto" w:before="42"/>
                          <w:ind w:left="152" w:firstLine="57"/>
                          <w:jc w:val="left"/>
                          <w:rPr>
                            <w:sz w:val="15"/>
                          </w:rPr>
                        </w:pPr>
                        <w:r>
                          <w:rPr>
                            <w:sz w:val="15"/>
                          </w:rPr>
                          <w:t>Límite superior</w:t>
                        </w:r>
                      </w:p>
                    </w:tc>
                  </w:tr>
                  <w:tr>
                    <w:trPr>
                      <w:trHeight w:val="204" w:hRule="exact"/>
                    </w:trPr>
                    <w:tc>
                      <w:tcPr>
                        <w:tcW w:w="1606" w:type="dxa"/>
                        <w:tcBorders>
                          <w:bottom w:val="nil"/>
                          <w:right w:val="nil"/>
                        </w:tcBorders>
                      </w:tcPr>
                      <w:p>
                        <w:pPr>
                          <w:pStyle w:val="TableParagraph"/>
                          <w:spacing w:line="156" w:lineRule="exact"/>
                          <w:ind w:left="83" w:right="113"/>
                          <w:jc w:val="left"/>
                          <w:rPr>
                            <w:sz w:val="15"/>
                          </w:rPr>
                        </w:pPr>
                        <w:r>
                          <w:rPr>
                            <w:sz w:val="15"/>
                          </w:rPr>
                          <w:t>LectEsp_bajo</w:t>
                        </w:r>
                      </w:p>
                    </w:tc>
                    <w:tc>
                      <w:tcPr>
                        <w:tcW w:w="1711" w:type="dxa"/>
                        <w:tcBorders>
                          <w:left w:val="nil"/>
                          <w:bottom w:val="nil"/>
                        </w:tcBorders>
                      </w:tcPr>
                      <w:p>
                        <w:pPr>
                          <w:pStyle w:val="TableParagraph"/>
                          <w:spacing w:line="156" w:lineRule="exact"/>
                          <w:ind w:left="140"/>
                          <w:jc w:val="left"/>
                          <w:rPr>
                            <w:sz w:val="15"/>
                          </w:rPr>
                        </w:pPr>
                        <w:r>
                          <w:rPr>
                            <w:sz w:val="15"/>
                          </w:rPr>
                          <w:t>LectEsp_medio_bajo</w:t>
                        </w:r>
                      </w:p>
                    </w:tc>
                    <w:tc>
                      <w:tcPr>
                        <w:tcW w:w="1036" w:type="dxa"/>
                        <w:tcBorders>
                          <w:bottom w:val="nil"/>
                          <w:right w:val="single" w:sz="5" w:space="0" w:color="000000"/>
                        </w:tcBorders>
                      </w:tcPr>
                      <w:p>
                        <w:pPr>
                          <w:pStyle w:val="TableParagraph"/>
                          <w:spacing w:line="166" w:lineRule="exact"/>
                          <w:ind w:right="104"/>
                          <w:rPr>
                            <w:sz w:val="15"/>
                          </w:rPr>
                        </w:pPr>
                        <w:r>
                          <w:rPr>
                            <w:sz w:val="15"/>
                          </w:rPr>
                          <w:t>-.1824</w:t>
                        </w:r>
                      </w:p>
                    </w:tc>
                    <w:tc>
                      <w:tcPr>
                        <w:tcW w:w="873" w:type="dxa"/>
                        <w:tcBorders>
                          <w:left w:val="single" w:sz="5" w:space="0" w:color="000000"/>
                          <w:bottom w:val="nil"/>
                          <w:right w:val="single" w:sz="5" w:space="0" w:color="000000"/>
                        </w:tcBorders>
                      </w:tcPr>
                      <w:p>
                        <w:pPr>
                          <w:pStyle w:val="TableParagraph"/>
                          <w:spacing w:line="166" w:lineRule="exact"/>
                          <w:ind w:right="103"/>
                          <w:rPr>
                            <w:sz w:val="15"/>
                          </w:rPr>
                        </w:pPr>
                        <w:r>
                          <w:rPr>
                            <w:sz w:val="15"/>
                          </w:rPr>
                          <w:t>.19321</w:t>
                        </w:r>
                      </w:p>
                    </w:tc>
                    <w:tc>
                      <w:tcPr>
                        <w:tcW w:w="1070" w:type="dxa"/>
                        <w:tcBorders>
                          <w:left w:val="single" w:sz="5" w:space="0" w:color="000000"/>
                          <w:bottom w:val="nil"/>
                          <w:right w:val="single" w:sz="5" w:space="0" w:color="000000"/>
                        </w:tcBorders>
                      </w:tcPr>
                      <w:p>
                        <w:pPr>
                          <w:pStyle w:val="TableParagraph"/>
                          <w:spacing w:line="166" w:lineRule="exact"/>
                          <w:ind w:right="103"/>
                          <w:rPr>
                            <w:sz w:val="15"/>
                          </w:rPr>
                        </w:pPr>
                        <w:r>
                          <w:rPr>
                            <w:sz w:val="15"/>
                          </w:rPr>
                          <w:t>1.000</w:t>
                        </w:r>
                      </w:p>
                    </w:tc>
                    <w:tc>
                      <w:tcPr>
                        <w:tcW w:w="1129" w:type="dxa"/>
                        <w:tcBorders>
                          <w:left w:val="single" w:sz="5" w:space="0" w:color="000000"/>
                          <w:bottom w:val="nil"/>
                          <w:right w:val="single" w:sz="5" w:space="0" w:color="000000"/>
                        </w:tcBorders>
                      </w:tcPr>
                      <w:p>
                        <w:pPr>
                          <w:pStyle w:val="TableParagraph"/>
                          <w:spacing w:line="166" w:lineRule="exact"/>
                          <w:ind w:right="104"/>
                          <w:rPr>
                            <w:sz w:val="15"/>
                          </w:rPr>
                        </w:pPr>
                        <w:r>
                          <w:rPr>
                            <w:sz w:val="15"/>
                          </w:rPr>
                          <w:t>-.6976</w:t>
                        </w:r>
                      </w:p>
                    </w:tc>
                    <w:tc>
                      <w:tcPr>
                        <w:tcW w:w="884" w:type="dxa"/>
                        <w:tcBorders>
                          <w:left w:val="single" w:sz="5" w:space="0" w:color="000000"/>
                          <w:bottom w:val="nil"/>
                        </w:tcBorders>
                      </w:tcPr>
                      <w:p>
                        <w:pPr>
                          <w:pStyle w:val="TableParagraph"/>
                          <w:spacing w:line="166" w:lineRule="exact"/>
                          <w:ind w:right="109"/>
                          <w:rPr>
                            <w:sz w:val="15"/>
                          </w:rPr>
                        </w:pPr>
                        <w:r>
                          <w:rPr>
                            <w:sz w:val="15"/>
                          </w:rPr>
                          <w:t>.3329</w:t>
                        </w:r>
                      </w:p>
                    </w:tc>
                  </w:tr>
                  <w:tr>
                    <w:trPr>
                      <w:trHeight w:val="221" w:hRule="exact"/>
                    </w:trPr>
                    <w:tc>
                      <w:tcPr>
                        <w:tcW w:w="1606" w:type="dxa"/>
                        <w:tcBorders>
                          <w:top w:val="nil"/>
                          <w:bottom w:val="nil"/>
                          <w:right w:val="nil"/>
                        </w:tcBorders>
                      </w:tcPr>
                      <w:p>
                        <w:pPr/>
                      </w:p>
                    </w:tc>
                    <w:tc>
                      <w:tcPr>
                        <w:tcW w:w="1711" w:type="dxa"/>
                        <w:tcBorders>
                          <w:top w:val="nil"/>
                          <w:left w:val="nil"/>
                          <w:bottom w:val="nil"/>
                        </w:tcBorders>
                      </w:tcPr>
                      <w:p>
                        <w:pPr>
                          <w:pStyle w:val="TableParagraph"/>
                          <w:spacing w:before="11"/>
                          <w:ind w:left="140" w:right="128"/>
                          <w:jc w:val="left"/>
                          <w:rPr>
                            <w:sz w:val="15"/>
                          </w:rPr>
                        </w:pPr>
                        <w:r>
                          <w:rPr>
                            <w:sz w:val="15"/>
                          </w:rPr>
                          <w:t>LectEsp_medio_alto</w:t>
                        </w:r>
                      </w:p>
                    </w:tc>
                    <w:tc>
                      <w:tcPr>
                        <w:tcW w:w="1036" w:type="dxa"/>
                        <w:tcBorders>
                          <w:top w:val="nil"/>
                          <w:bottom w:val="nil"/>
                          <w:right w:val="single" w:sz="5" w:space="0" w:color="000000"/>
                        </w:tcBorders>
                      </w:tcPr>
                      <w:p>
                        <w:pPr>
                          <w:pStyle w:val="TableParagraph"/>
                          <w:spacing w:before="21"/>
                          <w:ind w:right="48"/>
                          <w:rPr>
                            <w:sz w:val="15"/>
                          </w:rPr>
                        </w:pPr>
                        <w:r>
                          <w:rPr>
                            <w:sz w:val="15"/>
                          </w:rPr>
                          <w:t>-.8196*</w:t>
                        </w:r>
                      </w:p>
                    </w:tc>
                    <w:tc>
                      <w:tcPr>
                        <w:tcW w:w="873" w:type="dxa"/>
                        <w:tcBorders>
                          <w:top w:val="nil"/>
                          <w:left w:val="single" w:sz="5" w:space="0" w:color="000000"/>
                          <w:bottom w:val="nil"/>
                          <w:right w:val="single" w:sz="5" w:space="0" w:color="000000"/>
                        </w:tcBorders>
                      </w:tcPr>
                      <w:p>
                        <w:pPr>
                          <w:pStyle w:val="TableParagraph"/>
                          <w:spacing w:before="21"/>
                          <w:ind w:right="103"/>
                          <w:rPr>
                            <w:sz w:val="15"/>
                          </w:rPr>
                        </w:pPr>
                        <w:r>
                          <w:rPr>
                            <w:sz w:val="15"/>
                          </w:rPr>
                          <w:t>.18792</w:t>
                        </w:r>
                      </w:p>
                    </w:tc>
                    <w:tc>
                      <w:tcPr>
                        <w:tcW w:w="1070" w:type="dxa"/>
                        <w:tcBorders>
                          <w:top w:val="nil"/>
                          <w:left w:val="single" w:sz="5" w:space="0" w:color="000000"/>
                          <w:bottom w:val="nil"/>
                          <w:right w:val="single" w:sz="5" w:space="0" w:color="000000"/>
                        </w:tcBorders>
                      </w:tcPr>
                      <w:p>
                        <w:pPr>
                          <w:pStyle w:val="TableParagraph"/>
                          <w:spacing w:before="21"/>
                          <w:ind w:right="103"/>
                          <w:rPr>
                            <w:sz w:val="15"/>
                          </w:rPr>
                        </w:pPr>
                        <w:r>
                          <w:rPr>
                            <w:sz w:val="15"/>
                          </w:rPr>
                          <w:t>.000</w:t>
                        </w:r>
                      </w:p>
                    </w:tc>
                    <w:tc>
                      <w:tcPr>
                        <w:tcW w:w="1129" w:type="dxa"/>
                        <w:tcBorders>
                          <w:top w:val="nil"/>
                          <w:left w:val="single" w:sz="5" w:space="0" w:color="000000"/>
                          <w:bottom w:val="nil"/>
                          <w:right w:val="single" w:sz="5" w:space="0" w:color="000000"/>
                        </w:tcBorders>
                      </w:tcPr>
                      <w:p>
                        <w:pPr>
                          <w:pStyle w:val="TableParagraph"/>
                          <w:spacing w:before="21"/>
                          <w:ind w:right="104"/>
                          <w:rPr>
                            <w:sz w:val="15"/>
                          </w:rPr>
                        </w:pPr>
                        <w:r>
                          <w:rPr>
                            <w:sz w:val="15"/>
                          </w:rPr>
                          <w:t>-1.3208</w:t>
                        </w:r>
                      </w:p>
                    </w:tc>
                    <w:tc>
                      <w:tcPr>
                        <w:tcW w:w="884" w:type="dxa"/>
                        <w:tcBorders>
                          <w:top w:val="nil"/>
                          <w:left w:val="single" w:sz="5" w:space="0" w:color="000000"/>
                          <w:bottom w:val="nil"/>
                        </w:tcBorders>
                      </w:tcPr>
                      <w:p>
                        <w:pPr>
                          <w:pStyle w:val="TableParagraph"/>
                          <w:spacing w:before="21"/>
                          <w:ind w:right="109"/>
                          <w:rPr>
                            <w:sz w:val="15"/>
                          </w:rPr>
                        </w:pPr>
                        <w:r>
                          <w:rPr>
                            <w:sz w:val="15"/>
                          </w:rPr>
                          <w:t>-.3185</w:t>
                        </w:r>
                      </w:p>
                    </w:tc>
                  </w:tr>
                  <w:tr>
                    <w:trPr>
                      <w:trHeight w:val="226" w:hRule="exact"/>
                    </w:trPr>
                    <w:tc>
                      <w:tcPr>
                        <w:tcW w:w="1606" w:type="dxa"/>
                        <w:tcBorders>
                          <w:top w:val="nil"/>
                          <w:bottom w:val="single" w:sz="5" w:space="0" w:color="000000"/>
                          <w:right w:val="nil"/>
                        </w:tcBorders>
                      </w:tcPr>
                      <w:p>
                        <w:pPr/>
                      </w:p>
                    </w:tc>
                    <w:tc>
                      <w:tcPr>
                        <w:tcW w:w="1711" w:type="dxa"/>
                        <w:tcBorders>
                          <w:top w:val="nil"/>
                          <w:left w:val="nil"/>
                          <w:bottom w:val="single" w:sz="5" w:space="0" w:color="000000"/>
                        </w:tcBorders>
                      </w:tcPr>
                      <w:p>
                        <w:pPr>
                          <w:pStyle w:val="TableParagraph"/>
                          <w:spacing w:before="11"/>
                          <w:ind w:left="140" w:right="128"/>
                          <w:jc w:val="left"/>
                          <w:rPr>
                            <w:sz w:val="15"/>
                          </w:rPr>
                        </w:pPr>
                        <w:r>
                          <w:rPr>
                            <w:sz w:val="15"/>
                          </w:rPr>
                          <w:t>LectEsp_alto</w:t>
                        </w:r>
                      </w:p>
                    </w:tc>
                    <w:tc>
                      <w:tcPr>
                        <w:tcW w:w="1036" w:type="dxa"/>
                        <w:tcBorders>
                          <w:top w:val="nil"/>
                          <w:bottom w:val="single" w:sz="5" w:space="0" w:color="000000"/>
                          <w:right w:val="single" w:sz="5" w:space="0" w:color="000000"/>
                        </w:tcBorders>
                      </w:tcPr>
                      <w:p>
                        <w:pPr>
                          <w:pStyle w:val="TableParagraph"/>
                          <w:spacing w:before="21"/>
                          <w:ind w:right="48"/>
                          <w:rPr>
                            <w:sz w:val="15"/>
                          </w:rPr>
                        </w:pPr>
                        <w:r>
                          <w:rPr>
                            <w:sz w:val="15"/>
                          </w:rPr>
                          <w:t>-1.7445*</w:t>
                        </w:r>
                      </w:p>
                    </w:tc>
                    <w:tc>
                      <w:tcPr>
                        <w:tcW w:w="873" w:type="dxa"/>
                        <w:tcBorders>
                          <w:top w:val="nil"/>
                          <w:left w:val="single" w:sz="5" w:space="0" w:color="000000"/>
                          <w:bottom w:val="single" w:sz="5" w:space="0" w:color="000000"/>
                          <w:right w:val="single" w:sz="5" w:space="0" w:color="000000"/>
                        </w:tcBorders>
                      </w:tcPr>
                      <w:p>
                        <w:pPr>
                          <w:pStyle w:val="TableParagraph"/>
                          <w:spacing w:before="21"/>
                          <w:ind w:right="103"/>
                          <w:rPr>
                            <w:sz w:val="15"/>
                          </w:rPr>
                        </w:pPr>
                        <w:r>
                          <w:rPr>
                            <w:sz w:val="15"/>
                          </w:rPr>
                          <w:t>.21637</w:t>
                        </w:r>
                      </w:p>
                    </w:tc>
                    <w:tc>
                      <w:tcPr>
                        <w:tcW w:w="1070" w:type="dxa"/>
                        <w:tcBorders>
                          <w:top w:val="nil"/>
                          <w:left w:val="single" w:sz="5" w:space="0" w:color="000000"/>
                          <w:bottom w:val="single" w:sz="5" w:space="0" w:color="000000"/>
                          <w:right w:val="single" w:sz="5" w:space="0" w:color="000000"/>
                        </w:tcBorders>
                      </w:tcPr>
                      <w:p>
                        <w:pPr>
                          <w:pStyle w:val="TableParagraph"/>
                          <w:spacing w:before="21"/>
                          <w:ind w:right="103"/>
                          <w:rPr>
                            <w:sz w:val="15"/>
                          </w:rPr>
                        </w:pPr>
                        <w:r>
                          <w:rPr>
                            <w:sz w:val="15"/>
                          </w:rPr>
                          <w:t>.000</w:t>
                        </w:r>
                      </w:p>
                    </w:tc>
                    <w:tc>
                      <w:tcPr>
                        <w:tcW w:w="1129" w:type="dxa"/>
                        <w:tcBorders>
                          <w:top w:val="nil"/>
                          <w:left w:val="single" w:sz="5" w:space="0" w:color="000000"/>
                          <w:bottom w:val="single" w:sz="5" w:space="0" w:color="000000"/>
                          <w:right w:val="single" w:sz="5" w:space="0" w:color="000000"/>
                        </w:tcBorders>
                      </w:tcPr>
                      <w:p>
                        <w:pPr>
                          <w:pStyle w:val="TableParagraph"/>
                          <w:spacing w:before="21"/>
                          <w:ind w:right="104"/>
                          <w:rPr>
                            <w:sz w:val="15"/>
                          </w:rPr>
                        </w:pPr>
                        <w:r>
                          <w:rPr>
                            <w:sz w:val="15"/>
                          </w:rPr>
                          <w:t>-2.3215</w:t>
                        </w:r>
                      </w:p>
                    </w:tc>
                    <w:tc>
                      <w:tcPr>
                        <w:tcW w:w="884" w:type="dxa"/>
                        <w:tcBorders>
                          <w:top w:val="nil"/>
                          <w:left w:val="single" w:sz="5" w:space="0" w:color="000000"/>
                          <w:bottom w:val="single" w:sz="5" w:space="0" w:color="000000"/>
                        </w:tcBorders>
                      </w:tcPr>
                      <w:p>
                        <w:pPr>
                          <w:pStyle w:val="TableParagraph"/>
                          <w:spacing w:before="21"/>
                          <w:ind w:right="109"/>
                          <w:rPr>
                            <w:sz w:val="15"/>
                          </w:rPr>
                        </w:pPr>
                        <w:r>
                          <w:rPr>
                            <w:sz w:val="15"/>
                          </w:rPr>
                          <w:t>-1.1675</w:t>
                        </w:r>
                      </w:p>
                    </w:tc>
                  </w:tr>
                  <w:tr>
                    <w:trPr>
                      <w:trHeight w:val="216" w:hRule="exact"/>
                    </w:trPr>
                    <w:tc>
                      <w:tcPr>
                        <w:tcW w:w="1606" w:type="dxa"/>
                        <w:tcBorders>
                          <w:top w:val="single" w:sz="5" w:space="0" w:color="000000"/>
                          <w:bottom w:val="nil"/>
                          <w:right w:val="nil"/>
                        </w:tcBorders>
                      </w:tcPr>
                      <w:p>
                        <w:pPr>
                          <w:pStyle w:val="TableParagraph"/>
                          <w:spacing w:before="1"/>
                          <w:ind w:left="83"/>
                          <w:jc w:val="left"/>
                          <w:rPr>
                            <w:sz w:val="15"/>
                          </w:rPr>
                        </w:pPr>
                        <w:r>
                          <w:rPr>
                            <w:sz w:val="15"/>
                          </w:rPr>
                          <w:t>LectEsp_medio_bajo</w:t>
                        </w:r>
                      </w:p>
                    </w:tc>
                    <w:tc>
                      <w:tcPr>
                        <w:tcW w:w="1711" w:type="dxa"/>
                        <w:tcBorders>
                          <w:top w:val="single" w:sz="5" w:space="0" w:color="000000"/>
                          <w:left w:val="nil"/>
                          <w:bottom w:val="nil"/>
                        </w:tcBorders>
                      </w:tcPr>
                      <w:p>
                        <w:pPr>
                          <w:pStyle w:val="TableParagraph"/>
                          <w:spacing w:before="1"/>
                          <w:ind w:left="140" w:right="128"/>
                          <w:jc w:val="left"/>
                          <w:rPr>
                            <w:sz w:val="15"/>
                          </w:rPr>
                        </w:pPr>
                        <w:r>
                          <w:rPr>
                            <w:sz w:val="15"/>
                          </w:rPr>
                          <w:t>LectEsp_bajo</w:t>
                        </w:r>
                      </w:p>
                    </w:tc>
                    <w:tc>
                      <w:tcPr>
                        <w:tcW w:w="1036" w:type="dxa"/>
                        <w:tcBorders>
                          <w:top w:val="single" w:sz="5" w:space="0" w:color="000000"/>
                          <w:bottom w:val="nil"/>
                          <w:right w:val="single" w:sz="5" w:space="0" w:color="000000"/>
                        </w:tcBorders>
                      </w:tcPr>
                      <w:p>
                        <w:pPr>
                          <w:pStyle w:val="TableParagraph"/>
                          <w:spacing w:before="10"/>
                          <w:ind w:right="104"/>
                          <w:rPr>
                            <w:sz w:val="15"/>
                          </w:rPr>
                        </w:pPr>
                        <w:r>
                          <w:rPr>
                            <w:sz w:val="15"/>
                          </w:rPr>
                          <w:t>.1824</w:t>
                        </w:r>
                      </w:p>
                    </w:tc>
                    <w:tc>
                      <w:tcPr>
                        <w:tcW w:w="873" w:type="dxa"/>
                        <w:tcBorders>
                          <w:top w:val="single" w:sz="5" w:space="0" w:color="000000"/>
                          <w:left w:val="single" w:sz="5" w:space="0" w:color="000000"/>
                          <w:bottom w:val="nil"/>
                          <w:right w:val="single" w:sz="5" w:space="0" w:color="000000"/>
                        </w:tcBorders>
                      </w:tcPr>
                      <w:p>
                        <w:pPr>
                          <w:pStyle w:val="TableParagraph"/>
                          <w:spacing w:before="10"/>
                          <w:ind w:right="103"/>
                          <w:rPr>
                            <w:sz w:val="15"/>
                          </w:rPr>
                        </w:pPr>
                        <w:r>
                          <w:rPr>
                            <w:sz w:val="15"/>
                          </w:rPr>
                          <w:t>.19321</w:t>
                        </w:r>
                      </w:p>
                    </w:tc>
                    <w:tc>
                      <w:tcPr>
                        <w:tcW w:w="1070" w:type="dxa"/>
                        <w:tcBorders>
                          <w:top w:val="single" w:sz="5" w:space="0" w:color="000000"/>
                          <w:left w:val="single" w:sz="5" w:space="0" w:color="000000"/>
                          <w:bottom w:val="nil"/>
                          <w:right w:val="single" w:sz="5" w:space="0" w:color="000000"/>
                        </w:tcBorders>
                      </w:tcPr>
                      <w:p>
                        <w:pPr>
                          <w:pStyle w:val="TableParagraph"/>
                          <w:spacing w:before="10"/>
                          <w:ind w:right="103"/>
                          <w:rPr>
                            <w:sz w:val="15"/>
                          </w:rPr>
                        </w:pPr>
                        <w:r>
                          <w:rPr>
                            <w:sz w:val="15"/>
                          </w:rPr>
                          <w:t>1.000</w:t>
                        </w:r>
                      </w:p>
                    </w:tc>
                    <w:tc>
                      <w:tcPr>
                        <w:tcW w:w="1129" w:type="dxa"/>
                        <w:tcBorders>
                          <w:top w:val="single" w:sz="5" w:space="0" w:color="000000"/>
                          <w:left w:val="single" w:sz="5" w:space="0" w:color="000000"/>
                          <w:bottom w:val="nil"/>
                          <w:right w:val="single" w:sz="5" w:space="0" w:color="000000"/>
                        </w:tcBorders>
                      </w:tcPr>
                      <w:p>
                        <w:pPr>
                          <w:pStyle w:val="TableParagraph"/>
                          <w:spacing w:before="10"/>
                          <w:ind w:right="104"/>
                          <w:rPr>
                            <w:sz w:val="15"/>
                          </w:rPr>
                        </w:pPr>
                        <w:r>
                          <w:rPr>
                            <w:sz w:val="15"/>
                          </w:rPr>
                          <w:t>-.3329</w:t>
                        </w:r>
                      </w:p>
                    </w:tc>
                    <w:tc>
                      <w:tcPr>
                        <w:tcW w:w="884" w:type="dxa"/>
                        <w:tcBorders>
                          <w:top w:val="single" w:sz="5" w:space="0" w:color="000000"/>
                          <w:left w:val="single" w:sz="5" w:space="0" w:color="000000"/>
                          <w:bottom w:val="nil"/>
                        </w:tcBorders>
                      </w:tcPr>
                      <w:p>
                        <w:pPr>
                          <w:pStyle w:val="TableParagraph"/>
                          <w:spacing w:before="10"/>
                          <w:ind w:right="109"/>
                          <w:rPr>
                            <w:sz w:val="15"/>
                          </w:rPr>
                        </w:pPr>
                        <w:r>
                          <w:rPr>
                            <w:sz w:val="15"/>
                          </w:rPr>
                          <w:t>.6976</w:t>
                        </w:r>
                      </w:p>
                    </w:tc>
                  </w:tr>
                  <w:tr>
                    <w:trPr>
                      <w:trHeight w:val="221" w:hRule="exact"/>
                    </w:trPr>
                    <w:tc>
                      <w:tcPr>
                        <w:tcW w:w="1606" w:type="dxa"/>
                        <w:tcBorders>
                          <w:top w:val="nil"/>
                          <w:bottom w:val="nil"/>
                          <w:right w:val="nil"/>
                        </w:tcBorders>
                      </w:tcPr>
                      <w:p>
                        <w:pPr/>
                      </w:p>
                    </w:tc>
                    <w:tc>
                      <w:tcPr>
                        <w:tcW w:w="1711" w:type="dxa"/>
                        <w:tcBorders>
                          <w:top w:val="nil"/>
                          <w:left w:val="nil"/>
                          <w:bottom w:val="nil"/>
                        </w:tcBorders>
                      </w:tcPr>
                      <w:p>
                        <w:pPr>
                          <w:pStyle w:val="TableParagraph"/>
                          <w:spacing w:before="11"/>
                          <w:ind w:left="140" w:right="128"/>
                          <w:jc w:val="left"/>
                          <w:rPr>
                            <w:sz w:val="15"/>
                          </w:rPr>
                        </w:pPr>
                        <w:r>
                          <w:rPr>
                            <w:sz w:val="15"/>
                          </w:rPr>
                          <w:t>LectEsp_medio_alto</w:t>
                        </w:r>
                      </w:p>
                    </w:tc>
                    <w:tc>
                      <w:tcPr>
                        <w:tcW w:w="1036" w:type="dxa"/>
                        <w:tcBorders>
                          <w:top w:val="nil"/>
                          <w:bottom w:val="nil"/>
                          <w:right w:val="single" w:sz="5" w:space="0" w:color="000000"/>
                        </w:tcBorders>
                      </w:tcPr>
                      <w:p>
                        <w:pPr>
                          <w:pStyle w:val="TableParagraph"/>
                          <w:spacing w:before="21"/>
                          <w:ind w:right="48"/>
                          <w:rPr>
                            <w:sz w:val="15"/>
                          </w:rPr>
                        </w:pPr>
                        <w:r>
                          <w:rPr>
                            <w:sz w:val="15"/>
                          </w:rPr>
                          <w:t>-.6373*</w:t>
                        </w:r>
                      </w:p>
                    </w:tc>
                    <w:tc>
                      <w:tcPr>
                        <w:tcW w:w="873" w:type="dxa"/>
                        <w:tcBorders>
                          <w:top w:val="nil"/>
                          <w:left w:val="single" w:sz="5" w:space="0" w:color="000000"/>
                          <w:bottom w:val="nil"/>
                          <w:right w:val="single" w:sz="5" w:space="0" w:color="000000"/>
                        </w:tcBorders>
                      </w:tcPr>
                      <w:p>
                        <w:pPr>
                          <w:pStyle w:val="TableParagraph"/>
                          <w:spacing w:before="21"/>
                          <w:ind w:right="103"/>
                          <w:rPr>
                            <w:sz w:val="15"/>
                          </w:rPr>
                        </w:pPr>
                        <w:r>
                          <w:rPr>
                            <w:sz w:val="15"/>
                          </w:rPr>
                          <w:t>.19242</w:t>
                        </w:r>
                      </w:p>
                    </w:tc>
                    <w:tc>
                      <w:tcPr>
                        <w:tcW w:w="1070" w:type="dxa"/>
                        <w:tcBorders>
                          <w:top w:val="nil"/>
                          <w:left w:val="single" w:sz="5" w:space="0" w:color="000000"/>
                          <w:bottom w:val="nil"/>
                          <w:right w:val="single" w:sz="5" w:space="0" w:color="000000"/>
                        </w:tcBorders>
                      </w:tcPr>
                      <w:p>
                        <w:pPr>
                          <w:pStyle w:val="TableParagraph"/>
                          <w:spacing w:before="21"/>
                          <w:ind w:right="103"/>
                          <w:rPr>
                            <w:sz w:val="15"/>
                          </w:rPr>
                        </w:pPr>
                        <w:r>
                          <w:rPr>
                            <w:sz w:val="15"/>
                          </w:rPr>
                          <w:t>.007</w:t>
                        </w:r>
                      </w:p>
                    </w:tc>
                    <w:tc>
                      <w:tcPr>
                        <w:tcW w:w="1129" w:type="dxa"/>
                        <w:tcBorders>
                          <w:top w:val="nil"/>
                          <w:left w:val="single" w:sz="5" w:space="0" w:color="000000"/>
                          <w:bottom w:val="nil"/>
                          <w:right w:val="single" w:sz="5" w:space="0" w:color="000000"/>
                        </w:tcBorders>
                      </w:tcPr>
                      <w:p>
                        <w:pPr>
                          <w:pStyle w:val="TableParagraph"/>
                          <w:spacing w:before="21"/>
                          <w:ind w:right="104"/>
                          <w:rPr>
                            <w:sz w:val="15"/>
                          </w:rPr>
                        </w:pPr>
                        <w:r>
                          <w:rPr>
                            <w:sz w:val="15"/>
                          </w:rPr>
                          <w:t>-1.1504</w:t>
                        </w:r>
                      </w:p>
                    </w:tc>
                    <w:tc>
                      <w:tcPr>
                        <w:tcW w:w="884" w:type="dxa"/>
                        <w:tcBorders>
                          <w:top w:val="nil"/>
                          <w:left w:val="single" w:sz="5" w:space="0" w:color="000000"/>
                          <w:bottom w:val="nil"/>
                        </w:tcBorders>
                      </w:tcPr>
                      <w:p>
                        <w:pPr>
                          <w:pStyle w:val="TableParagraph"/>
                          <w:spacing w:before="21"/>
                          <w:ind w:right="109"/>
                          <w:rPr>
                            <w:sz w:val="15"/>
                          </w:rPr>
                        </w:pPr>
                        <w:r>
                          <w:rPr>
                            <w:sz w:val="15"/>
                          </w:rPr>
                          <w:t>-.1242</w:t>
                        </w:r>
                      </w:p>
                    </w:tc>
                  </w:tr>
                  <w:tr>
                    <w:trPr>
                      <w:trHeight w:val="225" w:hRule="exact"/>
                    </w:trPr>
                    <w:tc>
                      <w:tcPr>
                        <w:tcW w:w="1606" w:type="dxa"/>
                        <w:tcBorders>
                          <w:top w:val="nil"/>
                          <w:bottom w:val="single" w:sz="5" w:space="0" w:color="000000"/>
                          <w:right w:val="nil"/>
                        </w:tcBorders>
                      </w:tcPr>
                      <w:p>
                        <w:pPr/>
                      </w:p>
                    </w:tc>
                    <w:tc>
                      <w:tcPr>
                        <w:tcW w:w="1711" w:type="dxa"/>
                        <w:tcBorders>
                          <w:top w:val="nil"/>
                          <w:left w:val="nil"/>
                          <w:bottom w:val="single" w:sz="5" w:space="0" w:color="000000"/>
                        </w:tcBorders>
                      </w:tcPr>
                      <w:p>
                        <w:pPr>
                          <w:pStyle w:val="TableParagraph"/>
                          <w:spacing w:before="11"/>
                          <w:ind w:left="140" w:right="128"/>
                          <w:jc w:val="left"/>
                          <w:rPr>
                            <w:sz w:val="15"/>
                          </w:rPr>
                        </w:pPr>
                        <w:r>
                          <w:rPr>
                            <w:sz w:val="15"/>
                          </w:rPr>
                          <w:t>LectEsp_alto</w:t>
                        </w:r>
                      </w:p>
                    </w:tc>
                    <w:tc>
                      <w:tcPr>
                        <w:tcW w:w="1036" w:type="dxa"/>
                        <w:tcBorders>
                          <w:top w:val="nil"/>
                          <w:bottom w:val="single" w:sz="5" w:space="0" w:color="000000"/>
                          <w:right w:val="single" w:sz="5" w:space="0" w:color="000000"/>
                        </w:tcBorders>
                      </w:tcPr>
                      <w:p>
                        <w:pPr>
                          <w:pStyle w:val="TableParagraph"/>
                          <w:spacing w:before="21"/>
                          <w:ind w:right="48"/>
                          <w:rPr>
                            <w:sz w:val="15"/>
                          </w:rPr>
                        </w:pPr>
                        <w:r>
                          <w:rPr>
                            <w:sz w:val="15"/>
                          </w:rPr>
                          <w:t>-1.5621*</w:t>
                        </w:r>
                      </w:p>
                    </w:tc>
                    <w:tc>
                      <w:tcPr>
                        <w:tcW w:w="873" w:type="dxa"/>
                        <w:tcBorders>
                          <w:top w:val="nil"/>
                          <w:left w:val="single" w:sz="5" w:space="0" w:color="000000"/>
                          <w:bottom w:val="single" w:sz="5" w:space="0" w:color="000000"/>
                          <w:right w:val="single" w:sz="5" w:space="0" w:color="000000"/>
                        </w:tcBorders>
                      </w:tcPr>
                      <w:p>
                        <w:pPr>
                          <w:pStyle w:val="TableParagraph"/>
                          <w:spacing w:before="21"/>
                          <w:ind w:right="103"/>
                          <w:rPr>
                            <w:sz w:val="15"/>
                          </w:rPr>
                        </w:pPr>
                        <w:r>
                          <w:rPr>
                            <w:sz w:val="15"/>
                          </w:rPr>
                          <w:t>.22029</w:t>
                        </w:r>
                      </w:p>
                    </w:tc>
                    <w:tc>
                      <w:tcPr>
                        <w:tcW w:w="1070" w:type="dxa"/>
                        <w:tcBorders>
                          <w:top w:val="nil"/>
                          <w:left w:val="single" w:sz="5" w:space="0" w:color="000000"/>
                          <w:bottom w:val="single" w:sz="5" w:space="0" w:color="000000"/>
                          <w:right w:val="single" w:sz="5" w:space="0" w:color="000000"/>
                        </w:tcBorders>
                      </w:tcPr>
                      <w:p>
                        <w:pPr>
                          <w:pStyle w:val="TableParagraph"/>
                          <w:spacing w:before="21"/>
                          <w:ind w:right="103"/>
                          <w:rPr>
                            <w:sz w:val="15"/>
                          </w:rPr>
                        </w:pPr>
                        <w:r>
                          <w:rPr>
                            <w:sz w:val="15"/>
                          </w:rPr>
                          <w:t>.000</w:t>
                        </w:r>
                      </w:p>
                    </w:tc>
                    <w:tc>
                      <w:tcPr>
                        <w:tcW w:w="1129" w:type="dxa"/>
                        <w:tcBorders>
                          <w:top w:val="nil"/>
                          <w:left w:val="single" w:sz="5" w:space="0" w:color="000000"/>
                          <w:bottom w:val="single" w:sz="5" w:space="0" w:color="000000"/>
                          <w:right w:val="single" w:sz="5" w:space="0" w:color="000000"/>
                        </w:tcBorders>
                      </w:tcPr>
                      <w:p>
                        <w:pPr>
                          <w:pStyle w:val="TableParagraph"/>
                          <w:spacing w:before="21"/>
                          <w:ind w:right="104"/>
                          <w:rPr>
                            <w:sz w:val="15"/>
                          </w:rPr>
                        </w:pPr>
                        <w:r>
                          <w:rPr>
                            <w:sz w:val="15"/>
                          </w:rPr>
                          <w:t>-2.1496</w:t>
                        </w:r>
                      </w:p>
                    </w:tc>
                    <w:tc>
                      <w:tcPr>
                        <w:tcW w:w="884" w:type="dxa"/>
                        <w:tcBorders>
                          <w:top w:val="nil"/>
                          <w:left w:val="single" w:sz="5" w:space="0" w:color="000000"/>
                          <w:bottom w:val="single" w:sz="5" w:space="0" w:color="000000"/>
                        </w:tcBorders>
                      </w:tcPr>
                      <w:p>
                        <w:pPr>
                          <w:pStyle w:val="TableParagraph"/>
                          <w:spacing w:before="21"/>
                          <w:ind w:right="109"/>
                          <w:rPr>
                            <w:sz w:val="15"/>
                          </w:rPr>
                        </w:pPr>
                        <w:r>
                          <w:rPr>
                            <w:sz w:val="15"/>
                          </w:rPr>
                          <w:t>-.9747</w:t>
                        </w:r>
                      </w:p>
                    </w:tc>
                  </w:tr>
                  <w:tr>
                    <w:trPr>
                      <w:trHeight w:val="216" w:hRule="exact"/>
                    </w:trPr>
                    <w:tc>
                      <w:tcPr>
                        <w:tcW w:w="1606" w:type="dxa"/>
                        <w:tcBorders>
                          <w:top w:val="single" w:sz="5" w:space="0" w:color="000000"/>
                          <w:bottom w:val="nil"/>
                          <w:right w:val="nil"/>
                        </w:tcBorders>
                      </w:tcPr>
                      <w:p>
                        <w:pPr>
                          <w:pStyle w:val="TableParagraph"/>
                          <w:spacing w:before="1"/>
                          <w:ind w:left="83"/>
                          <w:jc w:val="left"/>
                          <w:rPr>
                            <w:sz w:val="15"/>
                          </w:rPr>
                        </w:pPr>
                        <w:r>
                          <w:rPr>
                            <w:sz w:val="15"/>
                          </w:rPr>
                          <w:t>LectEsp_medio_alto</w:t>
                        </w:r>
                      </w:p>
                    </w:tc>
                    <w:tc>
                      <w:tcPr>
                        <w:tcW w:w="1711" w:type="dxa"/>
                        <w:tcBorders>
                          <w:top w:val="single" w:sz="5" w:space="0" w:color="000000"/>
                          <w:left w:val="nil"/>
                          <w:bottom w:val="nil"/>
                        </w:tcBorders>
                      </w:tcPr>
                      <w:p>
                        <w:pPr>
                          <w:pStyle w:val="TableParagraph"/>
                          <w:spacing w:before="1"/>
                          <w:ind w:left="140" w:right="128"/>
                          <w:jc w:val="left"/>
                          <w:rPr>
                            <w:sz w:val="15"/>
                          </w:rPr>
                        </w:pPr>
                        <w:r>
                          <w:rPr>
                            <w:sz w:val="15"/>
                          </w:rPr>
                          <w:t>LectEsp_bajo</w:t>
                        </w:r>
                      </w:p>
                    </w:tc>
                    <w:tc>
                      <w:tcPr>
                        <w:tcW w:w="1036" w:type="dxa"/>
                        <w:tcBorders>
                          <w:top w:val="single" w:sz="5" w:space="0" w:color="000000"/>
                          <w:bottom w:val="nil"/>
                          <w:right w:val="single" w:sz="5" w:space="0" w:color="000000"/>
                        </w:tcBorders>
                      </w:tcPr>
                      <w:p>
                        <w:pPr>
                          <w:pStyle w:val="TableParagraph"/>
                          <w:spacing w:before="11"/>
                          <w:ind w:right="48"/>
                          <w:rPr>
                            <w:sz w:val="15"/>
                          </w:rPr>
                        </w:pPr>
                        <w:r>
                          <w:rPr>
                            <w:sz w:val="15"/>
                          </w:rPr>
                          <w:t>.8196*</w:t>
                        </w:r>
                      </w:p>
                    </w:tc>
                    <w:tc>
                      <w:tcPr>
                        <w:tcW w:w="873" w:type="dxa"/>
                        <w:tcBorders>
                          <w:top w:val="single" w:sz="5" w:space="0" w:color="000000"/>
                          <w:left w:val="single" w:sz="5" w:space="0" w:color="000000"/>
                          <w:bottom w:val="nil"/>
                          <w:right w:val="single" w:sz="5" w:space="0" w:color="000000"/>
                        </w:tcBorders>
                      </w:tcPr>
                      <w:p>
                        <w:pPr>
                          <w:pStyle w:val="TableParagraph"/>
                          <w:spacing w:before="11"/>
                          <w:ind w:right="103"/>
                          <w:rPr>
                            <w:sz w:val="15"/>
                          </w:rPr>
                        </w:pPr>
                        <w:r>
                          <w:rPr>
                            <w:sz w:val="15"/>
                          </w:rPr>
                          <w:t>.18792</w:t>
                        </w:r>
                      </w:p>
                    </w:tc>
                    <w:tc>
                      <w:tcPr>
                        <w:tcW w:w="1070" w:type="dxa"/>
                        <w:tcBorders>
                          <w:top w:val="single" w:sz="5" w:space="0" w:color="000000"/>
                          <w:left w:val="single" w:sz="5" w:space="0" w:color="000000"/>
                          <w:bottom w:val="nil"/>
                          <w:right w:val="single" w:sz="5" w:space="0" w:color="000000"/>
                        </w:tcBorders>
                      </w:tcPr>
                      <w:p>
                        <w:pPr>
                          <w:pStyle w:val="TableParagraph"/>
                          <w:spacing w:before="11"/>
                          <w:ind w:right="103"/>
                          <w:rPr>
                            <w:sz w:val="15"/>
                          </w:rPr>
                        </w:pPr>
                        <w:r>
                          <w:rPr>
                            <w:sz w:val="15"/>
                          </w:rPr>
                          <w:t>.000</w:t>
                        </w:r>
                      </w:p>
                    </w:tc>
                    <w:tc>
                      <w:tcPr>
                        <w:tcW w:w="1129" w:type="dxa"/>
                        <w:tcBorders>
                          <w:top w:val="single" w:sz="5" w:space="0" w:color="000000"/>
                          <w:left w:val="single" w:sz="5" w:space="0" w:color="000000"/>
                          <w:bottom w:val="nil"/>
                          <w:right w:val="single" w:sz="5" w:space="0" w:color="000000"/>
                        </w:tcBorders>
                      </w:tcPr>
                      <w:p>
                        <w:pPr>
                          <w:pStyle w:val="TableParagraph"/>
                          <w:spacing w:before="11"/>
                          <w:ind w:right="104"/>
                          <w:rPr>
                            <w:sz w:val="15"/>
                          </w:rPr>
                        </w:pPr>
                        <w:r>
                          <w:rPr>
                            <w:sz w:val="15"/>
                          </w:rPr>
                          <w:t>.3185</w:t>
                        </w:r>
                      </w:p>
                    </w:tc>
                    <w:tc>
                      <w:tcPr>
                        <w:tcW w:w="884" w:type="dxa"/>
                        <w:tcBorders>
                          <w:top w:val="single" w:sz="5" w:space="0" w:color="000000"/>
                          <w:left w:val="single" w:sz="5" w:space="0" w:color="000000"/>
                          <w:bottom w:val="nil"/>
                        </w:tcBorders>
                      </w:tcPr>
                      <w:p>
                        <w:pPr>
                          <w:pStyle w:val="TableParagraph"/>
                          <w:spacing w:before="11"/>
                          <w:ind w:right="109"/>
                          <w:rPr>
                            <w:sz w:val="15"/>
                          </w:rPr>
                        </w:pPr>
                        <w:r>
                          <w:rPr>
                            <w:sz w:val="15"/>
                          </w:rPr>
                          <w:t>1.3208</w:t>
                        </w:r>
                      </w:p>
                    </w:tc>
                  </w:tr>
                  <w:tr>
                    <w:trPr>
                      <w:trHeight w:val="221" w:hRule="exact"/>
                    </w:trPr>
                    <w:tc>
                      <w:tcPr>
                        <w:tcW w:w="1606" w:type="dxa"/>
                        <w:tcBorders>
                          <w:top w:val="nil"/>
                          <w:bottom w:val="nil"/>
                          <w:right w:val="nil"/>
                        </w:tcBorders>
                      </w:tcPr>
                      <w:p>
                        <w:pPr/>
                      </w:p>
                    </w:tc>
                    <w:tc>
                      <w:tcPr>
                        <w:tcW w:w="1711" w:type="dxa"/>
                        <w:tcBorders>
                          <w:top w:val="nil"/>
                          <w:left w:val="nil"/>
                          <w:bottom w:val="nil"/>
                        </w:tcBorders>
                      </w:tcPr>
                      <w:p>
                        <w:pPr>
                          <w:pStyle w:val="TableParagraph"/>
                          <w:spacing w:before="11"/>
                          <w:ind w:left="140"/>
                          <w:jc w:val="left"/>
                          <w:rPr>
                            <w:sz w:val="15"/>
                          </w:rPr>
                        </w:pPr>
                        <w:r>
                          <w:rPr>
                            <w:sz w:val="15"/>
                          </w:rPr>
                          <w:t>LectEsp_medio_bajo</w:t>
                        </w:r>
                      </w:p>
                    </w:tc>
                    <w:tc>
                      <w:tcPr>
                        <w:tcW w:w="1036" w:type="dxa"/>
                        <w:tcBorders>
                          <w:top w:val="nil"/>
                          <w:bottom w:val="nil"/>
                          <w:right w:val="single" w:sz="5" w:space="0" w:color="000000"/>
                        </w:tcBorders>
                      </w:tcPr>
                      <w:p>
                        <w:pPr>
                          <w:pStyle w:val="TableParagraph"/>
                          <w:spacing w:before="21"/>
                          <w:ind w:right="48"/>
                          <w:rPr>
                            <w:sz w:val="15"/>
                          </w:rPr>
                        </w:pPr>
                        <w:r>
                          <w:rPr>
                            <w:sz w:val="15"/>
                          </w:rPr>
                          <w:t>.6373*</w:t>
                        </w:r>
                      </w:p>
                    </w:tc>
                    <w:tc>
                      <w:tcPr>
                        <w:tcW w:w="873" w:type="dxa"/>
                        <w:tcBorders>
                          <w:top w:val="nil"/>
                          <w:left w:val="single" w:sz="5" w:space="0" w:color="000000"/>
                          <w:bottom w:val="nil"/>
                          <w:right w:val="single" w:sz="5" w:space="0" w:color="000000"/>
                        </w:tcBorders>
                      </w:tcPr>
                      <w:p>
                        <w:pPr>
                          <w:pStyle w:val="TableParagraph"/>
                          <w:spacing w:before="21"/>
                          <w:ind w:right="103"/>
                          <w:rPr>
                            <w:sz w:val="15"/>
                          </w:rPr>
                        </w:pPr>
                        <w:r>
                          <w:rPr>
                            <w:sz w:val="15"/>
                          </w:rPr>
                          <w:t>.19242</w:t>
                        </w:r>
                      </w:p>
                    </w:tc>
                    <w:tc>
                      <w:tcPr>
                        <w:tcW w:w="1070" w:type="dxa"/>
                        <w:tcBorders>
                          <w:top w:val="nil"/>
                          <w:left w:val="single" w:sz="5" w:space="0" w:color="000000"/>
                          <w:bottom w:val="nil"/>
                          <w:right w:val="single" w:sz="5" w:space="0" w:color="000000"/>
                        </w:tcBorders>
                      </w:tcPr>
                      <w:p>
                        <w:pPr>
                          <w:pStyle w:val="TableParagraph"/>
                          <w:spacing w:before="21"/>
                          <w:ind w:right="103"/>
                          <w:rPr>
                            <w:sz w:val="15"/>
                          </w:rPr>
                        </w:pPr>
                        <w:r>
                          <w:rPr>
                            <w:sz w:val="15"/>
                          </w:rPr>
                          <w:t>.007</w:t>
                        </w:r>
                      </w:p>
                    </w:tc>
                    <w:tc>
                      <w:tcPr>
                        <w:tcW w:w="1129" w:type="dxa"/>
                        <w:tcBorders>
                          <w:top w:val="nil"/>
                          <w:left w:val="single" w:sz="5" w:space="0" w:color="000000"/>
                          <w:bottom w:val="nil"/>
                          <w:right w:val="single" w:sz="5" w:space="0" w:color="000000"/>
                        </w:tcBorders>
                      </w:tcPr>
                      <w:p>
                        <w:pPr>
                          <w:pStyle w:val="TableParagraph"/>
                          <w:spacing w:before="21"/>
                          <w:ind w:right="104"/>
                          <w:rPr>
                            <w:sz w:val="15"/>
                          </w:rPr>
                        </w:pPr>
                        <w:r>
                          <w:rPr>
                            <w:sz w:val="15"/>
                          </w:rPr>
                          <w:t>.1242</w:t>
                        </w:r>
                      </w:p>
                    </w:tc>
                    <w:tc>
                      <w:tcPr>
                        <w:tcW w:w="884" w:type="dxa"/>
                        <w:tcBorders>
                          <w:top w:val="nil"/>
                          <w:left w:val="single" w:sz="5" w:space="0" w:color="000000"/>
                          <w:bottom w:val="nil"/>
                        </w:tcBorders>
                      </w:tcPr>
                      <w:p>
                        <w:pPr>
                          <w:pStyle w:val="TableParagraph"/>
                          <w:spacing w:before="21"/>
                          <w:ind w:right="109"/>
                          <w:rPr>
                            <w:sz w:val="15"/>
                          </w:rPr>
                        </w:pPr>
                        <w:r>
                          <w:rPr>
                            <w:sz w:val="15"/>
                          </w:rPr>
                          <w:t>1.1504</w:t>
                        </w:r>
                      </w:p>
                    </w:tc>
                  </w:tr>
                  <w:tr>
                    <w:trPr>
                      <w:trHeight w:val="225" w:hRule="exact"/>
                    </w:trPr>
                    <w:tc>
                      <w:tcPr>
                        <w:tcW w:w="1606" w:type="dxa"/>
                        <w:tcBorders>
                          <w:top w:val="nil"/>
                          <w:bottom w:val="single" w:sz="5" w:space="0" w:color="000000"/>
                          <w:right w:val="nil"/>
                        </w:tcBorders>
                      </w:tcPr>
                      <w:p>
                        <w:pPr/>
                      </w:p>
                    </w:tc>
                    <w:tc>
                      <w:tcPr>
                        <w:tcW w:w="1711" w:type="dxa"/>
                        <w:tcBorders>
                          <w:top w:val="nil"/>
                          <w:left w:val="nil"/>
                          <w:bottom w:val="single" w:sz="5" w:space="0" w:color="000000"/>
                        </w:tcBorders>
                      </w:tcPr>
                      <w:p>
                        <w:pPr>
                          <w:pStyle w:val="TableParagraph"/>
                          <w:spacing w:before="11"/>
                          <w:ind w:left="140" w:right="128"/>
                          <w:jc w:val="left"/>
                          <w:rPr>
                            <w:sz w:val="15"/>
                          </w:rPr>
                        </w:pPr>
                        <w:r>
                          <w:rPr>
                            <w:sz w:val="15"/>
                          </w:rPr>
                          <w:t>LectEsp_alto</w:t>
                        </w:r>
                      </w:p>
                    </w:tc>
                    <w:tc>
                      <w:tcPr>
                        <w:tcW w:w="1036" w:type="dxa"/>
                        <w:tcBorders>
                          <w:top w:val="nil"/>
                          <w:bottom w:val="single" w:sz="5" w:space="0" w:color="000000"/>
                          <w:right w:val="single" w:sz="5" w:space="0" w:color="000000"/>
                        </w:tcBorders>
                      </w:tcPr>
                      <w:p>
                        <w:pPr>
                          <w:pStyle w:val="TableParagraph"/>
                          <w:spacing w:before="21"/>
                          <w:ind w:right="48"/>
                          <w:rPr>
                            <w:sz w:val="15"/>
                          </w:rPr>
                        </w:pPr>
                        <w:r>
                          <w:rPr>
                            <w:sz w:val="15"/>
                          </w:rPr>
                          <w:t>-.9248*</w:t>
                        </w:r>
                      </w:p>
                    </w:tc>
                    <w:tc>
                      <w:tcPr>
                        <w:tcW w:w="873" w:type="dxa"/>
                        <w:tcBorders>
                          <w:top w:val="nil"/>
                          <w:left w:val="single" w:sz="5" w:space="0" w:color="000000"/>
                          <w:bottom w:val="single" w:sz="5" w:space="0" w:color="000000"/>
                          <w:right w:val="single" w:sz="5" w:space="0" w:color="000000"/>
                        </w:tcBorders>
                      </w:tcPr>
                      <w:p>
                        <w:pPr>
                          <w:pStyle w:val="TableParagraph"/>
                          <w:spacing w:before="21"/>
                          <w:ind w:right="103"/>
                          <w:rPr>
                            <w:sz w:val="15"/>
                          </w:rPr>
                        </w:pPr>
                        <w:r>
                          <w:rPr>
                            <w:sz w:val="15"/>
                          </w:rPr>
                          <w:t>.21565</w:t>
                        </w:r>
                      </w:p>
                    </w:tc>
                    <w:tc>
                      <w:tcPr>
                        <w:tcW w:w="1070" w:type="dxa"/>
                        <w:tcBorders>
                          <w:top w:val="nil"/>
                          <w:left w:val="single" w:sz="5" w:space="0" w:color="000000"/>
                          <w:bottom w:val="single" w:sz="5" w:space="0" w:color="000000"/>
                          <w:right w:val="single" w:sz="5" w:space="0" w:color="000000"/>
                        </w:tcBorders>
                      </w:tcPr>
                      <w:p>
                        <w:pPr>
                          <w:pStyle w:val="TableParagraph"/>
                          <w:spacing w:before="21"/>
                          <w:ind w:right="103"/>
                          <w:rPr>
                            <w:sz w:val="15"/>
                          </w:rPr>
                        </w:pPr>
                        <w:r>
                          <w:rPr>
                            <w:sz w:val="15"/>
                          </w:rPr>
                          <w:t>.000</w:t>
                        </w:r>
                      </w:p>
                    </w:tc>
                    <w:tc>
                      <w:tcPr>
                        <w:tcW w:w="1129" w:type="dxa"/>
                        <w:tcBorders>
                          <w:top w:val="nil"/>
                          <w:left w:val="single" w:sz="5" w:space="0" w:color="000000"/>
                          <w:bottom w:val="single" w:sz="5" w:space="0" w:color="000000"/>
                          <w:right w:val="single" w:sz="5" w:space="0" w:color="000000"/>
                        </w:tcBorders>
                      </w:tcPr>
                      <w:p>
                        <w:pPr>
                          <w:pStyle w:val="TableParagraph"/>
                          <w:spacing w:before="21"/>
                          <w:ind w:right="104"/>
                          <w:rPr>
                            <w:sz w:val="15"/>
                          </w:rPr>
                        </w:pPr>
                        <w:r>
                          <w:rPr>
                            <w:sz w:val="15"/>
                          </w:rPr>
                          <w:t>-1.4999</w:t>
                        </w:r>
                      </w:p>
                    </w:tc>
                    <w:tc>
                      <w:tcPr>
                        <w:tcW w:w="884" w:type="dxa"/>
                        <w:tcBorders>
                          <w:top w:val="nil"/>
                          <w:left w:val="single" w:sz="5" w:space="0" w:color="000000"/>
                          <w:bottom w:val="single" w:sz="5" w:space="0" w:color="000000"/>
                        </w:tcBorders>
                      </w:tcPr>
                      <w:p>
                        <w:pPr>
                          <w:pStyle w:val="TableParagraph"/>
                          <w:spacing w:before="21"/>
                          <w:ind w:right="109"/>
                          <w:rPr>
                            <w:sz w:val="15"/>
                          </w:rPr>
                        </w:pPr>
                        <w:r>
                          <w:rPr>
                            <w:sz w:val="15"/>
                          </w:rPr>
                          <w:t>-.3497</w:t>
                        </w:r>
                      </w:p>
                    </w:tc>
                  </w:tr>
                  <w:tr>
                    <w:trPr>
                      <w:trHeight w:val="216" w:hRule="exact"/>
                    </w:trPr>
                    <w:tc>
                      <w:tcPr>
                        <w:tcW w:w="1606" w:type="dxa"/>
                        <w:tcBorders>
                          <w:top w:val="single" w:sz="5" w:space="0" w:color="000000"/>
                          <w:bottom w:val="nil"/>
                          <w:right w:val="nil"/>
                        </w:tcBorders>
                      </w:tcPr>
                      <w:p>
                        <w:pPr>
                          <w:pStyle w:val="TableParagraph"/>
                          <w:spacing w:before="1"/>
                          <w:ind w:left="83" w:right="113"/>
                          <w:jc w:val="left"/>
                          <w:rPr>
                            <w:sz w:val="15"/>
                          </w:rPr>
                        </w:pPr>
                        <w:r>
                          <w:rPr>
                            <w:sz w:val="15"/>
                          </w:rPr>
                          <w:t>LectEsp_alto</w:t>
                        </w:r>
                      </w:p>
                    </w:tc>
                    <w:tc>
                      <w:tcPr>
                        <w:tcW w:w="1711" w:type="dxa"/>
                        <w:tcBorders>
                          <w:top w:val="single" w:sz="5" w:space="0" w:color="000000"/>
                          <w:left w:val="nil"/>
                          <w:bottom w:val="nil"/>
                        </w:tcBorders>
                      </w:tcPr>
                      <w:p>
                        <w:pPr>
                          <w:pStyle w:val="TableParagraph"/>
                          <w:spacing w:before="1"/>
                          <w:ind w:left="140" w:right="128"/>
                          <w:jc w:val="left"/>
                          <w:rPr>
                            <w:sz w:val="15"/>
                          </w:rPr>
                        </w:pPr>
                        <w:r>
                          <w:rPr>
                            <w:sz w:val="15"/>
                          </w:rPr>
                          <w:t>LectEsp_bajo</w:t>
                        </w:r>
                      </w:p>
                    </w:tc>
                    <w:tc>
                      <w:tcPr>
                        <w:tcW w:w="1036" w:type="dxa"/>
                        <w:tcBorders>
                          <w:top w:val="single" w:sz="5" w:space="0" w:color="000000"/>
                          <w:bottom w:val="nil"/>
                          <w:right w:val="single" w:sz="5" w:space="0" w:color="000000"/>
                        </w:tcBorders>
                      </w:tcPr>
                      <w:p>
                        <w:pPr>
                          <w:pStyle w:val="TableParagraph"/>
                          <w:spacing w:before="11"/>
                          <w:ind w:right="48"/>
                          <w:rPr>
                            <w:sz w:val="15"/>
                          </w:rPr>
                        </w:pPr>
                        <w:r>
                          <w:rPr>
                            <w:sz w:val="15"/>
                          </w:rPr>
                          <w:t>1.7445*</w:t>
                        </w:r>
                      </w:p>
                    </w:tc>
                    <w:tc>
                      <w:tcPr>
                        <w:tcW w:w="873" w:type="dxa"/>
                        <w:tcBorders>
                          <w:top w:val="single" w:sz="5" w:space="0" w:color="000000"/>
                          <w:left w:val="single" w:sz="5" w:space="0" w:color="000000"/>
                          <w:bottom w:val="nil"/>
                          <w:right w:val="single" w:sz="5" w:space="0" w:color="000000"/>
                        </w:tcBorders>
                      </w:tcPr>
                      <w:p>
                        <w:pPr>
                          <w:pStyle w:val="TableParagraph"/>
                          <w:spacing w:before="11"/>
                          <w:ind w:right="103"/>
                          <w:rPr>
                            <w:sz w:val="15"/>
                          </w:rPr>
                        </w:pPr>
                        <w:r>
                          <w:rPr>
                            <w:sz w:val="15"/>
                          </w:rPr>
                          <w:t>.21637</w:t>
                        </w:r>
                      </w:p>
                    </w:tc>
                    <w:tc>
                      <w:tcPr>
                        <w:tcW w:w="1070" w:type="dxa"/>
                        <w:tcBorders>
                          <w:top w:val="single" w:sz="5" w:space="0" w:color="000000"/>
                          <w:left w:val="single" w:sz="5" w:space="0" w:color="000000"/>
                          <w:bottom w:val="nil"/>
                          <w:right w:val="single" w:sz="5" w:space="0" w:color="000000"/>
                        </w:tcBorders>
                      </w:tcPr>
                      <w:p>
                        <w:pPr>
                          <w:pStyle w:val="TableParagraph"/>
                          <w:spacing w:before="11"/>
                          <w:ind w:right="103"/>
                          <w:rPr>
                            <w:sz w:val="15"/>
                          </w:rPr>
                        </w:pPr>
                        <w:r>
                          <w:rPr>
                            <w:sz w:val="15"/>
                          </w:rPr>
                          <w:t>.000</w:t>
                        </w:r>
                      </w:p>
                    </w:tc>
                    <w:tc>
                      <w:tcPr>
                        <w:tcW w:w="1129" w:type="dxa"/>
                        <w:tcBorders>
                          <w:top w:val="single" w:sz="5" w:space="0" w:color="000000"/>
                          <w:left w:val="single" w:sz="5" w:space="0" w:color="000000"/>
                          <w:bottom w:val="nil"/>
                          <w:right w:val="single" w:sz="5" w:space="0" w:color="000000"/>
                        </w:tcBorders>
                      </w:tcPr>
                      <w:p>
                        <w:pPr>
                          <w:pStyle w:val="TableParagraph"/>
                          <w:spacing w:before="11"/>
                          <w:ind w:right="104"/>
                          <w:rPr>
                            <w:sz w:val="15"/>
                          </w:rPr>
                        </w:pPr>
                        <w:r>
                          <w:rPr>
                            <w:sz w:val="15"/>
                          </w:rPr>
                          <w:t>1.1675</w:t>
                        </w:r>
                      </w:p>
                    </w:tc>
                    <w:tc>
                      <w:tcPr>
                        <w:tcW w:w="884" w:type="dxa"/>
                        <w:tcBorders>
                          <w:top w:val="single" w:sz="5" w:space="0" w:color="000000"/>
                          <w:left w:val="single" w:sz="5" w:space="0" w:color="000000"/>
                          <w:bottom w:val="nil"/>
                        </w:tcBorders>
                      </w:tcPr>
                      <w:p>
                        <w:pPr>
                          <w:pStyle w:val="TableParagraph"/>
                          <w:spacing w:before="11"/>
                          <w:ind w:right="109"/>
                          <w:rPr>
                            <w:sz w:val="15"/>
                          </w:rPr>
                        </w:pPr>
                        <w:r>
                          <w:rPr>
                            <w:sz w:val="15"/>
                          </w:rPr>
                          <w:t>2.3215</w:t>
                        </w:r>
                      </w:p>
                    </w:tc>
                  </w:tr>
                  <w:tr>
                    <w:trPr>
                      <w:trHeight w:val="221" w:hRule="exact"/>
                    </w:trPr>
                    <w:tc>
                      <w:tcPr>
                        <w:tcW w:w="1606" w:type="dxa"/>
                        <w:tcBorders>
                          <w:top w:val="nil"/>
                          <w:bottom w:val="nil"/>
                          <w:right w:val="nil"/>
                        </w:tcBorders>
                      </w:tcPr>
                      <w:p>
                        <w:pPr/>
                      </w:p>
                    </w:tc>
                    <w:tc>
                      <w:tcPr>
                        <w:tcW w:w="1711" w:type="dxa"/>
                        <w:tcBorders>
                          <w:top w:val="nil"/>
                          <w:left w:val="nil"/>
                          <w:bottom w:val="nil"/>
                        </w:tcBorders>
                      </w:tcPr>
                      <w:p>
                        <w:pPr>
                          <w:pStyle w:val="TableParagraph"/>
                          <w:spacing w:before="11"/>
                          <w:ind w:left="140"/>
                          <w:jc w:val="left"/>
                          <w:rPr>
                            <w:sz w:val="15"/>
                          </w:rPr>
                        </w:pPr>
                        <w:r>
                          <w:rPr>
                            <w:sz w:val="15"/>
                          </w:rPr>
                          <w:t>LectEsp_medio_bajo</w:t>
                        </w:r>
                      </w:p>
                    </w:tc>
                    <w:tc>
                      <w:tcPr>
                        <w:tcW w:w="1036" w:type="dxa"/>
                        <w:tcBorders>
                          <w:top w:val="nil"/>
                          <w:bottom w:val="nil"/>
                          <w:right w:val="single" w:sz="5" w:space="0" w:color="000000"/>
                        </w:tcBorders>
                      </w:tcPr>
                      <w:p>
                        <w:pPr>
                          <w:pStyle w:val="TableParagraph"/>
                          <w:spacing w:before="21"/>
                          <w:ind w:right="48"/>
                          <w:rPr>
                            <w:sz w:val="15"/>
                          </w:rPr>
                        </w:pPr>
                        <w:r>
                          <w:rPr>
                            <w:sz w:val="15"/>
                          </w:rPr>
                          <w:t>1.5621*</w:t>
                        </w:r>
                      </w:p>
                    </w:tc>
                    <w:tc>
                      <w:tcPr>
                        <w:tcW w:w="873" w:type="dxa"/>
                        <w:tcBorders>
                          <w:top w:val="nil"/>
                          <w:left w:val="single" w:sz="5" w:space="0" w:color="000000"/>
                          <w:bottom w:val="nil"/>
                          <w:right w:val="single" w:sz="5" w:space="0" w:color="000000"/>
                        </w:tcBorders>
                      </w:tcPr>
                      <w:p>
                        <w:pPr>
                          <w:pStyle w:val="TableParagraph"/>
                          <w:spacing w:before="21"/>
                          <w:ind w:right="103"/>
                          <w:rPr>
                            <w:sz w:val="15"/>
                          </w:rPr>
                        </w:pPr>
                        <w:r>
                          <w:rPr>
                            <w:sz w:val="15"/>
                          </w:rPr>
                          <w:t>.22029</w:t>
                        </w:r>
                      </w:p>
                    </w:tc>
                    <w:tc>
                      <w:tcPr>
                        <w:tcW w:w="1070" w:type="dxa"/>
                        <w:tcBorders>
                          <w:top w:val="nil"/>
                          <w:left w:val="single" w:sz="5" w:space="0" w:color="000000"/>
                          <w:bottom w:val="nil"/>
                          <w:right w:val="single" w:sz="5" w:space="0" w:color="000000"/>
                        </w:tcBorders>
                      </w:tcPr>
                      <w:p>
                        <w:pPr>
                          <w:pStyle w:val="TableParagraph"/>
                          <w:spacing w:before="21"/>
                          <w:ind w:right="103"/>
                          <w:rPr>
                            <w:sz w:val="15"/>
                          </w:rPr>
                        </w:pPr>
                        <w:r>
                          <w:rPr>
                            <w:sz w:val="15"/>
                          </w:rPr>
                          <w:t>.000</w:t>
                        </w:r>
                      </w:p>
                    </w:tc>
                    <w:tc>
                      <w:tcPr>
                        <w:tcW w:w="1129" w:type="dxa"/>
                        <w:tcBorders>
                          <w:top w:val="nil"/>
                          <w:left w:val="single" w:sz="5" w:space="0" w:color="000000"/>
                          <w:bottom w:val="nil"/>
                          <w:right w:val="single" w:sz="5" w:space="0" w:color="000000"/>
                        </w:tcBorders>
                      </w:tcPr>
                      <w:p>
                        <w:pPr>
                          <w:pStyle w:val="TableParagraph"/>
                          <w:spacing w:before="21"/>
                          <w:ind w:right="104"/>
                          <w:rPr>
                            <w:sz w:val="15"/>
                          </w:rPr>
                        </w:pPr>
                        <w:r>
                          <w:rPr>
                            <w:sz w:val="15"/>
                          </w:rPr>
                          <w:t>.9747</w:t>
                        </w:r>
                      </w:p>
                    </w:tc>
                    <w:tc>
                      <w:tcPr>
                        <w:tcW w:w="884" w:type="dxa"/>
                        <w:tcBorders>
                          <w:top w:val="nil"/>
                          <w:left w:val="single" w:sz="5" w:space="0" w:color="000000"/>
                          <w:bottom w:val="nil"/>
                        </w:tcBorders>
                      </w:tcPr>
                      <w:p>
                        <w:pPr>
                          <w:pStyle w:val="TableParagraph"/>
                          <w:spacing w:before="21"/>
                          <w:ind w:right="109"/>
                          <w:rPr>
                            <w:sz w:val="15"/>
                          </w:rPr>
                        </w:pPr>
                        <w:r>
                          <w:rPr>
                            <w:sz w:val="15"/>
                          </w:rPr>
                          <w:t>2.1496</w:t>
                        </w:r>
                      </w:p>
                    </w:tc>
                  </w:tr>
                  <w:tr>
                    <w:trPr>
                      <w:trHeight w:val="237" w:hRule="exact"/>
                    </w:trPr>
                    <w:tc>
                      <w:tcPr>
                        <w:tcW w:w="1606" w:type="dxa"/>
                        <w:tcBorders>
                          <w:top w:val="nil"/>
                          <w:right w:val="nil"/>
                        </w:tcBorders>
                      </w:tcPr>
                      <w:p>
                        <w:pPr/>
                      </w:p>
                    </w:tc>
                    <w:tc>
                      <w:tcPr>
                        <w:tcW w:w="1711" w:type="dxa"/>
                        <w:tcBorders>
                          <w:top w:val="nil"/>
                          <w:left w:val="nil"/>
                        </w:tcBorders>
                      </w:tcPr>
                      <w:p>
                        <w:pPr>
                          <w:pStyle w:val="TableParagraph"/>
                          <w:spacing w:before="11"/>
                          <w:ind w:left="140" w:right="128"/>
                          <w:jc w:val="left"/>
                          <w:rPr>
                            <w:sz w:val="15"/>
                          </w:rPr>
                        </w:pPr>
                        <w:r>
                          <w:rPr>
                            <w:sz w:val="15"/>
                          </w:rPr>
                          <w:t>LectEsp_medio_alto</w:t>
                        </w:r>
                      </w:p>
                    </w:tc>
                    <w:tc>
                      <w:tcPr>
                        <w:tcW w:w="1036" w:type="dxa"/>
                        <w:tcBorders>
                          <w:top w:val="nil"/>
                          <w:right w:val="single" w:sz="5" w:space="0" w:color="000000"/>
                        </w:tcBorders>
                      </w:tcPr>
                      <w:p>
                        <w:pPr>
                          <w:pStyle w:val="TableParagraph"/>
                          <w:spacing w:before="21"/>
                          <w:ind w:right="48"/>
                          <w:rPr>
                            <w:sz w:val="15"/>
                          </w:rPr>
                        </w:pPr>
                        <w:r>
                          <w:rPr>
                            <w:sz w:val="15"/>
                          </w:rPr>
                          <w:t>.9248*</w:t>
                        </w:r>
                      </w:p>
                    </w:tc>
                    <w:tc>
                      <w:tcPr>
                        <w:tcW w:w="873" w:type="dxa"/>
                        <w:tcBorders>
                          <w:top w:val="nil"/>
                          <w:left w:val="single" w:sz="5" w:space="0" w:color="000000"/>
                          <w:right w:val="single" w:sz="5" w:space="0" w:color="000000"/>
                        </w:tcBorders>
                      </w:tcPr>
                      <w:p>
                        <w:pPr>
                          <w:pStyle w:val="TableParagraph"/>
                          <w:spacing w:before="21"/>
                          <w:ind w:right="103"/>
                          <w:rPr>
                            <w:sz w:val="15"/>
                          </w:rPr>
                        </w:pPr>
                        <w:r>
                          <w:rPr>
                            <w:sz w:val="15"/>
                          </w:rPr>
                          <w:t>.21565</w:t>
                        </w:r>
                      </w:p>
                    </w:tc>
                    <w:tc>
                      <w:tcPr>
                        <w:tcW w:w="1070" w:type="dxa"/>
                        <w:tcBorders>
                          <w:top w:val="nil"/>
                          <w:left w:val="single" w:sz="5" w:space="0" w:color="000000"/>
                          <w:right w:val="single" w:sz="5" w:space="0" w:color="000000"/>
                        </w:tcBorders>
                      </w:tcPr>
                      <w:p>
                        <w:pPr>
                          <w:pStyle w:val="TableParagraph"/>
                          <w:spacing w:before="21"/>
                          <w:ind w:right="103"/>
                          <w:rPr>
                            <w:sz w:val="15"/>
                          </w:rPr>
                        </w:pPr>
                        <w:r>
                          <w:rPr>
                            <w:sz w:val="15"/>
                          </w:rPr>
                          <w:t>.000</w:t>
                        </w:r>
                      </w:p>
                    </w:tc>
                    <w:tc>
                      <w:tcPr>
                        <w:tcW w:w="1129" w:type="dxa"/>
                        <w:tcBorders>
                          <w:top w:val="nil"/>
                          <w:left w:val="single" w:sz="5" w:space="0" w:color="000000"/>
                          <w:right w:val="single" w:sz="5" w:space="0" w:color="000000"/>
                        </w:tcBorders>
                      </w:tcPr>
                      <w:p>
                        <w:pPr>
                          <w:pStyle w:val="TableParagraph"/>
                          <w:spacing w:before="21"/>
                          <w:ind w:right="104"/>
                          <w:rPr>
                            <w:sz w:val="15"/>
                          </w:rPr>
                        </w:pPr>
                        <w:r>
                          <w:rPr>
                            <w:sz w:val="15"/>
                          </w:rPr>
                          <w:t>.3497</w:t>
                        </w:r>
                      </w:p>
                    </w:tc>
                    <w:tc>
                      <w:tcPr>
                        <w:tcW w:w="884" w:type="dxa"/>
                        <w:tcBorders>
                          <w:top w:val="nil"/>
                          <w:left w:val="single" w:sz="5" w:space="0" w:color="000000"/>
                        </w:tcBorders>
                      </w:tcPr>
                      <w:p>
                        <w:pPr>
                          <w:pStyle w:val="TableParagraph"/>
                          <w:spacing w:before="21"/>
                          <w:ind w:right="109"/>
                          <w:rPr>
                            <w:sz w:val="15"/>
                          </w:rPr>
                        </w:pPr>
                        <w:r>
                          <w:rPr>
                            <w:sz w:val="15"/>
                          </w:rPr>
                          <w:t>1.4999</w:t>
                        </w:r>
                      </w:p>
                    </w:tc>
                  </w:tr>
                </w:tbl>
                <w:p>
                  <w:pPr>
                    <w:pStyle w:val="BodyText"/>
                  </w:pPr>
                </w:p>
              </w:txbxContent>
            </v:textbox>
            <w10:wrap type="none"/>
          </v:shape>
        </w:pict>
      </w:r>
      <w:r>
        <w:rPr>
          <w:spacing w:val="-3"/>
          <w:sz w:val="15"/>
        </w:rPr>
        <w:t>Variable </w:t>
      </w:r>
      <w:r>
        <w:rPr>
          <w:spacing w:val="-4"/>
          <w:sz w:val="15"/>
        </w:rPr>
        <w:t>dependiente: </w:t>
      </w:r>
      <w:r>
        <w:rPr>
          <w:spacing w:val="-3"/>
          <w:sz w:val="15"/>
        </w:rPr>
        <w:t>Comprensión Lectura </w:t>
      </w:r>
      <w:r>
        <w:rPr>
          <w:sz w:val="15"/>
        </w:rPr>
        <w:t>Inglés </w:t>
      </w:r>
      <w:r>
        <w:rPr>
          <w:spacing w:val="-4"/>
          <w:sz w:val="15"/>
        </w:rPr>
        <w:t>Bonferroni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spacing w:before="0"/>
        <w:ind w:left="341" w:right="213" w:firstLine="0"/>
        <w:jc w:val="left"/>
        <w:rPr>
          <w:sz w:val="15"/>
        </w:rPr>
      </w:pPr>
      <w:r>
        <w:rPr>
          <w:sz w:val="15"/>
        </w:rPr>
        <w:t>Basado en las medias observadas.</w:t>
      </w:r>
    </w:p>
    <w:p>
      <w:pPr>
        <w:spacing w:before="32"/>
        <w:ind w:left="538" w:right="213" w:firstLine="0"/>
        <w:jc w:val="left"/>
        <w:rPr>
          <w:sz w:val="15"/>
        </w:rPr>
      </w:pPr>
      <w:r>
        <w:rPr>
          <w:position w:val="3"/>
          <w:sz w:val="15"/>
        </w:rPr>
        <w:t>*. </w:t>
      </w:r>
      <w:r>
        <w:rPr>
          <w:sz w:val="15"/>
        </w:rPr>
        <w:t>La diferencia de medias es significativa al nivel .05.</w:t>
      </w:r>
    </w:p>
    <w:p>
      <w:pPr>
        <w:spacing w:after="0"/>
        <w:jc w:val="left"/>
        <w:rPr>
          <w:sz w:val="15"/>
        </w:rPr>
        <w:sectPr>
          <w:pgSz w:w="11910" w:h="16840"/>
          <w:pgMar w:header="1424" w:footer="0" w:top="1840" w:bottom="28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3"/>
        <w:spacing w:before="74"/>
        <w:ind w:left="216" w:right="213"/>
        <w:jc w:val="left"/>
      </w:pPr>
      <w:bookmarkStart w:name="_bookmark41" w:id="67"/>
      <w:bookmarkEnd w:id="67"/>
      <w:r>
        <w:rPr>
          <w:b w:val="0"/>
        </w:rPr>
      </w:r>
      <w:r>
        <w:rPr/>
        <w:t>ANEXO E. PRUEBAS POST HOC. COMPETENCIA LINGÜÍSTICA EN  INGLÉS.</w:t>
      </w:r>
    </w:p>
    <w:p>
      <w:pPr>
        <w:spacing w:after="0"/>
        <w:jc w:val="left"/>
        <w:sectPr>
          <w:pgSz w:w="11910" w:h="16840"/>
          <w:pgMar w:header="1424" w:footer="0" w:top="1840" w:bottom="280" w:left="1540" w:right="1540"/>
        </w:sectPr>
      </w:pPr>
    </w:p>
    <w:p>
      <w:pPr>
        <w:pStyle w:val="BodyText"/>
        <w:spacing w:before="11"/>
        <w:rPr>
          <w:b/>
          <w:sz w:val="16"/>
        </w:rPr>
      </w:pPr>
    </w:p>
    <w:p>
      <w:pPr>
        <w:pStyle w:val="BodyText"/>
        <w:spacing w:before="73"/>
        <w:ind w:left="1020" w:right="1013"/>
        <w:jc w:val="center"/>
      </w:pPr>
      <w:r>
        <w:rPr/>
        <w:t>Anexo E. Pruebas Post Hoc. Competencia lingüística en  inglés.</w:t>
      </w:r>
    </w:p>
    <w:p>
      <w:pPr>
        <w:pStyle w:val="BodyText"/>
        <w:spacing w:before="5"/>
        <w:rPr>
          <w:sz w:val="24"/>
        </w:rPr>
      </w:pPr>
    </w:p>
    <w:p>
      <w:pPr>
        <w:spacing w:before="0"/>
        <w:ind w:left="1003" w:right="1018" w:firstLine="0"/>
        <w:jc w:val="center"/>
        <w:rPr>
          <w:b/>
          <w:sz w:val="15"/>
        </w:rPr>
      </w:pPr>
      <w:r>
        <w:rPr>
          <w:b/>
          <w:w w:val="95"/>
          <w:sz w:val="15"/>
        </w:rPr>
        <w:t>Comparaciones  múltiples</w:t>
      </w:r>
    </w:p>
    <w:p>
      <w:pPr>
        <w:pStyle w:val="BodyText"/>
        <w:spacing w:before="8"/>
        <w:rPr>
          <w:b/>
          <w:sz w:val="11"/>
        </w:rPr>
      </w:pPr>
    </w:p>
    <w:p>
      <w:pPr>
        <w:spacing w:line="307" w:lineRule="auto" w:before="0"/>
        <w:ind w:left="351" w:right="4604" w:firstLine="0"/>
        <w:jc w:val="left"/>
        <w:rPr>
          <w:sz w:val="15"/>
        </w:rPr>
      </w:pPr>
      <w:r>
        <w:rPr/>
        <w:pict>
          <v:shape style="position:absolute;margin-left:89.411125pt;margin-top:19.721062pt;width:417.8pt;height:247.15pt;mso-position-horizontal-relative:page;mso-position-vertical-relative:paragraph;z-index:1360" type="#_x0000_t202" filled="false" stroked="false">
            <v:textbox inset="0,0,0,0">
              <w:txbxContent>
                <w:tbl>
                  <w:tblPr>
                    <w:tblW w:w="0" w:type="auto"/>
                    <w:jc w:val="left"/>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1554"/>
                    <w:gridCol w:w="329"/>
                    <w:gridCol w:w="1515"/>
                    <w:gridCol w:w="1021"/>
                    <w:gridCol w:w="861"/>
                    <w:gridCol w:w="1056"/>
                    <w:gridCol w:w="1113"/>
                    <w:gridCol w:w="872"/>
                  </w:tblGrid>
                  <w:tr>
                    <w:trPr>
                      <w:trHeight w:val="586" w:hRule="exact"/>
                    </w:trPr>
                    <w:tc>
                      <w:tcPr>
                        <w:tcW w:w="1554" w:type="dxa"/>
                        <w:vMerge w:val="restart"/>
                        <w:tcBorders>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8"/>
                          <w:jc w:val="left"/>
                          <w:rPr>
                            <w:sz w:val="13"/>
                          </w:rPr>
                        </w:pPr>
                      </w:p>
                      <w:p>
                        <w:pPr>
                          <w:pStyle w:val="TableParagraph"/>
                          <w:ind w:left="80" w:right="-17"/>
                          <w:jc w:val="left"/>
                          <w:rPr>
                            <w:sz w:val="15"/>
                          </w:rPr>
                        </w:pPr>
                        <w:r>
                          <w:rPr>
                            <w:sz w:val="15"/>
                          </w:rPr>
                          <w:t>(I) Cuartiles comp ling</w:t>
                        </w:r>
                      </w:p>
                    </w:tc>
                    <w:tc>
                      <w:tcPr>
                        <w:tcW w:w="329" w:type="dxa"/>
                        <w:vMerge w:val="restart"/>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8"/>
                          <w:jc w:val="left"/>
                          <w:rPr>
                            <w:sz w:val="13"/>
                          </w:rPr>
                        </w:pPr>
                      </w:p>
                      <w:p>
                        <w:pPr>
                          <w:pStyle w:val="TableParagraph"/>
                          <w:ind w:left="16"/>
                          <w:jc w:val="left"/>
                          <w:rPr>
                            <w:sz w:val="15"/>
                          </w:rPr>
                        </w:pPr>
                        <w:r>
                          <w:rPr>
                            <w:sz w:val="15"/>
                          </w:rPr>
                          <w:t>ing</w:t>
                        </w:r>
                      </w:p>
                    </w:tc>
                    <w:tc>
                      <w:tcPr>
                        <w:tcW w:w="1515" w:type="dxa"/>
                        <w:vMerge w:val="restart"/>
                        <w:tcBorders>
                          <w:lef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9"/>
                          <w:jc w:val="left"/>
                          <w:rPr>
                            <w:sz w:val="11"/>
                          </w:rPr>
                        </w:pPr>
                      </w:p>
                      <w:p>
                        <w:pPr>
                          <w:pStyle w:val="TableParagraph"/>
                          <w:spacing w:line="254" w:lineRule="auto" w:before="1"/>
                          <w:ind w:left="114"/>
                          <w:jc w:val="left"/>
                          <w:rPr>
                            <w:sz w:val="15"/>
                          </w:rPr>
                        </w:pPr>
                        <w:r>
                          <w:rPr>
                            <w:sz w:val="15"/>
                          </w:rPr>
                          <w:t>(J) Cuartiles comp ling ing</w:t>
                        </w:r>
                      </w:p>
                    </w:tc>
                    <w:tc>
                      <w:tcPr>
                        <w:tcW w:w="1021" w:type="dxa"/>
                        <w:vMerge w:val="restart"/>
                        <w:tcBorders>
                          <w:right w:val="single" w:sz="5" w:space="0" w:color="000000"/>
                        </w:tcBorders>
                      </w:tcPr>
                      <w:p>
                        <w:pPr>
                          <w:pStyle w:val="TableParagraph"/>
                          <w:jc w:val="left"/>
                          <w:rPr>
                            <w:sz w:val="14"/>
                          </w:rPr>
                        </w:pPr>
                      </w:p>
                      <w:p>
                        <w:pPr>
                          <w:pStyle w:val="TableParagraph"/>
                          <w:jc w:val="left"/>
                          <w:rPr>
                            <w:sz w:val="14"/>
                          </w:rPr>
                        </w:pPr>
                      </w:p>
                      <w:p>
                        <w:pPr>
                          <w:pStyle w:val="TableParagraph"/>
                          <w:spacing w:line="254" w:lineRule="auto" w:before="115"/>
                          <w:ind w:left="95" w:right="127" w:hanging="1"/>
                          <w:jc w:val="center"/>
                          <w:rPr>
                            <w:sz w:val="15"/>
                          </w:rPr>
                        </w:pPr>
                        <w:r>
                          <w:rPr>
                            <w:spacing w:val="-3"/>
                            <w:sz w:val="15"/>
                          </w:rPr>
                          <w:t>Diferencia </w:t>
                        </w:r>
                        <w:r>
                          <w:rPr>
                            <w:sz w:val="15"/>
                          </w:rPr>
                          <w:t>entre medias</w:t>
                        </w:r>
                        <w:r>
                          <w:rPr>
                            <w:spacing w:val="-17"/>
                            <w:sz w:val="15"/>
                          </w:rPr>
                          <w:t> </w:t>
                        </w:r>
                        <w:r>
                          <w:rPr>
                            <w:sz w:val="15"/>
                          </w:rPr>
                          <w:t>(I-J)</w:t>
                        </w:r>
                      </w:p>
                    </w:tc>
                    <w:tc>
                      <w:tcPr>
                        <w:tcW w:w="861" w:type="dxa"/>
                        <w:vMerge w:val="restart"/>
                        <w:tcBorders>
                          <w:left w:val="single" w:sz="5" w:space="0" w:color="000000"/>
                          <w:right w:val="single" w:sz="5" w:space="0" w:color="000000"/>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8"/>
                          <w:jc w:val="left"/>
                          <w:rPr>
                            <w:sz w:val="13"/>
                          </w:rPr>
                        </w:pPr>
                      </w:p>
                      <w:p>
                        <w:pPr>
                          <w:pStyle w:val="TableParagraph"/>
                          <w:ind w:left="121"/>
                          <w:jc w:val="left"/>
                          <w:rPr>
                            <w:sz w:val="15"/>
                          </w:rPr>
                        </w:pPr>
                        <w:r>
                          <w:rPr>
                            <w:sz w:val="15"/>
                          </w:rPr>
                          <w:t>Error típ.</w:t>
                        </w:r>
                      </w:p>
                    </w:tc>
                    <w:tc>
                      <w:tcPr>
                        <w:tcW w:w="1056" w:type="dxa"/>
                        <w:vMerge w:val="restart"/>
                        <w:tcBorders>
                          <w:left w:val="single" w:sz="5" w:space="0" w:color="000000"/>
                          <w:right w:val="single" w:sz="5" w:space="0" w:color="000000"/>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8"/>
                          <w:jc w:val="left"/>
                          <w:rPr>
                            <w:sz w:val="13"/>
                          </w:rPr>
                        </w:pPr>
                      </w:p>
                      <w:p>
                        <w:pPr>
                          <w:pStyle w:val="TableParagraph"/>
                          <w:ind w:left="95"/>
                          <w:jc w:val="left"/>
                          <w:rPr>
                            <w:sz w:val="15"/>
                          </w:rPr>
                        </w:pPr>
                        <w:r>
                          <w:rPr>
                            <w:sz w:val="15"/>
                          </w:rPr>
                          <w:t>Significación</w:t>
                        </w:r>
                      </w:p>
                    </w:tc>
                    <w:tc>
                      <w:tcPr>
                        <w:tcW w:w="1986" w:type="dxa"/>
                        <w:gridSpan w:val="2"/>
                        <w:tcBorders>
                          <w:left w:val="single" w:sz="5" w:space="0" w:color="000000"/>
                          <w:bottom w:val="single" w:sz="5" w:space="0" w:color="000000"/>
                        </w:tcBorders>
                      </w:tcPr>
                      <w:p>
                        <w:pPr>
                          <w:pStyle w:val="TableParagraph"/>
                          <w:spacing w:before="9"/>
                          <w:jc w:val="left"/>
                          <w:rPr>
                            <w:sz w:val="18"/>
                          </w:rPr>
                        </w:pPr>
                      </w:p>
                      <w:p>
                        <w:pPr>
                          <w:pStyle w:val="TableParagraph"/>
                          <w:spacing w:line="254" w:lineRule="auto"/>
                          <w:ind w:left="801" w:right="136" w:hanging="615"/>
                          <w:jc w:val="left"/>
                          <w:rPr>
                            <w:sz w:val="15"/>
                          </w:rPr>
                        </w:pPr>
                        <w:r>
                          <w:rPr>
                            <w:sz w:val="15"/>
                          </w:rPr>
                          <w:t>Intervalo de confianza al 95%.</w:t>
                        </w:r>
                      </w:p>
                    </w:tc>
                  </w:tr>
                  <w:tr>
                    <w:trPr>
                      <w:trHeight w:val="414" w:hRule="exact"/>
                    </w:trPr>
                    <w:tc>
                      <w:tcPr>
                        <w:tcW w:w="1554" w:type="dxa"/>
                        <w:vMerge/>
                        <w:tcBorders>
                          <w:right w:val="nil"/>
                        </w:tcBorders>
                      </w:tcPr>
                      <w:p>
                        <w:pPr/>
                      </w:p>
                    </w:tc>
                    <w:tc>
                      <w:tcPr>
                        <w:tcW w:w="329" w:type="dxa"/>
                        <w:vMerge/>
                        <w:tcBorders>
                          <w:left w:val="nil"/>
                          <w:right w:val="nil"/>
                        </w:tcBorders>
                      </w:tcPr>
                      <w:p>
                        <w:pPr/>
                      </w:p>
                    </w:tc>
                    <w:tc>
                      <w:tcPr>
                        <w:tcW w:w="1515" w:type="dxa"/>
                        <w:vMerge/>
                        <w:tcBorders>
                          <w:left w:val="nil"/>
                        </w:tcBorders>
                      </w:tcPr>
                      <w:p>
                        <w:pPr/>
                      </w:p>
                    </w:tc>
                    <w:tc>
                      <w:tcPr>
                        <w:tcW w:w="1021" w:type="dxa"/>
                        <w:vMerge/>
                        <w:tcBorders>
                          <w:right w:val="single" w:sz="5" w:space="0" w:color="000000"/>
                        </w:tcBorders>
                      </w:tcPr>
                      <w:p>
                        <w:pPr/>
                      </w:p>
                    </w:tc>
                    <w:tc>
                      <w:tcPr>
                        <w:tcW w:w="861" w:type="dxa"/>
                        <w:vMerge/>
                        <w:tcBorders>
                          <w:left w:val="single" w:sz="5" w:space="0" w:color="000000"/>
                          <w:right w:val="single" w:sz="5" w:space="0" w:color="000000"/>
                        </w:tcBorders>
                      </w:tcPr>
                      <w:p>
                        <w:pPr/>
                      </w:p>
                    </w:tc>
                    <w:tc>
                      <w:tcPr>
                        <w:tcW w:w="1056" w:type="dxa"/>
                        <w:vMerge/>
                        <w:tcBorders>
                          <w:left w:val="single" w:sz="5" w:space="0" w:color="000000"/>
                          <w:right w:val="single" w:sz="5" w:space="0" w:color="000000"/>
                        </w:tcBorders>
                      </w:tcPr>
                      <w:p>
                        <w:pPr/>
                      </w:p>
                    </w:tc>
                    <w:tc>
                      <w:tcPr>
                        <w:tcW w:w="1113" w:type="dxa"/>
                        <w:tcBorders>
                          <w:top w:val="single" w:sz="5" w:space="0" w:color="000000"/>
                          <w:left w:val="single" w:sz="5" w:space="0" w:color="000000"/>
                          <w:right w:val="single" w:sz="5" w:space="0" w:color="000000"/>
                        </w:tcBorders>
                      </w:tcPr>
                      <w:p>
                        <w:pPr>
                          <w:pStyle w:val="TableParagraph"/>
                          <w:spacing w:before="2"/>
                          <w:jc w:val="left"/>
                          <w:rPr>
                            <w:sz w:val="19"/>
                          </w:rPr>
                        </w:pPr>
                      </w:p>
                      <w:p>
                        <w:pPr>
                          <w:pStyle w:val="TableParagraph"/>
                          <w:spacing w:before="1"/>
                          <w:ind w:right="118"/>
                          <w:rPr>
                            <w:sz w:val="15"/>
                          </w:rPr>
                        </w:pPr>
                        <w:r>
                          <w:rPr>
                            <w:sz w:val="15"/>
                          </w:rPr>
                          <w:t>Límite inferior</w:t>
                        </w:r>
                      </w:p>
                    </w:tc>
                    <w:tc>
                      <w:tcPr>
                        <w:tcW w:w="872" w:type="dxa"/>
                        <w:tcBorders>
                          <w:top w:val="single" w:sz="5" w:space="0" w:color="000000"/>
                          <w:left w:val="single" w:sz="5" w:space="0" w:color="000000"/>
                        </w:tcBorders>
                      </w:tcPr>
                      <w:p>
                        <w:pPr>
                          <w:pStyle w:val="TableParagraph"/>
                          <w:spacing w:line="254" w:lineRule="auto" w:before="39"/>
                          <w:ind w:left="149" w:firstLine="52"/>
                          <w:jc w:val="left"/>
                          <w:rPr>
                            <w:sz w:val="15"/>
                          </w:rPr>
                        </w:pPr>
                        <w:r>
                          <w:rPr>
                            <w:sz w:val="15"/>
                          </w:rPr>
                          <w:t>Límite superior</w:t>
                        </w:r>
                      </w:p>
                    </w:tc>
                  </w:tr>
                  <w:tr>
                    <w:trPr>
                      <w:trHeight w:val="381" w:hRule="exact"/>
                    </w:trPr>
                    <w:tc>
                      <w:tcPr>
                        <w:tcW w:w="1554" w:type="dxa"/>
                        <w:tcBorders>
                          <w:bottom w:val="nil"/>
                          <w:right w:val="nil"/>
                        </w:tcBorders>
                      </w:tcPr>
                      <w:p>
                        <w:pPr>
                          <w:pStyle w:val="TableParagraph"/>
                          <w:spacing w:line="157" w:lineRule="exact"/>
                          <w:ind w:left="80" w:right="-17"/>
                          <w:jc w:val="left"/>
                          <w:rPr>
                            <w:sz w:val="15"/>
                          </w:rPr>
                        </w:pPr>
                        <w:r>
                          <w:rPr>
                            <w:sz w:val="15"/>
                          </w:rPr>
                          <w:t>CmpLing_Ing_bajo</w:t>
                        </w:r>
                      </w:p>
                    </w:tc>
                    <w:tc>
                      <w:tcPr>
                        <w:tcW w:w="1843" w:type="dxa"/>
                        <w:gridSpan w:val="2"/>
                        <w:tcBorders>
                          <w:left w:val="nil"/>
                          <w:bottom w:val="nil"/>
                        </w:tcBorders>
                      </w:tcPr>
                      <w:p>
                        <w:pPr>
                          <w:pStyle w:val="TableParagraph"/>
                          <w:spacing w:line="157" w:lineRule="exact"/>
                          <w:ind w:left="443"/>
                          <w:jc w:val="left"/>
                          <w:rPr>
                            <w:sz w:val="15"/>
                          </w:rPr>
                        </w:pPr>
                        <w:r>
                          <w:rPr>
                            <w:sz w:val="15"/>
                          </w:rPr>
                          <w:t>CmpLing_Ing_</w:t>
                        </w:r>
                      </w:p>
                      <w:p>
                        <w:pPr>
                          <w:pStyle w:val="TableParagraph"/>
                          <w:spacing w:before="10"/>
                          <w:ind w:left="443"/>
                          <w:jc w:val="left"/>
                          <w:rPr>
                            <w:sz w:val="15"/>
                          </w:rPr>
                        </w:pPr>
                        <w:r>
                          <w:rPr>
                            <w:sz w:val="15"/>
                          </w:rPr>
                          <w:t>medio_bajo</w:t>
                        </w:r>
                      </w:p>
                    </w:tc>
                    <w:tc>
                      <w:tcPr>
                        <w:tcW w:w="1021" w:type="dxa"/>
                        <w:tcBorders>
                          <w:bottom w:val="nil"/>
                          <w:right w:val="single" w:sz="5" w:space="0" w:color="000000"/>
                        </w:tcBorders>
                      </w:tcPr>
                      <w:p>
                        <w:pPr>
                          <w:pStyle w:val="TableParagraph"/>
                          <w:spacing w:before="85"/>
                          <w:ind w:right="103"/>
                          <w:rPr>
                            <w:sz w:val="15"/>
                          </w:rPr>
                        </w:pPr>
                        <w:r>
                          <w:rPr>
                            <w:sz w:val="15"/>
                          </w:rPr>
                          <w:t>-.4103</w:t>
                        </w:r>
                      </w:p>
                    </w:tc>
                    <w:tc>
                      <w:tcPr>
                        <w:tcW w:w="861" w:type="dxa"/>
                        <w:tcBorders>
                          <w:left w:val="single" w:sz="5" w:space="0" w:color="000000"/>
                          <w:bottom w:val="nil"/>
                          <w:right w:val="single" w:sz="5" w:space="0" w:color="000000"/>
                        </w:tcBorders>
                      </w:tcPr>
                      <w:p>
                        <w:pPr>
                          <w:pStyle w:val="TableParagraph"/>
                          <w:spacing w:before="85"/>
                          <w:ind w:right="105"/>
                          <w:rPr>
                            <w:sz w:val="15"/>
                          </w:rPr>
                        </w:pPr>
                        <w:r>
                          <w:rPr>
                            <w:sz w:val="15"/>
                          </w:rPr>
                          <w:t>.20151</w:t>
                        </w:r>
                      </w:p>
                    </w:tc>
                    <w:tc>
                      <w:tcPr>
                        <w:tcW w:w="1056" w:type="dxa"/>
                        <w:tcBorders>
                          <w:left w:val="single" w:sz="5" w:space="0" w:color="000000"/>
                          <w:bottom w:val="nil"/>
                          <w:right w:val="single" w:sz="5" w:space="0" w:color="000000"/>
                        </w:tcBorders>
                      </w:tcPr>
                      <w:p>
                        <w:pPr>
                          <w:pStyle w:val="TableParagraph"/>
                          <w:spacing w:before="85"/>
                          <w:ind w:right="105"/>
                          <w:rPr>
                            <w:sz w:val="15"/>
                          </w:rPr>
                        </w:pPr>
                        <w:r>
                          <w:rPr>
                            <w:w w:val="95"/>
                            <w:sz w:val="15"/>
                          </w:rPr>
                          <w:t>.259</w:t>
                        </w:r>
                      </w:p>
                    </w:tc>
                    <w:tc>
                      <w:tcPr>
                        <w:tcW w:w="1113" w:type="dxa"/>
                        <w:tcBorders>
                          <w:left w:val="single" w:sz="5" w:space="0" w:color="000000"/>
                          <w:bottom w:val="nil"/>
                          <w:right w:val="single" w:sz="5" w:space="0" w:color="000000"/>
                        </w:tcBorders>
                      </w:tcPr>
                      <w:p>
                        <w:pPr>
                          <w:pStyle w:val="TableParagraph"/>
                          <w:spacing w:before="85"/>
                          <w:ind w:right="104"/>
                          <w:rPr>
                            <w:sz w:val="15"/>
                          </w:rPr>
                        </w:pPr>
                        <w:r>
                          <w:rPr>
                            <w:sz w:val="15"/>
                          </w:rPr>
                          <w:t>-.9476</w:t>
                        </w:r>
                      </w:p>
                    </w:tc>
                    <w:tc>
                      <w:tcPr>
                        <w:tcW w:w="872" w:type="dxa"/>
                        <w:tcBorders>
                          <w:left w:val="single" w:sz="5" w:space="0" w:color="000000"/>
                          <w:bottom w:val="nil"/>
                        </w:tcBorders>
                      </w:tcPr>
                      <w:p>
                        <w:pPr>
                          <w:pStyle w:val="TableParagraph"/>
                          <w:spacing w:before="85"/>
                          <w:ind w:right="112"/>
                          <w:rPr>
                            <w:sz w:val="15"/>
                          </w:rPr>
                        </w:pPr>
                        <w:r>
                          <w:rPr>
                            <w:sz w:val="15"/>
                          </w:rPr>
                          <w:t>.1271</w:t>
                        </w:r>
                      </w:p>
                    </w:tc>
                  </w:tr>
                  <w:tr>
                    <w:trPr>
                      <w:trHeight w:val="403" w:hRule="exact"/>
                    </w:trPr>
                    <w:tc>
                      <w:tcPr>
                        <w:tcW w:w="1554" w:type="dxa"/>
                        <w:tcBorders>
                          <w:top w:val="nil"/>
                          <w:bottom w:val="nil"/>
                          <w:right w:val="nil"/>
                        </w:tcBorders>
                      </w:tcPr>
                      <w:p>
                        <w:pPr/>
                      </w:p>
                    </w:tc>
                    <w:tc>
                      <w:tcPr>
                        <w:tcW w:w="1843" w:type="dxa"/>
                        <w:gridSpan w:val="2"/>
                        <w:tcBorders>
                          <w:top w:val="nil"/>
                          <w:left w:val="nil"/>
                          <w:bottom w:val="nil"/>
                        </w:tcBorders>
                      </w:tcPr>
                      <w:p>
                        <w:pPr>
                          <w:pStyle w:val="TableParagraph"/>
                          <w:spacing w:line="261" w:lineRule="auto" w:before="13"/>
                          <w:ind w:left="443"/>
                          <w:jc w:val="left"/>
                          <w:rPr>
                            <w:sz w:val="15"/>
                          </w:rPr>
                        </w:pPr>
                        <w:r>
                          <w:rPr>
                            <w:sz w:val="15"/>
                          </w:rPr>
                          <w:t>CmpLing_Ing_ medio_alto</w:t>
                        </w:r>
                      </w:p>
                    </w:tc>
                    <w:tc>
                      <w:tcPr>
                        <w:tcW w:w="1021" w:type="dxa"/>
                        <w:tcBorders>
                          <w:top w:val="nil"/>
                          <w:bottom w:val="nil"/>
                          <w:right w:val="single" w:sz="5" w:space="0" w:color="000000"/>
                        </w:tcBorders>
                      </w:tcPr>
                      <w:p>
                        <w:pPr>
                          <w:pStyle w:val="TableParagraph"/>
                          <w:spacing w:before="119"/>
                          <w:ind w:right="46"/>
                          <w:rPr>
                            <w:sz w:val="15"/>
                          </w:rPr>
                        </w:pPr>
                        <w:r>
                          <w:rPr>
                            <w:sz w:val="15"/>
                          </w:rPr>
                          <w:t>-.8302*</w:t>
                        </w:r>
                      </w:p>
                    </w:tc>
                    <w:tc>
                      <w:tcPr>
                        <w:tcW w:w="861" w:type="dxa"/>
                        <w:tcBorders>
                          <w:top w:val="nil"/>
                          <w:left w:val="single" w:sz="5" w:space="0" w:color="000000"/>
                          <w:bottom w:val="nil"/>
                          <w:right w:val="single" w:sz="5" w:space="0" w:color="000000"/>
                        </w:tcBorders>
                      </w:tcPr>
                      <w:p>
                        <w:pPr>
                          <w:pStyle w:val="TableParagraph"/>
                          <w:spacing w:before="119"/>
                          <w:ind w:right="105"/>
                          <w:rPr>
                            <w:sz w:val="15"/>
                          </w:rPr>
                        </w:pPr>
                        <w:r>
                          <w:rPr>
                            <w:sz w:val="15"/>
                          </w:rPr>
                          <w:t>.19956</w:t>
                        </w:r>
                      </w:p>
                    </w:tc>
                    <w:tc>
                      <w:tcPr>
                        <w:tcW w:w="1056" w:type="dxa"/>
                        <w:tcBorders>
                          <w:top w:val="nil"/>
                          <w:left w:val="single" w:sz="5" w:space="0" w:color="000000"/>
                          <w:bottom w:val="nil"/>
                          <w:right w:val="single" w:sz="5" w:space="0" w:color="000000"/>
                        </w:tcBorders>
                      </w:tcPr>
                      <w:p>
                        <w:pPr>
                          <w:pStyle w:val="TableParagraph"/>
                          <w:spacing w:before="119"/>
                          <w:ind w:right="105"/>
                          <w:rPr>
                            <w:sz w:val="15"/>
                          </w:rPr>
                        </w:pPr>
                        <w:r>
                          <w:rPr>
                            <w:w w:val="95"/>
                            <w:sz w:val="15"/>
                          </w:rPr>
                          <w:t>.000</w:t>
                        </w:r>
                      </w:p>
                    </w:tc>
                    <w:tc>
                      <w:tcPr>
                        <w:tcW w:w="1113" w:type="dxa"/>
                        <w:tcBorders>
                          <w:top w:val="nil"/>
                          <w:left w:val="single" w:sz="5" w:space="0" w:color="000000"/>
                          <w:bottom w:val="nil"/>
                          <w:right w:val="single" w:sz="5" w:space="0" w:color="000000"/>
                        </w:tcBorders>
                      </w:tcPr>
                      <w:p>
                        <w:pPr>
                          <w:pStyle w:val="TableParagraph"/>
                          <w:spacing w:before="119"/>
                          <w:ind w:right="104"/>
                          <w:rPr>
                            <w:sz w:val="15"/>
                          </w:rPr>
                        </w:pPr>
                        <w:r>
                          <w:rPr>
                            <w:sz w:val="15"/>
                          </w:rPr>
                          <w:t>-1.3624</w:t>
                        </w:r>
                      </w:p>
                    </w:tc>
                    <w:tc>
                      <w:tcPr>
                        <w:tcW w:w="872" w:type="dxa"/>
                        <w:tcBorders>
                          <w:top w:val="nil"/>
                          <w:left w:val="single" w:sz="5" w:space="0" w:color="000000"/>
                          <w:bottom w:val="nil"/>
                        </w:tcBorders>
                      </w:tcPr>
                      <w:p>
                        <w:pPr>
                          <w:pStyle w:val="TableParagraph"/>
                          <w:spacing w:before="119"/>
                          <w:ind w:right="112"/>
                          <w:rPr>
                            <w:sz w:val="15"/>
                          </w:rPr>
                        </w:pPr>
                        <w:r>
                          <w:rPr>
                            <w:sz w:val="15"/>
                          </w:rPr>
                          <w:t>-.2980</w:t>
                        </w:r>
                      </w:p>
                    </w:tc>
                  </w:tr>
                  <w:tr>
                    <w:trPr>
                      <w:trHeight w:val="228" w:hRule="exact"/>
                    </w:trPr>
                    <w:tc>
                      <w:tcPr>
                        <w:tcW w:w="1554" w:type="dxa"/>
                        <w:tcBorders>
                          <w:top w:val="nil"/>
                          <w:bottom w:val="single" w:sz="5" w:space="0" w:color="000000"/>
                          <w:right w:val="nil"/>
                        </w:tcBorders>
                      </w:tcPr>
                      <w:p>
                        <w:pPr/>
                      </w:p>
                    </w:tc>
                    <w:tc>
                      <w:tcPr>
                        <w:tcW w:w="1843" w:type="dxa"/>
                        <w:gridSpan w:val="2"/>
                        <w:tcBorders>
                          <w:top w:val="nil"/>
                          <w:left w:val="nil"/>
                          <w:bottom w:val="single" w:sz="5" w:space="0" w:color="000000"/>
                        </w:tcBorders>
                      </w:tcPr>
                      <w:p>
                        <w:pPr>
                          <w:pStyle w:val="TableParagraph"/>
                          <w:spacing w:before="13"/>
                          <w:ind w:left="443"/>
                          <w:jc w:val="left"/>
                          <w:rPr>
                            <w:sz w:val="15"/>
                          </w:rPr>
                        </w:pPr>
                        <w:r>
                          <w:rPr>
                            <w:sz w:val="15"/>
                          </w:rPr>
                          <w:t>CmpLing_Ing_alto</w:t>
                        </w:r>
                      </w:p>
                    </w:tc>
                    <w:tc>
                      <w:tcPr>
                        <w:tcW w:w="1021" w:type="dxa"/>
                        <w:tcBorders>
                          <w:top w:val="nil"/>
                          <w:bottom w:val="single" w:sz="5" w:space="0" w:color="000000"/>
                          <w:right w:val="single" w:sz="5" w:space="0" w:color="000000"/>
                        </w:tcBorders>
                      </w:tcPr>
                      <w:p>
                        <w:pPr>
                          <w:pStyle w:val="TableParagraph"/>
                          <w:spacing w:before="28"/>
                          <w:ind w:right="46"/>
                          <w:rPr>
                            <w:sz w:val="15"/>
                          </w:rPr>
                        </w:pPr>
                        <w:r>
                          <w:rPr>
                            <w:sz w:val="15"/>
                          </w:rPr>
                          <w:t>-1.8923*</w:t>
                        </w:r>
                      </w:p>
                    </w:tc>
                    <w:tc>
                      <w:tcPr>
                        <w:tcW w:w="861" w:type="dxa"/>
                        <w:tcBorders>
                          <w:top w:val="nil"/>
                          <w:left w:val="single" w:sz="5" w:space="0" w:color="000000"/>
                          <w:bottom w:val="single" w:sz="5" w:space="0" w:color="000000"/>
                          <w:right w:val="single" w:sz="5" w:space="0" w:color="000000"/>
                        </w:tcBorders>
                      </w:tcPr>
                      <w:p>
                        <w:pPr>
                          <w:pStyle w:val="TableParagraph"/>
                          <w:spacing w:before="28"/>
                          <w:ind w:right="105"/>
                          <w:rPr>
                            <w:sz w:val="15"/>
                          </w:rPr>
                        </w:pPr>
                        <w:r>
                          <w:rPr>
                            <w:sz w:val="15"/>
                          </w:rPr>
                          <w:t>.20151</w:t>
                        </w:r>
                      </w:p>
                    </w:tc>
                    <w:tc>
                      <w:tcPr>
                        <w:tcW w:w="1056" w:type="dxa"/>
                        <w:tcBorders>
                          <w:top w:val="nil"/>
                          <w:left w:val="single" w:sz="5" w:space="0" w:color="000000"/>
                          <w:bottom w:val="single" w:sz="5" w:space="0" w:color="000000"/>
                          <w:right w:val="single" w:sz="5" w:space="0" w:color="000000"/>
                        </w:tcBorders>
                      </w:tcPr>
                      <w:p>
                        <w:pPr>
                          <w:pStyle w:val="TableParagraph"/>
                          <w:spacing w:before="28"/>
                          <w:ind w:right="105"/>
                          <w:rPr>
                            <w:sz w:val="15"/>
                          </w:rPr>
                        </w:pPr>
                        <w:r>
                          <w:rPr>
                            <w:w w:val="95"/>
                            <w:sz w:val="15"/>
                          </w:rPr>
                          <w:t>.000</w:t>
                        </w:r>
                      </w:p>
                    </w:tc>
                    <w:tc>
                      <w:tcPr>
                        <w:tcW w:w="1113" w:type="dxa"/>
                        <w:tcBorders>
                          <w:top w:val="nil"/>
                          <w:left w:val="single" w:sz="5" w:space="0" w:color="000000"/>
                          <w:bottom w:val="single" w:sz="5" w:space="0" w:color="000000"/>
                          <w:right w:val="single" w:sz="5" w:space="0" w:color="000000"/>
                        </w:tcBorders>
                      </w:tcPr>
                      <w:p>
                        <w:pPr>
                          <w:pStyle w:val="TableParagraph"/>
                          <w:spacing w:before="28"/>
                          <w:ind w:right="104"/>
                          <w:rPr>
                            <w:sz w:val="15"/>
                          </w:rPr>
                        </w:pPr>
                        <w:r>
                          <w:rPr>
                            <w:sz w:val="15"/>
                          </w:rPr>
                          <w:t>-2.4297</w:t>
                        </w:r>
                      </w:p>
                    </w:tc>
                    <w:tc>
                      <w:tcPr>
                        <w:tcW w:w="872" w:type="dxa"/>
                        <w:tcBorders>
                          <w:top w:val="nil"/>
                          <w:left w:val="single" w:sz="5" w:space="0" w:color="000000"/>
                          <w:bottom w:val="single" w:sz="5" w:space="0" w:color="000000"/>
                        </w:tcBorders>
                      </w:tcPr>
                      <w:p>
                        <w:pPr>
                          <w:pStyle w:val="TableParagraph"/>
                          <w:spacing w:before="28"/>
                          <w:ind w:right="112"/>
                          <w:rPr>
                            <w:sz w:val="15"/>
                          </w:rPr>
                        </w:pPr>
                        <w:r>
                          <w:rPr>
                            <w:sz w:val="15"/>
                          </w:rPr>
                          <w:t>-1.3549</w:t>
                        </w:r>
                      </w:p>
                    </w:tc>
                  </w:tr>
                  <w:tr>
                    <w:trPr>
                      <w:trHeight w:val="197" w:hRule="exact"/>
                    </w:trPr>
                    <w:tc>
                      <w:tcPr>
                        <w:tcW w:w="1554" w:type="dxa"/>
                        <w:tcBorders>
                          <w:top w:val="single" w:sz="5" w:space="0" w:color="000000"/>
                          <w:bottom w:val="nil"/>
                          <w:right w:val="nil"/>
                        </w:tcBorders>
                      </w:tcPr>
                      <w:p>
                        <w:pPr>
                          <w:pStyle w:val="TableParagraph"/>
                          <w:spacing w:before="1"/>
                          <w:ind w:left="80" w:right="-8"/>
                          <w:jc w:val="left"/>
                          <w:rPr>
                            <w:sz w:val="15"/>
                          </w:rPr>
                        </w:pPr>
                        <w:r>
                          <w:rPr>
                            <w:spacing w:val="-1"/>
                            <w:sz w:val="15"/>
                          </w:rPr>
                          <w:t>CmpLing_Ing_medio_</w:t>
                        </w:r>
                      </w:p>
                    </w:tc>
                    <w:tc>
                      <w:tcPr>
                        <w:tcW w:w="1843" w:type="dxa"/>
                        <w:gridSpan w:val="2"/>
                        <w:tcBorders>
                          <w:top w:val="single" w:sz="5" w:space="0" w:color="000000"/>
                          <w:left w:val="nil"/>
                          <w:bottom w:val="nil"/>
                        </w:tcBorders>
                      </w:tcPr>
                      <w:p>
                        <w:pPr>
                          <w:pStyle w:val="TableParagraph"/>
                          <w:spacing w:before="1"/>
                          <w:ind w:left="443"/>
                          <w:jc w:val="left"/>
                          <w:rPr>
                            <w:sz w:val="15"/>
                          </w:rPr>
                        </w:pPr>
                        <w:r>
                          <w:rPr>
                            <w:sz w:val="15"/>
                          </w:rPr>
                          <w:t>CmpLing_Ing_bajo</w:t>
                        </w:r>
                      </w:p>
                    </w:tc>
                    <w:tc>
                      <w:tcPr>
                        <w:tcW w:w="1021" w:type="dxa"/>
                        <w:tcBorders>
                          <w:top w:val="single" w:sz="5" w:space="0" w:color="000000"/>
                          <w:bottom w:val="nil"/>
                          <w:right w:val="single" w:sz="5" w:space="0" w:color="000000"/>
                        </w:tcBorders>
                      </w:tcPr>
                      <w:p>
                        <w:pPr>
                          <w:pStyle w:val="TableParagraph"/>
                          <w:spacing w:before="10"/>
                          <w:ind w:right="103"/>
                          <w:rPr>
                            <w:sz w:val="15"/>
                          </w:rPr>
                        </w:pPr>
                        <w:r>
                          <w:rPr>
                            <w:sz w:val="15"/>
                          </w:rPr>
                          <w:t>.4103</w:t>
                        </w:r>
                      </w:p>
                    </w:tc>
                    <w:tc>
                      <w:tcPr>
                        <w:tcW w:w="861" w:type="dxa"/>
                        <w:tcBorders>
                          <w:top w:val="single" w:sz="5" w:space="0" w:color="000000"/>
                          <w:left w:val="single" w:sz="5" w:space="0" w:color="000000"/>
                          <w:bottom w:val="nil"/>
                          <w:right w:val="single" w:sz="5" w:space="0" w:color="000000"/>
                        </w:tcBorders>
                      </w:tcPr>
                      <w:p>
                        <w:pPr>
                          <w:pStyle w:val="TableParagraph"/>
                          <w:spacing w:before="10"/>
                          <w:ind w:right="105"/>
                          <w:rPr>
                            <w:sz w:val="15"/>
                          </w:rPr>
                        </w:pPr>
                        <w:r>
                          <w:rPr>
                            <w:sz w:val="15"/>
                          </w:rPr>
                          <w:t>.20151</w:t>
                        </w:r>
                      </w:p>
                    </w:tc>
                    <w:tc>
                      <w:tcPr>
                        <w:tcW w:w="1056" w:type="dxa"/>
                        <w:tcBorders>
                          <w:top w:val="single" w:sz="5" w:space="0" w:color="000000"/>
                          <w:left w:val="single" w:sz="5" w:space="0" w:color="000000"/>
                          <w:bottom w:val="nil"/>
                          <w:right w:val="single" w:sz="5" w:space="0" w:color="000000"/>
                        </w:tcBorders>
                      </w:tcPr>
                      <w:p>
                        <w:pPr>
                          <w:pStyle w:val="TableParagraph"/>
                          <w:spacing w:before="10"/>
                          <w:ind w:right="105"/>
                          <w:rPr>
                            <w:sz w:val="15"/>
                          </w:rPr>
                        </w:pPr>
                        <w:r>
                          <w:rPr>
                            <w:w w:val="95"/>
                            <w:sz w:val="15"/>
                          </w:rPr>
                          <w:t>.259</w:t>
                        </w:r>
                      </w:p>
                    </w:tc>
                    <w:tc>
                      <w:tcPr>
                        <w:tcW w:w="1113" w:type="dxa"/>
                        <w:tcBorders>
                          <w:top w:val="single" w:sz="5" w:space="0" w:color="000000"/>
                          <w:left w:val="single" w:sz="5" w:space="0" w:color="000000"/>
                          <w:bottom w:val="nil"/>
                          <w:right w:val="single" w:sz="5" w:space="0" w:color="000000"/>
                        </w:tcBorders>
                      </w:tcPr>
                      <w:p>
                        <w:pPr>
                          <w:pStyle w:val="TableParagraph"/>
                          <w:spacing w:before="10"/>
                          <w:ind w:right="104"/>
                          <w:rPr>
                            <w:sz w:val="15"/>
                          </w:rPr>
                        </w:pPr>
                        <w:r>
                          <w:rPr>
                            <w:sz w:val="15"/>
                          </w:rPr>
                          <w:t>-.1271</w:t>
                        </w:r>
                      </w:p>
                    </w:tc>
                    <w:tc>
                      <w:tcPr>
                        <w:tcW w:w="872" w:type="dxa"/>
                        <w:tcBorders>
                          <w:top w:val="single" w:sz="5" w:space="0" w:color="000000"/>
                          <w:left w:val="single" w:sz="5" w:space="0" w:color="000000"/>
                          <w:bottom w:val="nil"/>
                        </w:tcBorders>
                      </w:tcPr>
                      <w:p>
                        <w:pPr>
                          <w:pStyle w:val="TableParagraph"/>
                          <w:spacing w:before="10"/>
                          <w:ind w:right="112"/>
                          <w:rPr>
                            <w:sz w:val="15"/>
                          </w:rPr>
                        </w:pPr>
                        <w:r>
                          <w:rPr>
                            <w:sz w:val="15"/>
                          </w:rPr>
                          <w:t>.9476</w:t>
                        </w:r>
                      </w:p>
                    </w:tc>
                  </w:tr>
                  <w:tr>
                    <w:trPr>
                      <w:trHeight w:val="415" w:hRule="exact"/>
                    </w:trPr>
                    <w:tc>
                      <w:tcPr>
                        <w:tcW w:w="1554" w:type="dxa"/>
                        <w:tcBorders>
                          <w:top w:val="nil"/>
                          <w:bottom w:val="nil"/>
                          <w:right w:val="nil"/>
                        </w:tcBorders>
                      </w:tcPr>
                      <w:p>
                        <w:pPr>
                          <w:pStyle w:val="TableParagraph"/>
                          <w:spacing w:line="165" w:lineRule="exact"/>
                          <w:ind w:left="80" w:right="-17"/>
                          <w:jc w:val="left"/>
                          <w:rPr>
                            <w:sz w:val="15"/>
                          </w:rPr>
                        </w:pPr>
                        <w:r>
                          <w:rPr>
                            <w:sz w:val="15"/>
                          </w:rPr>
                          <w:t>bajo</w:t>
                        </w:r>
                      </w:p>
                    </w:tc>
                    <w:tc>
                      <w:tcPr>
                        <w:tcW w:w="1843" w:type="dxa"/>
                        <w:gridSpan w:val="2"/>
                        <w:tcBorders>
                          <w:top w:val="nil"/>
                          <w:left w:val="nil"/>
                          <w:bottom w:val="nil"/>
                        </w:tcBorders>
                      </w:tcPr>
                      <w:p>
                        <w:pPr>
                          <w:pStyle w:val="TableParagraph"/>
                          <w:spacing w:line="261" w:lineRule="auto" w:before="25"/>
                          <w:ind w:left="443"/>
                          <w:jc w:val="left"/>
                          <w:rPr>
                            <w:sz w:val="15"/>
                          </w:rPr>
                        </w:pPr>
                        <w:r>
                          <w:rPr>
                            <w:sz w:val="15"/>
                          </w:rPr>
                          <w:t>CmpLing_Ing_ medio_alto</w:t>
                        </w:r>
                      </w:p>
                    </w:tc>
                    <w:tc>
                      <w:tcPr>
                        <w:tcW w:w="1021" w:type="dxa"/>
                        <w:tcBorders>
                          <w:top w:val="nil"/>
                          <w:bottom w:val="nil"/>
                          <w:right w:val="single" w:sz="5" w:space="0" w:color="000000"/>
                        </w:tcBorders>
                      </w:tcPr>
                      <w:p>
                        <w:pPr>
                          <w:pStyle w:val="TableParagraph"/>
                          <w:spacing w:before="4"/>
                          <w:jc w:val="left"/>
                          <w:rPr>
                            <w:sz w:val="11"/>
                          </w:rPr>
                        </w:pPr>
                      </w:p>
                      <w:p>
                        <w:pPr>
                          <w:pStyle w:val="TableParagraph"/>
                          <w:ind w:right="103"/>
                          <w:rPr>
                            <w:sz w:val="15"/>
                          </w:rPr>
                        </w:pPr>
                        <w:r>
                          <w:rPr>
                            <w:sz w:val="15"/>
                          </w:rPr>
                          <w:t>-.4199</w:t>
                        </w:r>
                      </w:p>
                    </w:tc>
                    <w:tc>
                      <w:tcPr>
                        <w:tcW w:w="861" w:type="dxa"/>
                        <w:tcBorders>
                          <w:top w:val="nil"/>
                          <w:left w:val="single" w:sz="5" w:space="0" w:color="000000"/>
                          <w:bottom w:val="nil"/>
                          <w:right w:val="single" w:sz="5" w:space="0" w:color="000000"/>
                        </w:tcBorders>
                      </w:tcPr>
                      <w:p>
                        <w:pPr>
                          <w:pStyle w:val="TableParagraph"/>
                          <w:spacing w:before="4"/>
                          <w:jc w:val="left"/>
                          <w:rPr>
                            <w:sz w:val="11"/>
                          </w:rPr>
                        </w:pPr>
                      </w:p>
                      <w:p>
                        <w:pPr>
                          <w:pStyle w:val="TableParagraph"/>
                          <w:ind w:right="105"/>
                          <w:rPr>
                            <w:sz w:val="15"/>
                          </w:rPr>
                        </w:pPr>
                        <w:r>
                          <w:rPr>
                            <w:sz w:val="15"/>
                          </w:rPr>
                          <w:t>.19956</w:t>
                        </w:r>
                      </w:p>
                    </w:tc>
                    <w:tc>
                      <w:tcPr>
                        <w:tcW w:w="1056" w:type="dxa"/>
                        <w:tcBorders>
                          <w:top w:val="nil"/>
                          <w:left w:val="single" w:sz="5" w:space="0" w:color="000000"/>
                          <w:bottom w:val="nil"/>
                          <w:right w:val="single" w:sz="5" w:space="0" w:color="000000"/>
                        </w:tcBorders>
                      </w:tcPr>
                      <w:p>
                        <w:pPr>
                          <w:pStyle w:val="TableParagraph"/>
                          <w:spacing w:before="4"/>
                          <w:jc w:val="left"/>
                          <w:rPr>
                            <w:sz w:val="11"/>
                          </w:rPr>
                        </w:pPr>
                      </w:p>
                      <w:p>
                        <w:pPr>
                          <w:pStyle w:val="TableParagraph"/>
                          <w:ind w:right="105"/>
                          <w:rPr>
                            <w:sz w:val="15"/>
                          </w:rPr>
                        </w:pPr>
                        <w:r>
                          <w:rPr>
                            <w:w w:val="95"/>
                            <w:sz w:val="15"/>
                          </w:rPr>
                          <w:t>.220</w:t>
                        </w:r>
                      </w:p>
                    </w:tc>
                    <w:tc>
                      <w:tcPr>
                        <w:tcW w:w="1113" w:type="dxa"/>
                        <w:tcBorders>
                          <w:top w:val="nil"/>
                          <w:left w:val="single" w:sz="5" w:space="0" w:color="000000"/>
                          <w:bottom w:val="nil"/>
                          <w:right w:val="single" w:sz="5" w:space="0" w:color="000000"/>
                        </w:tcBorders>
                      </w:tcPr>
                      <w:p>
                        <w:pPr>
                          <w:pStyle w:val="TableParagraph"/>
                          <w:spacing w:before="4"/>
                          <w:jc w:val="left"/>
                          <w:rPr>
                            <w:sz w:val="11"/>
                          </w:rPr>
                        </w:pPr>
                      </w:p>
                      <w:p>
                        <w:pPr>
                          <w:pStyle w:val="TableParagraph"/>
                          <w:ind w:right="104"/>
                          <w:rPr>
                            <w:sz w:val="15"/>
                          </w:rPr>
                        </w:pPr>
                        <w:r>
                          <w:rPr>
                            <w:sz w:val="15"/>
                          </w:rPr>
                          <w:t>-.9521</w:t>
                        </w:r>
                      </w:p>
                    </w:tc>
                    <w:tc>
                      <w:tcPr>
                        <w:tcW w:w="872" w:type="dxa"/>
                        <w:tcBorders>
                          <w:top w:val="nil"/>
                          <w:left w:val="single" w:sz="5" w:space="0" w:color="000000"/>
                          <w:bottom w:val="nil"/>
                        </w:tcBorders>
                      </w:tcPr>
                      <w:p>
                        <w:pPr>
                          <w:pStyle w:val="TableParagraph"/>
                          <w:spacing w:before="4"/>
                          <w:jc w:val="left"/>
                          <w:rPr>
                            <w:sz w:val="11"/>
                          </w:rPr>
                        </w:pPr>
                      </w:p>
                      <w:p>
                        <w:pPr>
                          <w:pStyle w:val="TableParagraph"/>
                          <w:ind w:right="112"/>
                          <w:rPr>
                            <w:sz w:val="15"/>
                          </w:rPr>
                        </w:pPr>
                        <w:r>
                          <w:rPr>
                            <w:sz w:val="15"/>
                          </w:rPr>
                          <w:t>.1123</w:t>
                        </w:r>
                      </w:p>
                    </w:tc>
                  </w:tr>
                  <w:tr>
                    <w:trPr>
                      <w:trHeight w:val="227" w:hRule="exact"/>
                    </w:trPr>
                    <w:tc>
                      <w:tcPr>
                        <w:tcW w:w="1554" w:type="dxa"/>
                        <w:tcBorders>
                          <w:top w:val="nil"/>
                          <w:bottom w:val="single" w:sz="5" w:space="0" w:color="000000"/>
                          <w:right w:val="nil"/>
                        </w:tcBorders>
                      </w:tcPr>
                      <w:p>
                        <w:pPr/>
                      </w:p>
                    </w:tc>
                    <w:tc>
                      <w:tcPr>
                        <w:tcW w:w="1843" w:type="dxa"/>
                        <w:gridSpan w:val="2"/>
                        <w:tcBorders>
                          <w:top w:val="nil"/>
                          <w:left w:val="nil"/>
                          <w:bottom w:val="single" w:sz="5" w:space="0" w:color="000000"/>
                        </w:tcBorders>
                      </w:tcPr>
                      <w:p>
                        <w:pPr>
                          <w:pStyle w:val="TableParagraph"/>
                          <w:spacing w:before="13"/>
                          <w:ind w:left="443"/>
                          <w:jc w:val="left"/>
                          <w:rPr>
                            <w:sz w:val="15"/>
                          </w:rPr>
                        </w:pPr>
                        <w:r>
                          <w:rPr>
                            <w:sz w:val="15"/>
                          </w:rPr>
                          <w:t>CmpLing_Ing_alto</w:t>
                        </w:r>
                      </w:p>
                    </w:tc>
                    <w:tc>
                      <w:tcPr>
                        <w:tcW w:w="1021" w:type="dxa"/>
                        <w:tcBorders>
                          <w:top w:val="nil"/>
                          <w:bottom w:val="single" w:sz="5" w:space="0" w:color="000000"/>
                          <w:right w:val="single" w:sz="5" w:space="0" w:color="000000"/>
                        </w:tcBorders>
                      </w:tcPr>
                      <w:p>
                        <w:pPr>
                          <w:pStyle w:val="TableParagraph"/>
                          <w:spacing w:before="23"/>
                          <w:ind w:right="46"/>
                          <w:rPr>
                            <w:sz w:val="15"/>
                          </w:rPr>
                        </w:pPr>
                        <w:r>
                          <w:rPr>
                            <w:sz w:val="15"/>
                          </w:rPr>
                          <w:t>-1.4821*</w:t>
                        </w:r>
                      </w:p>
                    </w:tc>
                    <w:tc>
                      <w:tcPr>
                        <w:tcW w:w="861" w:type="dxa"/>
                        <w:tcBorders>
                          <w:top w:val="nil"/>
                          <w:left w:val="single" w:sz="5" w:space="0" w:color="000000"/>
                          <w:bottom w:val="single" w:sz="5" w:space="0" w:color="000000"/>
                          <w:right w:val="single" w:sz="5" w:space="0" w:color="000000"/>
                        </w:tcBorders>
                      </w:tcPr>
                      <w:p>
                        <w:pPr>
                          <w:pStyle w:val="TableParagraph"/>
                          <w:spacing w:before="23"/>
                          <w:ind w:right="105"/>
                          <w:rPr>
                            <w:sz w:val="15"/>
                          </w:rPr>
                        </w:pPr>
                        <w:r>
                          <w:rPr>
                            <w:sz w:val="15"/>
                          </w:rPr>
                          <w:t>.20151</w:t>
                        </w:r>
                      </w:p>
                    </w:tc>
                    <w:tc>
                      <w:tcPr>
                        <w:tcW w:w="1056" w:type="dxa"/>
                        <w:tcBorders>
                          <w:top w:val="nil"/>
                          <w:left w:val="single" w:sz="5" w:space="0" w:color="000000"/>
                          <w:bottom w:val="single" w:sz="5" w:space="0" w:color="000000"/>
                          <w:right w:val="single" w:sz="5" w:space="0" w:color="000000"/>
                        </w:tcBorders>
                      </w:tcPr>
                      <w:p>
                        <w:pPr>
                          <w:pStyle w:val="TableParagraph"/>
                          <w:spacing w:before="23"/>
                          <w:ind w:right="105"/>
                          <w:rPr>
                            <w:sz w:val="15"/>
                          </w:rPr>
                        </w:pPr>
                        <w:r>
                          <w:rPr>
                            <w:w w:val="95"/>
                            <w:sz w:val="15"/>
                          </w:rPr>
                          <w:t>.000</w:t>
                        </w:r>
                      </w:p>
                    </w:tc>
                    <w:tc>
                      <w:tcPr>
                        <w:tcW w:w="1113" w:type="dxa"/>
                        <w:tcBorders>
                          <w:top w:val="nil"/>
                          <w:left w:val="single" w:sz="5" w:space="0" w:color="000000"/>
                          <w:bottom w:val="single" w:sz="5" w:space="0" w:color="000000"/>
                          <w:right w:val="single" w:sz="5" w:space="0" w:color="000000"/>
                        </w:tcBorders>
                      </w:tcPr>
                      <w:p>
                        <w:pPr>
                          <w:pStyle w:val="TableParagraph"/>
                          <w:spacing w:before="23"/>
                          <w:ind w:right="104"/>
                          <w:rPr>
                            <w:sz w:val="15"/>
                          </w:rPr>
                        </w:pPr>
                        <w:r>
                          <w:rPr>
                            <w:sz w:val="15"/>
                          </w:rPr>
                          <w:t>-2.0194</w:t>
                        </w:r>
                      </w:p>
                    </w:tc>
                    <w:tc>
                      <w:tcPr>
                        <w:tcW w:w="872" w:type="dxa"/>
                        <w:tcBorders>
                          <w:top w:val="nil"/>
                          <w:left w:val="single" w:sz="5" w:space="0" w:color="000000"/>
                          <w:bottom w:val="single" w:sz="5" w:space="0" w:color="000000"/>
                        </w:tcBorders>
                      </w:tcPr>
                      <w:p>
                        <w:pPr>
                          <w:pStyle w:val="TableParagraph"/>
                          <w:spacing w:before="23"/>
                          <w:ind w:right="112"/>
                          <w:rPr>
                            <w:sz w:val="15"/>
                          </w:rPr>
                        </w:pPr>
                        <w:r>
                          <w:rPr>
                            <w:sz w:val="15"/>
                          </w:rPr>
                          <w:t>-.9447</w:t>
                        </w:r>
                      </w:p>
                    </w:tc>
                  </w:tr>
                  <w:tr>
                    <w:trPr>
                      <w:trHeight w:val="198" w:hRule="exact"/>
                    </w:trPr>
                    <w:tc>
                      <w:tcPr>
                        <w:tcW w:w="1554" w:type="dxa"/>
                        <w:tcBorders>
                          <w:top w:val="single" w:sz="5" w:space="0" w:color="000000"/>
                          <w:bottom w:val="nil"/>
                          <w:right w:val="nil"/>
                        </w:tcBorders>
                      </w:tcPr>
                      <w:p>
                        <w:pPr>
                          <w:pStyle w:val="TableParagraph"/>
                          <w:spacing w:before="1"/>
                          <w:ind w:left="80" w:right="-8"/>
                          <w:jc w:val="left"/>
                          <w:rPr>
                            <w:sz w:val="15"/>
                          </w:rPr>
                        </w:pPr>
                        <w:r>
                          <w:rPr>
                            <w:spacing w:val="-1"/>
                            <w:sz w:val="15"/>
                          </w:rPr>
                          <w:t>CmpLing_Ing_medio_</w:t>
                        </w:r>
                      </w:p>
                    </w:tc>
                    <w:tc>
                      <w:tcPr>
                        <w:tcW w:w="1843" w:type="dxa"/>
                        <w:gridSpan w:val="2"/>
                        <w:tcBorders>
                          <w:top w:val="single" w:sz="5" w:space="0" w:color="000000"/>
                          <w:left w:val="nil"/>
                          <w:bottom w:val="nil"/>
                        </w:tcBorders>
                      </w:tcPr>
                      <w:p>
                        <w:pPr>
                          <w:pStyle w:val="TableParagraph"/>
                          <w:spacing w:before="1"/>
                          <w:ind w:left="443"/>
                          <w:jc w:val="left"/>
                          <w:rPr>
                            <w:sz w:val="15"/>
                          </w:rPr>
                        </w:pPr>
                        <w:r>
                          <w:rPr>
                            <w:sz w:val="15"/>
                          </w:rPr>
                          <w:t>CmpLing_Ing_bajo</w:t>
                        </w:r>
                      </w:p>
                    </w:tc>
                    <w:tc>
                      <w:tcPr>
                        <w:tcW w:w="1021" w:type="dxa"/>
                        <w:tcBorders>
                          <w:top w:val="single" w:sz="5" w:space="0" w:color="000000"/>
                          <w:bottom w:val="nil"/>
                          <w:right w:val="single" w:sz="5" w:space="0" w:color="000000"/>
                        </w:tcBorders>
                      </w:tcPr>
                      <w:p>
                        <w:pPr>
                          <w:pStyle w:val="TableParagraph"/>
                          <w:spacing w:before="11"/>
                          <w:ind w:right="46"/>
                          <w:rPr>
                            <w:sz w:val="15"/>
                          </w:rPr>
                        </w:pPr>
                        <w:r>
                          <w:rPr>
                            <w:sz w:val="15"/>
                          </w:rPr>
                          <w:t>.8302*</w:t>
                        </w:r>
                      </w:p>
                    </w:tc>
                    <w:tc>
                      <w:tcPr>
                        <w:tcW w:w="861" w:type="dxa"/>
                        <w:tcBorders>
                          <w:top w:val="single" w:sz="5" w:space="0" w:color="000000"/>
                          <w:left w:val="single" w:sz="5" w:space="0" w:color="000000"/>
                          <w:bottom w:val="nil"/>
                          <w:right w:val="single" w:sz="5" w:space="0" w:color="000000"/>
                        </w:tcBorders>
                      </w:tcPr>
                      <w:p>
                        <w:pPr>
                          <w:pStyle w:val="TableParagraph"/>
                          <w:spacing w:before="11"/>
                          <w:ind w:right="105"/>
                          <w:rPr>
                            <w:sz w:val="15"/>
                          </w:rPr>
                        </w:pPr>
                        <w:r>
                          <w:rPr>
                            <w:sz w:val="15"/>
                          </w:rPr>
                          <w:t>.19956</w:t>
                        </w:r>
                      </w:p>
                    </w:tc>
                    <w:tc>
                      <w:tcPr>
                        <w:tcW w:w="1056" w:type="dxa"/>
                        <w:tcBorders>
                          <w:top w:val="single" w:sz="5" w:space="0" w:color="000000"/>
                          <w:left w:val="single" w:sz="5" w:space="0" w:color="000000"/>
                          <w:bottom w:val="nil"/>
                          <w:right w:val="single" w:sz="5" w:space="0" w:color="000000"/>
                        </w:tcBorders>
                      </w:tcPr>
                      <w:p>
                        <w:pPr>
                          <w:pStyle w:val="TableParagraph"/>
                          <w:spacing w:before="11"/>
                          <w:ind w:right="105"/>
                          <w:rPr>
                            <w:sz w:val="15"/>
                          </w:rPr>
                        </w:pPr>
                        <w:r>
                          <w:rPr>
                            <w:w w:val="95"/>
                            <w:sz w:val="15"/>
                          </w:rPr>
                          <w:t>.000</w:t>
                        </w:r>
                      </w:p>
                    </w:tc>
                    <w:tc>
                      <w:tcPr>
                        <w:tcW w:w="1113" w:type="dxa"/>
                        <w:tcBorders>
                          <w:top w:val="single" w:sz="5" w:space="0" w:color="000000"/>
                          <w:left w:val="single" w:sz="5" w:space="0" w:color="000000"/>
                          <w:bottom w:val="nil"/>
                          <w:right w:val="single" w:sz="5" w:space="0" w:color="000000"/>
                        </w:tcBorders>
                      </w:tcPr>
                      <w:p>
                        <w:pPr>
                          <w:pStyle w:val="TableParagraph"/>
                          <w:spacing w:before="11"/>
                          <w:ind w:right="104"/>
                          <w:rPr>
                            <w:sz w:val="15"/>
                          </w:rPr>
                        </w:pPr>
                        <w:r>
                          <w:rPr>
                            <w:sz w:val="15"/>
                          </w:rPr>
                          <w:t>.2980</w:t>
                        </w:r>
                      </w:p>
                    </w:tc>
                    <w:tc>
                      <w:tcPr>
                        <w:tcW w:w="872" w:type="dxa"/>
                        <w:tcBorders>
                          <w:top w:val="single" w:sz="5" w:space="0" w:color="000000"/>
                          <w:left w:val="single" w:sz="5" w:space="0" w:color="000000"/>
                          <w:bottom w:val="nil"/>
                        </w:tcBorders>
                      </w:tcPr>
                      <w:p>
                        <w:pPr>
                          <w:pStyle w:val="TableParagraph"/>
                          <w:spacing w:before="11"/>
                          <w:ind w:right="112"/>
                          <w:rPr>
                            <w:sz w:val="15"/>
                          </w:rPr>
                        </w:pPr>
                        <w:r>
                          <w:rPr>
                            <w:sz w:val="15"/>
                          </w:rPr>
                          <w:t>1.3624</w:t>
                        </w:r>
                      </w:p>
                    </w:tc>
                  </w:tr>
                  <w:tr>
                    <w:trPr>
                      <w:trHeight w:val="413" w:hRule="exact"/>
                    </w:trPr>
                    <w:tc>
                      <w:tcPr>
                        <w:tcW w:w="1554" w:type="dxa"/>
                        <w:tcBorders>
                          <w:top w:val="nil"/>
                          <w:bottom w:val="nil"/>
                          <w:right w:val="nil"/>
                        </w:tcBorders>
                      </w:tcPr>
                      <w:p>
                        <w:pPr>
                          <w:pStyle w:val="TableParagraph"/>
                          <w:spacing w:line="165" w:lineRule="exact"/>
                          <w:ind w:left="80" w:right="-17"/>
                          <w:jc w:val="left"/>
                          <w:rPr>
                            <w:sz w:val="15"/>
                          </w:rPr>
                        </w:pPr>
                        <w:r>
                          <w:rPr>
                            <w:sz w:val="15"/>
                          </w:rPr>
                          <w:t>alto</w:t>
                        </w:r>
                      </w:p>
                    </w:tc>
                    <w:tc>
                      <w:tcPr>
                        <w:tcW w:w="1843" w:type="dxa"/>
                        <w:gridSpan w:val="2"/>
                        <w:tcBorders>
                          <w:top w:val="nil"/>
                          <w:left w:val="nil"/>
                          <w:bottom w:val="nil"/>
                        </w:tcBorders>
                      </w:tcPr>
                      <w:p>
                        <w:pPr>
                          <w:pStyle w:val="TableParagraph"/>
                          <w:spacing w:line="254" w:lineRule="auto" w:before="25"/>
                          <w:ind w:left="443"/>
                          <w:jc w:val="left"/>
                          <w:rPr>
                            <w:sz w:val="15"/>
                          </w:rPr>
                        </w:pPr>
                        <w:r>
                          <w:rPr>
                            <w:sz w:val="15"/>
                          </w:rPr>
                          <w:t>CmpLing_Ing_ medio_bajo</w:t>
                        </w:r>
                      </w:p>
                    </w:tc>
                    <w:tc>
                      <w:tcPr>
                        <w:tcW w:w="1021" w:type="dxa"/>
                        <w:tcBorders>
                          <w:top w:val="nil"/>
                          <w:bottom w:val="nil"/>
                          <w:right w:val="single" w:sz="5" w:space="0" w:color="000000"/>
                        </w:tcBorders>
                      </w:tcPr>
                      <w:p>
                        <w:pPr>
                          <w:pStyle w:val="TableParagraph"/>
                          <w:spacing w:before="4"/>
                          <w:jc w:val="left"/>
                          <w:rPr>
                            <w:sz w:val="11"/>
                          </w:rPr>
                        </w:pPr>
                      </w:p>
                      <w:p>
                        <w:pPr>
                          <w:pStyle w:val="TableParagraph"/>
                          <w:ind w:right="103"/>
                          <w:rPr>
                            <w:sz w:val="15"/>
                          </w:rPr>
                        </w:pPr>
                        <w:r>
                          <w:rPr>
                            <w:sz w:val="15"/>
                          </w:rPr>
                          <w:t>.4199</w:t>
                        </w:r>
                      </w:p>
                    </w:tc>
                    <w:tc>
                      <w:tcPr>
                        <w:tcW w:w="861" w:type="dxa"/>
                        <w:tcBorders>
                          <w:top w:val="nil"/>
                          <w:left w:val="single" w:sz="5" w:space="0" w:color="000000"/>
                          <w:bottom w:val="nil"/>
                          <w:right w:val="single" w:sz="5" w:space="0" w:color="000000"/>
                        </w:tcBorders>
                      </w:tcPr>
                      <w:p>
                        <w:pPr>
                          <w:pStyle w:val="TableParagraph"/>
                          <w:spacing w:before="4"/>
                          <w:jc w:val="left"/>
                          <w:rPr>
                            <w:sz w:val="11"/>
                          </w:rPr>
                        </w:pPr>
                      </w:p>
                      <w:p>
                        <w:pPr>
                          <w:pStyle w:val="TableParagraph"/>
                          <w:ind w:right="105"/>
                          <w:rPr>
                            <w:sz w:val="15"/>
                          </w:rPr>
                        </w:pPr>
                        <w:r>
                          <w:rPr>
                            <w:sz w:val="15"/>
                          </w:rPr>
                          <w:t>.19956</w:t>
                        </w:r>
                      </w:p>
                    </w:tc>
                    <w:tc>
                      <w:tcPr>
                        <w:tcW w:w="1056" w:type="dxa"/>
                        <w:tcBorders>
                          <w:top w:val="nil"/>
                          <w:left w:val="single" w:sz="5" w:space="0" w:color="000000"/>
                          <w:bottom w:val="nil"/>
                          <w:right w:val="single" w:sz="5" w:space="0" w:color="000000"/>
                        </w:tcBorders>
                      </w:tcPr>
                      <w:p>
                        <w:pPr>
                          <w:pStyle w:val="TableParagraph"/>
                          <w:spacing w:before="4"/>
                          <w:jc w:val="left"/>
                          <w:rPr>
                            <w:sz w:val="11"/>
                          </w:rPr>
                        </w:pPr>
                      </w:p>
                      <w:p>
                        <w:pPr>
                          <w:pStyle w:val="TableParagraph"/>
                          <w:ind w:right="105"/>
                          <w:rPr>
                            <w:sz w:val="15"/>
                          </w:rPr>
                        </w:pPr>
                        <w:r>
                          <w:rPr>
                            <w:w w:val="95"/>
                            <w:sz w:val="15"/>
                          </w:rPr>
                          <w:t>.220</w:t>
                        </w:r>
                      </w:p>
                    </w:tc>
                    <w:tc>
                      <w:tcPr>
                        <w:tcW w:w="1113" w:type="dxa"/>
                        <w:tcBorders>
                          <w:top w:val="nil"/>
                          <w:left w:val="single" w:sz="5" w:space="0" w:color="000000"/>
                          <w:bottom w:val="nil"/>
                          <w:right w:val="single" w:sz="5" w:space="0" w:color="000000"/>
                        </w:tcBorders>
                      </w:tcPr>
                      <w:p>
                        <w:pPr>
                          <w:pStyle w:val="TableParagraph"/>
                          <w:spacing w:before="4"/>
                          <w:jc w:val="left"/>
                          <w:rPr>
                            <w:sz w:val="11"/>
                          </w:rPr>
                        </w:pPr>
                      </w:p>
                      <w:p>
                        <w:pPr>
                          <w:pStyle w:val="TableParagraph"/>
                          <w:ind w:right="104"/>
                          <w:rPr>
                            <w:sz w:val="15"/>
                          </w:rPr>
                        </w:pPr>
                        <w:r>
                          <w:rPr>
                            <w:sz w:val="15"/>
                          </w:rPr>
                          <w:t>-.1123</w:t>
                        </w:r>
                      </w:p>
                    </w:tc>
                    <w:tc>
                      <w:tcPr>
                        <w:tcW w:w="872" w:type="dxa"/>
                        <w:tcBorders>
                          <w:top w:val="nil"/>
                          <w:left w:val="single" w:sz="5" w:space="0" w:color="000000"/>
                          <w:bottom w:val="nil"/>
                        </w:tcBorders>
                      </w:tcPr>
                      <w:p>
                        <w:pPr>
                          <w:pStyle w:val="TableParagraph"/>
                          <w:spacing w:before="4"/>
                          <w:jc w:val="left"/>
                          <w:rPr>
                            <w:sz w:val="11"/>
                          </w:rPr>
                        </w:pPr>
                      </w:p>
                      <w:p>
                        <w:pPr>
                          <w:pStyle w:val="TableParagraph"/>
                          <w:ind w:right="112"/>
                          <w:rPr>
                            <w:sz w:val="15"/>
                          </w:rPr>
                        </w:pPr>
                        <w:r>
                          <w:rPr>
                            <w:sz w:val="15"/>
                          </w:rPr>
                          <w:t>.9521</w:t>
                        </w:r>
                      </w:p>
                    </w:tc>
                  </w:tr>
                  <w:tr>
                    <w:trPr>
                      <w:trHeight w:val="424" w:hRule="exact"/>
                    </w:trPr>
                    <w:tc>
                      <w:tcPr>
                        <w:tcW w:w="1554" w:type="dxa"/>
                        <w:tcBorders>
                          <w:top w:val="nil"/>
                          <w:bottom w:val="single" w:sz="5" w:space="0" w:color="000000"/>
                          <w:right w:val="nil"/>
                        </w:tcBorders>
                      </w:tcPr>
                      <w:p>
                        <w:pPr/>
                      </w:p>
                    </w:tc>
                    <w:tc>
                      <w:tcPr>
                        <w:tcW w:w="1843" w:type="dxa"/>
                        <w:gridSpan w:val="2"/>
                        <w:tcBorders>
                          <w:top w:val="nil"/>
                          <w:left w:val="nil"/>
                          <w:bottom w:val="single" w:sz="5" w:space="0" w:color="000000"/>
                        </w:tcBorders>
                      </w:tcPr>
                      <w:p>
                        <w:pPr>
                          <w:pStyle w:val="TableParagraph"/>
                          <w:spacing w:before="16"/>
                          <w:ind w:left="443"/>
                          <w:jc w:val="left"/>
                          <w:rPr>
                            <w:sz w:val="15"/>
                          </w:rPr>
                        </w:pPr>
                        <w:r>
                          <w:rPr>
                            <w:sz w:val="15"/>
                          </w:rPr>
                          <w:t>CmpLing_Ing_alto</w:t>
                        </w:r>
                      </w:p>
                    </w:tc>
                    <w:tc>
                      <w:tcPr>
                        <w:tcW w:w="1021" w:type="dxa"/>
                        <w:tcBorders>
                          <w:top w:val="nil"/>
                          <w:bottom w:val="single" w:sz="5" w:space="0" w:color="000000"/>
                          <w:right w:val="single" w:sz="5" w:space="0" w:color="000000"/>
                        </w:tcBorders>
                      </w:tcPr>
                      <w:p>
                        <w:pPr>
                          <w:pStyle w:val="TableParagraph"/>
                          <w:spacing w:before="117"/>
                          <w:ind w:right="46"/>
                          <w:rPr>
                            <w:sz w:val="15"/>
                          </w:rPr>
                        </w:pPr>
                        <w:r>
                          <w:rPr>
                            <w:sz w:val="15"/>
                          </w:rPr>
                          <w:t>-1.0621*</w:t>
                        </w:r>
                      </w:p>
                    </w:tc>
                    <w:tc>
                      <w:tcPr>
                        <w:tcW w:w="861" w:type="dxa"/>
                        <w:tcBorders>
                          <w:top w:val="nil"/>
                          <w:left w:val="single" w:sz="5" w:space="0" w:color="000000"/>
                          <w:bottom w:val="single" w:sz="5" w:space="0" w:color="000000"/>
                          <w:right w:val="single" w:sz="5" w:space="0" w:color="000000"/>
                        </w:tcBorders>
                      </w:tcPr>
                      <w:p>
                        <w:pPr>
                          <w:pStyle w:val="TableParagraph"/>
                          <w:spacing w:before="117"/>
                          <w:ind w:right="105"/>
                          <w:rPr>
                            <w:sz w:val="15"/>
                          </w:rPr>
                        </w:pPr>
                        <w:r>
                          <w:rPr>
                            <w:sz w:val="15"/>
                          </w:rPr>
                          <w:t>.19956</w:t>
                        </w:r>
                      </w:p>
                    </w:tc>
                    <w:tc>
                      <w:tcPr>
                        <w:tcW w:w="1056" w:type="dxa"/>
                        <w:tcBorders>
                          <w:top w:val="nil"/>
                          <w:left w:val="single" w:sz="5" w:space="0" w:color="000000"/>
                          <w:bottom w:val="single" w:sz="5" w:space="0" w:color="000000"/>
                          <w:right w:val="single" w:sz="5" w:space="0" w:color="000000"/>
                        </w:tcBorders>
                      </w:tcPr>
                      <w:p>
                        <w:pPr>
                          <w:pStyle w:val="TableParagraph"/>
                          <w:spacing w:before="117"/>
                          <w:ind w:right="105"/>
                          <w:rPr>
                            <w:sz w:val="15"/>
                          </w:rPr>
                        </w:pPr>
                        <w:r>
                          <w:rPr>
                            <w:w w:val="95"/>
                            <w:sz w:val="15"/>
                          </w:rPr>
                          <w:t>.000</w:t>
                        </w:r>
                      </w:p>
                    </w:tc>
                    <w:tc>
                      <w:tcPr>
                        <w:tcW w:w="1113" w:type="dxa"/>
                        <w:tcBorders>
                          <w:top w:val="nil"/>
                          <w:left w:val="single" w:sz="5" w:space="0" w:color="000000"/>
                          <w:bottom w:val="single" w:sz="5" w:space="0" w:color="000000"/>
                          <w:right w:val="single" w:sz="5" w:space="0" w:color="000000"/>
                        </w:tcBorders>
                      </w:tcPr>
                      <w:p>
                        <w:pPr>
                          <w:pStyle w:val="TableParagraph"/>
                          <w:spacing w:before="117"/>
                          <w:ind w:right="104"/>
                          <w:rPr>
                            <w:sz w:val="15"/>
                          </w:rPr>
                        </w:pPr>
                        <w:r>
                          <w:rPr>
                            <w:sz w:val="15"/>
                          </w:rPr>
                          <w:t>-1.5943</w:t>
                        </w:r>
                      </w:p>
                    </w:tc>
                    <w:tc>
                      <w:tcPr>
                        <w:tcW w:w="872" w:type="dxa"/>
                        <w:tcBorders>
                          <w:top w:val="nil"/>
                          <w:left w:val="single" w:sz="5" w:space="0" w:color="000000"/>
                          <w:bottom w:val="single" w:sz="5" w:space="0" w:color="000000"/>
                        </w:tcBorders>
                      </w:tcPr>
                      <w:p>
                        <w:pPr>
                          <w:pStyle w:val="TableParagraph"/>
                          <w:spacing w:before="117"/>
                          <w:ind w:right="112"/>
                          <w:rPr>
                            <w:sz w:val="15"/>
                          </w:rPr>
                        </w:pPr>
                        <w:r>
                          <w:rPr>
                            <w:sz w:val="15"/>
                          </w:rPr>
                          <w:t>-.5299</w:t>
                        </w:r>
                      </w:p>
                    </w:tc>
                  </w:tr>
                  <w:tr>
                    <w:trPr>
                      <w:trHeight w:val="217" w:hRule="exact"/>
                    </w:trPr>
                    <w:tc>
                      <w:tcPr>
                        <w:tcW w:w="1554" w:type="dxa"/>
                        <w:tcBorders>
                          <w:top w:val="single" w:sz="5" w:space="0" w:color="000000"/>
                          <w:bottom w:val="nil"/>
                          <w:right w:val="nil"/>
                        </w:tcBorders>
                      </w:tcPr>
                      <w:p>
                        <w:pPr>
                          <w:pStyle w:val="TableParagraph"/>
                          <w:spacing w:line="172" w:lineRule="exact"/>
                          <w:ind w:left="80" w:right="-17"/>
                          <w:jc w:val="left"/>
                          <w:rPr>
                            <w:sz w:val="15"/>
                          </w:rPr>
                        </w:pPr>
                        <w:r>
                          <w:rPr>
                            <w:sz w:val="15"/>
                          </w:rPr>
                          <w:t>CmpLing_Ing_alto</w:t>
                        </w:r>
                      </w:p>
                    </w:tc>
                    <w:tc>
                      <w:tcPr>
                        <w:tcW w:w="1843" w:type="dxa"/>
                        <w:gridSpan w:val="2"/>
                        <w:tcBorders>
                          <w:top w:val="single" w:sz="5" w:space="0" w:color="000000"/>
                          <w:left w:val="nil"/>
                          <w:bottom w:val="nil"/>
                        </w:tcBorders>
                      </w:tcPr>
                      <w:p>
                        <w:pPr>
                          <w:pStyle w:val="TableParagraph"/>
                          <w:spacing w:line="172" w:lineRule="exact"/>
                          <w:ind w:left="443"/>
                          <w:jc w:val="left"/>
                          <w:rPr>
                            <w:sz w:val="15"/>
                          </w:rPr>
                        </w:pPr>
                        <w:r>
                          <w:rPr>
                            <w:sz w:val="15"/>
                          </w:rPr>
                          <w:t>CmpLing_Ing_bajo</w:t>
                        </w:r>
                      </w:p>
                    </w:tc>
                    <w:tc>
                      <w:tcPr>
                        <w:tcW w:w="1021" w:type="dxa"/>
                        <w:tcBorders>
                          <w:top w:val="single" w:sz="5" w:space="0" w:color="000000"/>
                          <w:bottom w:val="nil"/>
                          <w:right w:val="single" w:sz="5" w:space="0" w:color="000000"/>
                        </w:tcBorders>
                      </w:tcPr>
                      <w:p>
                        <w:pPr>
                          <w:pStyle w:val="TableParagraph"/>
                          <w:spacing w:before="13"/>
                          <w:ind w:right="46"/>
                          <w:rPr>
                            <w:sz w:val="15"/>
                          </w:rPr>
                        </w:pPr>
                        <w:r>
                          <w:rPr>
                            <w:sz w:val="15"/>
                          </w:rPr>
                          <w:t>1.8923*</w:t>
                        </w:r>
                      </w:p>
                    </w:tc>
                    <w:tc>
                      <w:tcPr>
                        <w:tcW w:w="861" w:type="dxa"/>
                        <w:tcBorders>
                          <w:top w:val="single" w:sz="5" w:space="0" w:color="000000"/>
                          <w:left w:val="single" w:sz="5" w:space="0" w:color="000000"/>
                          <w:bottom w:val="nil"/>
                          <w:right w:val="single" w:sz="5" w:space="0" w:color="000000"/>
                        </w:tcBorders>
                      </w:tcPr>
                      <w:p>
                        <w:pPr>
                          <w:pStyle w:val="TableParagraph"/>
                          <w:spacing w:before="13"/>
                          <w:ind w:right="105"/>
                          <w:rPr>
                            <w:sz w:val="15"/>
                          </w:rPr>
                        </w:pPr>
                        <w:r>
                          <w:rPr>
                            <w:sz w:val="15"/>
                          </w:rPr>
                          <w:t>.20151</w:t>
                        </w:r>
                      </w:p>
                    </w:tc>
                    <w:tc>
                      <w:tcPr>
                        <w:tcW w:w="1056" w:type="dxa"/>
                        <w:tcBorders>
                          <w:top w:val="single" w:sz="5" w:space="0" w:color="000000"/>
                          <w:left w:val="single" w:sz="5" w:space="0" w:color="000000"/>
                          <w:bottom w:val="nil"/>
                          <w:right w:val="single" w:sz="5" w:space="0" w:color="000000"/>
                        </w:tcBorders>
                      </w:tcPr>
                      <w:p>
                        <w:pPr>
                          <w:pStyle w:val="TableParagraph"/>
                          <w:spacing w:before="13"/>
                          <w:ind w:right="105"/>
                          <w:rPr>
                            <w:sz w:val="15"/>
                          </w:rPr>
                        </w:pPr>
                        <w:r>
                          <w:rPr>
                            <w:w w:val="95"/>
                            <w:sz w:val="15"/>
                          </w:rPr>
                          <w:t>.000</w:t>
                        </w:r>
                      </w:p>
                    </w:tc>
                    <w:tc>
                      <w:tcPr>
                        <w:tcW w:w="1113" w:type="dxa"/>
                        <w:tcBorders>
                          <w:top w:val="single" w:sz="5" w:space="0" w:color="000000"/>
                          <w:left w:val="single" w:sz="5" w:space="0" w:color="000000"/>
                          <w:bottom w:val="nil"/>
                          <w:right w:val="single" w:sz="5" w:space="0" w:color="000000"/>
                        </w:tcBorders>
                      </w:tcPr>
                      <w:p>
                        <w:pPr>
                          <w:pStyle w:val="TableParagraph"/>
                          <w:spacing w:before="13"/>
                          <w:ind w:right="104"/>
                          <w:rPr>
                            <w:sz w:val="15"/>
                          </w:rPr>
                        </w:pPr>
                        <w:r>
                          <w:rPr>
                            <w:sz w:val="15"/>
                          </w:rPr>
                          <w:t>1.3549</w:t>
                        </w:r>
                      </w:p>
                    </w:tc>
                    <w:tc>
                      <w:tcPr>
                        <w:tcW w:w="872" w:type="dxa"/>
                        <w:tcBorders>
                          <w:top w:val="single" w:sz="5" w:space="0" w:color="000000"/>
                          <w:left w:val="single" w:sz="5" w:space="0" w:color="000000"/>
                          <w:bottom w:val="nil"/>
                        </w:tcBorders>
                      </w:tcPr>
                      <w:p>
                        <w:pPr>
                          <w:pStyle w:val="TableParagraph"/>
                          <w:spacing w:before="13"/>
                          <w:ind w:right="112"/>
                          <w:rPr>
                            <w:sz w:val="15"/>
                          </w:rPr>
                        </w:pPr>
                        <w:r>
                          <w:rPr>
                            <w:sz w:val="15"/>
                          </w:rPr>
                          <w:t>2.4297</w:t>
                        </w:r>
                      </w:p>
                    </w:tc>
                  </w:tr>
                  <w:tr>
                    <w:trPr>
                      <w:trHeight w:val="394" w:hRule="exact"/>
                    </w:trPr>
                    <w:tc>
                      <w:tcPr>
                        <w:tcW w:w="1554" w:type="dxa"/>
                        <w:tcBorders>
                          <w:top w:val="nil"/>
                          <w:bottom w:val="nil"/>
                          <w:right w:val="nil"/>
                        </w:tcBorders>
                      </w:tcPr>
                      <w:p>
                        <w:pPr/>
                      </w:p>
                    </w:tc>
                    <w:tc>
                      <w:tcPr>
                        <w:tcW w:w="1843" w:type="dxa"/>
                        <w:gridSpan w:val="2"/>
                        <w:tcBorders>
                          <w:top w:val="nil"/>
                          <w:left w:val="nil"/>
                          <w:bottom w:val="nil"/>
                        </w:tcBorders>
                      </w:tcPr>
                      <w:p>
                        <w:pPr>
                          <w:pStyle w:val="TableParagraph"/>
                          <w:spacing w:line="254" w:lineRule="auto" w:before="9"/>
                          <w:ind w:left="443"/>
                          <w:jc w:val="left"/>
                          <w:rPr>
                            <w:sz w:val="15"/>
                          </w:rPr>
                        </w:pPr>
                        <w:r>
                          <w:rPr>
                            <w:sz w:val="15"/>
                          </w:rPr>
                          <w:t>CmpLing_Ing_ medio_bajo</w:t>
                        </w:r>
                      </w:p>
                    </w:tc>
                    <w:tc>
                      <w:tcPr>
                        <w:tcW w:w="1021" w:type="dxa"/>
                        <w:tcBorders>
                          <w:top w:val="nil"/>
                          <w:bottom w:val="nil"/>
                          <w:right w:val="single" w:sz="5" w:space="0" w:color="000000"/>
                        </w:tcBorders>
                      </w:tcPr>
                      <w:p>
                        <w:pPr>
                          <w:pStyle w:val="TableParagraph"/>
                          <w:spacing w:before="109"/>
                          <w:ind w:right="46"/>
                          <w:rPr>
                            <w:sz w:val="15"/>
                          </w:rPr>
                        </w:pPr>
                        <w:r>
                          <w:rPr>
                            <w:sz w:val="15"/>
                          </w:rPr>
                          <w:t>1.4821*</w:t>
                        </w:r>
                      </w:p>
                    </w:tc>
                    <w:tc>
                      <w:tcPr>
                        <w:tcW w:w="861" w:type="dxa"/>
                        <w:tcBorders>
                          <w:top w:val="nil"/>
                          <w:left w:val="single" w:sz="5" w:space="0" w:color="000000"/>
                          <w:bottom w:val="nil"/>
                          <w:right w:val="single" w:sz="5" w:space="0" w:color="000000"/>
                        </w:tcBorders>
                      </w:tcPr>
                      <w:p>
                        <w:pPr>
                          <w:pStyle w:val="TableParagraph"/>
                          <w:spacing w:before="109"/>
                          <w:ind w:right="105"/>
                          <w:rPr>
                            <w:sz w:val="15"/>
                          </w:rPr>
                        </w:pPr>
                        <w:r>
                          <w:rPr>
                            <w:sz w:val="15"/>
                          </w:rPr>
                          <w:t>.20151</w:t>
                        </w:r>
                      </w:p>
                    </w:tc>
                    <w:tc>
                      <w:tcPr>
                        <w:tcW w:w="1056" w:type="dxa"/>
                        <w:tcBorders>
                          <w:top w:val="nil"/>
                          <w:left w:val="single" w:sz="5" w:space="0" w:color="000000"/>
                          <w:bottom w:val="nil"/>
                          <w:right w:val="single" w:sz="5" w:space="0" w:color="000000"/>
                        </w:tcBorders>
                      </w:tcPr>
                      <w:p>
                        <w:pPr>
                          <w:pStyle w:val="TableParagraph"/>
                          <w:spacing w:before="109"/>
                          <w:ind w:right="105"/>
                          <w:rPr>
                            <w:sz w:val="15"/>
                          </w:rPr>
                        </w:pPr>
                        <w:r>
                          <w:rPr>
                            <w:w w:val="95"/>
                            <w:sz w:val="15"/>
                          </w:rPr>
                          <w:t>.000</w:t>
                        </w:r>
                      </w:p>
                    </w:tc>
                    <w:tc>
                      <w:tcPr>
                        <w:tcW w:w="1113" w:type="dxa"/>
                        <w:tcBorders>
                          <w:top w:val="nil"/>
                          <w:left w:val="single" w:sz="5" w:space="0" w:color="000000"/>
                          <w:bottom w:val="nil"/>
                          <w:right w:val="single" w:sz="5" w:space="0" w:color="000000"/>
                        </w:tcBorders>
                      </w:tcPr>
                      <w:p>
                        <w:pPr>
                          <w:pStyle w:val="TableParagraph"/>
                          <w:spacing w:before="109"/>
                          <w:ind w:right="104"/>
                          <w:rPr>
                            <w:sz w:val="15"/>
                          </w:rPr>
                        </w:pPr>
                        <w:r>
                          <w:rPr>
                            <w:sz w:val="15"/>
                          </w:rPr>
                          <w:t>.9447</w:t>
                        </w:r>
                      </w:p>
                    </w:tc>
                    <w:tc>
                      <w:tcPr>
                        <w:tcW w:w="872" w:type="dxa"/>
                        <w:tcBorders>
                          <w:top w:val="nil"/>
                          <w:left w:val="single" w:sz="5" w:space="0" w:color="000000"/>
                          <w:bottom w:val="nil"/>
                        </w:tcBorders>
                      </w:tcPr>
                      <w:p>
                        <w:pPr>
                          <w:pStyle w:val="TableParagraph"/>
                          <w:spacing w:before="109"/>
                          <w:ind w:right="112"/>
                          <w:rPr>
                            <w:sz w:val="15"/>
                          </w:rPr>
                        </w:pPr>
                        <w:r>
                          <w:rPr>
                            <w:sz w:val="15"/>
                          </w:rPr>
                          <w:t>2.0194</w:t>
                        </w:r>
                      </w:p>
                    </w:tc>
                  </w:tr>
                  <w:tr>
                    <w:trPr>
                      <w:trHeight w:val="424" w:hRule="exact"/>
                    </w:trPr>
                    <w:tc>
                      <w:tcPr>
                        <w:tcW w:w="1554" w:type="dxa"/>
                        <w:tcBorders>
                          <w:top w:val="nil"/>
                          <w:right w:val="nil"/>
                        </w:tcBorders>
                      </w:tcPr>
                      <w:p>
                        <w:pPr/>
                      </w:p>
                    </w:tc>
                    <w:tc>
                      <w:tcPr>
                        <w:tcW w:w="1843" w:type="dxa"/>
                        <w:gridSpan w:val="2"/>
                        <w:tcBorders>
                          <w:top w:val="nil"/>
                          <w:left w:val="nil"/>
                        </w:tcBorders>
                      </w:tcPr>
                      <w:p>
                        <w:pPr>
                          <w:pStyle w:val="TableParagraph"/>
                          <w:spacing w:line="261" w:lineRule="auto" w:before="13"/>
                          <w:ind w:left="443"/>
                          <w:jc w:val="left"/>
                          <w:rPr>
                            <w:sz w:val="15"/>
                          </w:rPr>
                        </w:pPr>
                        <w:r>
                          <w:rPr>
                            <w:sz w:val="15"/>
                          </w:rPr>
                          <w:t>CmpLing_Ing_ medio_alto</w:t>
                        </w:r>
                      </w:p>
                    </w:tc>
                    <w:tc>
                      <w:tcPr>
                        <w:tcW w:w="1021" w:type="dxa"/>
                        <w:tcBorders>
                          <w:top w:val="nil"/>
                          <w:right w:val="single" w:sz="5" w:space="0" w:color="000000"/>
                        </w:tcBorders>
                      </w:tcPr>
                      <w:p>
                        <w:pPr>
                          <w:pStyle w:val="TableParagraph"/>
                          <w:spacing w:before="119"/>
                          <w:ind w:right="46"/>
                          <w:rPr>
                            <w:sz w:val="15"/>
                          </w:rPr>
                        </w:pPr>
                        <w:r>
                          <w:rPr>
                            <w:sz w:val="15"/>
                          </w:rPr>
                          <w:t>1.0621*</w:t>
                        </w:r>
                      </w:p>
                    </w:tc>
                    <w:tc>
                      <w:tcPr>
                        <w:tcW w:w="861" w:type="dxa"/>
                        <w:tcBorders>
                          <w:top w:val="nil"/>
                          <w:left w:val="single" w:sz="5" w:space="0" w:color="000000"/>
                          <w:right w:val="single" w:sz="5" w:space="0" w:color="000000"/>
                        </w:tcBorders>
                      </w:tcPr>
                      <w:p>
                        <w:pPr>
                          <w:pStyle w:val="TableParagraph"/>
                          <w:spacing w:before="119"/>
                          <w:ind w:right="105"/>
                          <w:rPr>
                            <w:sz w:val="15"/>
                          </w:rPr>
                        </w:pPr>
                        <w:r>
                          <w:rPr>
                            <w:sz w:val="15"/>
                          </w:rPr>
                          <w:t>.19956</w:t>
                        </w:r>
                      </w:p>
                    </w:tc>
                    <w:tc>
                      <w:tcPr>
                        <w:tcW w:w="1056" w:type="dxa"/>
                        <w:tcBorders>
                          <w:top w:val="nil"/>
                          <w:left w:val="single" w:sz="5" w:space="0" w:color="000000"/>
                          <w:right w:val="single" w:sz="5" w:space="0" w:color="000000"/>
                        </w:tcBorders>
                      </w:tcPr>
                      <w:p>
                        <w:pPr>
                          <w:pStyle w:val="TableParagraph"/>
                          <w:spacing w:before="119"/>
                          <w:ind w:right="105"/>
                          <w:rPr>
                            <w:sz w:val="15"/>
                          </w:rPr>
                        </w:pPr>
                        <w:r>
                          <w:rPr>
                            <w:w w:val="95"/>
                            <w:sz w:val="15"/>
                          </w:rPr>
                          <w:t>.000</w:t>
                        </w:r>
                      </w:p>
                    </w:tc>
                    <w:tc>
                      <w:tcPr>
                        <w:tcW w:w="1113" w:type="dxa"/>
                        <w:tcBorders>
                          <w:top w:val="nil"/>
                          <w:left w:val="single" w:sz="5" w:space="0" w:color="000000"/>
                          <w:right w:val="single" w:sz="5" w:space="0" w:color="000000"/>
                        </w:tcBorders>
                      </w:tcPr>
                      <w:p>
                        <w:pPr>
                          <w:pStyle w:val="TableParagraph"/>
                          <w:spacing w:before="119"/>
                          <w:ind w:right="104"/>
                          <w:rPr>
                            <w:sz w:val="15"/>
                          </w:rPr>
                        </w:pPr>
                        <w:r>
                          <w:rPr>
                            <w:sz w:val="15"/>
                          </w:rPr>
                          <w:t>.5299</w:t>
                        </w:r>
                      </w:p>
                    </w:tc>
                    <w:tc>
                      <w:tcPr>
                        <w:tcW w:w="872" w:type="dxa"/>
                        <w:tcBorders>
                          <w:top w:val="nil"/>
                          <w:left w:val="single" w:sz="5" w:space="0" w:color="000000"/>
                        </w:tcBorders>
                      </w:tcPr>
                      <w:p>
                        <w:pPr>
                          <w:pStyle w:val="TableParagraph"/>
                          <w:spacing w:before="119"/>
                          <w:ind w:right="112"/>
                          <w:rPr>
                            <w:sz w:val="15"/>
                          </w:rPr>
                        </w:pPr>
                        <w:r>
                          <w:rPr>
                            <w:sz w:val="15"/>
                          </w:rPr>
                          <w:t>1.5943</w:t>
                        </w:r>
                      </w:p>
                    </w:tc>
                  </w:tr>
                </w:tbl>
                <w:p>
                  <w:pPr>
                    <w:pStyle w:val="BodyText"/>
                  </w:pPr>
                </w:p>
              </w:txbxContent>
            </v:textbox>
            <w10:wrap type="none"/>
          </v:shape>
        </w:pict>
      </w:r>
      <w:r>
        <w:rPr>
          <w:spacing w:val="-3"/>
          <w:sz w:val="15"/>
        </w:rPr>
        <w:t>Variable </w:t>
      </w:r>
      <w:r>
        <w:rPr>
          <w:spacing w:val="-4"/>
          <w:sz w:val="15"/>
        </w:rPr>
        <w:t>dependiente: </w:t>
      </w:r>
      <w:r>
        <w:rPr>
          <w:spacing w:val="-3"/>
          <w:sz w:val="15"/>
        </w:rPr>
        <w:t>Comprensión </w:t>
      </w:r>
      <w:r>
        <w:rPr>
          <w:sz w:val="15"/>
        </w:rPr>
        <w:t>Lectura Inglés </w:t>
      </w:r>
      <w:r>
        <w:rPr>
          <w:spacing w:val="-4"/>
          <w:sz w:val="15"/>
        </w:rPr>
        <w:t>Bonferroni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spacing w:before="81"/>
        <w:ind w:left="341" w:right="213" w:firstLine="0"/>
        <w:jc w:val="left"/>
        <w:rPr>
          <w:sz w:val="15"/>
        </w:rPr>
      </w:pPr>
      <w:r>
        <w:rPr>
          <w:sz w:val="15"/>
        </w:rPr>
        <w:t>Basado en las medias observadas.</w:t>
      </w:r>
    </w:p>
    <w:p>
      <w:pPr>
        <w:spacing w:before="38"/>
        <w:ind w:left="533" w:right="213" w:firstLine="0"/>
        <w:jc w:val="left"/>
        <w:rPr>
          <w:sz w:val="15"/>
        </w:rPr>
      </w:pPr>
      <w:r>
        <w:rPr>
          <w:position w:val="2"/>
          <w:sz w:val="15"/>
        </w:rPr>
        <w:t>*. </w:t>
      </w:r>
      <w:r>
        <w:rPr>
          <w:sz w:val="15"/>
        </w:rPr>
        <w:t>La diferencia de medias es significativa al nivel .05.</w:t>
      </w:r>
    </w:p>
    <w:p>
      <w:pPr>
        <w:spacing w:after="0"/>
        <w:jc w:val="left"/>
        <w:rPr>
          <w:sz w:val="15"/>
        </w:rPr>
        <w:sectPr>
          <w:pgSz w:w="11910" w:h="16840"/>
          <w:pgMar w:header="1424" w:footer="0" w:top="1840" w:bottom="28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3"/>
        <w:spacing w:before="74"/>
        <w:ind w:left="2525" w:right="213"/>
        <w:jc w:val="left"/>
      </w:pPr>
      <w:bookmarkStart w:name="_bookmark42" w:id="68"/>
      <w:bookmarkEnd w:id="68"/>
      <w:r>
        <w:rPr>
          <w:b w:val="0"/>
        </w:rPr>
      </w:r>
      <w:r>
        <w:rPr/>
        <w:t>ANEXO </w:t>
      </w:r>
      <w:r>
        <w:rPr>
          <w:spacing w:val="-14"/>
        </w:rPr>
        <w:t>F. </w:t>
      </w:r>
      <w:r>
        <w:rPr>
          <w:spacing w:val="-4"/>
        </w:rPr>
        <w:t>ANOVA </w:t>
      </w:r>
      <w:r>
        <w:rPr/>
        <w:t>TRES</w:t>
      </w:r>
      <w:r>
        <w:rPr>
          <w:spacing w:val="61"/>
        </w:rPr>
        <w:t> </w:t>
      </w:r>
      <w:r>
        <w:rPr/>
        <w:t>GRUPOS.</w:t>
      </w:r>
    </w:p>
    <w:p>
      <w:pPr>
        <w:spacing w:after="0"/>
        <w:jc w:val="left"/>
        <w:sectPr>
          <w:pgSz w:w="11910" w:h="16840"/>
          <w:pgMar w:header="1424" w:footer="0" w:top="1840" w:bottom="280" w:left="1540" w:right="1540"/>
        </w:sectPr>
      </w:pPr>
    </w:p>
    <w:p>
      <w:pPr>
        <w:pStyle w:val="BodyText"/>
        <w:spacing w:before="11"/>
        <w:rPr>
          <w:b/>
          <w:sz w:val="16"/>
        </w:rPr>
      </w:pPr>
    </w:p>
    <w:p>
      <w:pPr>
        <w:pStyle w:val="BodyText"/>
        <w:spacing w:before="73"/>
        <w:ind w:left="1020" w:right="1013"/>
        <w:jc w:val="center"/>
      </w:pPr>
      <w:r>
        <w:rPr/>
        <w:t>Anexo F. Anova tres grupos.</w:t>
      </w:r>
    </w:p>
    <w:p>
      <w:pPr>
        <w:pStyle w:val="BodyText"/>
        <w:rPr>
          <w:sz w:val="22"/>
        </w:rPr>
      </w:pPr>
    </w:p>
    <w:p>
      <w:pPr>
        <w:pStyle w:val="BodyText"/>
        <w:rPr>
          <w:sz w:val="22"/>
        </w:rPr>
      </w:pPr>
    </w:p>
    <w:p>
      <w:pPr>
        <w:pStyle w:val="BodyText"/>
        <w:spacing w:before="5"/>
        <w:rPr>
          <w:sz w:val="18"/>
        </w:rPr>
      </w:pPr>
    </w:p>
    <w:p>
      <w:pPr>
        <w:spacing w:before="0"/>
        <w:ind w:left="2645" w:right="213" w:firstLine="0"/>
        <w:jc w:val="left"/>
        <w:rPr>
          <w:b/>
          <w:sz w:val="18"/>
        </w:rPr>
      </w:pPr>
      <w:r>
        <w:rPr>
          <w:b/>
          <w:sz w:val="18"/>
        </w:rPr>
        <w:t>Pruebas de los efectos inter-sujetos</w:t>
      </w:r>
    </w:p>
    <w:p>
      <w:pPr>
        <w:pStyle w:val="BodyText"/>
        <w:spacing w:before="6"/>
        <w:rPr>
          <w:b/>
          <w:sz w:val="14"/>
        </w:rPr>
      </w:pPr>
    </w:p>
    <w:p>
      <w:pPr>
        <w:spacing w:before="0" w:after="4"/>
        <w:ind w:left="399" w:right="213" w:firstLine="0"/>
        <w:jc w:val="left"/>
        <w:rPr>
          <w:sz w:val="18"/>
        </w:rPr>
      </w:pPr>
      <w:r>
        <w:rPr>
          <w:sz w:val="18"/>
        </w:rPr>
        <w:t>Variable dependiente: Comprensión Lectura Inglés</w:t>
      </w:r>
    </w:p>
    <w:tbl>
      <w:tblPr>
        <w:tblW w:w="0" w:type="auto"/>
        <w:jc w:val="left"/>
        <w:tblInd w:w="27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062"/>
        <w:gridCol w:w="1277"/>
        <w:gridCol w:w="1052"/>
        <w:gridCol w:w="1165"/>
        <w:gridCol w:w="1052"/>
        <w:gridCol w:w="1305"/>
      </w:tblGrid>
      <w:tr>
        <w:trPr>
          <w:trHeight w:val="729" w:hRule="exact"/>
        </w:trPr>
        <w:tc>
          <w:tcPr>
            <w:tcW w:w="2062" w:type="dxa"/>
          </w:tcPr>
          <w:p>
            <w:pPr>
              <w:pStyle w:val="TableParagraph"/>
              <w:jc w:val="left"/>
              <w:rPr>
                <w:sz w:val="18"/>
              </w:rPr>
            </w:pPr>
          </w:p>
          <w:p>
            <w:pPr>
              <w:pStyle w:val="TableParagraph"/>
              <w:spacing w:before="7"/>
              <w:jc w:val="left"/>
              <w:rPr>
                <w:sz w:val="24"/>
              </w:rPr>
            </w:pPr>
          </w:p>
          <w:p>
            <w:pPr>
              <w:pStyle w:val="TableParagraph"/>
              <w:ind w:left="99"/>
              <w:jc w:val="left"/>
              <w:rPr>
                <w:sz w:val="18"/>
              </w:rPr>
            </w:pPr>
            <w:r>
              <w:rPr>
                <w:sz w:val="18"/>
              </w:rPr>
              <w:t>Fuente</w:t>
            </w:r>
          </w:p>
        </w:tc>
        <w:tc>
          <w:tcPr>
            <w:tcW w:w="1277" w:type="dxa"/>
            <w:tcBorders>
              <w:right w:val="single" w:sz="6" w:space="0" w:color="000000"/>
            </w:tcBorders>
          </w:tcPr>
          <w:p>
            <w:pPr>
              <w:pStyle w:val="TableParagraph"/>
              <w:spacing w:line="261" w:lineRule="auto" w:before="39"/>
              <w:ind w:left="178" w:right="224" w:firstLine="9"/>
              <w:jc w:val="center"/>
              <w:rPr>
                <w:sz w:val="18"/>
              </w:rPr>
            </w:pPr>
            <w:r>
              <w:rPr>
                <w:sz w:val="18"/>
              </w:rPr>
              <w:t>Suma de cuadrados tipo III</w:t>
            </w:r>
          </w:p>
        </w:tc>
        <w:tc>
          <w:tcPr>
            <w:tcW w:w="1052" w:type="dxa"/>
            <w:tcBorders>
              <w:left w:val="single" w:sz="6" w:space="0" w:color="000000"/>
              <w:right w:val="single" w:sz="6" w:space="0" w:color="000000"/>
            </w:tcBorders>
          </w:tcPr>
          <w:p>
            <w:pPr>
              <w:pStyle w:val="TableParagraph"/>
              <w:jc w:val="left"/>
              <w:rPr>
                <w:sz w:val="18"/>
              </w:rPr>
            </w:pPr>
          </w:p>
          <w:p>
            <w:pPr>
              <w:pStyle w:val="TableParagraph"/>
              <w:spacing w:before="7"/>
              <w:jc w:val="left"/>
              <w:rPr>
                <w:sz w:val="24"/>
              </w:rPr>
            </w:pPr>
          </w:p>
          <w:p>
            <w:pPr>
              <w:pStyle w:val="TableParagraph"/>
              <w:ind w:left="407" w:right="450"/>
              <w:jc w:val="center"/>
              <w:rPr>
                <w:sz w:val="18"/>
              </w:rPr>
            </w:pPr>
            <w:r>
              <w:rPr>
                <w:sz w:val="18"/>
              </w:rPr>
              <w:t>gl</w:t>
            </w:r>
          </w:p>
        </w:tc>
        <w:tc>
          <w:tcPr>
            <w:tcW w:w="1165" w:type="dxa"/>
            <w:tcBorders>
              <w:left w:val="single" w:sz="6" w:space="0" w:color="000000"/>
              <w:right w:val="single" w:sz="6" w:space="0" w:color="000000"/>
            </w:tcBorders>
          </w:tcPr>
          <w:p>
            <w:pPr>
              <w:pStyle w:val="TableParagraph"/>
              <w:jc w:val="left"/>
              <w:rPr>
                <w:sz w:val="23"/>
              </w:rPr>
            </w:pPr>
          </w:p>
          <w:p>
            <w:pPr>
              <w:pStyle w:val="TableParagraph"/>
              <w:spacing w:line="261" w:lineRule="auto"/>
              <w:ind w:left="131" w:right="169" w:firstLine="177"/>
              <w:jc w:val="left"/>
              <w:rPr>
                <w:sz w:val="18"/>
              </w:rPr>
            </w:pPr>
            <w:r>
              <w:rPr>
                <w:sz w:val="18"/>
              </w:rPr>
              <w:t>Media cuadrática</w:t>
            </w:r>
          </w:p>
        </w:tc>
        <w:tc>
          <w:tcPr>
            <w:tcW w:w="1052" w:type="dxa"/>
            <w:tcBorders>
              <w:left w:val="single" w:sz="6" w:space="0" w:color="000000"/>
              <w:right w:val="single" w:sz="6" w:space="0" w:color="000000"/>
            </w:tcBorders>
          </w:tcPr>
          <w:p>
            <w:pPr>
              <w:pStyle w:val="TableParagraph"/>
              <w:jc w:val="left"/>
              <w:rPr>
                <w:sz w:val="18"/>
              </w:rPr>
            </w:pPr>
          </w:p>
          <w:p>
            <w:pPr>
              <w:pStyle w:val="TableParagraph"/>
              <w:spacing w:before="7"/>
              <w:jc w:val="left"/>
              <w:rPr>
                <w:sz w:val="24"/>
              </w:rPr>
            </w:pPr>
          </w:p>
          <w:p>
            <w:pPr>
              <w:pStyle w:val="TableParagraph"/>
              <w:ind w:right="42"/>
              <w:jc w:val="center"/>
              <w:rPr>
                <w:sz w:val="18"/>
              </w:rPr>
            </w:pPr>
            <w:r>
              <w:rPr>
                <w:w w:val="101"/>
                <w:sz w:val="18"/>
              </w:rPr>
              <w:t>F</w:t>
            </w:r>
          </w:p>
        </w:tc>
        <w:tc>
          <w:tcPr>
            <w:tcW w:w="1305" w:type="dxa"/>
            <w:tcBorders>
              <w:left w:val="single" w:sz="6" w:space="0" w:color="000000"/>
            </w:tcBorders>
          </w:tcPr>
          <w:p>
            <w:pPr>
              <w:pStyle w:val="TableParagraph"/>
              <w:jc w:val="left"/>
              <w:rPr>
                <w:sz w:val="18"/>
              </w:rPr>
            </w:pPr>
          </w:p>
          <w:p>
            <w:pPr>
              <w:pStyle w:val="TableParagraph"/>
              <w:spacing w:before="7"/>
              <w:jc w:val="left"/>
              <w:rPr>
                <w:sz w:val="24"/>
              </w:rPr>
            </w:pPr>
          </w:p>
          <w:p>
            <w:pPr>
              <w:pStyle w:val="TableParagraph"/>
              <w:ind w:right="139"/>
              <w:rPr>
                <w:sz w:val="18"/>
              </w:rPr>
            </w:pPr>
            <w:r>
              <w:rPr>
                <w:sz w:val="18"/>
              </w:rPr>
              <w:t>Significación</w:t>
            </w:r>
          </w:p>
        </w:tc>
      </w:tr>
      <w:tr>
        <w:trPr>
          <w:trHeight w:val="248" w:hRule="exact"/>
        </w:trPr>
        <w:tc>
          <w:tcPr>
            <w:tcW w:w="2062" w:type="dxa"/>
            <w:tcBorders>
              <w:bottom w:val="nil"/>
            </w:tcBorders>
          </w:tcPr>
          <w:p>
            <w:pPr>
              <w:pStyle w:val="TableParagraph"/>
              <w:spacing w:line="189" w:lineRule="exact"/>
              <w:ind w:left="99"/>
              <w:jc w:val="left"/>
              <w:rPr>
                <w:sz w:val="18"/>
              </w:rPr>
            </w:pPr>
            <w:r>
              <w:rPr>
                <w:sz w:val="18"/>
              </w:rPr>
              <w:t>Modelo corregido</w:t>
            </w:r>
          </w:p>
        </w:tc>
        <w:tc>
          <w:tcPr>
            <w:tcW w:w="1277" w:type="dxa"/>
            <w:tcBorders>
              <w:bottom w:val="nil"/>
              <w:right w:val="single" w:sz="6" w:space="0" w:color="000000"/>
            </w:tcBorders>
          </w:tcPr>
          <w:p>
            <w:pPr>
              <w:pStyle w:val="TableParagraph"/>
              <w:spacing w:line="204" w:lineRule="exact"/>
              <w:ind w:right="51"/>
              <w:rPr>
                <w:sz w:val="14"/>
              </w:rPr>
            </w:pPr>
            <w:r>
              <w:rPr>
                <w:sz w:val="18"/>
              </w:rPr>
              <w:t>125.559</w:t>
            </w:r>
            <w:r>
              <w:rPr>
                <w:position w:val="6"/>
                <w:sz w:val="14"/>
              </w:rPr>
              <w:t>a</w:t>
            </w:r>
          </w:p>
        </w:tc>
        <w:tc>
          <w:tcPr>
            <w:tcW w:w="1052" w:type="dxa"/>
            <w:tcBorders>
              <w:left w:val="single" w:sz="6" w:space="0" w:color="000000"/>
              <w:bottom w:val="nil"/>
              <w:right w:val="single" w:sz="6" w:space="0" w:color="000000"/>
            </w:tcBorders>
          </w:tcPr>
          <w:p>
            <w:pPr>
              <w:pStyle w:val="TableParagraph"/>
              <w:spacing w:line="204" w:lineRule="exact"/>
              <w:ind w:right="129"/>
              <w:rPr>
                <w:sz w:val="18"/>
              </w:rPr>
            </w:pPr>
            <w:r>
              <w:rPr>
                <w:w w:val="101"/>
                <w:sz w:val="18"/>
              </w:rPr>
              <w:t>8</w:t>
            </w:r>
          </w:p>
        </w:tc>
        <w:tc>
          <w:tcPr>
            <w:tcW w:w="1165" w:type="dxa"/>
            <w:tcBorders>
              <w:left w:val="single" w:sz="6" w:space="0" w:color="000000"/>
              <w:bottom w:val="nil"/>
              <w:right w:val="single" w:sz="6" w:space="0" w:color="000000"/>
            </w:tcBorders>
          </w:tcPr>
          <w:p>
            <w:pPr>
              <w:pStyle w:val="TableParagraph"/>
              <w:spacing w:line="204" w:lineRule="exact"/>
              <w:ind w:right="131"/>
              <w:rPr>
                <w:sz w:val="18"/>
              </w:rPr>
            </w:pPr>
            <w:r>
              <w:rPr>
                <w:sz w:val="18"/>
              </w:rPr>
              <w:t>15.695</w:t>
            </w:r>
          </w:p>
        </w:tc>
        <w:tc>
          <w:tcPr>
            <w:tcW w:w="1052" w:type="dxa"/>
            <w:tcBorders>
              <w:left w:val="single" w:sz="6" w:space="0" w:color="000000"/>
              <w:bottom w:val="nil"/>
              <w:right w:val="single" w:sz="6" w:space="0" w:color="000000"/>
            </w:tcBorders>
          </w:tcPr>
          <w:p>
            <w:pPr>
              <w:pStyle w:val="TableParagraph"/>
              <w:spacing w:line="204" w:lineRule="exact"/>
              <w:ind w:right="127"/>
              <w:rPr>
                <w:sz w:val="18"/>
              </w:rPr>
            </w:pPr>
            <w:r>
              <w:rPr>
                <w:sz w:val="18"/>
              </w:rPr>
              <w:t>13.935</w:t>
            </w:r>
          </w:p>
        </w:tc>
        <w:tc>
          <w:tcPr>
            <w:tcW w:w="1305" w:type="dxa"/>
            <w:tcBorders>
              <w:left w:val="single" w:sz="6" w:space="0" w:color="000000"/>
              <w:bottom w:val="nil"/>
            </w:tcBorders>
          </w:tcPr>
          <w:p>
            <w:pPr>
              <w:pStyle w:val="TableParagraph"/>
              <w:spacing w:line="204" w:lineRule="exact"/>
              <w:ind w:right="134"/>
              <w:rPr>
                <w:sz w:val="18"/>
              </w:rPr>
            </w:pPr>
            <w:r>
              <w:rPr>
                <w:sz w:val="18"/>
              </w:rPr>
              <w:t>.000</w:t>
            </w:r>
          </w:p>
        </w:tc>
      </w:tr>
      <w:tr>
        <w:trPr>
          <w:trHeight w:val="266" w:hRule="exact"/>
        </w:trPr>
        <w:tc>
          <w:tcPr>
            <w:tcW w:w="2062" w:type="dxa"/>
            <w:tcBorders>
              <w:top w:val="nil"/>
              <w:bottom w:val="nil"/>
            </w:tcBorders>
          </w:tcPr>
          <w:p>
            <w:pPr>
              <w:pStyle w:val="TableParagraph"/>
              <w:spacing w:before="12"/>
              <w:ind w:left="99"/>
              <w:jc w:val="left"/>
              <w:rPr>
                <w:sz w:val="18"/>
              </w:rPr>
            </w:pPr>
            <w:r>
              <w:rPr>
                <w:sz w:val="18"/>
              </w:rPr>
              <w:t>Intersección</w:t>
            </w:r>
          </w:p>
        </w:tc>
        <w:tc>
          <w:tcPr>
            <w:tcW w:w="1277" w:type="dxa"/>
            <w:tcBorders>
              <w:top w:val="nil"/>
              <w:bottom w:val="nil"/>
              <w:right w:val="single" w:sz="6" w:space="0" w:color="000000"/>
            </w:tcBorders>
          </w:tcPr>
          <w:p>
            <w:pPr>
              <w:pStyle w:val="TableParagraph"/>
              <w:spacing w:before="27"/>
              <w:ind w:right="127"/>
              <w:rPr>
                <w:sz w:val="18"/>
              </w:rPr>
            </w:pPr>
            <w:r>
              <w:rPr>
                <w:sz w:val="18"/>
              </w:rPr>
              <w:t>762.929</w:t>
            </w:r>
          </w:p>
        </w:tc>
        <w:tc>
          <w:tcPr>
            <w:tcW w:w="1052" w:type="dxa"/>
            <w:tcBorders>
              <w:top w:val="nil"/>
              <w:left w:val="single" w:sz="6" w:space="0" w:color="000000"/>
              <w:bottom w:val="nil"/>
              <w:right w:val="single" w:sz="6" w:space="0" w:color="000000"/>
            </w:tcBorders>
          </w:tcPr>
          <w:p>
            <w:pPr>
              <w:pStyle w:val="TableParagraph"/>
              <w:spacing w:before="27"/>
              <w:ind w:right="129"/>
              <w:rPr>
                <w:sz w:val="18"/>
              </w:rPr>
            </w:pPr>
            <w:r>
              <w:rPr>
                <w:w w:val="101"/>
                <w:sz w:val="18"/>
              </w:rPr>
              <w:t>1</w:t>
            </w:r>
          </w:p>
        </w:tc>
        <w:tc>
          <w:tcPr>
            <w:tcW w:w="1165" w:type="dxa"/>
            <w:tcBorders>
              <w:top w:val="nil"/>
              <w:left w:val="single" w:sz="6" w:space="0" w:color="000000"/>
              <w:bottom w:val="nil"/>
              <w:right w:val="single" w:sz="6" w:space="0" w:color="000000"/>
            </w:tcBorders>
          </w:tcPr>
          <w:p>
            <w:pPr>
              <w:pStyle w:val="TableParagraph"/>
              <w:spacing w:before="27"/>
              <w:ind w:right="131"/>
              <w:rPr>
                <w:sz w:val="18"/>
              </w:rPr>
            </w:pPr>
            <w:r>
              <w:rPr>
                <w:sz w:val="18"/>
              </w:rPr>
              <w:t>762.929</w:t>
            </w:r>
          </w:p>
        </w:tc>
        <w:tc>
          <w:tcPr>
            <w:tcW w:w="1052" w:type="dxa"/>
            <w:tcBorders>
              <w:top w:val="nil"/>
              <w:left w:val="single" w:sz="6" w:space="0" w:color="000000"/>
              <w:bottom w:val="nil"/>
              <w:right w:val="single" w:sz="6" w:space="0" w:color="000000"/>
            </w:tcBorders>
          </w:tcPr>
          <w:p>
            <w:pPr>
              <w:pStyle w:val="TableParagraph"/>
              <w:spacing w:before="27"/>
              <w:ind w:right="127"/>
              <w:rPr>
                <w:sz w:val="18"/>
              </w:rPr>
            </w:pPr>
            <w:r>
              <w:rPr>
                <w:sz w:val="18"/>
              </w:rPr>
              <w:t>677.404</w:t>
            </w:r>
          </w:p>
        </w:tc>
        <w:tc>
          <w:tcPr>
            <w:tcW w:w="1305" w:type="dxa"/>
            <w:tcBorders>
              <w:top w:val="nil"/>
              <w:left w:val="single" w:sz="6" w:space="0" w:color="000000"/>
              <w:bottom w:val="nil"/>
            </w:tcBorders>
          </w:tcPr>
          <w:p>
            <w:pPr>
              <w:pStyle w:val="TableParagraph"/>
              <w:spacing w:before="27"/>
              <w:ind w:right="134"/>
              <w:rPr>
                <w:sz w:val="18"/>
              </w:rPr>
            </w:pPr>
            <w:r>
              <w:rPr>
                <w:sz w:val="18"/>
              </w:rPr>
              <w:t>.000</w:t>
            </w:r>
          </w:p>
        </w:tc>
      </w:tr>
      <w:tr>
        <w:trPr>
          <w:trHeight w:val="266" w:hRule="exact"/>
        </w:trPr>
        <w:tc>
          <w:tcPr>
            <w:tcW w:w="2062" w:type="dxa"/>
            <w:tcBorders>
              <w:top w:val="nil"/>
              <w:bottom w:val="nil"/>
            </w:tcBorders>
          </w:tcPr>
          <w:p>
            <w:pPr>
              <w:pStyle w:val="TableParagraph"/>
              <w:spacing w:before="15"/>
              <w:ind w:left="99"/>
              <w:jc w:val="left"/>
              <w:rPr>
                <w:sz w:val="18"/>
              </w:rPr>
            </w:pPr>
            <w:r>
              <w:rPr>
                <w:sz w:val="18"/>
              </w:rPr>
              <w:t>LectEsp</w:t>
            </w:r>
          </w:p>
        </w:tc>
        <w:tc>
          <w:tcPr>
            <w:tcW w:w="1277" w:type="dxa"/>
            <w:tcBorders>
              <w:top w:val="nil"/>
              <w:bottom w:val="nil"/>
              <w:right w:val="single" w:sz="6" w:space="0" w:color="000000"/>
            </w:tcBorders>
          </w:tcPr>
          <w:p>
            <w:pPr>
              <w:pStyle w:val="TableParagraph"/>
              <w:spacing w:before="29"/>
              <w:ind w:right="127"/>
              <w:rPr>
                <w:sz w:val="18"/>
              </w:rPr>
            </w:pPr>
            <w:r>
              <w:rPr>
                <w:sz w:val="18"/>
              </w:rPr>
              <w:t>17.910</w:t>
            </w:r>
          </w:p>
        </w:tc>
        <w:tc>
          <w:tcPr>
            <w:tcW w:w="1052" w:type="dxa"/>
            <w:tcBorders>
              <w:top w:val="nil"/>
              <w:left w:val="single" w:sz="6" w:space="0" w:color="000000"/>
              <w:bottom w:val="nil"/>
              <w:right w:val="single" w:sz="6" w:space="0" w:color="000000"/>
            </w:tcBorders>
          </w:tcPr>
          <w:p>
            <w:pPr>
              <w:pStyle w:val="TableParagraph"/>
              <w:spacing w:before="29"/>
              <w:ind w:right="129"/>
              <w:rPr>
                <w:sz w:val="18"/>
              </w:rPr>
            </w:pPr>
            <w:r>
              <w:rPr>
                <w:w w:val="101"/>
                <w:sz w:val="18"/>
              </w:rPr>
              <w:t>2</w:t>
            </w:r>
          </w:p>
        </w:tc>
        <w:tc>
          <w:tcPr>
            <w:tcW w:w="1165" w:type="dxa"/>
            <w:tcBorders>
              <w:top w:val="nil"/>
              <w:left w:val="single" w:sz="6" w:space="0" w:color="000000"/>
              <w:bottom w:val="nil"/>
              <w:right w:val="single" w:sz="6" w:space="0" w:color="000000"/>
            </w:tcBorders>
          </w:tcPr>
          <w:p>
            <w:pPr>
              <w:pStyle w:val="TableParagraph"/>
              <w:spacing w:before="29"/>
              <w:ind w:right="131"/>
              <w:rPr>
                <w:sz w:val="18"/>
              </w:rPr>
            </w:pPr>
            <w:r>
              <w:rPr>
                <w:sz w:val="18"/>
              </w:rPr>
              <w:t>8.955</w:t>
            </w:r>
          </w:p>
        </w:tc>
        <w:tc>
          <w:tcPr>
            <w:tcW w:w="1052" w:type="dxa"/>
            <w:tcBorders>
              <w:top w:val="nil"/>
              <w:left w:val="single" w:sz="6" w:space="0" w:color="000000"/>
              <w:bottom w:val="nil"/>
              <w:right w:val="single" w:sz="6" w:space="0" w:color="000000"/>
            </w:tcBorders>
          </w:tcPr>
          <w:p>
            <w:pPr>
              <w:pStyle w:val="TableParagraph"/>
              <w:spacing w:before="29"/>
              <w:ind w:right="127"/>
              <w:rPr>
                <w:sz w:val="18"/>
              </w:rPr>
            </w:pPr>
            <w:r>
              <w:rPr>
                <w:sz w:val="18"/>
              </w:rPr>
              <w:t>7.951</w:t>
            </w:r>
          </w:p>
        </w:tc>
        <w:tc>
          <w:tcPr>
            <w:tcW w:w="1305" w:type="dxa"/>
            <w:tcBorders>
              <w:top w:val="nil"/>
              <w:left w:val="single" w:sz="6" w:space="0" w:color="000000"/>
              <w:bottom w:val="nil"/>
            </w:tcBorders>
          </w:tcPr>
          <w:p>
            <w:pPr>
              <w:pStyle w:val="TableParagraph"/>
              <w:spacing w:before="29"/>
              <w:ind w:right="134"/>
              <w:rPr>
                <w:sz w:val="18"/>
              </w:rPr>
            </w:pPr>
            <w:r>
              <w:rPr>
                <w:sz w:val="18"/>
              </w:rPr>
              <w:t>.000</w:t>
            </w:r>
          </w:p>
        </w:tc>
      </w:tr>
      <w:tr>
        <w:trPr>
          <w:trHeight w:val="266" w:hRule="exact"/>
        </w:trPr>
        <w:tc>
          <w:tcPr>
            <w:tcW w:w="2062" w:type="dxa"/>
            <w:tcBorders>
              <w:top w:val="nil"/>
              <w:bottom w:val="nil"/>
            </w:tcBorders>
          </w:tcPr>
          <w:p>
            <w:pPr>
              <w:pStyle w:val="TableParagraph"/>
              <w:spacing w:before="12"/>
              <w:ind w:left="99"/>
              <w:jc w:val="left"/>
              <w:rPr>
                <w:sz w:val="18"/>
              </w:rPr>
            </w:pPr>
            <w:r>
              <w:rPr>
                <w:sz w:val="18"/>
              </w:rPr>
              <w:t>CompLingIng3grupos</w:t>
            </w:r>
          </w:p>
        </w:tc>
        <w:tc>
          <w:tcPr>
            <w:tcW w:w="1277" w:type="dxa"/>
            <w:tcBorders>
              <w:top w:val="nil"/>
              <w:bottom w:val="nil"/>
              <w:right w:val="single" w:sz="6" w:space="0" w:color="000000"/>
            </w:tcBorders>
          </w:tcPr>
          <w:p>
            <w:pPr>
              <w:pStyle w:val="TableParagraph"/>
              <w:spacing w:before="27"/>
              <w:ind w:right="127"/>
              <w:rPr>
                <w:sz w:val="18"/>
              </w:rPr>
            </w:pPr>
            <w:r>
              <w:rPr>
                <w:sz w:val="18"/>
              </w:rPr>
              <w:t>21.694</w:t>
            </w:r>
          </w:p>
        </w:tc>
        <w:tc>
          <w:tcPr>
            <w:tcW w:w="1052" w:type="dxa"/>
            <w:tcBorders>
              <w:top w:val="nil"/>
              <w:left w:val="single" w:sz="6" w:space="0" w:color="000000"/>
              <w:bottom w:val="nil"/>
              <w:right w:val="single" w:sz="6" w:space="0" w:color="000000"/>
            </w:tcBorders>
          </w:tcPr>
          <w:p>
            <w:pPr>
              <w:pStyle w:val="TableParagraph"/>
              <w:spacing w:before="27"/>
              <w:ind w:right="129"/>
              <w:rPr>
                <w:sz w:val="18"/>
              </w:rPr>
            </w:pPr>
            <w:r>
              <w:rPr>
                <w:w w:val="101"/>
                <w:sz w:val="18"/>
              </w:rPr>
              <w:t>2</w:t>
            </w:r>
          </w:p>
        </w:tc>
        <w:tc>
          <w:tcPr>
            <w:tcW w:w="1165" w:type="dxa"/>
            <w:tcBorders>
              <w:top w:val="nil"/>
              <w:left w:val="single" w:sz="6" w:space="0" w:color="000000"/>
              <w:bottom w:val="nil"/>
              <w:right w:val="single" w:sz="6" w:space="0" w:color="000000"/>
            </w:tcBorders>
          </w:tcPr>
          <w:p>
            <w:pPr>
              <w:pStyle w:val="TableParagraph"/>
              <w:spacing w:before="27"/>
              <w:ind w:right="131"/>
              <w:rPr>
                <w:sz w:val="18"/>
              </w:rPr>
            </w:pPr>
            <w:r>
              <w:rPr>
                <w:sz w:val="18"/>
              </w:rPr>
              <w:t>10.847</w:t>
            </w:r>
          </w:p>
        </w:tc>
        <w:tc>
          <w:tcPr>
            <w:tcW w:w="1052" w:type="dxa"/>
            <w:tcBorders>
              <w:top w:val="nil"/>
              <w:left w:val="single" w:sz="6" w:space="0" w:color="000000"/>
              <w:bottom w:val="nil"/>
              <w:right w:val="single" w:sz="6" w:space="0" w:color="000000"/>
            </w:tcBorders>
          </w:tcPr>
          <w:p>
            <w:pPr>
              <w:pStyle w:val="TableParagraph"/>
              <w:spacing w:before="27"/>
              <w:ind w:right="127"/>
              <w:rPr>
                <w:sz w:val="18"/>
              </w:rPr>
            </w:pPr>
            <w:r>
              <w:rPr>
                <w:sz w:val="18"/>
              </w:rPr>
              <w:t>9.631</w:t>
            </w:r>
          </w:p>
        </w:tc>
        <w:tc>
          <w:tcPr>
            <w:tcW w:w="1305" w:type="dxa"/>
            <w:tcBorders>
              <w:top w:val="nil"/>
              <w:left w:val="single" w:sz="6" w:space="0" w:color="000000"/>
              <w:bottom w:val="nil"/>
            </w:tcBorders>
          </w:tcPr>
          <w:p>
            <w:pPr>
              <w:pStyle w:val="TableParagraph"/>
              <w:spacing w:before="27"/>
              <w:ind w:right="134"/>
              <w:rPr>
                <w:sz w:val="18"/>
              </w:rPr>
            </w:pPr>
            <w:r>
              <w:rPr>
                <w:sz w:val="18"/>
              </w:rPr>
              <w:t>.000</w:t>
            </w:r>
          </w:p>
        </w:tc>
      </w:tr>
      <w:tr>
        <w:trPr>
          <w:trHeight w:val="482" w:hRule="exact"/>
        </w:trPr>
        <w:tc>
          <w:tcPr>
            <w:tcW w:w="2062" w:type="dxa"/>
            <w:tcBorders>
              <w:top w:val="nil"/>
              <w:bottom w:val="nil"/>
            </w:tcBorders>
          </w:tcPr>
          <w:p>
            <w:pPr>
              <w:pStyle w:val="TableParagraph"/>
              <w:spacing w:line="256" w:lineRule="auto" w:before="15"/>
              <w:ind w:left="99"/>
              <w:jc w:val="left"/>
              <w:rPr>
                <w:sz w:val="18"/>
              </w:rPr>
            </w:pPr>
            <w:r>
              <w:rPr>
                <w:sz w:val="18"/>
              </w:rPr>
              <w:t>LectEsp * CompLingIng3grupos</w:t>
            </w:r>
          </w:p>
        </w:tc>
        <w:tc>
          <w:tcPr>
            <w:tcW w:w="1277" w:type="dxa"/>
            <w:tcBorders>
              <w:top w:val="nil"/>
              <w:bottom w:val="nil"/>
              <w:right w:val="single" w:sz="6" w:space="0" w:color="000000"/>
            </w:tcBorders>
          </w:tcPr>
          <w:p>
            <w:pPr>
              <w:pStyle w:val="TableParagraph"/>
              <w:spacing w:before="139"/>
              <w:ind w:right="127"/>
              <w:rPr>
                <w:sz w:val="18"/>
              </w:rPr>
            </w:pPr>
            <w:r>
              <w:rPr>
                <w:sz w:val="18"/>
              </w:rPr>
              <w:t>.811</w:t>
            </w:r>
          </w:p>
        </w:tc>
        <w:tc>
          <w:tcPr>
            <w:tcW w:w="1052" w:type="dxa"/>
            <w:tcBorders>
              <w:top w:val="nil"/>
              <w:left w:val="single" w:sz="6" w:space="0" w:color="000000"/>
              <w:bottom w:val="nil"/>
              <w:right w:val="single" w:sz="6" w:space="0" w:color="000000"/>
            </w:tcBorders>
          </w:tcPr>
          <w:p>
            <w:pPr>
              <w:pStyle w:val="TableParagraph"/>
              <w:spacing w:before="139"/>
              <w:ind w:right="129"/>
              <w:rPr>
                <w:sz w:val="18"/>
              </w:rPr>
            </w:pPr>
            <w:r>
              <w:rPr>
                <w:w w:val="101"/>
                <w:sz w:val="18"/>
              </w:rPr>
              <w:t>4</w:t>
            </w:r>
          </w:p>
        </w:tc>
        <w:tc>
          <w:tcPr>
            <w:tcW w:w="1165" w:type="dxa"/>
            <w:tcBorders>
              <w:top w:val="nil"/>
              <w:left w:val="single" w:sz="6" w:space="0" w:color="000000"/>
              <w:bottom w:val="nil"/>
              <w:right w:val="single" w:sz="6" w:space="0" w:color="000000"/>
            </w:tcBorders>
          </w:tcPr>
          <w:p>
            <w:pPr>
              <w:pStyle w:val="TableParagraph"/>
              <w:spacing w:before="139"/>
              <w:ind w:right="131"/>
              <w:rPr>
                <w:sz w:val="18"/>
              </w:rPr>
            </w:pPr>
            <w:r>
              <w:rPr>
                <w:sz w:val="18"/>
              </w:rPr>
              <w:t>.203</w:t>
            </w:r>
          </w:p>
        </w:tc>
        <w:tc>
          <w:tcPr>
            <w:tcW w:w="1052" w:type="dxa"/>
            <w:tcBorders>
              <w:top w:val="nil"/>
              <w:left w:val="single" w:sz="6" w:space="0" w:color="000000"/>
              <w:bottom w:val="nil"/>
              <w:right w:val="single" w:sz="6" w:space="0" w:color="000000"/>
            </w:tcBorders>
          </w:tcPr>
          <w:p>
            <w:pPr>
              <w:pStyle w:val="TableParagraph"/>
              <w:spacing w:before="139"/>
              <w:ind w:right="127"/>
              <w:rPr>
                <w:sz w:val="18"/>
              </w:rPr>
            </w:pPr>
            <w:r>
              <w:rPr>
                <w:sz w:val="18"/>
              </w:rPr>
              <w:t>.180</w:t>
            </w:r>
          </w:p>
        </w:tc>
        <w:tc>
          <w:tcPr>
            <w:tcW w:w="1305" w:type="dxa"/>
            <w:tcBorders>
              <w:top w:val="nil"/>
              <w:left w:val="single" w:sz="6" w:space="0" w:color="000000"/>
              <w:bottom w:val="nil"/>
            </w:tcBorders>
          </w:tcPr>
          <w:p>
            <w:pPr>
              <w:pStyle w:val="TableParagraph"/>
              <w:spacing w:before="139"/>
              <w:ind w:right="134"/>
              <w:rPr>
                <w:sz w:val="18"/>
              </w:rPr>
            </w:pPr>
            <w:r>
              <w:rPr>
                <w:sz w:val="18"/>
              </w:rPr>
              <w:t>.949</w:t>
            </w:r>
          </w:p>
        </w:tc>
      </w:tr>
      <w:tr>
        <w:trPr>
          <w:trHeight w:val="274" w:hRule="exact"/>
        </w:trPr>
        <w:tc>
          <w:tcPr>
            <w:tcW w:w="2062" w:type="dxa"/>
            <w:tcBorders>
              <w:top w:val="nil"/>
              <w:bottom w:val="nil"/>
            </w:tcBorders>
          </w:tcPr>
          <w:p>
            <w:pPr>
              <w:pStyle w:val="TableParagraph"/>
              <w:spacing w:before="22"/>
              <w:ind w:left="99"/>
              <w:jc w:val="left"/>
              <w:rPr>
                <w:sz w:val="18"/>
              </w:rPr>
            </w:pPr>
            <w:r>
              <w:rPr>
                <w:sz w:val="18"/>
              </w:rPr>
              <w:t>Error</w:t>
            </w:r>
          </w:p>
        </w:tc>
        <w:tc>
          <w:tcPr>
            <w:tcW w:w="1277" w:type="dxa"/>
            <w:tcBorders>
              <w:top w:val="nil"/>
              <w:bottom w:val="nil"/>
              <w:right w:val="single" w:sz="6" w:space="0" w:color="000000"/>
            </w:tcBorders>
          </w:tcPr>
          <w:p>
            <w:pPr>
              <w:pStyle w:val="TableParagraph"/>
              <w:spacing w:before="36"/>
              <w:ind w:right="128"/>
              <w:rPr>
                <w:sz w:val="18"/>
              </w:rPr>
            </w:pPr>
            <w:r>
              <w:rPr>
                <w:sz w:val="18"/>
              </w:rPr>
              <w:t>217.367</w:t>
            </w:r>
          </w:p>
        </w:tc>
        <w:tc>
          <w:tcPr>
            <w:tcW w:w="1052" w:type="dxa"/>
            <w:tcBorders>
              <w:top w:val="nil"/>
              <w:left w:val="single" w:sz="6" w:space="0" w:color="000000"/>
              <w:bottom w:val="nil"/>
              <w:right w:val="single" w:sz="6" w:space="0" w:color="000000"/>
            </w:tcBorders>
          </w:tcPr>
          <w:p>
            <w:pPr>
              <w:pStyle w:val="TableParagraph"/>
              <w:spacing w:before="36"/>
              <w:ind w:right="128"/>
              <w:rPr>
                <w:sz w:val="18"/>
              </w:rPr>
            </w:pPr>
            <w:r>
              <w:rPr>
                <w:sz w:val="18"/>
              </w:rPr>
              <w:t>193</w:t>
            </w:r>
          </w:p>
        </w:tc>
        <w:tc>
          <w:tcPr>
            <w:tcW w:w="1165" w:type="dxa"/>
            <w:tcBorders>
              <w:top w:val="nil"/>
              <w:left w:val="single" w:sz="6" w:space="0" w:color="000000"/>
              <w:bottom w:val="nil"/>
              <w:right w:val="single" w:sz="6" w:space="0" w:color="000000"/>
            </w:tcBorders>
          </w:tcPr>
          <w:p>
            <w:pPr>
              <w:pStyle w:val="TableParagraph"/>
              <w:spacing w:before="36"/>
              <w:ind w:right="131"/>
              <w:rPr>
                <w:sz w:val="18"/>
              </w:rPr>
            </w:pPr>
            <w:r>
              <w:rPr>
                <w:sz w:val="18"/>
              </w:rPr>
              <w:t>1.126</w:t>
            </w:r>
          </w:p>
        </w:tc>
        <w:tc>
          <w:tcPr>
            <w:tcW w:w="1052" w:type="dxa"/>
            <w:tcBorders>
              <w:top w:val="nil"/>
              <w:left w:val="single" w:sz="6" w:space="0" w:color="000000"/>
              <w:bottom w:val="nil"/>
              <w:right w:val="single" w:sz="6" w:space="0" w:color="000000"/>
            </w:tcBorders>
          </w:tcPr>
          <w:p>
            <w:pPr/>
          </w:p>
        </w:tc>
        <w:tc>
          <w:tcPr>
            <w:tcW w:w="1305" w:type="dxa"/>
            <w:tcBorders>
              <w:top w:val="nil"/>
              <w:left w:val="single" w:sz="6" w:space="0" w:color="000000"/>
              <w:bottom w:val="nil"/>
            </w:tcBorders>
          </w:tcPr>
          <w:p>
            <w:pPr/>
          </w:p>
        </w:tc>
      </w:tr>
      <w:tr>
        <w:trPr>
          <w:trHeight w:val="266" w:hRule="exact"/>
        </w:trPr>
        <w:tc>
          <w:tcPr>
            <w:tcW w:w="2062" w:type="dxa"/>
            <w:tcBorders>
              <w:top w:val="nil"/>
              <w:bottom w:val="nil"/>
            </w:tcBorders>
          </w:tcPr>
          <w:p>
            <w:pPr>
              <w:pStyle w:val="TableParagraph"/>
              <w:spacing w:before="12"/>
              <w:ind w:left="99"/>
              <w:jc w:val="left"/>
              <w:rPr>
                <w:sz w:val="18"/>
              </w:rPr>
            </w:pPr>
            <w:r>
              <w:rPr>
                <w:sz w:val="18"/>
              </w:rPr>
              <w:t>Total</w:t>
            </w:r>
          </w:p>
        </w:tc>
        <w:tc>
          <w:tcPr>
            <w:tcW w:w="1277" w:type="dxa"/>
            <w:tcBorders>
              <w:top w:val="nil"/>
              <w:bottom w:val="nil"/>
              <w:right w:val="single" w:sz="6" w:space="0" w:color="000000"/>
            </w:tcBorders>
          </w:tcPr>
          <w:p>
            <w:pPr>
              <w:pStyle w:val="TableParagraph"/>
              <w:spacing w:before="27"/>
              <w:ind w:left="365"/>
              <w:jc w:val="left"/>
              <w:rPr>
                <w:sz w:val="18"/>
              </w:rPr>
            </w:pPr>
            <w:r>
              <w:rPr>
                <w:sz w:val="18"/>
              </w:rPr>
              <w:t>3281.986</w:t>
            </w:r>
          </w:p>
        </w:tc>
        <w:tc>
          <w:tcPr>
            <w:tcW w:w="1052" w:type="dxa"/>
            <w:tcBorders>
              <w:top w:val="nil"/>
              <w:left w:val="single" w:sz="6" w:space="0" w:color="000000"/>
              <w:bottom w:val="nil"/>
              <w:right w:val="single" w:sz="6" w:space="0" w:color="000000"/>
            </w:tcBorders>
          </w:tcPr>
          <w:p>
            <w:pPr>
              <w:pStyle w:val="TableParagraph"/>
              <w:spacing w:before="27"/>
              <w:ind w:right="128"/>
              <w:rPr>
                <w:sz w:val="18"/>
              </w:rPr>
            </w:pPr>
            <w:r>
              <w:rPr>
                <w:sz w:val="18"/>
              </w:rPr>
              <w:t>202</w:t>
            </w:r>
          </w:p>
        </w:tc>
        <w:tc>
          <w:tcPr>
            <w:tcW w:w="1165" w:type="dxa"/>
            <w:tcBorders>
              <w:top w:val="nil"/>
              <w:left w:val="single" w:sz="6" w:space="0" w:color="000000"/>
              <w:bottom w:val="nil"/>
              <w:right w:val="single" w:sz="6" w:space="0" w:color="000000"/>
            </w:tcBorders>
          </w:tcPr>
          <w:p>
            <w:pPr/>
          </w:p>
        </w:tc>
        <w:tc>
          <w:tcPr>
            <w:tcW w:w="1052" w:type="dxa"/>
            <w:tcBorders>
              <w:top w:val="nil"/>
              <w:left w:val="single" w:sz="6" w:space="0" w:color="000000"/>
              <w:bottom w:val="nil"/>
              <w:right w:val="single" w:sz="6" w:space="0" w:color="000000"/>
            </w:tcBorders>
          </w:tcPr>
          <w:p>
            <w:pPr/>
          </w:p>
        </w:tc>
        <w:tc>
          <w:tcPr>
            <w:tcW w:w="1305" w:type="dxa"/>
            <w:tcBorders>
              <w:top w:val="nil"/>
              <w:left w:val="single" w:sz="6" w:space="0" w:color="000000"/>
              <w:bottom w:val="nil"/>
            </w:tcBorders>
          </w:tcPr>
          <w:p>
            <w:pPr/>
          </w:p>
        </w:tc>
      </w:tr>
      <w:tr>
        <w:trPr>
          <w:trHeight w:val="287" w:hRule="exact"/>
        </w:trPr>
        <w:tc>
          <w:tcPr>
            <w:tcW w:w="2062" w:type="dxa"/>
            <w:tcBorders>
              <w:top w:val="nil"/>
            </w:tcBorders>
          </w:tcPr>
          <w:p>
            <w:pPr>
              <w:pStyle w:val="TableParagraph"/>
              <w:spacing w:before="15"/>
              <w:ind w:left="99"/>
              <w:jc w:val="left"/>
              <w:rPr>
                <w:sz w:val="18"/>
              </w:rPr>
            </w:pPr>
            <w:r>
              <w:rPr>
                <w:sz w:val="18"/>
              </w:rPr>
              <w:t>Total corregida</w:t>
            </w:r>
          </w:p>
        </w:tc>
        <w:tc>
          <w:tcPr>
            <w:tcW w:w="1277" w:type="dxa"/>
            <w:tcBorders>
              <w:top w:val="nil"/>
              <w:right w:val="single" w:sz="6" w:space="0" w:color="000000"/>
            </w:tcBorders>
          </w:tcPr>
          <w:p>
            <w:pPr>
              <w:pStyle w:val="TableParagraph"/>
              <w:spacing w:before="29"/>
              <w:ind w:right="127"/>
              <w:rPr>
                <w:sz w:val="18"/>
              </w:rPr>
            </w:pPr>
            <w:r>
              <w:rPr>
                <w:sz w:val="18"/>
              </w:rPr>
              <w:t>342.926</w:t>
            </w:r>
          </w:p>
        </w:tc>
        <w:tc>
          <w:tcPr>
            <w:tcW w:w="1052" w:type="dxa"/>
            <w:tcBorders>
              <w:top w:val="nil"/>
              <w:left w:val="single" w:sz="6" w:space="0" w:color="000000"/>
              <w:right w:val="single" w:sz="6" w:space="0" w:color="000000"/>
            </w:tcBorders>
          </w:tcPr>
          <w:p>
            <w:pPr>
              <w:pStyle w:val="TableParagraph"/>
              <w:spacing w:before="29"/>
              <w:ind w:right="128"/>
              <w:rPr>
                <w:sz w:val="18"/>
              </w:rPr>
            </w:pPr>
            <w:r>
              <w:rPr>
                <w:sz w:val="18"/>
              </w:rPr>
              <w:t>201</w:t>
            </w:r>
          </w:p>
        </w:tc>
        <w:tc>
          <w:tcPr>
            <w:tcW w:w="1165" w:type="dxa"/>
            <w:tcBorders>
              <w:top w:val="nil"/>
              <w:left w:val="single" w:sz="6" w:space="0" w:color="000000"/>
              <w:right w:val="single" w:sz="6" w:space="0" w:color="000000"/>
            </w:tcBorders>
          </w:tcPr>
          <w:p>
            <w:pPr/>
          </w:p>
        </w:tc>
        <w:tc>
          <w:tcPr>
            <w:tcW w:w="1052" w:type="dxa"/>
            <w:tcBorders>
              <w:top w:val="nil"/>
              <w:left w:val="single" w:sz="6" w:space="0" w:color="000000"/>
              <w:right w:val="single" w:sz="6" w:space="0" w:color="000000"/>
            </w:tcBorders>
          </w:tcPr>
          <w:p>
            <w:pPr/>
          </w:p>
        </w:tc>
        <w:tc>
          <w:tcPr>
            <w:tcW w:w="1305" w:type="dxa"/>
            <w:tcBorders>
              <w:top w:val="nil"/>
              <w:left w:val="single" w:sz="6" w:space="0" w:color="000000"/>
            </w:tcBorders>
          </w:tcPr>
          <w:p>
            <w:pPr/>
          </w:p>
        </w:tc>
      </w:tr>
    </w:tbl>
    <w:p>
      <w:pPr>
        <w:spacing w:before="10"/>
        <w:ind w:left="620" w:right="213" w:firstLine="0"/>
        <w:jc w:val="left"/>
        <w:rPr>
          <w:sz w:val="18"/>
        </w:rPr>
      </w:pPr>
      <w:r>
        <w:rPr>
          <w:position w:val="3"/>
          <w:sz w:val="18"/>
        </w:rPr>
        <w:t>a. </w:t>
      </w:r>
      <w:r>
        <w:rPr>
          <w:sz w:val="18"/>
        </w:rPr>
        <w:t>R cuadrado = .366 (R cuadrado corregida =  .340)</w:t>
      </w:r>
    </w:p>
    <w:p>
      <w:pPr>
        <w:spacing w:after="0"/>
        <w:jc w:val="left"/>
        <w:rPr>
          <w:sz w:val="18"/>
        </w:rPr>
        <w:sectPr>
          <w:pgSz w:w="11910" w:h="16840"/>
          <w:pgMar w:header="1424" w:footer="0" w:top="1840" w:bottom="28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3"/>
        <w:spacing w:before="74"/>
        <w:ind w:left="2549" w:right="213"/>
        <w:jc w:val="left"/>
      </w:pPr>
      <w:bookmarkStart w:name="_bookmark43" w:id="69"/>
      <w:bookmarkEnd w:id="69"/>
      <w:r>
        <w:rPr>
          <w:b w:val="0"/>
        </w:rPr>
      </w:r>
      <w:r>
        <w:rPr/>
        <w:t>ANEXO </w:t>
      </w:r>
      <w:r>
        <w:rPr>
          <w:spacing w:val="-3"/>
        </w:rPr>
        <w:t>G. </w:t>
      </w:r>
      <w:r>
        <w:rPr>
          <w:spacing w:val="-4"/>
        </w:rPr>
        <w:t>ANOVA </w:t>
      </w:r>
      <w:r>
        <w:rPr/>
        <w:t>DOS</w:t>
      </w:r>
      <w:r>
        <w:rPr>
          <w:spacing w:val="52"/>
        </w:rPr>
        <w:t> </w:t>
      </w:r>
      <w:r>
        <w:rPr/>
        <w:t>GRUPOS.</w:t>
      </w:r>
    </w:p>
    <w:p>
      <w:pPr>
        <w:spacing w:after="0"/>
        <w:jc w:val="left"/>
        <w:sectPr>
          <w:pgSz w:w="11910" w:h="16840"/>
          <w:pgMar w:header="1424" w:footer="0" w:top="1840" w:bottom="280" w:left="1540" w:right="1540"/>
        </w:sectPr>
      </w:pPr>
    </w:p>
    <w:p>
      <w:pPr>
        <w:pStyle w:val="BodyText"/>
        <w:spacing w:before="11"/>
        <w:rPr>
          <w:b/>
          <w:sz w:val="16"/>
        </w:rPr>
      </w:pPr>
    </w:p>
    <w:p>
      <w:pPr>
        <w:pStyle w:val="BodyText"/>
        <w:spacing w:before="73"/>
        <w:ind w:left="2928" w:right="213"/>
      </w:pPr>
      <w:r>
        <w:rPr/>
        <w:t>Anexo G. Anova dos grupos.</w:t>
      </w:r>
    </w:p>
    <w:p>
      <w:pPr>
        <w:pStyle w:val="BodyText"/>
        <w:rPr>
          <w:sz w:val="22"/>
        </w:rPr>
      </w:pPr>
    </w:p>
    <w:p>
      <w:pPr>
        <w:pStyle w:val="BodyText"/>
        <w:rPr>
          <w:sz w:val="22"/>
        </w:rPr>
      </w:pPr>
    </w:p>
    <w:p>
      <w:pPr>
        <w:spacing w:before="145"/>
        <w:ind w:left="2568" w:right="213" w:firstLine="0"/>
        <w:jc w:val="left"/>
        <w:rPr>
          <w:b/>
          <w:sz w:val="18"/>
        </w:rPr>
      </w:pPr>
      <w:r>
        <w:rPr>
          <w:b/>
          <w:sz w:val="18"/>
        </w:rPr>
        <w:t>Pruebas de los efectos inter-sujetos</w:t>
      </w:r>
    </w:p>
    <w:p>
      <w:pPr>
        <w:pStyle w:val="BodyText"/>
        <w:spacing w:before="6"/>
        <w:rPr>
          <w:b/>
          <w:sz w:val="14"/>
        </w:rPr>
      </w:pPr>
    </w:p>
    <w:p>
      <w:pPr>
        <w:spacing w:before="0" w:after="4"/>
        <w:ind w:left="399" w:right="213" w:firstLine="0"/>
        <w:jc w:val="left"/>
        <w:rPr>
          <w:sz w:val="18"/>
        </w:rPr>
      </w:pPr>
      <w:r>
        <w:rPr>
          <w:sz w:val="18"/>
        </w:rPr>
        <w:t>Variable dependiente: Comprensión Lectura Inglés</w:t>
      </w:r>
    </w:p>
    <w:tbl>
      <w:tblPr>
        <w:tblW w:w="0" w:type="auto"/>
        <w:jc w:val="left"/>
        <w:tblInd w:w="270"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905"/>
        <w:gridCol w:w="1274"/>
        <w:gridCol w:w="1051"/>
        <w:gridCol w:w="1163"/>
        <w:gridCol w:w="1050"/>
        <w:gridCol w:w="1303"/>
      </w:tblGrid>
      <w:tr>
        <w:trPr>
          <w:trHeight w:val="729" w:hRule="exact"/>
        </w:trPr>
        <w:tc>
          <w:tcPr>
            <w:tcW w:w="1905" w:type="dxa"/>
          </w:tcPr>
          <w:p>
            <w:pPr>
              <w:pStyle w:val="TableParagraph"/>
              <w:jc w:val="left"/>
              <w:rPr>
                <w:sz w:val="18"/>
              </w:rPr>
            </w:pPr>
          </w:p>
          <w:p>
            <w:pPr>
              <w:pStyle w:val="TableParagraph"/>
              <w:spacing w:before="7"/>
              <w:jc w:val="left"/>
              <w:rPr>
                <w:sz w:val="24"/>
              </w:rPr>
            </w:pPr>
          </w:p>
          <w:p>
            <w:pPr>
              <w:pStyle w:val="TableParagraph"/>
              <w:ind w:left="100"/>
              <w:jc w:val="left"/>
              <w:rPr>
                <w:sz w:val="18"/>
              </w:rPr>
            </w:pPr>
            <w:r>
              <w:rPr>
                <w:sz w:val="18"/>
              </w:rPr>
              <w:t>Fuente</w:t>
            </w:r>
          </w:p>
        </w:tc>
        <w:tc>
          <w:tcPr>
            <w:tcW w:w="1274" w:type="dxa"/>
            <w:tcBorders>
              <w:right w:val="single" w:sz="6" w:space="0" w:color="000000"/>
            </w:tcBorders>
          </w:tcPr>
          <w:p>
            <w:pPr>
              <w:pStyle w:val="TableParagraph"/>
              <w:spacing w:line="261" w:lineRule="auto" w:before="39"/>
              <w:ind w:left="177" w:right="222" w:hanging="1"/>
              <w:jc w:val="center"/>
              <w:rPr>
                <w:sz w:val="18"/>
              </w:rPr>
            </w:pPr>
            <w:r>
              <w:rPr>
                <w:sz w:val="18"/>
              </w:rPr>
              <w:t>Suma de cuadrados tipo III</w:t>
            </w:r>
          </w:p>
        </w:tc>
        <w:tc>
          <w:tcPr>
            <w:tcW w:w="1051" w:type="dxa"/>
            <w:tcBorders>
              <w:left w:val="single" w:sz="6" w:space="0" w:color="000000"/>
              <w:right w:val="single" w:sz="6" w:space="0" w:color="000000"/>
            </w:tcBorders>
          </w:tcPr>
          <w:p>
            <w:pPr>
              <w:pStyle w:val="TableParagraph"/>
              <w:jc w:val="left"/>
              <w:rPr>
                <w:sz w:val="18"/>
              </w:rPr>
            </w:pPr>
          </w:p>
          <w:p>
            <w:pPr>
              <w:pStyle w:val="TableParagraph"/>
              <w:spacing w:before="7"/>
              <w:jc w:val="left"/>
              <w:rPr>
                <w:sz w:val="24"/>
              </w:rPr>
            </w:pPr>
          </w:p>
          <w:p>
            <w:pPr>
              <w:pStyle w:val="TableParagraph"/>
              <w:ind w:left="408" w:right="447"/>
              <w:jc w:val="center"/>
              <w:rPr>
                <w:sz w:val="18"/>
              </w:rPr>
            </w:pPr>
            <w:r>
              <w:rPr>
                <w:sz w:val="18"/>
              </w:rPr>
              <w:t>gl</w:t>
            </w:r>
          </w:p>
        </w:tc>
        <w:tc>
          <w:tcPr>
            <w:tcW w:w="1163" w:type="dxa"/>
            <w:tcBorders>
              <w:left w:val="single" w:sz="6" w:space="0" w:color="000000"/>
              <w:right w:val="single" w:sz="6" w:space="0" w:color="000000"/>
            </w:tcBorders>
          </w:tcPr>
          <w:p>
            <w:pPr>
              <w:pStyle w:val="TableParagraph"/>
              <w:jc w:val="left"/>
              <w:rPr>
                <w:sz w:val="23"/>
              </w:rPr>
            </w:pPr>
          </w:p>
          <w:p>
            <w:pPr>
              <w:pStyle w:val="TableParagraph"/>
              <w:spacing w:line="261" w:lineRule="auto"/>
              <w:ind w:left="130" w:right="168" w:firstLine="177"/>
              <w:jc w:val="left"/>
              <w:rPr>
                <w:sz w:val="18"/>
              </w:rPr>
            </w:pPr>
            <w:r>
              <w:rPr>
                <w:sz w:val="18"/>
              </w:rPr>
              <w:t>Media cuadrática</w:t>
            </w:r>
          </w:p>
        </w:tc>
        <w:tc>
          <w:tcPr>
            <w:tcW w:w="1050" w:type="dxa"/>
            <w:tcBorders>
              <w:left w:val="single" w:sz="6" w:space="0" w:color="000000"/>
              <w:right w:val="single" w:sz="6" w:space="0" w:color="000000"/>
            </w:tcBorders>
          </w:tcPr>
          <w:p>
            <w:pPr>
              <w:pStyle w:val="TableParagraph"/>
              <w:jc w:val="left"/>
              <w:rPr>
                <w:sz w:val="18"/>
              </w:rPr>
            </w:pPr>
          </w:p>
          <w:p>
            <w:pPr>
              <w:pStyle w:val="TableParagraph"/>
              <w:spacing w:before="7"/>
              <w:jc w:val="left"/>
              <w:rPr>
                <w:sz w:val="24"/>
              </w:rPr>
            </w:pPr>
          </w:p>
          <w:p>
            <w:pPr>
              <w:pStyle w:val="TableParagraph"/>
              <w:ind w:right="39"/>
              <w:jc w:val="center"/>
              <w:rPr>
                <w:sz w:val="18"/>
              </w:rPr>
            </w:pPr>
            <w:r>
              <w:rPr>
                <w:w w:val="101"/>
                <w:sz w:val="18"/>
              </w:rPr>
              <w:t>F</w:t>
            </w:r>
          </w:p>
        </w:tc>
        <w:tc>
          <w:tcPr>
            <w:tcW w:w="1303" w:type="dxa"/>
            <w:tcBorders>
              <w:left w:val="single" w:sz="6" w:space="0" w:color="000000"/>
            </w:tcBorders>
          </w:tcPr>
          <w:p>
            <w:pPr>
              <w:pStyle w:val="TableParagraph"/>
              <w:jc w:val="left"/>
              <w:rPr>
                <w:sz w:val="18"/>
              </w:rPr>
            </w:pPr>
          </w:p>
          <w:p>
            <w:pPr>
              <w:pStyle w:val="TableParagraph"/>
              <w:spacing w:before="7"/>
              <w:jc w:val="left"/>
              <w:rPr>
                <w:sz w:val="24"/>
              </w:rPr>
            </w:pPr>
          </w:p>
          <w:p>
            <w:pPr>
              <w:pStyle w:val="TableParagraph"/>
              <w:ind w:right="140"/>
              <w:rPr>
                <w:sz w:val="18"/>
              </w:rPr>
            </w:pPr>
            <w:r>
              <w:rPr>
                <w:sz w:val="18"/>
              </w:rPr>
              <w:t>Significación</w:t>
            </w:r>
          </w:p>
        </w:tc>
      </w:tr>
      <w:tr>
        <w:trPr>
          <w:trHeight w:val="248" w:hRule="exact"/>
        </w:trPr>
        <w:tc>
          <w:tcPr>
            <w:tcW w:w="1905" w:type="dxa"/>
            <w:tcBorders>
              <w:bottom w:val="nil"/>
            </w:tcBorders>
          </w:tcPr>
          <w:p>
            <w:pPr>
              <w:pStyle w:val="TableParagraph"/>
              <w:spacing w:line="189" w:lineRule="exact"/>
              <w:ind w:left="100"/>
              <w:jc w:val="left"/>
              <w:rPr>
                <w:sz w:val="18"/>
              </w:rPr>
            </w:pPr>
            <w:r>
              <w:rPr>
                <w:sz w:val="18"/>
              </w:rPr>
              <w:t>Modelo corregido</w:t>
            </w:r>
          </w:p>
        </w:tc>
        <w:tc>
          <w:tcPr>
            <w:tcW w:w="1274" w:type="dxa"/>
            <w:tcBorders>
              <w:bottom w:val="nil"/>
              <w:right w:val="single" w:sz="6" w:space="0" w:color="000000"/>
            </w:tcBorders>
          </w:tcPr>
          <w:p>
            <w:pPr>
              <w:pStyle w:val="TableParagraph"/>
              <w:spacing w:line="204" w:lineRule="exact"/>
              <w:ind w:right="54"/>
              <w:rPr>
                <w:sz w:val="14"/>
              </w:rPr>
            </w:pPr>
            <w:r>
              <w:rPr>
                <w:sz w:val="18"/>
              </w:rPr>
              <w:t>102.766</w:t>
            </w:r>
            <w:r>
              <w:rPr>
                <w:position w:val="6"/>
                <w:sz w:val="14"/>
              </w:rPr>
              <w:t>a</w:t>
            </w:r>
          </w:p>
        </w:tc>
        <w:tc>
          <w:tcPr>
            <w:tcW w:w="1051" w:type="dxa"/>
            <w:tcBorders>
              <w:left w:val="single" w:sz="6" w:space="0" w:color="000000"/>
              <w:bottom w:val="nil"/>
              <w:right w:val="single" w:sz="6" w:space="0" w:color="000000"/>
            </w:tcBorders>
          </w:tcPr>
          <w:p>
            <w:pPr>
              <w:pStyle w:val="TableParagraph"/>
              <w:spacing w:line="204" w:lineRule="exact"/>
              <w:ind w:right="131"/>
              <w:rPr>
                <w:sz w:val="18"/>
              </w:rPr>
            </w:pPr>
            <w:r>
              <w:rPr>
                <w:w w:val="101"/>
                <w:sz w:val="18"/>
              </w:rPr>
              <w:t>3</w:t>
            </w:r>
          </w:p>
        </w:tc>
        <w:tc>
          <w:tcPr>
            <w:tcW w:w="1163" w:type="dxa"/>
            <w:tcBorders>
              <w:left w:val="single" w:sz="6" w:space="0" w:color="000000"/>
              <w:bottom w:val="nil"/>
              <w:right w:val="single" w:sz="6" w:space="0" w:color="000000"/>
            </w:tcBorders>
          </w:tcPr>
          <w:p>
            <w:pPr>
              <w:pStyle w:val="TableParagraph"/>
              <w:spacing w:line="204" w:lineRule="exact"/>
              <w:ind w:right="130"/>
              <w:rPr>
                <w:sz w:val="18"/>
              </w:rPr>
            </w:pPr>
            <w:r>
              <w:rPr>
                <w:sz w:val="18"/>
              </w:rPr>
              <w:t>34.255</w:t>
            </w:r>
          </w:p>
        </w:tc>
        <w:tc>
          <w:tcPr>
            <w:tcW w:w="1050" w:type="dxa"/>
            <w:tcBorders>
              <w:left w:val="single" w:sz="6" w:space="0" w:color="000000"/>
              <w:bottom w:val="nil"/>
              <w:right w:val="single" w:sz="6" w:space="0" w:color="000000"/>
            </w:tcBorders>
          </w:tcPr>
          <w:p>
            <w:pPr>
              <w:pStyle w:val="TableParagraph"/>
              <w:spacing w:line="204" w:lineRule="exact"/>
              <w:ind w:right="129"/>
              <w:rPr>
                <w:sz w:val="18"/>
              </w:rPr>
            </w:pPr>
            <w:r>
              <w:rPr>
                <w:sz w:val="18"/>
              </w:rPr>
              <w:t>28.242</w:t>
            </w:r>
          </w:p>
        </w:tc>
        <w:tc>
          <w:tcPr>
            <w:tcW w:w="1303" w:type="dxa"/>
            <w:tcBorders>
              <w:left w:val="single" w:sz="6" w:space="0" w:color="000000"/>
              <w:bottom w:val="nil"/>
            </w:tcBorders>
          </w:tcPr>
          <w:p>
            <w:pPr>
              <w:pStyle w:val="TableParagraph"/>
              <w:spacing w:line="204" w:lineRule="exact"/>
              <w:ind w:right="134"/>
              <w:rPr>
                <w:sz w:val="18"/>
              </w:rPr>
            </w:pPr>
            <w:r>
              <w:rPr>
                <w:sz w:val="18"/>
              </w:rPr>
              <w:t>.000</w:t>
            </w:r>
          </w:p>
        </w:tc>
      </w:tr>
      <w:tr>
        <w:trPr>
          <w:trHeight w:val="266" w:hRule="exact"/>
        </w:trPr>
        <w:tc>
          <w:tcPr>
            <w:tcW w:w="1905" w:type="dxa"/>
            <w:tcBorders>
              <w:top w:val="nil"/>
              <w:bottom w:val="nil"/>
            </w:tcBorders>
          </w:tcPr>
          <w:p>
            <w:pPr>
              <w:pStyle w:val="TableParagraph"/>
              <w:spacing w:before="12"/>
              <w:ind w:left="100"/>
              <w:jc w:val="left"/>
              <w:rPr>
                <w:sz w:val="18"/>
              </w:rPr>
            </w:pPr>
            <w:r>
              <w:rPr>
                <w:sz w:val="18"/>
              </w:rPr>
              <w:t>Intersección</w:t>
            </w:r>
          </w:p>
        </w:tc>
        <w:tc>
          <w:tcPr>
            <w:tcW w:w="1274" w:type="dxa"/>
            <w:tcBorders>
              <w:top w:val="nil"/>
              <w:bottom w:val="nil"/>
              <w:right w:val="single" w:sz="6" w:space="0" w:color="000000"/>
            </w:tcBorders>
          </w:tcPr>
          <w:p>
            <w:pPr>
              <w:pStyle w:val="TableParagraph"/>
              <w:spacing w:before="27"/>
              <w:ind w:left="360"/>
              <w:jc w:val="left"/>
              <w:rPr>
                <w:sz w:val="18"/>
              </w:rPr>
            </w:pPr>
            <w:r>
              <w:rPr>
                <w:sz w:val="18"/>
              </w:rPr>
              <w:t>2717.662</w:t>
            </w:r>
          </w:p>
        </w:tc>
        <w:tc>
          <w:tcPr>
            <w:tcW w:w="1051" w:type="dxa"/>
            <w:tcBorders>
              <w:top w:val="nil"/>
              <w:left w:val="single" w:sz="6" w:space="0" w:color="000000"/>
              <w:bottom w:val="nil"/>
              <w:right w:val="single" w:sz="6" w:space="0" w:color="000000"/>
            </w:tcBorders>
          </w:tcPr>
          <w:p>
            <w:pPr>
              <w:pStyle w:val="TableParagraph"/>
              <w:spacing w:before="27"/>
              <w:ind w:right="131"/>
              <w:rPr>
                <w:sz w:val="18"/>
              </w:rPr>
            </w:pPr>
            <w:r>
              <w:rPr>
                <w:w w:val="101"/>
                <w:sz w:val="18"/>
              </w:rPr>
              <w:t>1</w:t>
            </w:r>
          </w:p>
        </w:tc>
        <w:tc>
          <w:tcPr>
            <w:tcW w:w="1163" w:type="dxa"/>
            <w:tcBorders>
              <w:top w:val="nil"/>
              <w:left w:val="single" w:sz="6" w:space="0" w:color="000000"/>
              <w:bottom w:val="nil"/>
              <w:right w:val="single" w:sz="6" w:space="0" w:color="000000"/>
            </w:tcBorders>
          </w:tcPr>
          <w:p>
            <w:pPr>
              <w:pStyle w:val="TableParagraph"/>
              <w:spacing w:before="27"/>
              <w:ind w:right="130"/>
              <w:rPr>
                <w:sz w:val="18"/>
              </w:rPr>
            </w:pPr>
            <w:r>
              <w:rPr>
                <w:sz w:val="18"/>
              </w:rPr>
              <w:t>2717.662</w:t>
            </w:r>
          </w:p>
        </w:tc>
        <w:tc>
          <w:tcPr>
            <w:tcW w:w="1050" w:type="dxa"/>
            <w:tcBorders>
              <w:top w:val="nil"/>
              <w:left w:val="single" w:sz="6" w:space="0" w:color="000000"/>
              <w:bottom w:val="nil"/>
              <w:right w:val="single" w:sz="6" w:space="0" w:color="000000"/>
            </w:tcBorders>
          </w:tcPr>
          <w:p>
            <w:pPr>
              <w:pStyle w:val="TableParagraph"/>
              <w:spacing w:before="27"/>
              <w:ind w:right="130"/>
              <w:rPr>
                <w:sz w:val="18"/>
              </w:rPr>
            </w:pPr>
            <w:r>
              <w:rPr>
                <w:sz w:val="18"/>
              </w:rPr>
              <w:t>2240.572</w:t>
            </w:r>
          </w:p>
        </w:tc>
        <w:tc>
          <w:tcPr>
            <w:tcW w:w="1303" w:type="dxa"/>
            <w:tcBorders>
              <w:top w:val="nil"/>
              <w:left w:val="single" w:sz="6" w:space="0" w:color="000000"/>
              <w:bottom w:val="nil"/>
            </w:tcBorders>
          </w:tcPr>
          <w:p>
            <w:pPr>
              <w:pStyle w:val="TableParagraph"/>
              <w:spacing w:before="27"/>
              <w:ind w:right="134"/>
              <w:rPr>
                <w:sz w:val="18"/>
              </w:rPr>
            </w:pPr>
            <w:r>
              <w:rPr>
                <w:sz w:val="18"/>
              </w:rPr>
              <w:t>.000</w:t>
            </w:r>
          </w:p>
        </w:tc>
      </w:tr>
      <w:tr>
        <w:trPr>
          <w:trHeight w:val="266" w:hRule="exact"/>
        </w:trPr>
        <w:tc>
          <w:tcPr>
            <w:tcW w:w="1905" w:type="dxa"/>
            <w:tcBorders>
              <w:top w:val="nil"/>
              <w:bottom w:val="nil"/>
            </w:tcBorders>
          </w:tcPr>
          <w:p>
            <w:pPr>
              <w:pStyle w:val="TableParagraph"/>
              <w:spacing w:before="15"/>
              <w:ind w:left="100"/>
              <w:jc w:val="left"/>
              <w:rPr>
                <w:sz w:val="18"/>
              </w:rPr>
            </w:pPr>
            <w:r>
              <w:rPr>
                <w:sz w:val="18"/>
              </w:rPr>
              <w:t>TipoLectEsp</w:t>
            </w:r>
          </w:p>
        </w:tc>
        <w:tc>
          <w:tcPr>
            <w:tcW w:w="1274" w:type="dxa"/>
            <w:tcBorders>
              <w:top w:val="nil"/>
              <w:bottom w:val="nil"/>
              <w:right w:val="single" w:sz="6" w:space="0" w:color="000000"/>
            </w:tcBorders>
          </w:tcPr>
          <w:p>
            <w:pPr>
              <w:pStyle w:val="TableParagraph"/>
              <w:spacing w:before="29"/>
              <w:ind w:right="130"/>
              <w:rPr>
                <w:sz w:val="18"/>
              </w:rPr>
            </w:pPr>
            <w:r>
              <w:rPr>
                <w:sz w:val="18"/>
              </w:rPr>
              <w:t>36.468</w:t>
            </w:r>
          </w:p>
        </w:tc>
        <w:tc>
          <w:tcPr>
            <w:tcW w:w="1051" w:type="dxa"/>
            <w:tcBorders>
              <w:top w:val="nil"/>
              <w:left w:val="single" w:sz="6" w:space="0" w:color="000000"/>
              <w:bottom w:val="nil"/>
              <w:right w:val="single" w:sz="6" w:space="0" w:color="000000"/>
            </w:tcBorders>
          </w:tcPr>
          <w:p>
            <w:pPr>
              <w:pStyle w:val="TableParagraph"/>
              <w:spacing w:before="29"/>
              <w:ind w:right="131"/>
              <w:rPr>
                <w:sz w:val="18"/>
              </w:rPr>
            </w:pPr>
            <w:r>
              <w:rPr>
                <w:w w:val="101"/>
                <w:sz w:val="18"/>
              </w:rPr>
              <w:t>1</w:t>
            </w:r>
          </w:p>
        </w:tc>
        <w:tc>
          <w:tcPr>
            <w:tcW w:w="1163" w:type="dxa"/>
            <w:tcBorders>
              <w:top w:val="nil"/>
              <w:left w:val="single" w:sz="6" w:space="0" w:color="000000"/>
              <w:bottom w:val="nil"/>
              <w:right w:val="single" w:sz="6" w:space="0" w:color="000000"/>
            </w:tcBorders>
          </w:tcPr>
          <w:p>
            <w:pPr>
              <w:pStyle w:val="TableParagraph"/>
              <w:spacing w:before="29"/>
              <w:ind w:right="131"/>
              <w:rPr>
                <w:sz w:val="18"/>
              </w:rPr>
            </w:pPr>
            <w:r>
              <w:rPr>
                <w:sz w:val="18"/>
              </w:rPr>
              <w:t>36.468</w:t>
            </w:r>
          </w:p>
        </w:tc>
        <w:tc>
          <w:tcPr>
            <w:tcW w:w="1050" w:type="dxa"/>
            <w:tcBorders>
              <w:top w:val="nil"/>
              <w:left w:val="single" w:sz="6" w:space="0" w:color="000000"/>
              <w:bottom w:val="nil"/>
              <w:right w:val="single" w:sz="6" w:space="0" w:color="000000"/>
            </w:tcBorders>
          </w:tcPr>
          <w:p>
            <w:pPr>
              <w:pStyle w:val="TableParagraph"/>
              <w:spacing w:before="29"/>
              <w:ind w:right="130"/>
              <w:rPr>
                <w:sz w:val="18"/>
              </w:rPr>
            </w:pPr>
            <w:r>
              <w:rPr>
                <w:sz w:val="18"/>
              </w:rPr>
              <w:t>30.066</w:t>
            </w:r>
          </w:p>
        </w:tc>
        <w:tc>
          <w:tcPr>
            <w:tcW w:w="1303" w:type="dxa"/>
            <w:tcBorders>
              <w:top w:val="nil"/>
              <w:left w:val="single" w:sz="6" w:space="0" w:color="000000"/>
              <w:bottom w:val="nil"/>
            </w:tcBorders>
          </w:tcPr>
          <w:p>
            <w:pPr>
              <w:pStyle w:val="TableParagraph"/>
              <w:spacing w:before="29"/>
              <w:ind w:right="134"/>
              <w:rPr>
                <w:sz w:val="18"/>
              </w:rPr>
            </w:pPr>
            <w:r>
              <w:rPr>
                <w:sz w:val="18"/>
              </w:rPr>
              <w:t>.000</w:t>
            </w:r>
          </w:p>
        </w:tc>
      </w:tr>
      <w:tr>
        <w:trPr>
          <w:trHeight w:val="266" w:hRule="exact"/>
        </w:trPr>
        <w:tc>
          <w:tcPr>
            <w:tcW w:w="1905" w:type="dxa"/>
            <w:tcBorders>
              <w:top w:val="nil"/>
              <w:bottom w:val="nil"/>
            </w:tcBorders>
          </w:tcPr>
          <w:p>
            <w:pPr>
              <w:pStyle w:val="TableParagraph"/>
              <w:spacing w:before="12"/>
              <w:ind w:left="100"/>
              <w:jc w:val="left"/>
              <w:rPr>
                <w:sz w:val="18"/>
              </w:rPr>
            </w:pPr>
            <w:r>
              <w:rPr>
                <w:sz w:val="18"/>
              </w:rPr>
              <w:t>NivelCompLing_Ing</w:t>
            </w:r>
          </w:p>
        </w:tc>
        <w:tc>
          <w:tcPr>
            <w:tcW w:w="1274" w:type="dxa"/>
            <w:tcBorders>
              <w:top w:val="nil"/>
              <w:bottom w:val="nil"/>
              <w:right w:val="single" w:sz="6" w:space="0" w:color="000000"/>
            </w:tcBorders>
          </w:tcPr>
          <w:p>
            <w:pPr>
              <w:pStyle w:val="TableParagraph"/>
              <w:spacing w:before="27"/>
              <w:ind w:right="130"/>
              <w:rPr>
                <w:sz w:val="18"/>
              </w:rPr>
            </w:pPr>
            <w:r>
              <w:rPr>
                <w:sz w:val="18"/>
              </w:rPr>
              <w:t>44.259</w:t>
            </w:r>
          </w:p>
        </w:tc>
        <w:tc>
          <w:tcPr>
            <w:tcW w:w="1051" w:type="dxa"/>
            <w:tcBorders>
              <w:top w:val="nil"/>
              <w:left w:val="single" w:sz="6" w:space="0" w:color="000000"/>
              <w:bottom w:val="nil"/>
              <w:right w:val="single" w:sz="6" w:space="0" w:color="000000"/>
            </w:tcBorders>
          </w:tcPr>
          <w:p>
            <w:pPr>
              <w:pStyle w:val="TableParagraph"/>
              <w:spacing w:before="27"/>
              <w:ind w:right="131"/>
              <w:rPr>
                <w:sz w:val="18"/>
              </w:rPr>
            </w:pPr>
            <w:r>
              <w:rPr>
                <w:w w:val="101"/>
                <w:sz w:val="18"/>
              </w:rPr>
              <w:t>1</w:t>
            </w:r>
          </w:p>
        </w:tc>
        <w:tc>
          <w:tcPr>
            <w:tcW w:w="1163" w:type="dxa"/>
            <w:tcBorders>
              <w:top w:val="nil"/>
              <w:left w:val="single" w:sz="6" w:space="0" w:color="000000"/>
              <w:bottom w:val="nil"/>
              <w:right w:val="single" w:sz="6" w:space="0" w:color="000000"/>
            </w:tcBorders>
          </w:tcPr>
          <w:p>
            <w:pPr>
              <w:pStyle w:val="TableParagraph"/>
              <w:spacing w:before="27"/>
              <w:ind w:right="130"/>
              <w:rPr>
                <w:sz w:val="18"/>
              </w:rPr>
            </w:pPr>
            <w:r>
              <w:rPr>
                <w:sz w:val="18"/>
              </w:rPr>
              <w:t>44.259</w:t>
            </w:r>
          </w:p>
        </w:tc>
        <w:tc>
          <w:tcPr>
            <w:tcW w:w="1050" w:type="dxa"/>
            <w:tcBorders>
              <w:top w:val="nil"/>
              <w:left w:val="single" w:sz="6" w:space="0" w:color="000000"/>
              <w:bottom w:val="nil"/>
              <w:right w:val="single" w:sz="6" w:space="0" w:color="000000"/>
            </w:tcBorders>
          </w:tcPr>
          <w:p>
            <w:pPr>
              <w:pStyle w:val="TableParagraph"/>
              <w:spacing w:before="27"/>
              <w:ind w:right="130"/>
              <w:rPr>
                <w:sz w:val="18"/>
              </w:rPr>
            </w:pPr>
            <w:r>
              <w:rPr>
                <w:sz w:val="18"/>
              </w:rPr>
              <w:t>36.490</w:t>
            </w:r>
          </w:p>
        </w:tc>
        <w:tc>
          <w:tcPr>
            <w:tcW w:w="1303" w:type="dxa"/>
            <w:tcBorders>
              <w:top w:val="nil"/>
              <w:left w:val="single" w:sz="6" w:space="0" w:color="000000"/>
              <w:bottom w:val="nil"/>
            </w:tcBorders>
          </w:tcPr>
          <w:p>
            <w:pPr>
              <w:pStyle w:val="TableParagraph"/>
              <w:spacing w:before="27"/>
              <w:ind w:right="134"/>
              <w:rPr>
                <w:sz w:val="18"/>
              </w:rPr>
            </w:pPr>
            <w:r>
              <w:rPr>
                <w:sz w:val="18"/>
              </w:rPr>
              <w:t>.000</w:t>
            </w:r>
          </w:p>
        </w:tc>
      </w:tr>
      <w:tr>
        <w:trPr>
          <w:trHeight w:val="482" w:hRule="exact"/>
        </w:trPr>
        <w:tc>
          <w:tcPr>
            <w:tcW w:w="1905" w:type="dxa"/>
            <w:tcBorders>
              <w:top w:val="nil"/>
              <w:bottom w:val="nil"/>
            </w:tcBorders>
          </w:tcPr>
          <w:p>
            <w:pPr>
              <w:pStyle w:val="TableParagraph"/>
              <w:spacing w:line="256" w:lineRule="auto" w:before="15"/>
              <w:ind w:left="100"/>
              <w:jc w:val="left"/>
              <w:rPr>
                <w:sz w:val="18"/>
              </w:rPr>
            </w:pPr>
            <w:r>
              <w:rPr>
                <w:sz w:val="18"/>
              </w:rPr>
              <w:t>TipoLectEsp * NivelCompLing_Ing</w:t>
            </w:r>
          </w:p>
        </w:tc>
        <w:tc>
          <w:tcPr>
            <w:tcW w:w="1274" w:type="dxa"/>
            <w:tcBorders>
              <w:top w:val="nil"/>
              <w:bottom w:val="nil"/>
              <w:right w:val="single" w:sz="6" w:space="0" w:color="000000"/>
            </w:tcBorders>
          </w:tcPr>
          <w:p>
            <w:pPr>
              <w:pStyle w:val="TableParagraph"/>
              <w:spacing w:before="139"/>
              <w:ind w:right="130"/>
              <w:rPr>
                <w:sz w:val="18"/>
              </w:rPr>
            </w:pPr>
            <w:r>
              <w:rPr>
                <w:sz w:val="18"/>
              </w:rPr>
              <w:t>.089</w:t>
            </w:r>
          </w:p>
        </w:tc>
        <w:tc>
          <w:tcPr>
            <w:tcW w:w="1051" w:type="dxa"/>
            <w:tcBorders>
              <w:top w:val="nil"/>
              <w:left w:val="single" w:sz="6" w:space="0" w:color="000000"/>
              <w:bottom w:val="nil"/>
              <w:right w:val="single" w:sz="6" w:space="0" w:color="000000"/>
            </w:tcBorders>
          </w:tcPr>
          <w:p>
            <w:pPr>
              <w:pStyle w:val="TableParagraph"/>
              <w:spacing w:before="139"/>
              <w:ind w:right="131"/>
              <w:rPr>
                <w:sz w:val="18"/>
              </w:rPr>
            </w:pPr>
            <w:r>
              <w:rPr>
                <w:w w:val="101"/>
                <w:sz w:val="18"/>
              </w:rPr>
              <w:t>1</w:t>
            </w:r>
          </w:p>
        </w:tc>
        <w:tc>
          <w:tcPr>
            <w:tcW w:w="1163" w:type="dxa"/>
            <w:tcBorders>
              <w:top w:val="nil"/>
              <w:left w:val="single" w:sz="6" w:space="0" w:color="000000"/>
              <w:bottom w:val="nil"/>
              <w:right w:val="single" w:sz="6" w:space="0" w:color="000000"/>
            </w:tcBorders>
          </w:tcPr>
          <w:p>
            <w:pPr>
              <w:pStyle w:val="TableParagraph"/>
              <w:spacing w:before="139"/>
              <w:ind w:right="131"/>
              <w:rPr>
                <w:sz w:val="18"/>
              </w:rPr>
            </w:pPr>
            <w:r>
              <w:rPr>
                <w:sz w:val="18"/>
              </w:rPr>
              <w:t>.089</w:t>
            </w:r>
          </w:p>
        </w:tc>
        <w:tc>
          <w:tcPr>
            <w:tcW w:w="1050" w:type="dxa"/>
            <w:tcBorders>
              <w:top w:val="nil"/>
              <w:left w:val="single" w:sz="6" w:space="0" w:color="000000"/>
              <w:bottom w:val="nil"/>
              <w:right w:val="single" w:sz="6" w:space="0" w:color="000000"/>
            </w:tcBorders>
          </w:tcPr>
          <w:p>
            <w:pPr>
              <w:pStyle w:val="TableParagraph"/>
              <w:spacing w:before="139"/>
              <w:ind w:right="130"/>
              <w:rPr>
                <w:sz w:val="18"/>
              </w:rPr>
            </w:pPr>
            <w:r>
              <w:rPr>
                <w:sz w:val="18"/>
              </w:rPr>
              <w:t>.073</w:t>
            </w:r>
          </w:p>
        </w:tc>
        <w:tc>
          <w:tcPr>
            <w:tcW w:w="1303" w:type="dxa"/>
            <w:tcBorders>
              <w:top w:val="nil"/>
              <w:left w:val="single" w:sz="6" w:space="0" w:color="000000"/>
              <w:bottom w:val="nil"/>
            </w:tcBorders>
          </w:tcPr>
          <w:p>
            <w:pPr>
              <w:pStyle w:val="TableParagraph"/>
              <w:spacing w:before="139"/>
              <w:ind w:right="135"/>
              <w:rPr>
                <w:sz w:val="18"/>
              </w:rPr>
            </w:pPr>
            <w:r>
              <w:rPr>
                <w:sz w:val="18"/>
              </w:rPr>
              <w:t>.787</w:t>
            </w:r>
          </w:p>
        </w:tc>
      </w:tr>
      <w:tr>
        <w:trPr>
          <w:trHeight w:val="274" w:hRule="exact"/>
        </w:trPr>
        <w:tc>
          <w:tcPr>
            <w:tcW w:w="1905" w:type="dxa"/>
            <w:tcBorders>
              <w:top w:val="nil"/>
              <w:bottom w:val="nil"/>
            </w:tcBorders>
          </w:tcPr>
          <w:p>
            <w:pPr>
              <w:pStyle w:val="TableParagraph"/>
              <w:spacing w:before="22"/>
              <w:ind w:left="100"/>
              <w:jc w:val="left"/>
              <w:rPr>
                <w:sz w:val="18"/>
              </w:rPr>
            </w:pPr>
            <w:r>
              <w:rPr>
                <w:sz w:val="18"/>
              </w:rPr>
              <w:t>Error</w:t>
            </w:r>
          </w:p>
        </w:tc>
        <w:tc>
          <w:tcPr>
            <w:tcW w:w="1274" w:type="dxa"/>
            <w:tcBorders>
              <w:top w:val="nil"/>
              <w:bottom w:val="nil"/>
              <w:right w:val="single" w:sz="6" w:space="0" w:color="000000"/>
            </w:tcBorders>
          </w:tcPr>
          <w:p>
            <w:pPr>
              <w:pStyle w:val="TableParagraph"/>
              <w:spacing w:before="36"/>
              <w:ind w:right="130"/>
              <w:rPr>
                <w:sz w:val="18"/>
              </w:rPr>
            </w:pPr>
            <w:r>
              <w:rPr>
                <w:sz w:val="18"/>
              </w:rPr>
              <w:t>240.161</w:t>
            </w:r>
          </w:p>
        </w:tc>
        <w:tc>
          <w:tcPr>
            <w:tcW w:w="1051" w:type="dxa"/>
            <w:tcBorders>
              <w:top w:val="nil"/>
              <w:left w:val="single" w:sz="6" w:space="0" w:color="000000"/>
              <w:bottom w:val="nil"/>
              <w:right w:val="single" w:sz="6" w:space="0" w:color="000000"/>
            </w:tcBorders>
          </w:tcPr>
          <w:p>
            <w:pPr>
              <w:pStyle w:val="TableParagraph"/>
              <w:spacing w:before="36"/>
              <w:ind w:right="129"/>
              <w:rPr>
                <w:sz w:val="18"/>
              </w:rPr>
            </w:pPr>
            <w:r>
              <w:rPr>
                <w:sz w:val="18"/>
              </w:rPr>
              <w:t>198</w:t>
            </w:r>
          </w:p>
        </w:tc>
        <w:tc>
          <w:tcPr>
            <w:tcW w:w="1163" w:type="dxa"/>
            <w:tcBorders>
              <w:top w:val="nil"/>
              <w:left w:val="single" w:sz="6" w:space="0" w:color="000000"/>
              <w:bottom w:val="nil"/>
              <w:right w:val="single" w:sz="6" w:space="0" w:color="000000"/>
            </w:tcBorders>
          </w:tcPr>
          <w:p>
            <w:pPr>
              <w:pStyle w:val="TableParagraph"/>
              <w:spacing w:before="36"/>
              <w:ind w:right="130"/>
              <w:rPr>
                <w:sz w:val="18"/>
              </w:rPr>
            </w:pPr>
            <w:r>
              <w:rPr>
                <w:sz w:val="18"/>
              </w:rPr>
              <w:t>1.213</w:t>
            </w:r>
          </w:p>
        </w:tc>
        <w:tc>
          <w:tcPr>
            <w:tcW w:w="1050" w:type="dxa"/>
            <w:tcBorders>
              <w:top w:val="nil"/>
              <w:left w:val="single" w:sz="6" w:space="0" w:color="000000"/>
              <w:bottom w:val="nil"/>
              <w:right w:val="single" w:sz="6" w:space="0" w:color="000000"/>
            </w:tcBorders>
          </w:tcPr>
          <w:p>
            <w:pPr/>
          </w:p>
        </w:tc>
        <w:tc>
          <w:tcPr>
            <w:tcW w:w="1303" w:type="dxa"/>
            <w:tcBorders>
              <w:top w:val="nil"/>
              <w:left w:val="single" w:sz="6" w:space="0" w:color="000000"/>
              <w:bottom w:val="nil"/>
            </w:tcBorders>
          </w:tcPr>
          <w:p>
            <w:pPr/>
          </w:p>
        </w:tc>
      </w:tr>
      <w:tr>
        <w:trPr>
          <w:trHeight w:val="266" w:hRule="exact"/>
        </w:trPr>
        <w:tc>
          <w:tcPr>
            <w:tcW w:w="1905" w:type="dxa"/>
            <w:tcBorders>
              <w:top w:val="nil"/>
              <w:bottom w:val="nil"/>
            </w:tcBorders>
          </w:tcPr>
          <w:p>
            <w:pPr>
              <w:pStyle w:val="TableParagraph"/>
              <w:spacing w:before="12"/>
              <w:ind w:left="100"/>
              <w:jc w:val="left"/>
              <w:rPr>
                <w:sz w:val="18"/>
              </w:rPr>
            </w:pPr>
            <w:r>
              <w:rPr>
                <w:sz w:val="18"/>
              </w:rPr>
              <w:t>Total</w:t>
            </w:r>
          </w:p>
        </w:tc>
        <w:tc>
          <w:tcPr>
            <w:tcW w:w="1274" w:type="dxa"/>
            <w:tcBorders>
              <w:top w:val="nil"/>
              <w:bottom w:val="nil"/>
              <w:right w:val="single" w:sz="6" w:space="0" w:color="000000"/>
            </w:tcBorders>
          </w:tcPr>
          <w:p>
            <w:pPr>
              <w:pStyle w:val="TableParagraph"/>
              <w:spacing w:before="27"/>
              <w:ind w:left="360"/>
              <w:jc w:val="left"/>
              <w:rPr>
                <w:sz w:val="18"/>
              </w:rPr>
            </w:pPr>
            <w:r>
              <w:rPr>
                <w:sz w:val="18"/>
              </w:rPr>
              <w:t>3281.986</w:t>
            </w:r>
          </w:p>
        </w:tc>
        <w:tc>
          <w:tcPr>
            <w:tcW w:w="1051" w:type="dxa"/>
            <w:tcBorders>
              <w:top w:val="nil"/>
              <w:left w:val="single" w:sz="6" w:space="0" w:color="000000"/>
              <w:bottom w:val="nil"/>
              <w:right w:val="single" w:sz="6" w:space="0" w:color="000000"/>
            </w:tcBorders>
          </w:tcPr>
          <w:p>
            <w:pPr>
              <w:pStyle w:val="TableParagraph"/>
              <w:spacing w:before="27"/>
              <w:ind w:right="129"/>
              <w:rPr>
                <w:sz w:val="18"/>
              </w:rPr>
            </w:pPr>
            <w:r>
              <w:rPr>
                <w:sz w:val="18"/>
              </w:rPr>
              <w:t>202</w:t>
            </w:r>
          </w:p>
        </w:tc>
        <w:tc>
          <w:tcPr>
            <w:tcW w:w="1163" w:type="dxa"/>
            <w:tcBorders>
              <w:top w:val="nil"/>
              <w:left w:val="single" w:sz="6" w:space="0" w:color="000000"/>
              <w:bottom w:val="nil"/>
              <w:right w:val="single" w:sz="6" w:space="0" w:color="000000"/>
            </w:tcBorders>
          </w:tcPr>
          <w:p>
            <w:pPr/>
          </w:p>
        </w:tc>
        <w:tc>
          <w:tcPr>
            <w:tcW w:w="1050" w:type="dxa"/>
            <w:tcBorders>
              <w:top w:val="nil"/>
              <w:left w:val="single" w:sz="6" w:space="0" w:color="000000"/>
              <w:bottom w:val="nil"/>
              <w:right w:val="single" w:sz="6" w:space="0" w:color="000000"/>
            </w:tcBorders>
          </w:tcPr>
          <w:p>
            <w:pPr/>
          </w:p>
        </w:tc>
        <w:tc>
          <w:tcPr>
            <w:tcW w:w="1303" w:type="dxa"/>
            <w:tcBorders>
              <w:top w:val="nil"/>
              <w:left w:val="single" w:sz="6" w:space="0" w:color="000000"/>
              <w:bottom w:val="nil"/>
            </w:tcBorders>
          </w:tcPr>
          <w:p>
            <w:pPr/>
          </w:p>
        </w:tc>
      </w:tr>
      <w:tr>
        <w:trPr>
          <w:trHeight w:val="287" w:hRule="exact"/>
        </w:trPr>
        <w:tc>
          <w:tcPr>
            <w:tcW w:w="1905" w:type="dxa"/>
            <w:tcBorders>
              <w:top w:val="nil"/>
            </w:tcBorders>
          </w:tcPr>
          <w:p>
            <w:pPr>
              <w:pStyle w:val="TableParagraph"/>
              <w:spacing w:before="15"/>
              <w:ind w:left="100"/>
              <w:jc w:val="left"/>
              <w:rPr>
                <w:sz w:val="18"/>
              </w:rPr>
            </w:pPr>
            <w:r>
              <w:rPr>
                <w:sz w:val="18"/>
              </w:rPr>
              <w:t>Total corregida</w:t>
            </w:r>
          </w:p>
        </w:tc>
        <w:tc>
          <w:tcPr>
            <w:tcW w:w="1274" w:type="dxa"/>
            <w:tcBorders>
              <w:top w:val="nil"/>
              <w:right w:val="single" w:sz="6" w:space="0" w:color="000000"/>
            </w:tcBorders>
          </w:tcPr>
          <w:p>
            <w:pPr>
              <w:pStyle w:val="TableParagraph"/>
              <w:spacing w:before="29"/>
              <w:ind w:right="130"/>
              <w:rPr>
                <w:sz w:val="18"/>
              </w:rPr>
            </w:pPr>
            <w:r>
              <w:rPr>
                <w:sz w:val="18"/>
              </w:rPr>
              <w:t>342.926</w:t>
            </w:r>
          </w:p>
        </w:tc>
        <w:tc>
          <w:tcPr>
            <w:tcW w:w="1051" w:type="dxa"/>
            <w:tcBorders>
              <w:top w:val="nil"/>
              <w:left w:val="single" w:sz="6" w:space="0" w:color="000000"/>
              <w:right w:val="single" w:sz="6" w:space="0" w:color="000000"/>
            </w:tcBorders>
          </w:tcPr>
          <w:p>
            <w:pPr>
              <w:pStyle w:val="TableParagraph"/>
              <w:spacing w:before="29"/>
              <w:ind w:right="129"/>
              <w:rPr>
                <w:sz w:val="18"/>
              </w:rPr>
            </w:pPr>
            <w:r>
              <w:rPr>
                <w:sz w:val="18"/>
              </w:rPr>
              <w:t>201</w:t>
            </w:r>
          </w:p>
        </w:tc>
        <w:tc>
          <w:tcPr>
            <w:tcW w:w="1163" w:type="dxa"/>
            <w:tcBorders>
              <w:top w:val="nil"/>
              <w:left w:val="single" w:sz="6" w:space="0" w:color="000000"/>
              <w:right w:val="single" w:sz="6" w:space="0" w:color="000000"/>
            </w:tcBorders>
          </w:tcPr>
          <w:p>
            <w:pPr/>
          </w:p>
        </w:tc>
        <w:tc>
          <w:tcPr>
            <w:tcW w:w="1050" w:type="dxa"/>
            <w:tcBorders>
              <w:top w:val="nil"/>
              <w:left w:val="single" w:sz="6" w:space="0" w:color="000000"/>
              <w:right w:val="single" w:sz="6" w:space="0" w:color="000000"/>
            </w:tcBorders>
          </w:tcPr>
          <w:p>
            <w:pPr/>
          </w:p>
        </w:tc>
        <w:tc>
          <w:tcPr>
            <w:tcW w:w="1303" w:type="dxa"/>
            <w:tcBorders>
              <w:top w:val="nil"/>
              <w:left w:val="single" w:sz="6" w:space="0" w:color="000000"/>
            </w:tcBorders>
          </w:tcPr>
          <w:p>
            <w:pPr/>
          </w:p>
        </w:tc>
      </w:tr>
    </w:tbl>
    <w:p>
      <w:pPr>
        <w:spacing w:before="10"/>
        <w:ind w:left="620" w:right="213" w:firstLine="0"/>
        <w:jc w:val="left"/>
        <w:rPr>
          <w:sz w:val="18"/>
        </w:rPr>
      </w:pPr>
      <w:r>
        <w:rPr>
          <w:position w:val="3"/>
          <w:sz w:val="18"/>
        </w:rPr>
        <w:t>a. </w:t>
      </w:r>
      <w:r>
        <w:rPr>
          <w:sz w:val="18"/>
        </w:rPr>
        <w:t>R cuadrado = .300 (R cuadrado corregida =  .289)</w:t>
      </w:r>
    </w:p>
    <w:p>
      <w:pPr>
        <w:spacing w:after="0"/>
        <w:jc w:val="left"/>
        <w:rPr>
          <w:sz w:val="18"/>
        </w:rPr>
        <w:sectPr>
          <w:headerReference w:type="default" r:id="rId29"/>
          <w:pgSz w:w="11910" w:h="16840"/>
          <w:pgMar w:header="1424" w:footer="0" w:top="1840" w:bottom="28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3"/>
        <w:spacing w:line="244" w:lineRule="auto" w:before="74"/>
        <w:ind w:left="4042" w:right="132" w:hanging="3888"/>
        <w:jc w:val="left"/>
      </w:pPr>
      <w:bookmarkStart w:name="_bookmark44" w:id="70"/>
      <w:bookmarkEnd w:id="70"/>
      <w:r>
        <w:rPr>
          <w:b w:val="0"/>
        </w:rPr>
      </w:r>
      <w:r>
        <w:rPr/>
        <w:t>ANEXO H. COMPARATIVO DE RESULTADOS YAMASHITA (2002) Y ANDRADE (2009).</w:t>
      </w:r>
    </w:p>
    <w:p>
      <w:pPr>
        <w:spacing w:after="0" w:line="244" w:lineRule="auto"/>
        <w:jc w:val="left"/>
        <w:sectPr>
          <w:headerReference w:type="default" r:id="rId30"/>
          <w:pgSz w:w="11910" w:h="16840"/>
          <w:pgMar w:header="1424" w:footer="0" w:top="1840" w:bottom="280" w:left="1540" w:right="1540"/>
          <w:pgNumType w:start="101"/>
        </w:sectPr>
      </w:pPr>
    </w:p>
    <w:p>
      <w:pPr>
        <w:pStyle w:val="BodyText"/>
        <w:spacing w:before="11"/>
        <w:rPr>
          <w:b/>
          <w:sz w:val="16"/>
        </w:rPr>
      </w:pPr>
    </w:p>
    <w:p>
      <w:pPr>
        <w:pStyle w:val="BodyText"/>
        <w:spacing w:before="73"/>
        <w:ind w:left="705"/>
      </w:pPr>
      <w:r>
        <w:rPr/>
        <w:t>Anexo H. Comparativo de resultados Yamashita (2002) y Andrade  (2009).</w:t>
      </w:r>
    </w:p>
    <w:p>
      <w:pPr>
        <w:pStyle w:val="BodyText"/>
        <w:rPr>
          <w:sz w:val="20"/>
        </w:rPr>
      </w:pPr>
    </w:p>
    <w:p>
      <w:pPr>
        <w:pStyle w:val="BodyText"/>
        <w:spacing w:before="1"/>
        <w:rPr>
          <w:sz w:val="2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4"/>
        <w:gridCol w:w="2189"/>
        <w:gridCol w:w="2179"/>
        <w:gridCol w:w="2189"/>
      </w:tblGrid>
      <w:tr>
        <w:trPr>
          <w:trHeight w:val="619" w:hRule="exact"/>
        </w:trPr>
        <w:tc>
          <w:tcPr>
            <w:tcW w:w="2184" w:type="dxa"/>
          </w:tcPr>
          <w:p>
            <w:pPr/>
          </w:p>
        </w:tc>
        <w:tc>
          <w:tcPr>
            <w:tcW w:w="2189" w:type="dxa"/>
          </w:tcPr>
          <w:p>
            <w:pPr>
              <w:pStyle w:val="TableParagraph"/>
              <w:spacing w:line="376" w:lineRule="auto"/>
              <w:ind w:left="988" w:hanging="778"/>
              <w:jc w:val="left"/>
              <w:rPr>
                <w:b/>
                <w:sz w:val="17"/>
              </w:rPr>
            </w:pPr>
            <w:r>
              <w:rPr>
                <w:b/>
                <w:w w:val="105"/>
                <w:sz w:val="17"/>
              </w:rPr>
              <w:t>Comprensión lectora L2</w:t>
            </w:r>
          </w:p>
        </w:tc>
        <w:tc>
          <w:tcPr>
            <w:tcW w:w="2179" w:type="dxa"/>
          </w:tcPr>
          <w:p>
            <w:pPr>
              <w:pStyle w:val="TableParagraph"/>
              <w:spacing w:line="376" w:lineRule="auto"/>
              <w:ind w:left="494" w:firstLine="38"/>
              <w:jc w:val="left"/>
              <w:rPr>
                <w:b/>
                <w:sz w:val="17"/>
              </w:rPr>
            </w:pPr>
            <w:r>
              <w:rPr>
                <w:b/>
                <w:w w:val="105"/>
                <w:sz w:val="17"/>
              </w:rPr>
              <w:t>Competencia Lingüística L2</w:t>
            </w:r>
          </w:p>
        </w:tc>
        <w:tc>
          <w:tcPr>
            <w:tcW w:w="2189" w:type="dxa"/>
          </w:tcPr>
          <w:p>
            <w:pPr>
              <w:pStyle w:val="TableParagraph"/>
              <w:spacing w:line="376" w:lineRule="auto"/>
              <w:ind w:left="988" w:hanging="778"/>
              <w:jc w:val="left"/>
              <w:rPr>
                <w:b/>
                <w:sz w:val="17"/>
              </w:rPr>
            </w:pPr>
            <w:r>
              <w:rPr>
                <w:b/>
                <w:w w:val="105"/>
                <w:sz w:val="17"/>
              </w:rPr>
              <w:t>Comprensión lectora L2</w:t>
            </w:r>
          </w:p>
        </w:tc>
      </w:tr>
      <w:tr>
        <w:trPr>
          <w:trHeight w:val="312" w:hRule="exact"/>
        </w:trPr>
        <w:tc>
          <w:tcPr>
            <w:tcW w:w="2184" w:type="dxa"/>
          </w:tcPr>
          <w:p>
            <w:pPr>
              <w:pStyle w:val="TableParagraph"/>
              <w:spacing w:line="190" w:lineRule="exact"/>
              <w:ind w:left="100"/>
              <w:jc w:val="left"/>
              <w:rPr>
                <w:b/>
                <w:sz w:val="17"/>
              </w:rPr>
            </w:pPr>
            <w:r>
              <w:rPr>
                <w:b/>
                <w:w w:val="105"/>
                <w:sz w:val="17"/>
              </w:rPr>
              <w:t>Grupos </w:t>
            </w:r>
            <w:r>
              <w:rPr>
                <w:b/>
                <w:spacing w:val="-3"/>
                <w:w w:val="105"/>
                <w:sz w:val="17"/>
              </w:rPr>
              <w:t>Yamashita </w:t>
            </w:r>
            <w:r>
              <w:rPr>
                <w:b/>
                <w:w w:val="105"/>
                <w:sz w:val="17"/>
              </w:rPr>
              <w:t>(2002</w:t>
            </w:r>
          </w:p>
        </w:tc>
        <w:tc>
          <w:tcPr>
            <w:tcW w:w="2189" w:type="dxa"/>
          </w:tcPr>
          <w:p>
            <w:pPr>
              <w:pStyle w:val="TableParagraph"/>
              <w:spacing w:line="194" w:lineRule="exact"/>
              <w:ind w:left="444" w:right="445"/>
              <w:jc w:val="center"/>
              <w:rPr>
                <w:sz w:val="17"/>
              </w:rPr>
            </w:pPr>
            <w:r>
              <w:rPr>
                <w:w w:val="105"/>
                <w:sz w:val="17"/>
              </w:rPr>
              <w:t>No. de aciertos.</w:t>
            </w:r>
          </w:p>
        </w:tc>
        <w:tc>
          <w:tcPr>
            <w:tcW w:w="2179" w:type="dxa"/>
          </w:tcPr>
          <w:p>
            <w:pPr>
              <w:pStyle w:val="TableParagraph"/>
              <w:spacing w:line="194" w:lineRule="exact"/>
              <w:ind w:left="465" w:right="463"/>
              <w:jc w:val="center"/>
              <w:rPr>
                <w:sz w:val="17"/>
              </w:rPr>
            </w:pPr>
            <w:r>
              <w:rPr>
                <w:w w:val="105"/>
                <w:sz w:val="17"/>
              </w:rPr>
              <w:t>No. de aciertos</w:t>
            </w:r>
          </w:p>
        </w:tc>
        <w:tc>
          <w:tcPr>
            <w:tcW w:w="2189" w:type="dxa"/>
          </w:tcPr>
          <w:p>
            <w:pPr>
              <w:pStyle w:val="TableParagraph"/>
              <w:spacing w:line="194" w:lineRule="exact"/>
              <w:ind w:left="444" w:right="442"/>
              <w:jc w:val="center"/>
              <w:rPr>
                <w:sz w:val="17"/>
              </w:rPr>
            </w:pPr>
            <w:r>
              <w:rPr>
                <w:w w:val="105"/>
                <w:sz w:val="17"/>
              </w:rPr>
              <w:t>No. de aciertos</w:t>
            </w:r>
          </w:p>
        </w:tc>
      </w:tr>
      <w:tr>
        <w:trPr>
          <w:trHeight w:val="307" w:hRule="exact"/>
        </w:trPr>
        <w:tc>
          <w:tcPr>
            <w:tcW w:w="2184" w:type="dxa"/>
          </w:tcPr>
          <w:p>
            <w:pPr>
              <w:pStyle w:val="TableParagraph"/>
              <w:spacing w:line="194" w:lineRule="exact"/>
              <w:ind w:left="228"/>
              <w:jc w:val="center"/>
              <w:rPr>
                <w:sz w:val="17"/>
              </w:rPr>
            </w:pPr>
            <w:r>
              <w:rPr>
                <w:w w:val="104"/>
                <w:sz w:val="17"/>
              </w:rPr>
              <w:t>1</w:t>
            </w:r>
          </w:p>
        </w:tc>
        <w:tc>
          <w:tcPr>
            <w:tcW w:w="2189" w:type="dxa"/>
          </w:tcPr>
          <w:p>
            <w:pPr>
              <w:pStyle w:val="TableParagraph"/>
              <w:spacing w:line="194" w:lineRule="exact"/>
              <w:ind w:left="444" w:right="444"/>
              <w:jc w:val="center"/>
              <w:rPr>
                <w:sz w:val="17"/>
              </w:rPr>
            </w:pPr>
            <w:r>
              <w:rPr>
                <w:w w:val="105"/>
                <w:sz w:val="17"/>
              </w:rPr>
              <w:t>24.68</w:t>
            </w:r>
          </w:p>
        </w:tc>
        <w:tc>
          <w:tcPr>
            <w:tcW w:w="2179" w:type="dxa"/>
          </w:tcPr>
          <w:p>
            <w:pPr>
              <w:pStyle w:val="TableParagraph"/>
              <w:spacing w:line="194" w:lineRule="exact"/>
              <w:ind w:left="463" w:right="463"/>
              <w:jc w:val="center"/>
              <w:rPr>
                <w:sz w:val="17"/>
              </w:rPr>
            </w:pPr>
            <w:r>
              <w:rPr>
                <w:w w:val="105"/>
                <w:sz w:val="17"/>
              </w:rPr>
              <w:t>55.73</w:t>
            </w:r>
          </w:p>
        </w:tc>
        <w:tc>
          <w:tcPr>
            <w:tcW w:w="2189" w:type="dxa"/>
          </w:tcPr>
          <w:p>
            <w:pPr>
              <w:pStyle w:val="TableParagraph"/>
              <w:spacing w:line="194" w:lineRule="exact"/>
              <w:ind w:left="444" w:right="444"/>
              <w:jc w:val="center"/>
              <w:rPr>
                <w:sz w:val="17"/>
              </w:rPr>
            </w:pPr>
            <w:r>
              <w:rPr>
                <w:w w:val="105"/>
                <w:sz w:val="17"/>
              </w:rPr>
              <w:t>20.24</w:t>
            </w:r>
          </w:p>
        </w:tc>
      </w:tr>
      <w:tr>
        <w:trPr>
          <w:trHeight w:val="312" w:hRule="exact"/>
        </w:trPr>
        <w:tc>
          <w:tcPr>
            <w:tcW w:w="2184" w:type="dxa"/>
          </w:tcPr>
          <w:p>
            <w:pPr>
              <w:pStyle w:val="TableParagraph"/>
              <w:spacing w:line="194" w:lineRule="exact"/>
              <w:ind w:left="228"/>
              <w:jc w:val="center"/>
              <w:rPr>
                <w:sz w:val="17"/>
              </w:rPr>
            </w:pPr>
            <w:r>
              <w:rPr>
                <w:w w:val="104"/>
                <w:sz w:val="17"/>
              </w:rPr>
              <w:t>2</w:t>
            </w:r>
          </w:p>
        </w:tc>
        <w:tc>
          <w:tcPr>
            <w:tcW w:w="2189" w:type="dxa"/>
          </w:tcPr>
          <w:p>
            <w:pPr>
              <w:pStyle w:val="TableParagraph"/>
              <w:spacing w:line="194" w:lineRule="exact"/>
              <w:ind w:left="444" w:right="444"/>
              <w:jc w:val="center"/>
              <w:rPr>
                <w:sz w:val="17"/>
              </w:rPr>
            </w:pPr>
            <w:r>
              <w:rPr>
                <w:w w:val="105"/>
                <w:sz w:val="17"/>
              </w:rPr>
              <w:t>31.80</w:t>
            </w:r>
          </w:p>
        </w:tc>
        <w:tc>
          <w:tcPr>
            <w:tcW w:w="2179" w:type="dxa"/>
          </w:tcPr>
          <w:p>
            <w:pPr>
              <w:pStyle w:val="TableParagraph"/>
              <w:spacing w:line="194" w:lineRule="exact"/>
              <w:ind w:left="463" w:right="463"/>
              <w:jc w:val="center"/>
              <w:rPr>
                <w:sz w:val="17"/>
              </w:rPr>
            </w:pPr>
            <w:r>
              <w:rPr>
                <w:w w:val="105"/>
                <w:sz w:val="17"/>
              </w:rPr>
              <w:t>58.55</w:t>
            </w:r>
          </w:p>
        </w:tc>
        <w:tc>
          <w:tcPr>
            <w:tcW w:w="2189" w:type="dxa"/>
          </w:tcPr>
          <w:p>
            <w:pPr>
              <w:pStyle w:val="TableParagraph"/>
              <w:spacing w:line="194" w:lineRule="exact"/>
              <w:ind w:left="444" w:right="444"/>
              <w:jc w:val="center"/>
              <w:rPr>
                <w:sz w:val="17"/>
              </w:rPr>
            </w:pPr>
            <w:r>
              <w:rPr>
                <w:w w:val="105"/>
                <w:sz w:val="17"/>
              </w:rPr>
              <w:t>19.15</w:t>
            </w:r>
          </w:p>
        </w:tc>
      </w:tr>
      <w:tr>
        <w:trPr>
          <w:trHeight w:val="317" w:hRule="exact"/>
        </w:trPr>
        <w:tc>
          <w:tcPr>
            <w:tcW w:w="2184" w:type="dxa"/>
          </w:tcPr>
          <w:p>
            <w:pPr>
              <w:pStyle w:val="TableParagraph"/>
              <w:spacing w:line="194" w:lineRule="exact"/>
              <w:ind w:left="228"/>
              <w:jc w:val="center"/>
              <w:rPr>
                <w:sz w:val="17"/>
              </w:rPr>
            </w:pPr>
            <w:r>
              <w:rPr>
                <w:w w:val="104"/>
                <w:sz w:val="17"/>
              </w:rPr>
              <w:t>3</w:t>
            </w:r>
          </w:p>
        </w:tc>
        <w:tc>
          <w:tcPr>
            <w:tcW w:w="2189" w:type="dxa"/>
          </w:tcPr>
          <w:p>
            <w:pPr>
              <w:pStyle w:val="TableParagraph"/>
              <w:spacing w:line="194" w:lineRule="exact"/>
              <w:ind w:left="444" w:right="444"/>
              <w:jc w:val="center"/>
              <w:rPr>
                <w:sz w:val="17"/>
              </w:rPr>
            </w:pPr>
            <w:r>
              <w:rPr>
                <w:w w:val="105"/>
                <w:sz w:val="17"/>
              </w:rPr>
              <w:t>42.82</w:t>
            </w:r>
          </w:p>
        </w:tc>
        <w:tc>
          <w:tcPr>
            <w:tcW w:w="2179" w:type="dxa"/>
          </w:tcPr>
          <w:p>
            <w:pPr>
              <w:pStyle w:val="TableParagraph"/>
              <w:spacing w:line="194" w:lineRule="exact"/>
              <w:ind w:left="463" w:right="463"/>
              <w:jc w:val="center"/>
              <w:rPr>
                <w:sz w:val="17"/>
              </w:rPr>
            </w:pPr>
            <w:r>
              <w:rPr>
                <w:w w:val="105"/>
                <w:sz w:val="17"/>
              </w:rPr>
              <w:t>57.73</w:t>
            </w:r>
          </w:p>
        </w:tc>
        <w:tc>
          <w:tcPr>
            <w:tcW w:w="2189" w:type="dxa"/>
          </w:tcPr>
          <w:p>
            <w:pPr>
              <w:pStyle w:val="TableParagraph"/>
              <w:spacing w:line="194" w:lineRule="exact"/>
              <w:ind w:left="444" w:right="444"/>
              <w:jc w:val="center"/>
              <w:rPr>
                <w:sz w:val="17"/>
              </w:rPr>
            </w:pPr>
            <w:r>
              <w:rPr>
                <w:w w:val="105"/>
                <w:sz w:val="17"/>
              </w:rPr>
              <w:t>23.45</w:t>
            </w:r>
          </w:p>
        </w:tc>
      </w:tr>
      <w:tr>
        <w:trPr>
          <w:trHeight w:val="312" w:hRule="exact"/>
        </w:trPr>
        <w:tc>
          <w:tcPr>
            <w:tcW w:w="2184" w:type="dxa"/>
          </w:tcPr>
          <w:p>
            <w:pPr>
              <w:pStyle w:val="TableParagraph"/>
              <w:spacing w:line="194" w:lineRule="exact"/>
              <w:ind w:left="228"/>
              <w:jc w:val="center"/>
              <w:rPr>
                <w:sz w:val="17"/>
              </w:rPr>
            </w:pPr>
            <w:r>
              <w:rPr>
                <w:w w:val="104"/>
                <w:sz w:val="17"/>
              </w:rPr>
              <w:t>4</w:t>
            </w:r>
          </w:p>
        </w:tc>
        <w:tc>
          <w:tcPr>
            <w:tcW w:w="2189" w:type="dxa"/>
          </w:tcPr>
          <w:p>
            <w:pPr>
              <w:pStyle w:val="TableParagraph"/>
              <w:spacing w:line="194" w:lineRule="exact"/>
              <w:ind w:left="444" w:right="444"/>
              <w:jc w:val="center"/>
              <w:rPr>
                <w:sz w:val="17"/>
              </w:rPr>
            </w:pPr>
            <w:r>
              <w:rPr>
                <w:w w:val="105"/>
                <w:sz w:val="17"/>
              </w:rPr>
              <w:t>23.23</w:t>
            </w:r>
          </w:p>
        </w:tc>
        <w:tc>
          <w:tcPr>
            <w:tcW w:w="2179" w:type="dxa"/>
          </w:tcPr>
          <w:p>
            <w:pPr>
              <w:pStyle w:val="TableParagraph"/>
              <w:spacing w:line="194" w:lineRule="exact"/>
              <w:ind w:left="463" w:right="463"/>
              <w:jc w:val="center"/>
              <w:rPr>
                <w:sz w:val="17"/>
              </w:rPr>
            </w:pPr>
            <w:r>
              <w:rPr>
                <w:w w:val="105"/>
                <w:sz w:val="17"/>
              </w:rPr>
              <w:t>72.37</w:t>
            </w:r>
          </w:p>
        </w:tc>
        <w:tc>
          <w:tcPr>
            <w:tcW w:w="2189" w:type="dxa"/>
          </w:tcPr>
          <w:p>
            <w:pPr>
              <w:pStyle w:val="TableParagraph"/>
              <w:spacing w:line="194" w:lineRule="exact"/>
              <w:ind w:left="444" w:right="444"/>
              <w:jc w:val="center"/>
              <w:rPr>
                <w:sz w:val="17"/>
              </w:rPr>
            </w:pPr>
            <w:r>
              <w:rPr>
                <w:w w:val="105"/>
                <w:sz w:val="17"/>
              </w:rPr>
              <w:t>24.93</w:t>
            </w:r>
          </w:p>
        </w:tc>
      </w:tr>
      <w:tr>
        <w:trPr>
          <w:trHeight w:val="307" w:hRule="exact"/>
        </w:trPr>
        <w:tc>
          <w:tcPr>
            <w:tcW w:w="2184" w:type="dxa"/>
          </w:tcPr>
          <w:p>
            <w:pPr>
              <w:pStyle w:val="TableParagraph"/>
              <w:spacing w:line="194" w:lineRule="exact"/>
              <w:ind w:left="228"/>
              <w:jc w:val="center"/>
              <w:rPr>
                <w:sz w:val="17"/>
              </w:rPr>
            </w:pPr>
            <w:r>
              <w:rPr>
                <w:w w:val="104"/>
                <w:sz w:val="17"/>
              </w:rPr>
              <w:t>5</w:t>
            </w:r>
          </w:p>
        </w:tc>
        <w:tc>
          <w:tcPr>
            <w:tcW w:w="2189" w:type="dxa"/>
          </w:tcPr>
          <w:p>
            <w:pPr>
              <w:pStyle w:val="TableParagraph"/>
              <w:spacing w:line="194" w:lineRule="exact"/>
              <w:ind w:left="444" w:right="444"/>
              <w:jc w:val="center"/>
              <w:rPr>
                <w:sz w:val="17"/>
              </w:rPr>
            </w:pPr>
            <w:r>
              <w:rPr>
                <w:w w:val="105"/>
                <w:sz w:val="17"/>
              </w:rPr>
              <w:t>32.11</w:t>
            </w:r>
          </w:p>
        </w:tc>
        <w:tc>
          <w:tcPr>
            <w:tcW w:w="2179" w:type="dxa"/>
          </w:tcPr>
          <w:p>
            <w:pPr>
              <w:pStyle w:val="TableParagraph"/>
              <w:spacing w:line="194" w:lineRule="exact"/>
              <w:ind w:left="463" w:right="463"/>
              <w:jc w:val="center"/>
              <w:rPr>
                <w:sz w:val="17"/>
              </w:rPr>
            </w:pPr>
            <w:r>
              <w:rPr>
                <w:w w:val="105"/>
                <w:sz w:val="17"/>
              </w:rPr>
              <w:t>71.68</w:t>
            </w:r>
          </w:p>
        </w:tc>
        <w:tc>
          <w:tcPr>
            <w:tcW w:w="2189" w:type="dxa"/>
          </w:tcPr>
          <w:p>
            <w:pPr>
              <w:pStyle w:val="TableParagraph"/>
              <w:spacing w:line="194" w:lineRule="exact"/>
              <w:ind w:left="444" w:right="444"/>
              <w:jc w:val="center"/>
              <w:rPr>
                <w:sz w:val="17"/>
              </w:rPr>
            </w:pPr>
            <w:r>
              <w:rPr>
                <w:w w:val="105"/>
                <w:sz w:val="17"/>
              </w:rPr>
              <w:t>26.92</w:t>
            </w:r>
          </w:p>
        </w:tc>
      </w:tr>
      <w:tr>
        <w:trPr>
          <w:trHeight w:val="312" w:hRule="exact"/>
        </w:trPr>
        <w:tc>
          <w:tcPr>
            <w:tcW w:w="2184" w:type="dxa"/>
          </w:tcPr>
          <w:p>
            <w:pPr>
              <w:pStyle w:val="TableParagraph"/>
              <w:spacing w:line="194" w:lineRule="exact"/>
              <w:ind w:left="228"/>
              <w:jc w:val="center"/>
              <w:rPr>
                <w:sz w:val="17"/>
              </w:rPr>
            </w:pPr>
            <w:r>
              <w:rPr>
                <w:w w:val="104"/>
                <w:sz w:val="17"/>
              </w:rPr>
              <w:t>6</w:t>
            </w:r>
          </w:p>
        </w:tc>
        <w:tc>
          <w:tcPr>
            <w:tcW w:w="2189" w:type="dxa"/>
          </w:tcPr>
          <w:p>
            <w:pPr>
              <w:pStyle w:val="TableParagraph"/>
              <w:spacing w:line="194" w:lineRule="exact"/>
              <w:ind w:left="444" w:right="444"/>
              <w:jc w:val="center"/>
              <w:rPr>
                <w:sz w:val="17"/>
              </w:rPr>
            </w:pPr>
            <w:r>
              <w:rPr>
                <w:w w:val="105"/>
                <w:sz w:val="17"/>
              </w:rPr>
              <w:t>42.43</w:t>
            </w:r>
          </w:p>
        </w:tc>
        <w:tc>
          <w:tcPr>
            <w:tcW w:w="2179" w:type="dxa"/>
          </w:tcPr>
          <w:p>
            <w:pPr>
              <w:pStyle w:val="TableParagraph"/>
              <w:spacing w:line="194" w:lineRule="exact"/>
              <w:ind w:left="463" w:right="463"/>
              <w:jc w:val="center"/>
              <w:rPr>
                <w:sz w:val="17"/>
              </w:rPr>
            </w:pPr>
            <w:r>
              <w:rPr>
                <w:w w:val="105"/>
                <w:sz w:val="17"/>
              </w:rPr>
              <w:t>71.21</w:t>
            </w:r>
          </w:p>
        </w:tc>
        <w:tc>
          <w:tcPr>
            <w:tcW w:w="2189" w:type="dxa"/>
          </w:tcPr>
          <w:p>
            <w:pPr>
              <w:pStyle w:val="TableParagraph"/>
              <w:spacing w:line="194" w:lineRule="exact"/>
              <w:ind w:left="444" w:right="444"/>
              <w:jc w:val="center"/>
              <w:rPr>
                <w:sz w:val="17"/>
              </w:rPr>
            </w:pPr>
            <w:r>
              <w:rPr>
                <w:w w:val="105"/>
                <w:sz w:val="17"/>
              </w:rPr>
              <w:t>28.39</w:t>
            </w:r>
          </w:p>
        </w:tc>
      </w:tr>
      <w:tr>
        <w:trPr>
          <w:trHeight w:val="312" w:hRule="exact"/>
        </w:trPr>
        <w:tc>
          <w:tcPr>
            <w:tcW w:w="2184" w:type="dxa"/>
          </w:tcPr>
          <w:p>
            <w:pPr>
              <w:pStyle w:val="TableParagraph"/>
              <w:spacing w:line="194" w:lineRule="exact"/>
              <w:ind w:left="228"/>
              <w:jc w:val="center"/>
              <w:rPr>
                <w:sz w:val="17"/>
              </w:rPr>
            </w:pPr>
            <w:r>
              <w:rPr>
                <w:w w:val="104"/>
                <w:sz w:val="17"/>
              </w:rPr>
              <w:t>7</w:t>
            </w:r>
          </w:p>
        </w:tc>
        <w:tc>
          <w:tcPr>
            <w:tcW w:w="2189" w:type="dxa"/>
          </w:tcPr>
          <w:p>
            <w:pPr>
              <w:pStyle w:val="TableParagraph"/>
              <w:spacing w:line="194" w:lineRule="exact"/>
              <w:ind w:left="444" w:right="444"/>
              <w:jc w:val="center"/>
              <w:rPr>
                <w:sz w:val="17"/>
              </w:rPr>
            </w:pPr>
            <w:r>
              <w:rPr>
                <w:w w:val="105"/>
                <w:sz w:val="17"/>
              </w:rPr>
              <w:t>23.13</w:t>
            </w:r>
          </w:p>
        </w:tc>
        <w:tc>
          <w:tcPr>
            <w:tcW w:w="2179" w:type="dxa"/>
          </w:tcPr>
          <w:p>
            <w:pPr>
              <w:pStyle w:val="TableParagraph"/>
              <w:spacing w:line="194" w:lineRule="exact"/>
              <w:ind w:left="463" w:right="463"/>
              <w:jc w:val="center"/>
              <w:rPr>
                <w:sz w:val="17"/>
              </w:rPr>
            </w:pPr>
            <w:r>
              <w:rPr>
                <w:w w:val="105"/>
                <w:sz w:val="17"/>
              </w:rPr>
              <w:t>86.40</w:t>
            </w:r>
          </w:p>
        </w:tc>
        <w:tc>
          <w:tcPr>
            <w:tcW w:w="2189" w:type="dxa"/>
          </w:tcPr>
          <w:p>
            <w:pPr>
              <w:pStyle w:val="TableParagraph"/>
              <w:spacing w:line="194" w:lineRule="exact"/>
              <w:ind w:left="444" w:right="444"/>
              <w:jc w:val="center"/>
              <w:rPr>
                <w:sz w:val="17"/>
              </w:rPr>
            </w:pPr>
            <w:r>
              <w:rPr>
                <w:w w:val="105"/>
                <w:sz w:val="17"/>
              </w:rPr>
              <w:t>29.67</w:t>
            </w:r>
          </w:p>
        </w:tc>
      </w:tr>
      <w:tr>
        <w:trPr>
          <w:trHeight w:val="317" w:hRule="exact"/>
        </w:trPr>
        <w:tc>
          <w:tcPr>
            <w:tcW w:w="2184" w:type="dxa"/>
          </w:tcPr>
          <w:p>
            <w:pPr>
              <w:pStyle w:val="TableParagraph"/>
              <w:spacing w:before="3"/>
              <w:ind w:left="228"/>
              <w:jc w:val="center"/>
              <w:rPr>
                <w:sz w:val="17"/>
              </w:rPr>
            </w:pPr>
            <w:r>
              <w:rPr>
                <w:w w:val="104"/>
                <w:sz w:val="17"/>
              </w:rPr>
              <w:t>8</w:t>
            </w:r>
          </w:p>
        </w:tc>
        <w:tc>
          <w:tcPr>
            <w:tcW w:w="2189" w:type="dxa"/>
          </w:tcPr>
          <w:p>
            <w:pPr>
              <w:pStyle w:val="TableParagraph"/>
              <w:spacing w:before="3"/>
              <w:ind w:left="444" w:right="444"/>
              <w:jc w:val="center"/>
              <w:rPr>
                <w:sz w:val="17"/>
              </w:rPr>
            </w:pPr>
            <w:r>
              <w:rPr>
                <w:w w:val="105"/>
                <w:sz w:val="17"/>
              </w:rPr>
              <w:t>32.96</w:t>
            </w:r>
          </w:p>
        </w:tc>
        <w:tc>
          <w:tcPr>
            <w:tcW w:w="2179" w:type="dxa"/>
          </w:tcPr>
          <w:p>
            <w:pPr>
              <w:pStyle w:val="TableParagraph"/>
              <w:spacing w:before="3"/>
              <w:ind w:left="463" w:right="463"/>
              <w:jc w:val="center"/>
              <w:rPr>
                <w:sz w:val="17"/>
              </w:rPr>
            </w:pPr>
            <w:r>
              <w:rPr>
                <w:w w:val="105"/>
                <w:sz w:val="17"/>
              </w:rPr>
              <w:t>86.73</w:t>
            </w:r>
          </w:p>
        </w:tc>
        <w:tc>
          <w:tcPr>
            <w:tcW w:w="2189" w:type="dxa"/>
          </w:tcPr>
          <w:p>
            <w:pPr>
              <w:pStyle w:val="TableParagraph"/>
              <w:spacing w:before="3"/>
              <w:ind w:left="444" w:right="444"/>
              <w:jc w:val="center"/>
              <w:rPr>
                <w:sz w:val="17"/>
              </w:rPr>
            </w:pPr>
            <w:r>
              <w:rPr>
                <w:w w:val="105"/>
                <w:sz w:val="17"/>
              </w:rPr>
              <w:t>31.88</w:t>
            </w:r>
          </w:p>
        </w:tc>
      </w:tr>
      <w:tr>
        <w:trPr>
          <w:trHeight w:val="307" w:hRule="exact"/>
        </w:trPr>
        <w:tc>
          <w:tcPr>
            <w:tcW w:w="2184" w:type="dxa"/>
          </w:tcPr>
          <w:p>
            <w:pPr>
              <w:pStyle w:val="TableParagraph"/>
              <w:spacing w:line="194" w:lineRule="exact"/>
              <w:ind w:left="228"/>
              <w:jc w:val="center"/>
              <w:rPr>
                <w:sz w:val="17"/>
              </w:rPr>
            </w:pPr>
            <w:r>
              <w:rPr>
                <w:w w:val="104"/>
                <w:sz w:val="17"/>
              </w:rPr>
              <w:t>9</w:t>
            </w:r>
          </w:p>
        </w:tc>
        <w:tc>
          <w:tcPr>
            <w:tcW w:w="2189" w:type="dxa"/>
          </w:tcPr>
          <w:p>
            <w:pPr>
              <w:pStyle w:val="TableParagraph"/>
              <w:spacing w:line="194" w:lineRule="exact"/>
              <w:ind w:left="444" w:right="444"/>
              <w:jc w:val="center"/>
              <w:rPr>
                <w:sz w:val="17"/>
              </w:rPr>
            </w:pPr>
            <w:r>
              <w:rPr>
                <w:w w:val="105"/>
                <w:sz w:val="17"/>
              </w:rPr>
              <w:t>43.06</w:t>
            </w:r>
          </w:p>
        </w:tc>
        <w:tc>
          <w:tcPr>
            <w:tcW w:w="2179" w:type="dxa"/>
          </w:tcPr>
          <w:p>
            <w:pPr>
              <w:pStyle w:val="TableParagraph"/>
              <w:spacing w:line="194" w:lineRule="exact"/>
              <w:ind w:left="463" w:right="463"/>
              <w:jc w:val="center"/>
              <w:rPr>
                <w:sz w:val="17"/>
              </w:rPr>
            </w:pPr>
            <w:r>
              <w:rPr>
                <w:w w:val="105"/>
                <w:sz w:val="17"/>
              </w:rPr>
              <w:t>86.31</w:t>
            </w:r>
          </w:p>
        </w:tc>
        <w:tc>
          <w:tcPr>
            <w:tcW w:w="2189" w:type="dxa"/>
          </w:tcPr>
          <w:p>
            <w:pPr>
              <w:pStyle w:val="TableParagraph"/>
              <w:spacing w:line="194" w:lineRule="exact"/>
              <w:ind w:left="444" w:right="444"/>
              <w:jc w:val="center"/>
              <w:rPr>
                <w:sz w:val="17"/>
              </w:rPr>
            </w:pPr>
            <w:r>
              <w:rPr>
                <w:w w:val="105"/>
                <w:sz w:val="17"/>
              </w:rPr>
              <w:t>35.44</w:t>
            </w:r>
          </w:p>
        </w:tc>
      </w:tr>
      <w:tr>
        <w:trPr>
          <w:trHeight w:val="614" w:hRule="exact"/>
        </w:trPr>
        <w:tc>
          <w:tcPr>
            <w:tcW w:w="2184" w:type="dxa"/>
          </w:tcPr>
          <w:p>
            <w:pPr>
              <w:pStyle w:val="TableParagraph"/>
              <w:spacing w:line="372" w:lineRule="auto"/>
              <w:ind w:left="100"/>
              <w:jc w:val="left"/>
              <w:rPr>
                <w:b/>
                <w:sz w:val="17"/>
              </w:rPr>
            </w:pPr>
            <w:r>
              <w:rPr>
                <w:b/>
                <w:w w:val="105"/>
                <w:sz w:val="17"/>
              </w:rPr>
              <w:t>Aciertos totales del instrumento</w:t>
            </w:r>
          </w:p>
        </w:tc>
        <w:tc>
          <w:tcPr>
            <w:tcW w:w="2189" w:type="dxa"/>
          </w:tcPr>
          <w:p>
            <w:pPr>
              <w:pStyle w:val="TableParagraph"/>
              <w:spacing w:line="194" w:lineRule="exact"/>
              <w:ind w:left="444" w:right="442"/>
              <w:jc w:val="center"/>
              <w:rPr>
                <w:sz w:val="17"/>
              </w:rPr>
            </w:pPr>
            <w:r>
              <w:rPr>
                <w:w w:val="105"/>
                <w:sz w:val="17"/>
              </w:rPr>
              <w:t>58</w:t>
            </w:r>
          </w:p>
        </w:tc>
        <w:tc>
          <w:tcPr>
            <w:tcW w:w="2179" w:type="dxa"/>
          </w:tcPr>
          <w:p>
            <w:pPr>
              <w:pStyle w:val="TableParagraph"/>
              <w:spacing w:line="194" w:lineRule="exact"/>
              <w:ind w:left="463" w:right="463"/>
              <w:jc w:val="center"/>
              <w:rPr>
                <w:sz w:val="17"/>
              </w:rPr>
            </w:pPr>
            <w:r>
              <w:rPr>
                <w:w w:val="105"/>
                <w:sz w:val="17"/>
              </w:rPr>
              <w:t>124</w:t>
            </w:r>
          </w:p>
        </w:tc>
        <w:tc>
          <w:tcPr>
            <w:tcW w:w="2189" w:type="dxa"/>
          </w:tcPr>
          <w:p>
            <w:pPr>
              <w:pStyle w:val="TableParagraph"/>
              <w:spacing w:line="194" w:lineRule="exact"/>
              <w:ind w:left="444" w:right="442"/>
              <w:jc w:val="center"/>
              <w:rPr>
                <w:sz w:val="17"/>
              </w:rPr>
            </w:pPr>
            <w:r>
              <w:rPr>
                <w:w w:val="105"/>
                <w:sz w:val="17"/>
              </w:rPr>
              <w:t>59</w:t>
            </w:r>
          </w:p>
        </w:tc>
      </w:tr>
      <w:tr>
        <w:trPr>
          <w:trHeight w:val="317" w:hRule="exact"/>
        </w:trPr>
        <w:tc>
          <w:tcPr>
            <w:tcW w:w="2184" w:type="dxa"/>
          </w:tcPr>
          <w:p>
            <w:pPr>
              <w:pStyle w:val="TableParagraph"/>
              <w:spacing w:line="190" w:lineRule="exact"/>
              <w:ind w:left="100"/>
              <w:jc w:val="left"/>
              <w:rPr>
                <w:b/>
                <w:sz w:val="17"/>
              </w:rPr>
            </w:pPr>
            <w:r>
              <w:rPr>
                <w:b/>
                <w:w w:val="105"/>
                <w:sz w:val="17"/>
              </w:rPr>
              <w:t>Media (Aciertos)</w:t>
            </w:r>
          </w:p>
        </w:tc>
        <w:tc>
          <w:tcPr>
            <w:tcW w:w="2189" w:type="dxa"/>
          </w:tcPr>
          <w:p>
            <w:pPr>
              <w:pStyle w:val="TableParagraph"/>
              <w:spacing w:line="194" w:lineRule="exact"/>
              <w:ind w:left="444" w:right="444"/>
              <w:jc w:val="center"/>
              <w:rPr>
                <w:sz w:val="17"/>
              </w:rPr>
            </w:pPr>
            <w:r>
              <w:rPr>
                <w:w w:val="105"/>
                <w:sz w:val="17"/>
              </w:rPr>
              <w:t>32.91</w:t>
            </w:r>
          </w:p>
        </w:tc>
        <w:tc>
          <w:tcPr>
            <w:tcW w:w="2179" w:type="dxa"/>
          </w:tcPr>
          <w:p>
            <w:pPr>
              <w:pStyle w:val="TableParagraph"/>
              <w:spacing w:line="194" w:lineRule="exact"/>
              <w:ind w:left="463" w:right="463"/>
              <w:jc w:val="center"/>
              <w:rPr>
                <w:sz w:val="17"/>
              </w:rPr>
            </w:pPr>
            <w:r>
              <w:rPr>
                <w:w w:val="105"/>
                <w:sz w:val="17"/>
              </w:rPr>
              <w:t>71.86</w:t>
            </w:r>
          </w:p>
        </w:tc>
        <w:tc>
          <w:tcPr>
            <w:tcW w:w="2189" w:type="dxa"/>
          </w:tcPr>
          <w:p>
            <w:pPr>
              <w:pStyle w:val="TableParagraph"/>
              <w:spacing w:line="194" w:lineRule="exact"/>
              <w:ind w:left="444" w:right="444"/>
              <w:jc w:val="center"/>
              <w:rPr>
                <w:sz w:val="17"/>
              </w:rPr>
            </w:pPr>
            <w:r>
              <w:rPr>
                <w:w w:val="105"/>
                <w:sz w:val="17"/>
              </w:rPr>
              <w:t>26.67</w:t>
            </w:r>
          </w:p>
        </w:tc>
      </w:tr>
      <w:tr>
        <w:trPr>
          <w:trHeight w:val="610" w:hRule="exact"/>
        </w:trPr>
        <w:tc>
          <w:tcPr>
            <w:tcW w:w="2184" w:type="dxa"/>
          </w:tcPr>
          <w:p>
            <w:pPr>
              <w:pStyle w:val="TableParagraph"/>
              <w:spacing w:line="364" w:lineRule="auto"/>
              <w:ind w:left="100" w:right="183"/>
              <w:jc w:val="left"/>
              <w:rPr>
                <w:b/>
                <w:sz w:val="17"/>
              </w:rPr>
            </w:pPr>
            <w:r>
              <w:rPr>
                <w:b/>
                <w:w w:val="105"/>
                <w:sz w:val="17"/>
              </w:rPr>
              <w:t>Índice de aciertos </w:t>
            </w:r>
            <w:r>
              <w:rPr>
                <w:b/>
                <w:sz w:val="17"/>
              </w:rPr>
              <w:t>estudiantes  japoneses</w:t>
            </w:r>
          </w:p>
        </w:tc>
        <w:tc>
          <w:tcPr>
            <w:tcW w:w="2189" w:type="dxa"/>
          </w:tcPr>
          <w:p>
            <w:pPr>
              <w:pStyle w:val="TableParagraph"/>
              <w:spacing w:line="190" w:lineRule="exact"/>
              <w:ind w:left="444" w:right="444"/>
              <w:jc w:val="center"/>
              <w:rPr>
                <w:b/>
                <w:sz w:val="17"/>
              </w:rPr>
            </w:pPr>
            <w:r>
              <w:rPr>
                <w:b/>
                <w:w w:val="105"/>
                <w:sz w:val="17"/>
              </w:rPr>
              <w:t>5.67</w:t>
            </w:r>
          </w:p>
        </w:tc>
        <w:tc>
          <w:tcPr>
            <w:tcW w:w="2179" w:type="dxa"/>
          </w:tcPr>
          <w:p>
            <w:pPr>
              <w:pStyle w:val="TableParagraph"/>
              <w:spacing w:line="190" w:lineRule="exact"/>
              <w:ind w:left="465" w:right="463"/>
              <w:jc w:val="center"/>
              <w:rPr>
                <w:b/>
                <w:sz w:val="17"/>
              </w:rPr>
            </w:pPr>
            <w:r>
              <w:rPr>
                <w:b/>
                <w:w w:val="105"/>
                <w:sz w:val="17"/>
              </w:rPr>
              <w:t>5.79</w:t>
            </w:r>
          </w:p>
        </w:tc>
        <w:tc>
          <w:tcPr>
            <w:tcW w:w="2189" w:type="dxa"/>
          </w:tcPr>
          <w:p>
            <w:pPr>
              <w:pStyle w:val="TableParagraph"/>
              <w:spacing w:line="190" w:lineRule="exact"/>
              <w:ind w:left="444" w:right="437"/>
              <w:jc w:val="center"/>
              <w:rPr>
                <w:b/>
                <w:sz w:val="17"/>
              </w:rPr>
            </w:pPr>
            <w:r>
              <w:rPr>
                <w:b/>
                <w:w w:val="105"/>
                <w:sz w:val="17"/>
              </w:rPr>
              <w:t>4.52</w:t>
            </w:r>
          </w:p>
        </w:tc>
      </w:tr>
      <w:tr>
        <w:trPr>
          <w:trHeight w:val="617" w:hRule="exact"/>
        </w:trPr>
        <w:tc>
          <w:tcPr>
            <w:tcW w:w="2184" w:type="dxa"/>
            <w:tcBorders>
              <w:bottom w:val="single" w:sz="2" w:space="0" w:color="000000"/>
            </w:tcBorders>
          </w:tcPr>
          <w:p>
            <w:pPr>
              <w:pStyle w:val="TableParagraph"/>
              <w:spacing w:line="372" w:lineRule="auto"/>
              <w:ind w:left="100" w:right="136"/>
              <w:jc w:val="left"/>
              <w:rPr>
                <w:b/>
                <w:sz w:val="17"/>
              </w:rPr>
            </w:pPr>
            <w:r>
              <w:rPr>
                <w:b/>
                <w:w w:val="105"/>
                <w:sz w:val="17"/>
              </w:rPr>
              <w:t>Índice de aciertos </w:t>
            </w:r>
            <w:r>
              <w:rPr>
                <w:b/>
                <w:sz w:val="17"/>
              </w:rPr>
              <w:t>estudiantes  mexicanos</w:t>
            </w:r>
          </w:p>
        </w:tc>
        <w:tc>
          <w:tcPr>
            <w:tcW w:w="2189" w:type="dxa"/>
            <w:tcBorders>
              <w:bottom w:val="single" w:sz="2" w:space="0" w:color="000000"/>
            </w:tcBorders>
          </w:tcPr>
          <w:p>
            <w:pPr>
              <w:pStyle w:val="TableParagraph"/>
              <w:spacing w:line="190" w:lineRule="exact"/>
              <w:ind w:left="444" w:right="444"/>
              <w:jc w:val="center"/>
              <w:rPr>
                <w:b/>
                <w:sz w:val="17"/>
              </w:rPr>
            </w:pPr>
            <w:r>
              <w:rPr>
                <w:b/>
                <w:w w:val="105"/>
                <w:sz w:val="17"/>
              </w:rPr>
              <w:t>5.87</w:t>
            </w:r>
          </w:p>
        </w:tc>
        <w:tc>
          <w:tcPr>
            <w:tcW w:w="2179" w:type="dxa"/>
            <w:tcBorders>
              <w:bottom w:val="single" w:sz="2" w:space="0" w:color="000000"/>
            </w:tcBorders>
          </w:tcPr>
          <w:p>
            <w:pPr>
              <w:pStyle w:val="TableParagraph"/>
              <w:spacing w:line="190" w:lineRule="exact"/>
              <w:ind w:left="465" w:right="463"/>
              <w:jc w:val="center"/>
              <w:rPr>
                <w:b/>
                <w:sz w:val="17"/>
              </w:rPr>
            </w:pPr>
            <w:r>
              <w:rPr>
                <w:b/>
                <w:w w:val="105"/>
                <w:sz w:val="17"/>
              </w:rPr>
              <w:t>5.20</w:t>
            </w:r>
          </w:p>
        </w:tc>
        <w:tc>
          <w:tcPr>
            <w:tcW w:w="2189" w:type="dxa"/>
            <w:tcBorders>
              <w:bottom w:val="single" w:sz="2" w:space="0" w:color="000000"/>
            </w:tcBorders>
          </w:tcPr>
          <w:p>
            <w:pPr>
              <w:pStyle w:val="TableParagraph"/>
              <w:spacing w:line="190" w:lineRule="exact"/>
              <w:ind w:left="444" w:right="437"/>
              <w:jc w:val="center"/>
              <w:rPr>
                <w:b/>
                <w:sz w:val="17"/>
              </w:rPr>
            </w:pPr>
            <w:r>
              <w:rPr>
                <w:b/>
                <w:w w:val="105"/>
                <w:sz w:val="17"/>
              </w:rPr>
              <w:t>3.81</w:t>
            </w:r>
          </w:p>
        </w:tc>
      </w:tr>
    </w:tbl>
    <w:p>
      <w:pPr>
        <w:pStyle w:val="BodyText"/>
        <w:rPr>
          <w:sz w:val="20"/>
        </w:rPr>
      </w:pPr>
    </w:p>
    <w:p>
      <w:pPr>
        <w:pStyle w:val="BodyText"/>
        <w:spacing w:before="6"/>
        <w:rPr>
          <w:sz w:val="27"/>
        </w:rPr>
      </w:pPr>
    </w:p>
    <w:p>
      <w:pPr>
        <w:spacing w:before="81"/>
        <w:ind w:left="2769" w:right="0" w:firstLine="0"/>
        <w:jc w:val="left"/>
        <w:rPr>
          <w:sz w:val="19"/>
        </w:rPr>
      </w:pPr>
      <w:r>
        <w:rPr/>
        <w:drawing>
          <wp:anchor distT="0" distB="0" distL="0" distR="0" allowOverlap="1" layoutInCell="1" locked="0" behindDoc="0" simplePos="0" relativeHeight="1384">
            <wp:simplePos x="0" y="0"/>
            <wp:positionH relativeFrom="page">
              <wp:posOffset>1072896</wp:posOffset>
            </wp:positionH>
            <wp:positionV relativeFrom="paragraph">
              <wp:posOffset>265187</wp:posOffset>
            </wp:positionV>
            <wp:extent cx="4468368" cy="2676144"/>
            <wp:effectExtent l="0" t="0" r="0" b="0"/>
            <wp:wrapTopAndBottom/>
            <wp:docPr id="21" name="image19.png" descr=""/>
            <wp:cNvGraphicFramePr>
              <a:graphicFrameLocks noChangeAspect="1"/>
            </wp:cNvGraphicFramePr>
            <a:graphic>
              <a:graphicData uri="http://schemas.openxmlformats.org/drawingml/2006/picture">
                <pic:pic>
                  <pic:nvPicPr>
                    <pic:cNvPr id="22" name="image19.png"/>
                    <pic:cNvPicPr/>
                  </pic:nvPicPr>
                  <pic:blipFill>
                    <a:blip r:embed="rId31" cstate="print"/>
                    <a:stretch>
                      <a:fillRect/>
                    </a:stretch>
                  </pic:blipFill>
                  <pic:spPr>
                    <a:xfrm>
                      <a:off x="0" y="0"/>
                      <a:ext cx="4468368" cy="2676144"/>
                    </a:xfrm>
                    <a:prstGeom prst="rect">
                      <a:avLst/>
                    </a:prstGeom>
                  </pic:spPr>
                </pic:pic>
              </a:graphicData>
            </a:graphic>
          </wp:anchor>
        </w:drawing>
      </w:r>
      <w:r>
        <w:rPr>
          <w:w w:val="105"/>
          <w:sz w:val="19"/>
        </w:rPr>
        <w:t>Gráfica 3.5. Comparación de resultados.</w:t>
      </w:r>
    </w:p>
    <w:p>
      <w:pPr>
        <w:spacing w:after="0"/>
        <w:jc w:val="left"/>
        <w:rPr>
          <w:sz w:val="19"/>
        </w:rPr>
        <w:sectPr>
          <w:pgSz w:w="11910" w:h="16840"/>
          <w:pgMar w:header="1424" w:footer="0" w:top="1840" w:bottom="280" w:left="144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pStyle w:val="Heading3"/>
        <w:spacing w:line="244" w:lineRule="auto" w:before="73"/>
        <w:ind w:left="3773" w:right="213" w:hanging="3471"/>
        <w:jc w:val="left"/>
      </w:pPr>
      <w:bookmarkStart w:name="_bookmark45" w:id="71"/>
      <w:bookmarkEnd w:id="71"/>
      <w:r>
        <w:rPr>
          <w:b w:val="0"/>
        </w:rPr>
      </w:r>
      <w:r>
        <w:rPr/>
        <w:t>ANEXO I. INSTRUMENTO DE COMPRESIÓN DE LECTURA EN LA LENGUA ESPAÑOLA</w:t>
      </w:r>
    </w:p>
    <w:p>
      <w:pPr>
        <w:spacing w:after="0" w:line="244" w:lineRule="auto"/>
        <w:jc w:val="left"/>
        <w:sectPr>
          <w:pgSz w:w="11910" w:h="16840"/>
          <w:pgMar w:header="1424" w:footer="0" w:top="1840" w:bottom="280" w:left="1540" w:right="1540"/>
        </w:sectPr>
      </w:pPr>
    </w:p>
    <w:p>
      <w:pPr>
        <w:pStyle w:val="BodyText"/>
        <w:spacing w:before="4"/>
        <w:rPr>
          <w:b/>
          <w:sz w:val="18"/>
        </w:rPr>
      </w:pPr>
    </w:p>
    <w:p>
      <w:pPr>
        <w:spacing w:before="68"/>
        <w:ind w:left="1932" w:right="1927" w:firstLine="0"/>
        <w:jc w:val="center"/>
        <w:rPr>
          <w:rFonts w:ascii="Tahoma" w:hAnsi="Tahoma"/>
          <w:sz w:val="21"/>
        </w:rPr>
      </w:pPr>
      <w:r>
        <w:rPr>
          <w:rFonts w:ascii="Tahoma" w:hAnsi="Tahoma"/>
          <w:sz w:val="21"/>
        </w:rPr>
        <w:t>UNIVERSIDAD AUTÓNOMA DEL ESTADO DE MÉXICO FACULTAD DE LENGUAS</w:t>
      </w:r>
    </w:p>
    <w:p>
      <w:pPr>
        <w:pStyle w:val="BodyText"/>
        <w:spacing w:before="11"/>
        <w:rPr>
          <w:rFonts w:ascii="Tahoma"/>
          <w:sz w:val="21"/>
        </w:rPr>
      </w:pPr>
    </w:p>
    <w:p>
      <w:pPr>
        <w:spacing w:before="0"/>
        <w:ind w:left="1020" w:right="1014" w:firstLine="0"/>
        <w:jc w:val="center"/>
        <w:rPr>
          <w:rFonts w:ascii="Tahoma" w:hAnsi="Tahoma"/>
          <w:sz w:val="21"/>
        </w:rPr>
      </w:pPr>
      <w:r>
        <w:rPr>
          <w:rFonts w:ascii="Tahoma" w:hAnsi="Tahoma"/>
          <w:sz w:val="21"/>
        </w:rPr>
        <w:t>EXAMEN DE COMPRENSIÓN DE LECTURA EN  ESPAÑOL</w:t>
      </w:r>
    </w:p>
    <w:p>
      <w:pPr>
        <w:spacing w:before="5"/>
        <w:ind w:left="1020" w:right="1015" w:firstLine="0"/>
        <w:jc w:val="center"/>
        <w:rPr>
          <w:rFonts w:ascii="Tahoma"/>
          <w:sz w:val="21"/>
        </w:rPr>
      </w:pPr>
      <w:r>
        <w:rPr>
          <w:rFonts w:ascii="Tahoma"/>
          <w:sz w:val="21"/>
        </w:rPr>
        <w:t>(25 Minutos)</w:t>
      </w:r>
    </w:p>
    <w:p>
      <w:pPr>
        <w:pStyle w:val="BodyText"/>
        <w:rPr>
          <w:rFonts w:ascii="Tahoma"/>
          <w:sz w:val="20"/>
        </w:rPr>
      </w:pPr>
    </w:p>
    <w:p>
      <w:pPr>
        <w:pStyle w:val="BodyText"/>
        <w:rPr>
          <w:rFonts w:ascii="Tahoma"/>
          <w:sz w:val="20"/>
        </w:rPr>
      </w:pPr>
    </w:p>
    <w:p>
      <w:pPr>
        <w:pStyle w:val="BodyText"/>
        <w:spacing w:before="6"/>
        <w:rPr>
          <w:rFonts w:ascii="Tahoma"/>
          <w:sz w:val="24"/>
        </w:rPr>
      </w:pPr>
    </w:p>
    <w:p>
      <w:pPr>
        <w:spacing w:line="244" w:lineRule="auto" w:before="0"/>
        <w:ind w:left="115" w:right="105" w:firstLine="0"/>
        <w:jc w:val="both"/>
        <w:rPr>
          <w:rFonts w:ascii="Tahoma" w:hAnsi="Tahoma"/>
          <w:b/>
          <w:sz w:val="21"/>
        </w:rPr>
      </w:pPr>
      <w:r>
        <w:rPr>
          <w:rFonts w:ascii="Tahoma" w:hAnsi="Tahoma"/>
          <w:b/>
          <w:sz w:val="21"/>
        </w:rPr>
        <w:t>INSTRUCCIONES: A continuación encontrarás cuatro textos con preguntas de opción múltiple para cada uno. Marca en tu hoja de respuestas la opción que mejor responda a la pregunta como se indica en el  ejemplo.</w:t>
      </w:r>
    </w:p>
    <w:p>
      <w:pPr>
        <w:pStyle w:val="BodyText"/>
        <w:rPr>
          <w:rFonts w:ascii="Tahoma"/>
          <w:b/>
          <w:sz w:val="20"/>
        </w:rPr>
      </w:pPr>
    </w:p>
    <w:p>
      <w:pPr>
        <w:pStyle w:val="BodyText"/>
        <w:spacing w:before="6"/>
        <w:rPr>
          <w:rFonts w:ascii="Tahoma"/>
          <w:b/>
          <w:sz w:val="20"/>
        </w:rPr>
      </w:pPr>
    </w:p>
    <w:p>
      <w:pPr>
        <w:spacing w:before="0"/>
        <w:ind w:left="115" w:right="0" w:firstLine="0"/>
        <w:jc w:val="both"/>
        <w:rPr>
          <w:sz w:val="21"/>
        </w:rPr>
      </w:pPr>
      <w:r>
        <w:rPr>
          <w:sz w:val="21"/>
        </w:rPr>
        <w:t>Pregunta 0</w:t>
      </w:r>
    </w:p>
    <w:p>
      <w:pPr>
        <w:pStyle w:val="BodyText"/>
        <w:spacing w:before="6"/>
        <w:rPr>
          <w:sz w:val="21"/>
        </w:rPr>
      </w:pPr>
    </w:p>
    <w:p>
      <w:pPr>
        <w:spacing w:line="244" w:lineRule="auto" w:before="0"/>
        <w:ind w:left="115" w:right="99" w:firstLine="0"/>
        <w:jc w:val="both"/>
        <w:rPr>
          <w:sz w:val="21"/>
        </w:rPr>
      </w:pPr>
      <w:r>
        <w:rPr>
          <w:sz w:val="21"/>
        </w:rPr>
        <w:t>Samuel Barclay Beckett fue un novelista, dramaturgo, crítico y poeta irlandés, uno de </w:t>
      </w:r>
      <w:r>
        <w:rPr>
          <w:spacing w:val="-4"/>
          <w:sz w:val="21"/>
        </w:rPr>
        <w:t>los </w:t>
      </w:r>
      <w:r>
        <w:rPr>
          <w:sz w:val="21"/>
        </w:rPr>
        <w:t>más importantes representantes del experimentalismo literario del siglo </w:t>
      </w:r>
      <w:r>
        <w:rPr>
          <w:spacing w:val="-4"/>
          <w:sz w:val="21"/>
        </w:rPr>
        <w:t>XX, </w:t>
      </w:r>
      <w:r>
        <w:rPr>
          <w:sz w:val="21"/>
        </w:rPr>
        <w:t>dentro del modernismo anglosajón. Fue igualmente figura clave del llamado teatro del absurdo. Escribió </w:t>
      </w:r>
      <w:r>
        <w:rPr>
          <w:spacing w:val="-3"/>
          <w:sz w:val="21"/>
        </w:rPr>
        <w:t>sus </w:t>
      </w:r>
      <w:r>
        <w:rPr>
          <w:sz w:val="21"/>
        </w:rPr>
        <w:t>libros en </w:t>
      </w:r>
      <w:r>
        <w:rPr>
          <w:spacing w:val="-3"/>
          <w:sz w:val="21"/>
        </w:rPr>
        <w:t>inglés </w:t>
      </w:r>
      <w:r>
        <w:rPr>
          <w:sz w:val="21"/>
        </w:rPr>
        <w:t>y francés, y fue asistente  y discípulo del novelista James  Joyce. </w:t>
      </w:r>
      <w:r>
        <w:rPr>
          <w:spacing w:val="-3"/>
          <w:sz w:val="21"/>
        </w:rPr>
        <w:t>Su </w:t>
      </w:r>
      <w:r>
        <w:rPr>
          <w:sz w:val="21"/>
        </w:rPr>
        <w:t>obra </w:t>
      </w:r>
      <w:r>
        <w:rPr>
          <w:spacing w:val="-3"/>
          <w:sz w:val="21"/>
        </w:rPr>
        <w:t>más </w:t>
      </w:r>
      <w:r>
        <w:rPr>
          <w:sz w:val="21"/>
        </w:rPr>
        <w:t>conocida es el drama Esperando a </w:t>
      </w:r>
      <w:r>
        <w:rPr>
          <w:spacing w:val="58"/>
          <w:sz w:val="21"/>
        </w:rPr>
        <w:t> </w:t>
      </w:r>
      <w:hyperlink r:id="rId32">
        <w:r>
          <w:rPr>
            <w:sz w:val="21"/>
          </w:rPr>
          <w:t>Godot.</w:t>
        </w:r>
      </w:hyperlink>
    </w:p>
    <w:p>
      <w:pPr>
        <w:spacing w:line="244" w:lineRule="auto" w:before="3"/>
        <w:ind w:left="115" w:right="104" w:firstLine="0"/>
        <w:jc w:val="both"/>
        <w:rPr>
          <w:sz w:val="21"/>
        </w:rPr>
      </w:pPr>
      <w:r>
        <w:rPr>
          <w:sz w:val="21"/>
        </w:rPr>
        <w:t>La obra de Beckett es fundamentalmente sombría y tendente al minimalismo  </w:t>
      </w:r>
      <w:r>
        <w:rPr>
          <w:spacing w:val="-4"/>
          <w:sz w:val="21"/>
        </w:rPr>
        <w:t>y, </w:t>
      </w:r>
      <w:r>
        <w:rPr>
          <w:spacing w:val="50"/>
          <w:sz w:val="21"/>
        </w:rPr>
        <w:t> </w:t>
      </w:r>
      <w:r>
        <w:rPr>
          <w:sz w:val="21"/>
        </w:rPr>
        <w:t>de  acuerdo con ciertas interpretaciones, profundamente pesimista  (hasta nihilista) acerca  </w:t>
      </w:r>
      <w:r>
        <w:rPr>
          <w:spacing w:val="-3"/>
          <w:sz w:val="21"/>
        </w:rPr>
        <w:t>de  la </w:t>
      </w:r>
      <w:r>
        <w:rPr>
          <w:sz w:val="21"/>
        </w:rPr>
        <w:t>condición humana. </w:t>
      </w:r>
      <w:r>
        <w:rPr>
          <w:spacing w:val="-3"/>
          <w:sz w:val="21"/>
        </w:rPr>
        <w:t>En </w:t>
      </w:r>
      <w:r>
        <w:rPr>
          <w:sz w:val="21"/>
        </w:rPr>
        <w:t>consonancia con esto, con el tiempo sus libros se hicieron progresivamente </w:t>
      </w:r>
      <w:r>
        <w:rPr>
          <w:spacing w:val="-3"/>
          <w:sz w:val="21"/>
        </w:rPr>
        <w:t>más </w:t>
      </w:r>
      <w:r>
        <w:rPr>
          <w:sz w:val="21"/>
        </w:rPr>
        <w:t>crípticos y breves. El pesimismo </w:t>
      </w:r>
      <w:r>
        <w:rPr>
          <w:spacing w:val="-3"/>
          <w:sz w:val="21"/>
        </w:rPr>
        <w:t>de </w:t>
      </w:r>
      <w:r>
        <w:rPr>
          <w:sz w:val="21"/>
        </w:rPr>
        <w:t>Beckett viene sin embargo atemperado por </w:t>
      </w:r>
      <w:r>
        <w:rPr>
          <w:spacing w:val="-3"/>
          <w:sz w:val="21"/>
        </w:rPr>
        <w:t>un </w:t>
      </w:r>
      <w:r>
        <w:rPr>
          <w:sz w:val="21"/>
        </w:rPr>
        <w:t>particular sentido del humor, entre negro y </w:t>
      </w:r>
      <w:r>
        <w:rPr>
          <w:spacing w:val="52"/>
          <w:sz w:val="21"/>
        </w:rPr>
        <w:t> </w:t>
      </w:r>
      <w:r>
        <w:rPr>
          <w:sz w:val="21"/>
        </w:rPr>
        <w:t>sórdido.</w:t>
      </w:r>
    </w:p>
    <w:p>
      <w:pPr>
        <w:pStyle w:val="BodyText"/>
        <w:spacing w:before="6"/>
        <w:rPr>
          <w:sz w:val="21"/>
        </w:rPr>
      </w:pPr>
    </w:p>
    <w:p>
      <w:pPr>
        <w:pStyle w:val="ListParagraph"/>
        <w:numPr>
          <w:ilvl w:val="0"/>
          <w:numId w:val="19"/>
        </w:numPr>
        <w:tabs>
          <w:tab w:pos="817" w:val="left" w:leader="none"/>
        </w:tabs>
        <w:spacing w:line="240" w:lineRule="auto" w:before="0" w:after="0"/>
        <w:ind w:left="816" w:right="0" w:hanging="350"/>
        <w:jc w:val="left"/>
        <w:rPr>
          <w:sz w:val="21"/>
        </w:rPr>
      </w:pPr>
      <w:r>
        <w:rPr>
          <w:sz w:val="21"/>
        </w:rPr>
        <w:t>El tema principal del texto</w:t>
      </w:r>
      <w:r>
        <w:rPr>
          <w:spacing w:val="43"/>
          <w:sz w:val="21"/>
        </w:rPr>
        <w:t> </w:t>
      </w:r>
      <w:r>
        <w:rPr>
          <w:sz w:val="21"/>
        </w:rPr>
        <w:t>es</w:t>
      </w:r>
    </w:p>
    <w:p>
      <w:pPr>
        <w:pStyle w:val="BodyText"/>
        <w:spacing w:before="6"/>
        <w:rPr>
          <w:sz w:val="21"/>
        </w:rPr>
      </w:pPr>
    </w:p>
    <w:p>
      <w:pPr>
        <w:pStyle w:val="ListParagraph"/>
        <w:numPr>
          <w:ilvl w:val="1"/>
          <w:numId w:val="19"/>
        </w:numPr>
        <w:tabs>
          <w:tab w:pos="1868" w:val="left" w:leader="none"/>
        </w:tabs>
        <w:spacing w:line="240" w:lineRule="auto" w:before="0" w:after="0"/>
        <w:ind w:left="1868" w:right="0" w:hanging="351"/>
        <w:jc w:val="left"/>
        <w:rPr>
          <w:sz w:val="21"/>
        </w:rPr>
      </w:pPr>
      <w:r>
        <w:rPr>
          <w:sz w:val="21"/>
        </w:rPr>
        <w:t>Escritores irlandeses del siglo</w:t>
      </w:r>
      <w:r>
        <w:rPr>
          <w:spacing w:val="54"/>
          <w:sz w:val="21"/>
        </w:rPr>
        <w:t> </w:t>
      </w:r>
      <w:r>
        <w:rPr>
          <w:spacing w:val="-3"/>
          <w:sz w:val="21"/>
        </w:rPr>
        <w:t>XX</w:t>
      </w:r>
    </w:p>
    <w:p>
      <w:pPr>
        <w:pStyle w:val="ListParagraph"/>
        <w:numPr>
          <w:ilvl w:val="1"/>
          <w:numId w:val="19"/>
        </w:numPr>
        <w:tabs>
          <w:tab w:pos="1868" w:val="left" w:leader="none"/>
        </w:tabs>
        <w:spacing w:line="240" w:lineRule="auto" w:before="3" w:after="0"/>
        <w:ind w:left="1868" w:right="0" w:hanging="351"/>
        <w:jc w:val="left"/>
        <w:rPr>
          <w:sz w:val="21"/>
        </w:rPr>
      </w:pPr>
      <w:r>
        <w:rPr>
          <w:sz w:val="21"/>
        </w:rPr>
        <w:t>Un escritor</w:t>
      </w:r>
      <w:r>
        <w:rPr>
          <w:spacing w:val="29"/>
          <w:sz w:val="21"/>
        </w:rPr>
        <w:t> </w:t>
      </w:r>
      <w:r>
        <w:rPr>
          <w:sz w:val="21"/>
        </w:rPr>
        <w:t>irlandés</w:t>
      </w:r>
    </w:p>
    <w:p>
      <w:pPr>
        <w:pStyle w:val="ListParagraph"/>
        <w:numPr>
          <w:ilvl w:val="1"/>
          <w:numId w:val="19"/>
        </w:numPr>
        <w:tabs>
          <w:tab w:pos="1868" w:val="left" w:leader="none"/>
        </w:tabs>
        <w:spacing w:line="240" w:lineRule="auto" w:before="8" w:after="0"/>
        <w:ind w:left="1868" w:right="0" w:hanging="351"/>
        <w:jc w:val="left"/>
        <w:rPr>
          <w:sz w:val="21"/>
        </w:rPr>
      </w:pPr>
      <w:r>
        <w:rPr>
          <w:sz w:val="21"/>
        </w:rPr>
        <w:t>Corrientes literarias del inglés y</w:t>
      </w:r>
      <w:r>
        <w:rPr>
          <w:spacing w:val="57"/>
          <w:sz w:val="21"/>
        </w:rPr>
        <w:t> </w:t>
      </w:r>
      <w:r>
        <w:rPr>
          <w:sz w:val="21"/>
        </w:rPr>
        <w:t>francés</w:t>
      </w:r>
    </w:p>
    <w:p>
      <w:pPr>
        <w:pStyle w:val="ListParagraph"/>
        <w:numPr>
          <w:ilvl w:val="1"/>
          <w:numId w:val="19"/>
        </w:numPr>
        <w:tabs>
          <w:tab w:pos="1868" w:val="left" w:leader="none"/>
        </w:tabs>
        <w:spacing w:line="240" w:lineRule="auto" w:before="3" w:after="0"/>
        <w:ind w:left="1868" w:right="0" w:hanging="351"/>
        <w:jc w:val="left"/>
        <w:rPr>
          <w:sz w:val="21"/>
        </w:rPr>
      </w:pPr>
      <w:r>
        <w:rPr>
          <w:sz w:val="21"/>
        </w:rPr>
        <w:t>Novelistas humorísticos del siglo</w:t>
      </w:r>
      <w:r>
        <w:rPr>
          <w:spacing w:val="56"/>
          <w:sz w:val="21"/>
        </w:rPr>
        <w:t> </w:t>
      </w:r>
      <w:r>
        <w:rPr>
          <w:spacing w:val="-3"/>
          <w:sz w:val="21"/>
        </w:rPr>
        <w:t>XX</w:t>
      </w:r>
    </w:p>
    <w:p>
      <w:pPr>
        <w:pStyle w:val="BodyText"/>
        <w:rPr>
          <w:sz w:val="20"/>
        </w:rPr>
      </w:pPr>
    </w:p>
    <w:p>
      <w:pPr>
        <w:pStyle w:val="BodyText"/>
        <w:spacing w:before="9"/>
      </w:pPr>
    </w:p>
    <w:p>
      <w:pPr>
        <w:spacing w:line="244" w:lineRule="auto" w:before="0"/>
        <w:ind w:left="115" w:right="105" w:firstLine="0"/>
        <w:jc w:val="both"/>
        <w:rPr>
          <w:rFonts w:ascii="Tahoma" w:hAnsi="Tahoma"/>
          <w:b/>
          <w:sz w:val="21"/>
        </w:rPr>
      </w:pPr>
      <w:r>
        <w:rPr>
          <w:rFonts w:ascii="Tahoma" w:hAnsi="Tahoma"/>
          <w:b/>
          <w:sz w:val="21"/>
        </w:rPr>
        <w:t>En este caso la respuesta </w:t>
      </w:r>
      <w:r>
        <w:rPr>
          <w:rFonts w:ascii="Tahoma" w:hAnsi="Tahoma"/>
          <w:b/>
          <w:spacing w:val="-4"/>
          <w:sz w:val="21"/>
        </w:rPr>
        <w:t>que </w:t>
      </w:r>
      <w:r>
        <w:rPr>
          <w:rFonts w:ascii="Tahoma" w:hAnsi="Tahoma"/>
          <w:b/>
          <w:sz w:val="21"/>
        </w:rPr>
        <w:t>mejor responde a </w:t>
      </w:r>
      <w:r>
        <w:rPr>
          <w:rFonts w:ascii="Tahoma" w:hAnsi="Tahoma"/>
          <w:b/>
          <w:spacing w:val="-4"/>
          <w:sz w:val="21"/>
        </w:rPr>
        <w:t>la </w:t>
      </w:r>
      <w:r>
        <w:rPr>
          <w:rFonts w:ascii="Tahoma" w:hAnsi="Tahoma"/>
          <w:b/>
          <w:sz w:val="21"/>
        </w:rPr>
        <w:t>pregunta es la opción B, y deberás marcarlo de esta</w:t>
      </w:r>
      <w:r>
        <w:rPr>
          <w:rFonts w:ascii="Tahoma" w:hAnsi="Tahoma"/>
          <w:b/>
          <w:spacing w:val="57"/>
          <w:sz w:val="21"/>
        </w:rPr>
        <w:t> </w:t>
      </w:r>
      <w:r>
        <w:rPr>
          <w:rFonts w:ascii="Tahoma" w:hAnsi="Tahoma"/>
          <w:b/>
          <w:sz w:val="21"/>
        </w:rPr>
        <w:t>manera:</w:t>
      </w:r>
    </w:p>
    <w:p>
      <w:pPr>
        <w:pStyle w:val="BodyText"/>
        <w:spacing w:before="10"/>
        <w:rPr>
          <w:rFonts w:ascii="Tahoma"/>
          <w:b/>
          <w:sz w:val="19"/>
        </w:rPr>
      </w:pPr>
    </w:p>
    <w:p>
      <w:pPr>
        <w:pStyle w:val="ListParagraph"/>
        <w:numPr>
          <w:ilvl w:val="0"/>
          <w:numId w:val="20"/>
        </w:numPr>
        <w:tabs>
          <w:tab w:pos="803" w:val="left" w:leader="none"/>
        </w:tabs>
        <w:spacing w:line="240" w:lineRule="auto" w:before="0" w:after="0"/>
        <w:ind w:left="802" w:right="0" w:hanging="274"/>
        <w:jc w:val="left"/>
        <w:rPr>
          <w:sz w:val="21"/>
        </w:rPr>
      </w:pPr>
      <w:r>
        <w:rPr/>
        <w:pict>
          <v:group style="position:absolute;margin-left:130.080002pt;margin-top:-3.831125pt;width:16.1pt;height:21.4pt;mso-position-horizontal-relative:page;mso-position-vertical-relative:paragraph;z-index:-167560" coordorigin="2602,-77" coordsize="322,428">
            <v:shape style="position:absolute;left:2621;top:-33;width:302;height:384" type="#_x0000_t75" stroked="false">
              <v:imagedata r:id="rId33" o:title=""/>
            </v:shape>
            <v:shape style="position:absolute;left:2602;top:-77;width:302;height:389" type="#_x0000_t75" stroked="false">
              <v:imagedata r:id="rId34" o:title=""/>
            </v:shape>
            <w10:wrap type="none"/>
          </v:group>
        </w:pict>
      </w:r>
      <w:r>
        <w:rPr>
          <w:sz w:val="21"/>
        </w:rPr>
        <w:t>A   B   C  </w:t>
      </w:r>
      <w:r>
        <w:rPr>
          <w:spacing w:val="25"/>
          <w:sz w:val="21"/>
        </w:rPr>
        <w:t> </w:t>
      </w:r>
      <w:r>
        <w:rPr>
          <w:sz w:val="21"/>
        </w:rPr>
        <w:t>D</w:t>
      </w:r>
    </w:p>
    <w:p>
      <w:pPr>
        <w:pStyle w:val="ListParagraph"/>
        <w:numPr>
          <w:ilvl w:val="0"/>
          <w:numId w:val="20"/>
        </w:numPr>
        <w:tabs>
          <w:tab w:pos="832" w:val="left" w:leader="none"/>
        </w:tabs>
        <w:spacing w:line="241" w:lineRule="exact" w:before="8" w:after="0"/>
        <w:ind w:left="831" w:right="0" w:hanging="303"/>
        <w:jc w:val="left"/>
        <w:rPr>
          <w:sz w:val="21"/>
        </w:rPr>
      </w:pPr>
      <w:r>
        <w:rPr>
          <w:sz w:val="21"/>
        </w:rPr>
        <w:t>A   B   C  </w:t>
      </w:r>
      <w:r>
        <w:rPr>
          <w:spacing w:val="20"/>
          <w:sz w:val="21"/>
        </w:rPr>
        <w:t> </w:t>
      </w:r>
      <w:r>
        <w:rPr>
          <w:sz w:val="21"/>
        </w:rPr>
        <w:t>D</w:t>
      </w:r>
    </w:p>
    <w:p>
      <w:pPr>
        <w:pStyle w:val="ListParagraph"/>
        <w:numPr>
          <w:ilvl w:val="0"/>
          <w:numId w:val="20"/>
        </w:numPr>
        <w:tabs>
          <w:tab w:pos="832" w:val="left" w:leader="none"/>
        </w:tabs>
        <w:spacing w:line="241" w:lineRule="exact" w:before="0" w:after="0"/>
        <w:ind w:left="831" w:right="0" w:hanging="303"/>
        <w:jc w:val="left"/>
        <w:rPr>
          <w:sz w:val="21"/>
        </w:rPr>
      </w:pPr>
      <w:r>
        <w:rPr>
          <w:sz w:val="21"/>
        </w:rPr>
        <w:t>A   B   C  </w:t>
      </w:r>
      <w:r>
        <w:rPr>
          <w:spacing w:val="20"/>
          <w:sz w:val="21"/>
        </w:rPr>
        <w:t> </w:t>
      </w:r>
      <w:r>
        <w:rPr>
          <w:sz w:val="21"/>
        </w:rPr>
        <w:t>D</w:t>
      </w:r>
    </w:p>
    <w:p>
      <w:pPr>
        <w:spacing w:after="0" w:line="241" w:lineRule="exact"/>
        <w:jc w:val="left"/>
        <w:rPr>
          <w:sz w:val="21"/>
        </w:rPr>
        <w:sectPr>
          <w:pgSz w:w="11910" w:h="16840"/>
          <w:pgMar w:header="1424" w:footer="0" w:top="1840" w:bottom="280" w:left="1540" w:right="1540"/>
        </w:sectPr>
      </w:pPr>
    </w:p>
    <w:p>
      <w:pPr>
        <w:pStyle w:val="BodyText"/>
        <w:spacing w:before="8"/>
        <w:rPr>
          <w:sz w:val="16"/>
        </w:rPr>
      </w:pPr>
    </w:p>
    <w:p>
      <w:pPr>
        <w:spacing w:before="77"/>
        <w:ind w:left="515" w:right="0" w:firstLine="0"/>
        <w:jc w:val="left"/>
        <w:rPr>
          <w:rFonts w:ascii="Times New Roman"/>
          <w:sz w:val="21"/>
        </w:rPr>
      </w:pPr>
      <w:r>
        <w:rPr>
          <w:rFonts w:ascii="Times New Roman"/>
          <w:sz w:val="21"/>
        </w:rPr>
        <w:t>Preguntas 1-10</w:t>
      </w:r>
    </w:p>
    <w:p>
      <w:pPr>
        <w:pStyle w:val="BodyText"/>
        <w:spacing w:before="10"/>
        <w:rPr>
          <w:rFonts w:ascii="Times New Roman"/>
          <w:sz w:val="14"/>
        </w:rPr>
      </w:pPr>
    </w:p>
    <w:p>
      <w:pPr>
        <w:spacing w:line="244" w:lineRule="auto" w:before="77"/>
        <w:ind w:left="515" w:right="107" w:firstLine="686"/>
        <w:jc w:val="both"/>
        <w:rPr>
          <w:rFonts w:ascii="Times New Roman" w:hAnsi="Times New Roman"/>
          <w:sz w:val="21"/>
        </w:rPr>
      </w:pPr>
      <w:r>
        <w:rPr>
          <w:rFonts w:ascii="Times New Roman" w:hAnsi="Times New Roman"/>
          <w:sz w:val="21"/>
        </w:rPr>
        <w:t>Actualmente las banderas de las distintas naciones se han convertido  en  elementos  cotidianos que encontramos regularmente </w:t>
      </w:r>
      <w:r>
        <w:rPr>
          <w:rFonts w:ascii="Times New Roman" w:hAnsi="Times New Roman"/>
          <w:spacing w:val="-3"/>
          <w:sz w:val="21"/>
        </w:rPr>
        <w:t>en </w:t>
      </w:r>
      <w:r>
        <w:rPr>
          <w:rFonts w:ascii="Times New Roman" w:hAnsi="Times New Roman"/>
          <w:sz w:val="21"/>
        </w:rPr>
        <w:t>sitios con atractivo turístico, pues se </w:t>
      </w:r>
      <w:r>
        <w:rPr>
          <w:rFonts w:ascii="Times New Roman" w:hAnsi="Times New Roman"/>
          <w:b/>
          <w:sz w:val="21"/>
        </w:rPr>
        <w:t>izan </w:t>
      </w:r>
      <w:r>
        <w:rPr>
          <w:rFonts w:ascii="Times New Roman" w:hAnsi="Times New Roman"/>
          <w:sz w:val="21"/>
        </w:rPr>
        <w:t>y ondean </w:t>
      </w:r>
      <w:r>
        <w:rPr>
          <w:rFonts w:ascii="Times New Roman" w:hAnsi="Times New Roman"/>
          <w:spacing w:val="-3"/>
          <w:sz w:val="21"/>
        </w:rPr>
        <w:t>en </w:t>
      </w:r>
      <w:r>
        <w:rPr>
          <w:rFonts w:ascii="Times New Roman" w:hAnsi="Times New Roman"/>
          <w:sz w:val="21"/>
        </w:rPr>
        <w:t>establecimientos que requieren  llamar la  atención del cliente potencial, hoteles, restaurantes, etc.   Sin</w:t>
      </w:r>
      <w:r>
        <w:rPr>
          <w:rFonts w:ascii="Times New Roman" w:hAnsi="Times New Roman"/>
          <w:spacing w:val="12"/>
          <w:sz w:val="21"/>
        </w:rPr>
        <w:t> </w:t>
      </w:r>
      <w:r>
        <w:rPr>
          <w:rFonts w:ascii="Times New Roman" w:hAnsi="Times New Roman"/>
          <w:sz w:val="21"/>
        </w:rPr>
        <w:t>embargo,</w:t>
      </w:r>
      <w:r>
        <w:rPr>
          <w:rFonts w:ascii="Times New Roman" w:hAnsi="Times New Roman"/>
          <w:spacing w:val="13"/>
          <w:sz w:val="21"/>
        </w:rPr>
        <w:t> </w:t>
      </w:r>
      <w:r>
        <w:rPr>
          <w:rFonts w:ascii="Times New Roman" w:hAnsi="Times New Roman"/>
          <w:sz w:val="21"/>
        </w:rPr>
        <w:t>pese</w:t>
      </w:r>
      <w:r>
        <w:rPr>
          <w:rFonts w:ascii="Times New Roman" w:hAnsi="Times New Roman"/>
          <w:spacing w:val="9"/>
          <w:sz w:val="21"/>
        </w:rPr>
        <w:t> </w:t>
      </w:r>
      <w:r>
        <w:rPr>
          <w:rFonts w:ascii="Times New Roman" w:hAnsi="Times New Roman"/>
          <w:sz w:val="21"/>
        </w:rPr>
        <w:t>a</w:t>
      </w:r>
      <w:r>
        <w:rPr>
          <w:rFonts w:ascii="Times New Roman" w:hAnsi="Times New Roman"/>
          <w:spacing w:val="14"/>
          <w:sz w:val="21"/>
        </w:rPr>
        <w:t> </w:t>
      </w:r>
      <w:r>
        <w:rPr>
          <w:rFonts w:ascii="Times New Roman" w:hAnsi="Times New Roman"/>
          <w:sz w:val="21"/>
        </w:rPr>
        <w:t>esta</w:t>
      </w:r>
      <w:r>
        <w:rPr>
          <w:rFonts w:ascii="Times New Roman" w:hAnsi="Times New Roman"/>
          <w:spacing w:val="14"/>
          <w:sz w:val="21"/>
        </w:rPr>
        <w:t> </w:t>
      </w:r>
      <w:r>
        <w:rPr>
          <w:rFonts w:ascii="Times New Roman" w:hAnsi="Times New Roman"/>
          <w:sz w:val="21"/>
        </w:rPr>
        <w:t>aparente</w:t>
      </w:r>
      <w:r>
        <w:rPr>
          <w:rFonts w:ascii="Times New Roman" w:hAnsi="Times New Roman"/>
          <w:spacing w:val="14"/>
          <w:sz w:val="21"/>
        </w:rPr>
        <w:t> </w:t>
      </w:r>
      <w:r>
        <w:rPr>
          <w:rFonts w:ascii="Times New Roman" w:hAnsi="Times New Roman"/>
          <w:sz w:val="21"/>
        </w:rPr>
        <w:t>popularidad,</w:t>
      </w:r>
      <w:r>
        <w:rPr>
          <w:rFonts w:ascii="Times New Roman" w:hAnsi="Times New Roman"/>
          <w:spacing w:val="7"/>
          <w:sz w:val="21"/>
        </w:rPr>
        <w:t> </w:t>
      </w:r>
      <w:r>
        <w:rPr>
          <w:rFonts w:ascii="Times New Roman" w:hAnsi="Times New Roman"/>
          <w:sz w:val="21"/>
        </w:rPr>
        <w:t>las</w:t>
      </w:r>
      <w:r>
        <w:rPr>
          <w:rFonts w:ascii="Times New Roman" w:hAnsi="Times New Roman"/>
          <w:spacing w:val="12"/>
          <w:sz w:val="21"/>
        </w:rPr>
        <w:t> </w:t>
      </w:r>
      <w:r>
        <w:rPr>
          <w:rFonts w:ascii="Times New Roman" w:hAnsi="Times New Roman"/>
          <w:sz w:val="21"/>
        </w:rPr>
        <w:t>personas</w:t>
      </w:r>
      <w:r>
        <w:rPr>
          <w:rFonts w:ascii="Times New Roman" w:hAnsi="Times New Roman"/>
          <w:spacing w:val="12"/>
          <w:sz w:val="21"/>
        </w:rPr>
        <w:t> </w:t>
      </w:r>
      <w:r>
        <w:rPr>
          <w:rFonts w:ascii="Times New Roman" w:hAnsi="Times New Roman"/>
          <w:spacing w:val="-3"/>
          <w:sz w:val="21"/>
        </w:rPr>
        <w:t>en</w:t>
      </w:r>
      <w:r>
        <w:rPr>
          <w:rFonts w:ascii="Times New Roman" w:hAnsi="Times New Roman"/>
          <w:spacing w:val="12"/>
          <w:sz w:val="21"/>
        </w:rPr>
        <w:t> </w:t>
      </w:r>
      <w:r>
        <w:rPr>
          <w:rFonts w:ascii="Times New Roman" w:hAnsi="Times New Roman"/>
          <w:sz w:val="21"/>
        </w:rPr>
        <w:t>general</w:t>
      </w:r>
      <w:r>
        <w:rPr>
          <w:rFonts w:ascii="Times New Roman" w:hAnsi="Times New Roman"/>
          <w:spacing w:val="13"/>
          <w:sz w:val="21"/>
        </w:rPr>
        <w:t> </w:t>
      </w:r>
      <w:r>
        <w:rPr>
          <w:rFonts w:ascii="Times New Roman" w:hAnsi="Times New Roman"/>
          <w:sz w:val="21"/>
        </w:rPr>
        <w:t>ignoran</w:t>
      </w:r>
      <w:r>
        <w:rPr>
          <w:rFonts w:ascii="Times New Roman" w:hAnsi="Times New Roman"/>
          <w:spacing w:val="19"/>
          <w:sz w:val="21"/>
        </w:rPr>
        <w:t> </w:t>
      </w:r>
      <w:r>
        <w:rPr>
          <w:rFonts w:ascii="Times New Roman" w:hAnsi="Times New Roman"/>
          <w:sz w:val="21"/>
        </w:rPr>
        <w:t>lo</w:t>
      </w:r>
      <w:r>
        <w:rPr>
          <w:rFonts w:ascii="Times New Roman" w:hAnsi="Times New Roman"/>
          <w:spacing w:val="12"/>
          <w:sz w:val="21"/>
        </w:rPr>
        <w:t> </w:t>
      </w:r>
      <w:r>
        <w:rPr>
          <w:rFonts w:ascii="Times New Roman" w:hAnsi="Times New Roman"/>
          <w:sz w:val="21"/>
        </w:rPr>
        <w:t>que</w:t>
      </w:r>
      <w:r>
        <w:rPr>
          <w:rFonts w:ascii="Times New Roman" w:hAnsi="Times New Roman"/>
          <w:spacing w:val="9"/>
          <w:sz w:val="21"/>
        </w:rPr>
        <w:t> </w:t>
      </w:r>
      <w:r>
        <w:rPr>
          <w:rFonts w:ascii="Times New Roman" w:hAnsi="Times New Roman"/>
          <w:sz w:val="21"/>
        </w:rPr>
        <w:t>hay</w:t>
      </w:r>
      <w:r>
        <w:rPr>
          <w:rFonts w:ascii="Times New Roman" w:hAnsi="Times New Roman"/>
          <w:spacing w:val="6"/>
          <w:sz w:val="21"/>
        </w:rPr>
        <w:t> </w:t>
      </w:r>
      <w:r>
        <w:rPr>
          <w:rFonts w:ascii="Times New Roman" w:hAnsi="Times New Roman"/>
          <w:sz w:val="21"/>
        </w:rPr>
        <w:t>detrás</w:t>
      </w:r>
      <w:r>
        <w:rPr>
          <w:rFonts w:ascii="Times New Roman" w:hAnsi="Times New Roman"/>
          <w:spacing w:val="19"/>
          <w:sz w:val="21"/>
        </w:rPr>
        <w:t> </w:t>
      </w:r>
      <w:r>
        <w:rPr>
          <w:rFonts w:ascii="Times New Roman" w:hAnsi="Times New Roman"/>
          <w:sz w:val="21"/>
        </w:rPr>
        <w:t>de</w:t>
      </w:r>
    </w:p>
    <w:p>
      <w:pPr>
        <w:tabs>
          <w:tab w:pos="515" w:val="left" w:leader="none"/>
        </w:tabs>
        <w:spacing w:line="240" w:lineRule="exact" w:before="0"/>
        <w:ind w:left="180" w:right="0" w:firstLine="0"/>
        <w:jc w:val="left"/>
        <w:rPr>
          <w:rFonts w:ascii="Times New Roman" w:hAnsi="Times New Roman"/>
          <w:sz w:val="21"/>
        </w:rPr>
      </w:pPr>
      <w:r>
        <w:rPr>
          <w:position w:val="5"/>
          <w:sz w:val="15"/>
        </w:rPr>
        <w:t>5</w:t>
        <w:tab/>
      </w:r>
      <w:r>
        <w:rPr>
          <w:rFonts w:ascii="Times New Roman" w:hAnsi="Times New Roman"/>
          <w:sz w:val="21"/>
        </w:rPr>
        <w:t>ese paño</w:t>
      </w:r>
      <w:r>
        <w:rPr>
          <w:rFonts w:ascii="Times New Roman" w:hAnsi="Times New Roman"/>
          <w:spacing w:val="21"/>
          <w:sz w:val="21"/>
        </w:rPr>
        <w:t> </w:t>
      </w:r>
      <w:r>
        <w:rPr>
          <w:rFonts w:ascii="Times New Roman" w:hAnsi="Times New Roman"/>
          <w:sz w:val="21"/>
        </w:rPr>
        <w:t>multicolor.</w:t>
      </w:r>
    </w:p>
    <w:p>
      <w:pPr>
        <w:spacing w:line="244" w:lineRule="auto" w:before="8"/>
        <w:ind w:left="515" w:right="103" w:firstLine="686"/>
        <w:jc w:val="both"/>
        <w:rPr>
          <w:rFonts w:ascii="Times New Roman" w:hAnsi="Times New Roman"/>
          <w:sz w:val="21"/>
        </w:rPr>
      </w:pPr>
      <w:r>
        <w:rPr>
          <w:rFonts w:ascii="Times New Roman" w:hAnsi="Times New Roman"/>
          <w:sz w:val="21"/>
        </w:rPr>
        <w:t>Todas las banderas del mundo, excepto tres –Nepal, </w:t>
      </w:r>
      <w:r>
        <w:rPr>
          <w:rFonts w:ascii="Times New Roman" w:hAnsi="Times New Roman"/>
          <w:spacing w:val="-3"/>
          <w:sz w:val="21"/>
        </w:rPr>
        <w:t>el </w:t>
      </w:r>
      <w:r>
        <w:rPr>
          <w:rFonts w:ascii="Times New Roman" w:hAnsi="Times New Roman"/>
          <w:sz w:val="21"/>
        </w:rPr>
        <w:t>Vaticano y Suiza-, son rectangulares. Se llama proporción de una bandera a </w:t>
      </w:r>
      <w:r>
        <w:rPr>
          <w:rFonts w:ascii="Times New Roman" w:hAnsi="Times New Roman"/>
          <w:spacing w:val="-4"/>
          <w:sz w:val="21"/>
        </w:rPr>
        <w:t>la </w:t>
      </w:r>
      <w:r>
        <w:rPr>
          <w:rFonts w:ascii="Times New Roman" w:hAnsi="Times New Roman"/>
          <w:sz w:val="21"/>
        </w:rPr>
        <w:t>relación que existe entre </w:t>
      </w:r>
      <w:r>
        <w:rPr>
          <w:rFonts w:ascii="Times New Roman" w:hAnsi="Times New Roman"/>
          <w:spacing w:val="2"/>
          <w:sz w:val="21"/>
        </w:rPr>
        <w:t>el </w:t>
      </w:r>
      <w:r>
        <w:rPr>
          <w:rFonts w:ascii="Times New Roman" w:hAnsi="Times New Roman"/>
          <w:sz w:val="21"/>
        </w:rPr>
        <w:t>ancho y </w:t>
      </w:r>
      <w:r>
        <w:rPr>
          <w:rFonts w:ascii="Times New Roman" w:hAnsi="Times New Roman"/>
          <w:spacing w:val="-3"/>
          <w:sz w:val="21"/>
        </w:rPr>
        <w:t>el </w:t>
      </w:r>
      <w:r>
        <w:rPr>
          <w:rFonts w:ascii="Times New Roman" w:hAnsi="Times New Roman"/>
          <w:sz w:val="21"/>
        </w:rPr>
        <w:t>largo del rectángulo. Así, cuando se </w:t>
      </w:r>
      <w:r>
        <w:rPr>
          <w:rFonts w:ascii="Times New Roman" w:hAnsi="Times New Roman"/>
          <w:spacing w:val="-3"/>
          <w:sz w:val="21"/>
        </w:rPr>
        <w:t>indica  </w:t>
      </w:r>
      <w:r>
        <w:rPr>
          <w:rFonts w:ascii="Times New Roman" w:hAnsi="Times New Roman"/>
          <w:sz w:val="21"/>
        </w:rPr>
        <w:t>que una bandera tiene la  proporción 2:3, se quiere decir que </w:t>
      </w:r>
      <w:r>
        <w:rPr>
          <w:rFonts w:ascii="Times New Roman" w:hAnsi="Times New Roman"/>
          <w:spacing w:val="-3"/>
          <w:sz w:val="21"/>
        </w:rPr>
        <w:t>el </w:t>
      </w:r>
      <w:r>
        <w:rPr>
          <w:rFonts w:ascii="Times New Roman" w:hAnsi="Times New Roman"/>
          <w:sz w:val="21"/>
        </w:rPr>
        <w:t>ancho mide    dos  unidades  y  el  largo  3.  Con  base  </w:t>
      </w:r>
      <w:r>
        <w:rPr>
          <w:rFonts w:ascii="Times New Roman" w:hAnsi="Times New Roman"/>
          <w:spacing w:val="-3"/>
          <w:sz w:val="21"/>
        </w:rPr>
        <w:t>en  </w:t>
      </w:r>
      <w:r>
        <w:rPr>
          <w:rFonts w:ascii="Times New Roman" w:hAnsi="Times New Roman"/>
          <w:sz w:val="21"/>
        </w:rPr>
        <w:t>esta  definición,  si  </w:t>
      </w:r>
      <w:r>
        <w:rPr>
          <w:rFonts w:ascii="Times New Roman" w:hAnsi="Times New Roman"/>
          <w:spacing w:val="-4"/>
          <w:sz w:val="21"/>
        </w:rPr>
        <w:t>la  </w:t>
      </w:r>
      <w:r>
        <w:rPr>
          <w:rFonts w:ascii="Times New Roman" w:hAnsi="Times New Roman"/>
          <w:sz w:val="21"/>
        </w:rPr>
        <w:t>proporción  es  1:1,  la  bandera</w:t>
      </w:r>
      <w:r>
        <w:rPr>
          <w:rFonts w:ascii="Times New Roman" w:hAnsi="Times New Roman"/>
          <w:spacing w:val="27"/>
          <w:sz w:val="21"/>
        </w:rPr>
        <w:t> </w:t>
      </w:r>
      <w:r>
        <w:rPr>
          <w:rFonts w:ascii="Times New Roman" w:hAnsi="Times New Roman"/>
          <w:sz w:val="21"/>
        </w:rPr>
        <w:t>es</w:t>
      </w:r>
    </w:p>
    <w:p>
      <w:pPr>
        <w:tabs>
          <w:tab w:pos="515" w:val="left" w:leader="none"/>
        </w:tabs>
        <w:spacing w:line="240" w:lineRule="exact" w:before="0"/>
        <w:ind w:left="112" w:right="0" w:firstLine="0"/>
        <w:jc w:val="left"/>
        <w:rPr>
          <w:rFonts w:ascii="Times New Roman"/>
          <w:sz w:val="21"/>
        </w:rPr>
      </w:pPr>
      <w:r>
        <w:rPr>
          <w:spacing w:val="-3"/>
          <w:position w:val="6"/>
          <w:sz w:val="15"/>
        </w:rPr>
        <w:t>10</w:t>
        <w:tab/>
      </w:r>
      <w:r>
        <w:rPr>
          <w:rFonts w:ascii="Times New Roman"/>
          <w:sz w:val="21"/>
        </w:rPr>
        <w:t>cuadrada, como las del Vaticano y </w:t>
      </w:r>
      <w:r>
        <w:rPr>
          <w:rFonts w:ascii="Times New Roman"/>
          <w:spacing w:val="7"/>
          <w:sz w:val="21"/>
        </w:rPr>
        <w:t> </w:t>
      </w:r>
      <w:r>
        <w:rPr>
          <w:rFonts w:ascii="Times New Roman"/>
          <w:sz w:val="21"/>
        </w:rPr>
        <w:t>Suiza.</w:t>
      </w:r>
    </w:p>
    <w:p>
      <w:pPr>
        <w:spacing w:line="244" w:lineRule="auto" w:before="3"/>
        <w:ind w:left="515" w:right="102" w:firstLine="686"/>
        <w:jc w:val="both"/>
        <w:rPr>
          <w:rFonts w:ascii="Times New Roman" w:hAnsi="Times New Roman"/>
          <w:sz w:val="21"/>
        </w:rPr>
      </w:pPr>
      <w:r>
        <w:rPr>
          <w:rFonts w:ascii="Times New Roman" w:hAnsi="Times New Roman"/>
          <w:sz w:val="21"/>
        </w:rPr>
        <w:t>La distribución de colores es otro aspecto interesante, pues </w:t>
      </w:r>
      <w:r>
        <w:rPr>
          <w:rFonts w:ascii="Times New Roman" w:hAnsi="Times New Roman"/>
          <w:spacing w:val="-3"/>
          <w:sz w:val="21"/>
        </w:rPr>
        <w:t>es </w:t>
      </w:r>
      <w:r>
        <w:rPr>
          <w:rFonts w:ascii="Times New Roman" w:hAnsi="Times New Roman"/>
          <w:sz w:val="21"/>
        </w:rPr>
        <w:t>evidente que el  mayor  atractivo de las banderas es </w:t>
      </w:r>
      <w:r>
        <w:rPr>
          <w:rFonts w:ascii="Times New Roman" w:hAnsi="Times New Roman"/>
          <w:spacing w:val="-3"/>
          <w:sz w:val="21"/>
        </w:rPr>
        <w:t>el </w:t>
      </w:r>
      <w:r>
        <w:rPr>
          <w:rFonts w:ascii="Times New Roman" w:hAnsi="Times New Roman"/>
          <w:sz w:val="21"/>
        </w:rPr>
        <w:t>colorido. Sin embargo, no hay variedad de colores; de hecho, sólo se usan diez, salvo matices. Los colores suelen responder a determinadas  </w:t>
      </w:r>
      <w:r>
        <w:rPr>
          <w:rFonts w:ascii="Times New Roman" w:hAnsi="Times New Roman"/>
          <w:b/>
          <w:sz w:val="21"/>
        </w:rPr>
        <w:t>simbologías</w:t>
      </w:r>
      <w:r>
        <w:rPr>
          <w:rFonts w:ascii="Times New Roman" w:hAnsi="Times New Roman"/>
          <w:sz w:val="21"/>
        </w:rPr>
        <w:t>, de forma tal   que, aunque sean similares,  </w:t>
      </w:r>
      <w:r>
        <w:rPr>
          <w:rFonts w:ascii="Times New Roman" w:hAnsi="Times New Roman"/>
          <w:spacing w:val="-3"/>
          <w:sz w:val="21"/>
        </w:rPr>
        <w:t>en  </w:t>
      </w:r>
      <w:r>
        <w:rPr>
          <w:rFonts w:ascii="Times New Roman" w:hAnsi="Times New Roman"/>
          <w:sz w:val="21"/>
        </w:rPr>
        <w:t>banderas diferentes  no tienen por qué significar lo mismo.  Así,  </w:t>
      </w:r>
      <w:r>
        <w:rPr>
          <w:rFonts w:ascii="Times New Roman" w:hAnsi="Times New Roman"/>
          <w:spacing w:val="43"/>
          <w:sz w:val="21"/>
        </w:rPr>
        <w:t> </w:t>
      </w:r>
      <w:r>
        <w:rPr>
          <w:rFonts w:ascii="Times New Roman" w:hAnsi="Times New Roman"/>
          <w:sz w:val="21"/>
        </w:rPr>
        <w:t>por</w:t>
      </w:r>
    </w:p>
    <w:p>
      <w:pPr>
        <w:spacing w:line="244" w:lineRule="auto" w:before="0"/>
        <w:ind w:left="515" w:right="105" w:hanging="404"/>
        <w:jc w:val="both"/>
        <w:rPr>
          <w:rFonts w:ascii="Times New Roman" w:hAnsi="Times New Roman"/>
          <w:sz w:val="21"/>
        </w:rPr>
      </w:pPr>
      <w:r>
        <w:rPr>
          <w:spacing w:val="-3"/>
          <w:position w:val="6"/>
          <w:sz w:val="15"/>
        </w:rPr>
        <w:t>15 </w:t>
      </w:r>
      <w:r>
        <w:rPr>
          <w:rFonts w:ascii="Times New Roman" w:hAnsi="Times New Roman"/>
          <w:sz w:val="21"/>
        </w:rPr>
        <w:t>ejemplo, el rojo de </w:t>
      </w:r>
      <w:r>
        <w:rPr>
          <w:rFonts w:ascii="Times New Roman" w:hAnsi="Times New Roman"/>
          <w:spacing w:val="-4"/>
          <w:sz w:val="21"/>
        </w:rPr>
        <w:t>la </w:t>
      </w:r>
      <w:r>
        <w:rPr>
          <w:rFonts w:ascii="Times New Roman" w:hAnsi="Times New Roman"/>
          <w:sz w:val="21"/>
        </w:rPr>
        <w:t>bandera de </w:t>
      </w:r>
      <w:r>
        <w:rPr>
          <w:rFonts w:ascii="Times New Roman" w:hAnsi="Times New Roman"/>
          <w:spacing w:val="-2"/>
          <w:sz w:val="21"/>
        </w:rPr>
        <w:t>Malawi </w:t>
      </w:r>
      <w:r>
        <w:rPr>
          <w:rFonts w:ascii="Times New Roman" w:hAnsi="Times New Roman"/>
          <w:sz w:val="21"/>
        </w:rPr>
        <w:t>simboliza la lucha por la libertad, mientras que </w:t>
      </w:r>
      <w:r>
        <w:rPr>
          <w:rFonts w:ascii="Times New Roman" w:hAnsi="Times New Roman"/>
          <w:spacing w:val="-3"/>
          <w:sz w:val="21"/>
        </w:rPr>
        <w:t>en </w:t>
      </w:r>
      <w:r>
        <w:rPr>
          <w:rFonts w:ascii="Times New Roman" w:hAnsi="Times New Roman"/>
          <w:b/>
          <w:sz w:val="21"/>
        </w:rPr>
        <w:t>la </w:t>
      </w:r>
      <w:r>
        <w:rPr>
          <w:rFonts w:ascii="Times New Roman" w:hAnsi="Times New Roman"/>
          <w:b/>
          <w:spacing w:val="-3"/>
          <w:sz w:val="21"/>
        </w:rPr>
        <w:t>de  </w:t>
      </w:r>
      <w:r>
        <w:rPr>
          <w:rFonts w:ascii="Times New Roman" w:hAnsi="Times New Roman"/>
          <w:b/>
          <w:sz w:val="21"/>
        </w:rPr>
        <w:t>Colombia </w:t>
      </w:r>
      <w:r>
        <w:rPr>
          <w:rFonts w:ascii="Times New Roman" w:hAnsi="Times New Roman"/>
          <w:sz w:val="21"/>
        </w:rPr>
        <w:t>o Myanmar significa valor. El amarillo de Bolivia y Brasil representa la riqueza mineral  </w:t>
      </w:r>
      <w:r>
        <w:rPr>
          <w:rFonts w:ascii="Times New Roman" w:hAnsi="Times New Roman"/>
          <w:spacing w:val="-3"/>
          <w:sz w:val="21"/>
        </w:rPr>
        <w:t>del </w:t>
      </w:r>
      <w:r>
        <w:rPr>
          <w:rFonts w:ascii="Times New Roman" w:hAnsi="Times New Roman"/>
          <w:sz w:val="21"/>
        </w:rPr>
        <w:t>país, mientras que </w:t>
      </w:r>
      <w:r>
        <w:rPr>
          <w:rFonts w:ascii="Times New Roman" w:hAnsi="Times New Roman"/>
          <w:spacing w:val="-3"/>
          <w:sz w:val="21"/>
        </w:rPr>
        <w:t>en </w:t>
      </w:r>
      <w:r>
        <w:rPr>
          <w:rFonts w:ascii="Times New Roman" w:hAnsi="Times New Roman"/>
          <w:sz w:val="21"/>
        </w:rPr>
        <w:t>Camerún denota prosperidad o, </w:t>
      </w:r>
      <w:r>
        <w:rPr>
          <w:rFonts w:ascii="Times New Roman" w:hAnsi="Times New Roman"/>
          <w:spacing w:val="-3"/>
          <w:sz w:val="21"/>
        </w:rPr>
        <w:t>en </w:t>
      </w:r>
      <w:r>
        <w:rPr>
          <w:rFonts w:ascii="Times New Roman" w:hAnsi="Times New Roman"/>
          <w:sz w:val="21"/>
        </w:rPr>
        <w:t>Chad, desierto  </w:t>
      </w:r>
      <w:r>
        <w:rPr>
          <w:rFonts w:ascii="Times New Roman" w:hAnsi="Times New Roman"/>
          <w:spacing w:val="25"/>
          <w:sz w:val="21"/>
        </w:rPr>
        <w:t> </w:t>
      </w:r>
      <w:r>
        <w:rPr>
          <w:rFonts w:ascii="Times New Roman" w:hAnsi="Times New Roman"/>
          <w:sz w:val="21"/>
        </w:rPr>
        <w:t>y sol.</w:t>
      </w:r>
    </w:p>
    <w:p>
      <w:pPr>
        <w:spacing w:after="0" w:line="244" w:lineRule="auto"/>
        <w:jc w:val="both"/>
        <w:rPr>
          <w:rFonts w:ascii="Times New Roman" w:hAnsi="Times New Roman"/>
          <w:sz w:val="21"/>
        </w:rPr>
        <w:sectPr>
          <w:pgSz w:w="11910" w:h="16840"/>
          <w:pgMar w:header="1424" w:footer="0" w:top="1840" w:bottom="280" w:left="1140" w:right="1540"/>
        </w:sectPr>
      </w:pPr>
    </w:p>
    <w:p>
      <w:pPr>
        <w:pStyle w:val="BodyText"/>
        <w:spacing w:before="5"/>
        <w:rPr>
          <w:rFonts w:ascii="Times New Roman"/>
          <w:sz w:val="17"/>
        </w:rPr>
      </w:pPr>
    </w:p>
    <w:p>
      <w:pPr>
        <w:spacing w:after="0"/>
        <w:rPr>
          <w:rFonts w:ascii="Times New Roman"/>
          <w:sz w:val="17"/>
        </w:rPr>
        <w:sectPr>
          <w:headerReference w:type="default" r:id="rId35"/>
          <w:pgSz w:w="11910" w:h="16840"/>
          <w:pgMar w:header="727" w:footer="0" w:top="1160" w:bottom="280" w:left="1580" w:right="1580"/>
          <w:pgNumType w:start="106"/>
        </w:sectPr>
      </w:pPr>
    </w:p>
    <w:p>
      <w:pPr>
        <w:pStyle w:val="ListParagraph"/>
        <w:numPr>
          <w:ilvl w:val="0"/>
          <w:numId w:val="21"/>
        </w:numPr>
        <w:tabs>
          <w:tab w:pos="840" w:val="left" w:leader="none"/>
        </w:tabs>
        <w:spacing w:line="240" w:lineRule="auto" w:before="73" w:after="0"/>
        <w:ind w:left="839" w:right="0" w:hanging="360"/>
        <w:jc w:val="left"/>
        <w:rPr>
          <w:rFonts w:ascii="Times New Roman"/>
          <w:sz w:val="22"/>
        </w:rPr>
      </w:pPr>
      <w:r>
        <w:rPr>
          <w:rFonts w:ascii="Times New Roman"/>
          <w:sz w:val="22"/>
        </w:rPr>
        <w:t>El pasaje trata principalmente</w:t>
      </w:r>
      <w:r>
        <w:rPr>
          <w:rFonts w:ascii="Times New Roman"/>
          <w:spacing w:val="-14"/>
          <w:sz w:val="22"/>
        </w:rPr>
        <w:t> </w:t>
      </w:r>
      <w:r>
        <w:rPr>
          <w:rFonts w:ascii="Times New Roman"/>
          <w:sz w:val="22"/>
        </w:rPr>
        <w:t>de</w:t>
      </w:r>
    </w:p>
    <w:p>
      <w:pPr>
        <w:pStyle w:val="BodyText"/>
        <w:spacing w:before="9"/>
        <w:rPr>
          <w:rFonts w:ascii="Times New Roman"/>
          <w:sz w:val="21"/>
        </w:rPr>
      </w:pPr>
    </w:p>
    <w:p>
      <w:pPr>
        <w:pStyle w:val="ListParagraph"/>
        <w:numPr>
          <w:ilvl w:val="1"/>
          <w:numId w:val="21"/>
        </w:numPr>
        <w:tabs>
          <w:tab w:pos="1200" w:val="left" w:leader="none"/>
        </w:tabs>
        <w:spacing w:line="240" w:lineRule="auto" w:before="0" w:after="0"/>
        <w:ind w:left="1199" w:right="0" w:hanging="360"/>
        <w:jc w:val="left"/>
        <w:rPr>
          <w:rFonts w:ascii="Times New Roman"/>
          <w:sz w:val="22"/>
        </w:rPr>
      </w:pPr>
      <w:r>
        <w:rPr>
          <w:rFonts w:ascii="Times New Roman"/>
          <w:sz w:val="22"/>
        </w:rPr>
        <w:t>Los colores de las</w:t>
      </w:r>
      <w:r>
        <w:rPr>
          <w:rFonts w:ascii="Times New Roman"/>
          <w:spacing w:val="-3"/>
          <w:sz w:val="22"/>
        </w:rPr>
        <w:t> </w:t>
      </w:r>
      <w:r>
        <w:rPr>
          <w:rFonts w:ascii="Times New Roman"/>
          <w:sz w:val="22"/>
        </w:rPr>
        <w:t>banderas</w:t>
      </w:r>
    </w:p>
    <w:p>
      <w:pPr>
        <w:pStyle w:val="ListParagraph"/>
        <w:numPr>
          <w:ilvl w:val="1"/>
          <w:numId w:val="21"/>
        </w:numPr>
        <w:tabs>
          <w:tab w:pos="1200" w:val="left" w:leader="none"/>
        </w:tabs>
        <w:spacing w:line="240" w:lineRule="auto" w:before="1" w:after="0"/>
        <w:ind w:left="1199" w:right="0" w:hanging="360"/>
        <w:jc w:val="left"/>
        <w:rPr>
          <w:rFonts w:ascii="Times New Roman" w:hAnsi="Times New Roman"/>
          <w:sz w:val="22"/>
        </w:rPr>
      </w:pPr>
      <w:r>
        <w:rPr>
          <w:rFonts w:ascii="Times New Roman" w:hAnsi="Times New Roman"/>
          <w:sz w:val="22"/>
        </w:rPr>
        <w:t>El tamaño de las</w:t>
      </w:r>
      <w:r>
        <w:rPr>
          <w:rFonts w:ascii="Times New Roman" w:hAnsi="Times New Roman"/>
          <w:spacing w:val="-7"/>
          <w:sz w:val="22"/>
        </w:rPr>
        <w:t> </w:t>
      </w:r>
      <w:r>
        <w:rPr>
          <w:rFonts w:ascii="Times New Roman" w:hAnsi="Times New Roman"/>
          <w:sz w:val="22"/>
        </w:rPr>
        <w:t>banderas</w:t>
      </w:r>
    </w:p>
    <w:p>
      <w:pPr>
        <w:pStyle w:val="ListParagraph"/>
        <w:numPr>
          <w:ilvl w:val="1"/>
          <w:numId w:val="21"/>
        </w:numPr>
        <w:tabs>
          <w:tab w:pos="1200" w:val="left" w:leader="none"/>
        </w:tabs>
        <w:spacing w:line="250" w:lineRule="exact" w:before="7" w:after="0"/>
        <w:ind w:left="1199" w:right="209" w:hanging="360"/>
        <w:jc w:val="left"/>
        <w:rPr>
          <w:rFonts w:ascii="Times New Roman" w:hAnsi="Times New Roman"/>
          <w:sz w:val="22"/>
        </w:rPr>
      </w:pPr>
      <w:r>
        <w:rPr>
          <w:rFonts w:ascii="Times New Roman" w:hAnsi="Times New Roman"/>
          <w:sz w:val="22"/>
        </w:rPr>
        <w:t>Algunas características de las banderas</w:t>
      </w:r>
    </w:p>
    <w:p>
      <w:pPr>
        <w:pStyle w:val="ListParagraph"/>
        <w:numPr>
          <w:ilvl w:val="1"/>
          <w:numId w:val="21"/>
        </w:numPr>
        <w:tabs>
          <w:tab w:pos="1200" w:val="left" w:leader="none"/>
        </w:tabs>
        <w:spacing w:line="240" w:lineRule="auto" w:before="0" w:after="0"/>
        <w:ind w:left="1199" w:right="137" w:hanging="360"/>
        <w:jc w:val="left"/>
        <w:rPr>
          <w:rFonts w:ascii="Times New Roman" w:hAnsi="Times New Roman"/>
          <w:sz w:val="22"/>
        </w:rPr>
      </w:pPr>
      <w:r>
        <w:rPr>
          <w:rFonts w:ascii="Times New Roman" w:hAnsi="Times New Roman"/>
          <w:sz w:val="22"/>
        </w:rPr>
        <w:t>La simbología de las banderas del</w:t>
      </w:r>
      <w:r>
        <w:rPr>
          <w:rFonts w:ascii="Times New Roman" w:hAnsi="Times New Roman"/>
          <w:spacing w:val="-6"/>
          <w:sz w:val="22"/>
        </w:rPr>
        <w:t> </w:t>
      </w:r>
      <w:r>
        <w:rPr>
          <w:rFonts w:ascii="Times New Roman" w:hAnsi="Times New Roman"/>
          <w:sz w:val="22"/>
        </w:rPr>
        <w:t>mundo</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840" w:val="left" w:leader="none"/>
        </w:tabs>
        <w:spacing w:line="240" w:lineRule="auto" w:before="1" w:after="0"/>
        <w:ind w:left="839" w:right="295" w:hanging="360"/>
        <w:jc w:val="left"/>
        <w:rPr>
          <w:rFonts w:ascii="Times New Roman" w:hAnsi="Times New Roman"/>
          <w:sz w:val="22"/>
        </w:rPr>
      </w:pPr>
      <w:r>
        <w:rPr>
          <w:rFonts w:ascii="Times New Roman" w:hAnsi="Times New Roman"/>
          <w:sz w:val="22"/>
        </w:rPr>
        <w:t>La palabra “izan” en la línea dos podría reemplazarse</w:t>
      </w:r>
      <w:r>
        <w:rPr>
          <w:rFonts w:ascii="Times New Roman" w:hAnsi="Times New Roman"/>
          <w:spacing w:val="-6"/>
          <w:sz w:val="22"/>
        </w:rPr>
        <w:t> </w:t>
      </w:r>
      <w:r>
        <w:rPr>
          <w:rFonts w:ascii="Times New Roman" w:hAnsi="Times New Roman"/>
          <w:sz w:val="22"/>
        </w:rPr>
        <w:t>por</w:t>
      </w:r>
    </w:p>
    <w:p>
      <w:pPr>
        <w:pStyle w:val="BodyText"/>
        <w:spacing w:before="9"/>
        <w:rPr>
          <w:rFonts w:ascii="Times New Roman"/>
          <w:sz w:val="21"/>
        </w:rPr>
      </w:pPr>
    </w:p>
    <w:p>
      <w:pPr>
        <w:pStyle w:val="ListParagraph"/>
        <w:numPr>
          <w:ilvl w:val="1"/>
          <w:numId w:val="21"/>
        </w:numPr>
        <w:tabs>
          <w:tab w:pos="1200" w:val="left" w:leader="none"/>
        </w:tabs>
        <w:spacing w:line="240" w:lineRule="auto" w:before="0" w:after="0"/>
        <w:ind w:left="1199" w:right="0" w:hanging="360"/>
        <w:jc w:val="left"/>
        <w:rPr>
          <w:rFonts w:ascii="Times New Roman"/>
          <w:sz w:val="22"/>
        </w:rPr>
      </w:pPr>
      <w:r>
        <w:rPr>
          <w:rFonts w:ascii="Times New Roman"/>
          <w:sz w:val="22"/>
        </w:rPr>
        <w:t>alzan</w:t>
      </w:r>
    </w:p>
    <w:p>
      <w:pPr>
        <w:pStyle w:val="ListParagraph"/>
        <w:numPr>
          <w:ilvl w:val="1"/>
          <w:numId w:val="21"/>
        </w:numPr>
        <w:tabs>
          <w:tab w:pos="1200" w:val="left" w:leader="none"/>
        </w:tabs>
        <w:spacing w:line="251" w:lineRule="exact" w:before="1" w:after="0"/>
        <w:ind w:left="1199" w:right="0" w:hanging="360"/>
        <w:jc w:val="left"/>
        <w:rPr>
          <w:rFonts w:ascii="Times New Roman"/>
          <w:sz w:val="22"/>
        </w:rPr>
      </w:pPr>
      <w:r>
        <w:rPr>
          <w:rFonts w:ascii="Times New Roman"/>
          <w:sz w:val="22"/>
        </w:rPr>
        <w:t>colocan</w:t>
      </w:r>
    </w:p>
    <w:p>
      <w:pPr>
        <w:pStyle w:val="ListParagraph"/>
        <w:numPr>
          <w:ilvl w:val="1"/>
          <w:numId w:val="21"/>
        </w:numPr>
        <w:tabs>
          <w:tab w:pos="1200" w:val="left" w:leader="none"/>
        </w:tabs>
        <w:spacing w:line="251" w:lineRule="exact" w:before="0" w:after="0"/>
        <w:ind w:left="1199" w:right="0" w:hanging="360"/>
        <w:jc w:val="left"/>
        <w:rPr>
          <w:rFonts w:ascii="Times New Roman"/>
          <w:sz w:val="22"/>
        </w:rPr>
      </w:pPr>
      <w:r>
        <w:rPr>
          <w:rFonts w:ascii="Times New Roman"/>
          <w:sz w:val="22"/>
        </w:rPr>
        <w:t>adornan</w:t>
      </w:r>
    </w:p>
    <w:p>
      <w:pPr>
        <w:pStyle w:val="ListParagraph"/>
        <w:numPr>
          <w:ilvl w:val="1"/>
          <w:numId w:val="21"/>
        </w:numPr>
        <w:tabs>
          <w:tab w:pos="1200" w:val="left" w:leader="none"/>
        </w:tabs>
        <w:spacing w:line="240" w:lineRule="auto" w:before="1" w:after="0"/>
        <w:ind w:left="1199" w:right="0" w:hanging="360"/>
        <w:jc w:val="left"/>
        <w:rPr>
          <w:rFonts w:ascii="Times New Roman"/>
          <w:sz w:val="22"/>
        </w:rPr>
      </w:pPr>
      <w:r>
        <w:rPr>
          <w:rFonts w:ascii="Times New Roman"/>
          <w:sz w:val="22"/>
        </w:rPr>
        <w:t>observan</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840" w:val="left" w:leader="none"/>
        </w:tabs>
        <w:spacing w:line="240" w:lineRule="auto" w:before="1" w:after="0"/>
        <w:ind w:left="839" w:right="0" w:hanging="360"/>
        <w:jc w:val="left"/>
        <w:rPr>
          <w:rFonts w:ascii="Times New Roman" w:hAnsi="Times New Roman"/>
          <w:sz w:val="22"/>
        </w:rPr>
      </w:pPr>
      <w:r>
        <w:rPr>
          <w:rFonts w:ascii="Times New Roman" w:hAnsi="Times New Roman"/>
          <w:sz w:val="22"/>
        </w:rPr>
        <w:t>Según el pasaje, la gente</w:t>
      </w:r>
      <w:r>
        <w:rPr>
          <w:rFonts w:ascii="Times New Roman" w:hAnsi="Times New Roman"/>
          <w:spacing w:val="-13"/>
          <w:sz w:val="22"/>
        </w:rPr>
        <w:t> </w:t>
      </w:r>
      <w:r>
        <w:rPr>
          <w:rFonts w:ascii="Times New Roman" w:hAnsi="Times New Roman"/>
          <w:sz w:val="22"/>
        </w:rPr>
        <w:t>ignora</w:t>
      </w:r>
    </w:p>
    <w:p>
      <w:pPr>
        <w:pStyle w:val="BodyText"/>
        <w:spacing w:before="2"/>
        <w:rPr>
          <w:rFonts w:ascii="Times New Roman"/>
          <w:sz w:val="22"/>
        </w:rPr>
      </w:pPr>
    </w:p>
    <w:p>
      <w:pPr>
        <w:pStyle w:val="ListParagraph"/>
        <w:numPr>
          <w:ilvl w:val="1"/>
          <w:numId w:val="21"/>
        </w:numPr>
        <w:tabs>
          <w:tab w:pos="1200" w:val="left" w:leader="none"/>
        </w:tabs>
        <w:spacing w:line="251" w:lineRule="exact" w:before="1" w:after="0"/>
        <w:ind w:left="1199" w:right="0" w:hanging="360"/>
        <w:jc w:val="left"/>
        <w:rPr>
          <w:rFonts w:ascii="Times New Roman"/>
          <w:sz w:val="22"/>
        </w:rPr>
      </w:pPr>
      <w:r>
        <w:rPr>
          <w:rFonts w:ascii="Times New Roman"/>
          <w:sz w:val="22"/>
        </w:rPr>
        <w:t>Los colores de las</w:t>
      </w:r>
      <w:r>
        <w:rPr>
          <w:rFonts w:ascii="Times New Roman"/>
          <w:spacing w:val="-3"/>
          <w:sz w:val="22"/>
        </w:rPr>
        <w:t> </w:t>
      </w:r>
      <w:r>
        <w:rPr>
          <w:rFonts w:ascii="Times New Roman"/>
          <w:sz w:val="22"/>
        </w:rPr>
        <w:t>banderas</w:t>
      </w:r>
    </w:p>
    <w:p>
      <w:pPr>
        <w:pStyle w:val="ListParagraph"/>
        <w:numPr>
          <w:ilvl w:val="1"/>
          <w:numId w:val="21"/>
        </w:numPr>
        <w:tabs>
          <w:tab w:pos="1200" w:val="left" w:leader="none"/>
        </w:tabs>
        <w:spacing w:line="240" w:lineRule="auto" w:before="0" w:after="0"/>
        <w:ind w:left="1199" w:right="232" w:hanging="360"/>
        <w:jc w:val="left"/>
        <w:rPr>
          <w:rFonts w:ascii="Times New Roman"/>
          <w:sz w:val="22"/>
        </w:rPr>
      </w:pPr>
      <w:r>
        <w:rPr>
          <w:rFonts w:ascii="Times New Roman"/>
          <w:sz w:val="22"/>
        </w:rPr>
        <w:t>Las banderas de los hoteles y restaurantes</w:t>
      </w:r>
    </w:p>
    <w:p>
      <w:pPr>
        <w:pStyle w:val="ListParagraph"/>
        <w:numPr>
          <w:ilvl w:val="1"/>
          <w:numId w:val="21"/>
        </w:numPr>
        <w:tabs>
          <w:tab w:pos="1200" w:val="left" w:leader="none"/>
        </w:tabs>
        <w:spacing w:line="250" w:lineRule="exact" w:before="7" w:after="0"/>
        <w:ind w:left="1199" w:right="895" w:hanging="360"/>
        <w:jc w:val="left"/>
        <w:rPr>
          <w:rFonts w:ascii="Times New Roman"/>
          <w:sz w:val="22"/>
        </w:rPr>
      </w:pPr>
      <w:r>
        <w:rPr>
          <w:rFonts w:ascii="Times New Roman"/>
          <w:sz w:val="22"/>
        </w:rPr>
        <w:t>La popularidad de</w:t>
      </w:r>
      <w:r>
        <w:rPr>
          <w:rFonts w:ascii="Times New Roman"/>
          <w:spacing w:val="-8"/>
          <w:sz w:val="22"/>
        </w:rPr>
        <w:t> </w:t>
      </w:r>
      <w:r>
        <w:rPr>
          <w:rFonts w:ascii="Times New Roman"/>
          <w:sz w:val="22"/>
        </w:rPr>
        <w:t>los establecimientos</w:t>
      </w:r>
    </w:p>
    <w:p>
      <w:pPr>
        <w:pStyle w:val="ListParagraph"/>
        <w:numPr>
          <w:ilvl w:val="1"/>
          <w:numId w:val="21"/>
        </w:numPr>
        <w:tabs>
          <w:tab w:pos="1200" w:val="left" w:leader="none"/>
        </w:tabs>
        <w:spacing w:line="240" w:lineRule="auto" w:before="0" w:after="0"/>
        <w:ind w:left="1199" w:right="0" w:hanging="360"/>
        <w:jc w:val="left"/>
        <w:rPr>
          <w:rFonts w:ascii="Times New Roman"/>
          <w:sz w:val="22"/>
        </w:rPr>
      </w:pPr>
      <w:r>
        <w:rPr>
          <w:rFonts w:ascii="Times New Roman"/>
          <w:sz w:val="22"/>
        </w:rPr>
        <w:t>El significado de los</w:t>
      </w:r>
      <w:r>
        <w:rPr>
          <w:rFonts w:ascii="Times New Roman"/>
          <w:spacing w:val="-10"/>
          <w:sz w:val="22"/>
        </w:rPr>
        <w:t> </w:t>
      </w:r>
      <w:r>
        <w:rPr>
          <w:rFonts w:ascii="Times New Roman"/>
          <w:sz w:val="22"/>
        </w:rPr>
        <w:t>contenidos de las</w:t>
      </w:r>
      <w:r>
        <w:rPr>
          <w:rFonts w:ascii="Times New Roman"/>
          <w:spacing w:val="-1"/>
          <w:sz w:val="22"/>
        </w:rPr>
        <w:t> </w:t>
      </w:r>
      <w:r>
        <w:rPr>
          <w:rFonts w:ascii="Times New Roman"/>
          <w:sz w:val="22"/>
        </w:rPr>
        <w:t>banderas</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ListParagraph"/>
        <w:numPr>
          <w:ilvl w:val="0"/>
          <w:numId w:val="21"/>
        </w:numPr>
        <w:tabs>
          <w:tab w:pos="840" w:val="left" w:leader="none"/>
        </w:tabs>
        <w:spacing w:line="240" w:lineRule="auto" w:before="1" w:after="0"/>
        <w:ind w:left="839" w:right="136" w:hanging="360"/>
        <w:jc w:val="left"/>
        <w:rPr>
          <w:rFonts w:ascii="Times New Roman" w:hAnsi="Times New Roman"/>
          <w:sz w:val="22"/>
        </w:rPr>
      </w:pPr>
      <w:r>
        <w:rPr>
          <w:rFonts w:ascii="Times New Roman" w:hAnsi="Times New Roman"/>
          <w:sz w:val="22"/>
        </w:rPr>
        <w:t>Según el texto ¿porqué algunos establecimientos comerciales usan banderas?</w:t>
      </w:r>
    </w:p>
    <w:p>
      <w:pPr>
        <w:pStyle w:val="BodyText"/>
        <w:spacing w:before="9"/>
        <w:rPr>
          <w:rFonts w:ascii="Times New Roman"/>
          <w:sz w:val="21"/>
        </w:rPr>
      </w:pPr>
    </w:p>
    <w:p>
      <w:pPr>
        <w:pStyle w:val="ListParagraph"/>
        <w:numPr>
          <w:ilvl w:val="1"/>
          <w:numId w:val="21"/>
        </w:numPr>
        <w:tabs>
          <w:tab w:pos="1200" w:val="left" w:leader="none"/>
        </w:tabs>
        <w:spacing w:line="240" w:lineRule="auto" w:before="0" w:after="0"/>
        <w:ind w:left="1199" w:right="0" w:hanging="360"/>
        <w:jc w:val="left"/>
        <w:rPr>
          <w:rFonts w:ascii="Times New Roman" w:hAnsi="Times New Roman"/>
          <w:sz w:val="22"/>
        </w:rPr>
      </w:pPr>
      <w:r>
        <w:rPr>
          <w:rFonts w:ascii="Times New Roman" w:hAnsi="Times New Roman"/>
          <w:sz w:val="22"/>
        </w:rPr>
        <w:t>Son los más</w:t>
      </w:r>
      <w:r>
        <w:rPr>
          <w:rFonts w:ascii="Times New Roman" w:hAnsi="Times New Roman"/>
          <w:spacing w:val="-4"/>
          <w:sz w:val="22"/>
        </w:rPr>
        <w:t> </w:t>
      </w:r>
      <w:r>
        <w:rPr>
          <w:rFonts w:ascii="Times New Roman" w:hAnsi="Times New Roman"/>
          <w:sz w:val="22"/>
        </w:rPr>
        <w:t>populares</w:t>
      </w:r>
    </w:p>
    <w:p>
      <w:pPr>
        <w:pStyle w:val="ListParagraph"/>
        <w:numPr>
          <w:ilvl w:val="1"/>
          <w:numId w:val="21"/>
        </w:numPr>
        <w:tabs>
          <w:tab w:pos="1200" w:val="left" w:leader="none"/>
        </w:tabs>
        <w:spacing w:line="240" w:lineRule="auto" w:before="1" w:after="0"/>
        <w:ind w:left="1199" w:right="0" w:hanging="360"/>
        <w:jc w:val="left"/>
        <w:rPr>
          <w:rFonts w:ascii="Times New Roman" w:hAnsi="Times New Roman"/>
          <w:sz w:val="22"/>
        </w:rPr>
      </w:pPr>
      <w:r>
        <w:rPr>
          <w:rFonts w:ascii="Times New Roman" w:hAnsi="Times New Roman"/>
          <w:sz w:val="22"/>
        </w:rPr>
        <w:t>Atraen más</w:t>
      </w:r>
      <w:r>
        <w:rPr>
          <w:rFonts w:ascii="Times New Roman" w:hAnsi="Times New Roman"/>
          <w:spacing w:val="-7"/>
          <w:sz w:val="22"/>
        </w:rPr>
        <w:t> </w:t>
      </w:r>
      <w:r>
        <w:rPr>
          <w:rFonts w:ascii="Times New Roman" w:hAnsi="Times New Roman"/>
          <w:sz w:val="22"/>
        </w:rPr>
        <w:t>clientes</w:t>
      </w:r>
    </w:p>
    <w:p>
      <w:pPr>
        <w:pStyle w:val="ListParagraph"/>
        <w:numPr>
          <w:ilvl w:val="1"/>
          <w:numId w:val="21"/>
        </w:numPr>
        <w:tabs>
          <w:tab w:pos="1200" w:val="left" w:leader="none"/>
        </w:tabs>
        <w:spacing w:line="240" w:lineRule="auto" w:before="1" w:after="0"/>
        <w:ind w:left="1199" w:right="0" w:hanging="360"/>
        <w:jc w:val="left"/>
        <w:rPr>
          <w:rFonts w:ascii="Times New Roman" w:hAnsi="Times New Roman"/>
          <w:sz w:val="22"/>
        </w:rPr>
      </w:pPr>
      <w:r>
        <w:rPr>
          <w:rFonts w:ascii="Times New Roman" w:hAnsi="Times New Roman"/>
          <w:sz w:val="22"/>
        </w:rPr>
        <w:t>Indican su país de</w:t>
      </w:r>
      <w:r>
        <w:rPr>
          <w:rFonts w:ascii="Times New Roman" w:hAnsi="Times New Roman"/>
          <w:spacing w:val="-13"/>
          <w:sz w:val="22"/>
        </w:rPr>
        <w:t> </w:t>
      </w:r>
      <w:r>
        <w:rPr>
          <w:rFonts w:ascii="Times New Roman" w:hAnsi="Times New Roman"/>
          <w:sz w:val="22"/>
        </w:rPr>
        <w:t>origen</w:t>
      </w:r>
    </w:p>
    <w:p>
      <w:pPr>
        <w:pStyle w:val="ListParagraph"/>
        <w:numPr>
          <w:ilvl w:val="1"/>
          <w:numId w:val="21"/>
        </w:numPr>
        <w:tabs>
          <w:tab w:pos="1200" w:val="left" w:leader="none"/>
        </w:tabs>
        <w:spacing w:line="240" w:lineRule="auto" w:before="1" w:after="0"/>
        <w:ind w:left="1199" w:right="0" w:hanging="360"/>
        <w:jc w:val="left"/>
        <w:rPr>
          <w:rFonts w:ascii="Times New Roman" w:hAnsi="Times New Roman"/>
          <w:sz w:val="22"/>
        </w:rPr>
      </w:pPr>
      <w:r>
        <w:rPr>
          <w:rFonts w:ascii="Times New Roman" w:hAnsi="Times New Roman"/>
          <w:sz w:val="22"/>
        </w:rPr>
        <w:t>Están en lugares</w:t>
      </w:r>
      <w:r>
        <w:rPr>
          <w:rFonts w:ascii="Times New Roman" w:hAnsi="Times New Roman"/>
          <w:spacing w:val="-10"/>
          <w:sz w:val="22"/>
        </w:rPr>
        <w:t> </w:t>
      </w:r>
      <w:r>
        <w:rPr>
          <w:rFonts w:ascii="Times New Roman" w:hAnsi="Times New Roman"/>
          <w:sz w:val="22"/>
        </w:rPr>
        <w:t>turísticos</w:t>
      </w:r>
    </w:p>
    <w:p>
      <w:pPr>
        <w:pStyle w:val="BodyText"/>
        <w:rPr>
          <w:rFonts w:ascii="Times New Roman"/>
          <w:sz w:val="22"/>
        </w:rPr>
      </w:pPr>
    </w:p>
    <w:p>
      <w:pPr>
        <w:pStyle w:val="BodyText"/>
        <w:rPr>
          <w:rFonts w:ascii="Times New Roman"/>
          <w:sz w:val="22"/>
        </w:rPr>
      </w:pPr>
    </w:p>
    <w:p>
      <w:pPr>
        <w:pStyle w:val="BodyText"/>
        <w:spacing w:before="7"/>
        <w:rPr>
          <w:rFonts w:ascii="Times New Roman"/>
          <w:sz w:val="21"/>
        </w:rPr>
      </w:pPr>
    </w:p>
    <w:p>
      <w:pPr>
        <w:pStyle w:val="ListParagraph"/>
        <w:numPr>
          <w:ilvl w:val="0"/>
          <w:numId w:val="21"/>
        </w:numPr>
        <w:tabs>
          <w:tab w:pos="840" w:val="left" w:leader="none"/>
        </w:tabs>
        <w:spacing w:line="240" w:lineRule="auto" w:before="0" w:after="0"/>
        <w:ind w:left="839" w:right="168" w:hanging="360"/>
        <w:jc w:val="left"/>
        <w:rPr>
          <w:rFonts w:ascii="Times New Roman"/>
          <w:sz w:val="22"/>
        </w:rPr>
      </w:pPr>
      <w:r>
        <w:rPr>
          <w:rFonts w:ascii="Times New Roman"/>
          <w:sz w:val="22"/>
        </w:rPr>
        <w:t>El pasaje dice que las banderas de Nepal, el Vaticano y</w:t>
      </w:r>
      <w:r>
        <w:rPr>
          <w:rFonts w:ascii="Times New Roman"/>
          <w:spacing w:val="-11"/>
          <w:sz w:val="22"/>
        </w:rPr>
        <w:t> </w:t>
      </w:r>
      <w:r>
        <w:rPr>
          <w:rFonts w:ascii="Times New Roman"/>
          <w:sz w:val="22"/>
        </w:rPr>
        <w:t>Suiza</w:t>
      </w:r>
    </w:p>
    <w:p>
      <w:pPr>
        <w:pStyle w:val="BodyText"/>
        <w:spacing w:before="9"/>
        <w:rPr>
          <w:rFonts w:ascii="Times New Roman"/>
          <w:sz w:val="21"/>
        </w:rPr>
      </w:pPr>
    </w:p>
    <w:p>
      <w:pPr>
        <w:pStyle w:val="ListParagraph"/>
        <w:numPr>
          <w:ilvl w:val="1"/>
          <w:numId w:val="21"/>
        </w:numPr>
        <w:tabs>
          <w:tab w:pos="1185" w:val="left" w:leader="none"/>
        </w:tabs>
        <w:spacing w:line="240" w:lineRule="auto" w:before="0" w:after="0"/>
        <w:ind w:left="1184" w:right="0" w:hanging="360"/>
        <w:jc w:val="left"/>
        <w:rPr>
          <w:rFonts w:ascii="Times New Roman" w:hAnsi="Times New Roman"/>
          <w:sz w:val="22"/>
        </w:rPr>
      </w:pPr>
      <w:r>
        <w:rPr>
          <w:rFonts w:ascii="Times New Roman" w:hAnsi="Times New Roman"/>
          <w:sz w:val="22"/>
        </w:rPr>
        <w:t>Tiene proporción de</w:t>
      </w:r>
      <w:r>
        <w:rPr>
          <w:rFonts w:ascii="Times New Roman" w:hAnsi="Times New Roman"/>
          <w:spacing w:val="-5"/>
          <w:sz w:val="22"/>
        </w:rPr>
        <w:t> </w:t>
      </w:r>
      <w:r>
        <w:rPr>
          <w:rFonts w:ascii="Times New Roman" w:hAnsi="Times New Roman"/>
          <w:sz w:val="22"/>
        </w:rPr>
        <w:t>2:3</w:t>
      </w:r>
    </w:p>
    <w:p>
      <w:pPr>
        <w:pStyle w:val="ListParagraph"/>
        <w:numPr>
          <w:ilvl w:val="1"/>
          <w:numId w:val="21"/>
        </w:numPr>
        <w:tabs>
          <w:tab w:pos="1185" w:val="left" w:leader="none"/>
        </w:tabs>
        <w:spacing w:line="240" w:lineRule="auto" w:before="1" w:after="0"/>
        <w:ind w:left="1184" w:right="0" w:hanging="360"/>
        <w:jc w:val="left"/>
        <w:rPr>
          <w:rFonts w:ascii="Times New Roman" w:hAnsi="Times New Roman"/>
          <w:sz w:val="22"/>
        </w:rPr>
      </w:pPr>
      <w:r>
        <w:rPr>
          <w:rFonts w:ascii="Times New Roman" w:hAnsi="Times New Roman"/>
          <w:sz w:val="22"/>
        </w:rPr>
        <w:t>Tienen proporción de</w:t>
      </w:r>
      <w:r>
        <w:rPr>
          <w:rFonts w:ascii="Times New Roman" w:hAnsi="Times New Roman"/>
          <w:spacing w:val="-10"/>
          <w:sz w:val="22"/>
        </w:rPr>
        <w:t> </w:t>
      </w:r>
      <w:r>
        <w:rPr>
          <w:rFonts w:ascii="Times New Roman" w:hAnsi="Times New Roman"/>
          <w:sz w:val="22"/>
        </w:rPr>
        <w:t>1:1</w:t>
      </w:r>
    </w:p>
    <w:p>
      <w:pPr>
        <w:pStyle w:val="ListParagraph"/>
        <w:numPr>
          <w:ilvl w:val="1"/>
          <w:numId w:val="21"/>
        </w:numPr>
        <w:tabs>
          <w:tab w:pos="1185" w:val="left" w:leader="none"/>
        </w:tabs>
        <w:spacing w:line="240" w:lineRule="auto" w:before="1" w:after="0"/>
        <w:ind w:left="1184" w:right="108" w:hanging="360"/>
        <w:jc w:val="left"/>
        <w:rPr>
          <w:rFonts w:ascii="Times New Roman"/>
          <w:sz w:val="22"/>
        </w:rPr>
      </w:pPr>
      <w:r>
        <w:rPr>
          <w:rFonts w:ascii="Times New Roman"/>
          <w:sz w:val="22"/>
        </w:rPr>
        <w:t>Son distintas a las del resto del mundo</w:t>
      </w:r>
    </w:p>
    <w:p>
      <w:pPr>
        <w:pStyle w:val="ListParagraph"/>
        <w:numPr>
          <w:ilvl w:val="1"/>
          <w:numId w:val="21"/>
        </w:numPr>
        <w:tabs>
          <w:tab w:pos="1185" w:val="left" w:leader="none"/>
        </w:tabs>
        <w:spacing w:line="250" w:lineRule="exact" w:before="0" w:after="0"/>
        <w:ind w:left="1184" w:right="0" w:hanging="360"/>
        <w:jc w:val="left"/>
        <w:rPr>
          <w:rFonts w:ascii="Times New Roman"/>
          <w:sz w:val="22"/>
        </w:rPr>
      </w:pPr>
      <w:r>
        <w:rPr>
          <w:rFonts w:ascii="Times New Roman"/>
          <w:sz w:val="22"/>
        </w:rPr>
        <w:t>Son</w:t>
      </w:r>
      <w:r>
        <w:rPr>
          <w:rFonts w:ascii="Times New Roman"/>
          <w:spacing w:val="-6"/>
          <w:sz w:val="22"/>
        </w:rPr>
        <w:t> </w:t>
      </w:r>
      <w:r>
        <w:rPr>
          <w:rFonts w:ascii="Times New Roman"/>
          <w:sz w:val="22"/>
        </w:rPr>
        <w:t>rectangulares</w:t>
      </w:r>
    </w:p>
    <w:p>
      <w:pPr>
        <w:pStyle w:val="ListParagraph"/>
        <w:numPr>
          <w:ilvl w:val="0"/>
          <w:numId w:val="21"/>
        </w:numPr>
        <w:tabs>
          <w:tab w:pos="840" w:val="left" w:leader="none"/>
        </w:tabs>
        <w:spacing w:line="240" w:lineRule="auto" w:before="73" w:after="0"/>
        <w:ind w:left="839" w:right="129" w:hanging="360"/>
        <w:jc w:val="left"/>
        <w:rPr>
          <w:rFonts w:ascii="Times New Roman" w:hAnsi="Times New Roman"/>
          <w:sz w:val="22"/>
        </w:rPr>
      </w:pPr>
      <w:r>
        <w:rPr>
          <w:rFonts w:ascii="Times New Roman" w:hAnsi="Times New Roman"/>
          <w:w w:val="100"/>
          <w:sz w:val="22"/>
        </w:rPr>
        <w:br w:type="column"/>
      </w:r>
      <w:r>
        <w:rPr>
          <w:rFonts w:ascii="Times New Roman" w:hAnsi="Times New Roman"/>
          <w:sz w:val="22"/>
        </w:rPr>
        <w:t>De acuerdo al texto ¿cuántas banderas del mundo son</w:t>
      </w:r>
      <w:r>
        <w:rPr>
          <w:rFonts w:ascii="Times New Roman" w:hAnsi="Times New Roman"/>
          <w:spacing w:val="-8"/>
          <w:sz w:val="22"/>
        </w:rPr>
        <w:t> </w:t>
      </w:r>
      <w:r>
        <w:rPr>
          <w:rFonts w:ascii="Times New Roman" w:hAnsi="Times New Roman"/>
          <w:sz w:val="22"/>
        </w:rPr>
        <w:t>cuadradas?</w:t>
      </w:r>
    </w:p>
    <w:p>
      <w:pPr>
        <w:pStyle w:val="BodyText"/>
        <w:spacing w:before="9"/>
        <w:rPr>
          <w:rFonts w:ascii="Times New Roman"/>
          <w:sz w:val="21"/>
        </w:rPr>
      </w:pPr>
    </w:p>
    <w:p>
      <w:pPr>
        <w:pStyle w:val="ListParagraph"/>
        <w:numPr>
          <w:ilvl w:val="1"/>
          <w:numId w:val="21"/>
        </w:numPr>
        <w:tabs>
          <w:tab w:pos="1200" w:val="left" w:leader="none"/>
        </w:tabs>
        <w:spacing w:line="240" w:lineRule="auto" w:before="0" w:after="0"/>
        <w:ind w:left="1199" w:right="0" w:hanging="360"/>
        <w:jc w:val="left"/>
        <w:rPr>
          <w:rFonts w:ascii="Times New Roman"/>
          <w:sz w:val="22"/>
        </w:rPr>
      </w:pPr>
      <w:r>
        <w:rPr>
          <w:rFonts w:ascii="Times New Roman"/>
          <w:sz w:val="22"/>
        </w:rPr>
        <w:t>una</w:t>
      </w:r>
    </w:p>
    <w:p>
      <w:pPr>
        <w:pStyle w:val="ListParagraph"/>
        <w:numPr>
          <w:ilvl w:val="1"/>
          <w:numId w:val="21"/>
        </w:numPr>
        <w:tabs>
          <w:tab w:pos="1200" w:val="left" w:leader="none"/>
        </w:tabs>
        <w:spacing w:line="251" w:lineRule="exact" w:before="1" w:after="0"/>
        <w:ind w:left="1199" w:right="0" w:hanging="360"/>
        <w:jc w:val="left"/>
        <w:rPr>
          <w:rFonts w:ascii="Times New Roman"/>
          <w:sz w:val="22"/>
        </w:rPr>
      </w:pPr>
      <w:r>
        <w:rPr>
          <w:rFonts w:ascii="Times New Roman"/>
          <w:sz w:val="22"/>
        </w:rPr>
        <w:t>dos</w:t>
      </w:r>
    </w:p>
    <w:p>
      <w:pPr>
        <w:pStyle w:val="ListParagraph"/>
        <w:numPr>
          <w:ilvl w:val="1"/>
          <w:numId w:val="21"/>
        </w:numPr>
        <w:tabs>
          <w:tab w:pos="1200" w:val="left" w:leader="none"/>
        </w:tabs>
        <w:spacing w:line="251" w:lineRule="exact" w:before="0" w:after="0"/>
        <w:ind w:left="1199" w:right="0" w:hanging="360"/>
        <w:jc w:val="left"/>
        <w:rPr>
          <w:rFonts w:ascii="Times New Roman"/>
          <w:sz w:val="22"/>
        </w:rPr>
      </w:pPr>
      <w:r>
        <w:rPr>
          <w:rFonts w:ascii="Times New Roman"/>
          <w:sz w:val="22"/>
        </w:rPr>
        <w:t>tres</w:t>
      </w:r>
    </w:p>
    <w:p>
      <w:pPr>
        <w:pStyle w:val="ListParagraph"/>
        <w:numPr>
          <w:ilvl w:val="1"/>
          <w:numId w:val="21"/>
        </w:numPr>
        <w:tabs>
          <w:tab w:pos="1200" w:val="left" w:leader="none"/>
        </w:tabs>
        <w:spacing w:line="240" w:lineRule="auto" w:before="1" w:after="0"/>
        <w:ind w:left="1199" w:right="0" w:hanging="360"/>
        <w:jc w:val="left"/>
        <w:rPr>
          <w:rFonts w:ascii="Times New Roman"/>
          <w:sz w:val="22"/>
        </w:rPr>
      </w:pPr>
      <w:r>
        <w:rPr>
          <w:rFonts w:ascii="Times New Roman"/>
          <w:sz w:val="22"/>
        </w:rPr>
        <w:t>cuatro</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7"/>
        <w:rPr>
          <w:rFonts w:ascii="Times New Roman"/>
          <w:sz w:val="22"/>
        </w:rPr>
      </w:pPr>
    </w:p>
    <w:p>
      <w:pPr>
        <w:pStyle w:val="ListParagraph"/>
        <w:numPr>
          <w:ilvl w:val="0"/>
          <w:numId w:val="21"/>
        </w:numPr>
        <w:tabs>
          <w:tab w:pos="840" w:val="left" w:leader="none"/>
        </w:tabs>
        <w:spacing w:line="250" w:lineRule="exact" w:before="0" w:after="0"/>
        <w:ind w:left="839" w:right="196" w:hanging="360"/>
        <w:jc w:val="left"/>
        <w:rPr>
          <w:rFonts w:ascii="Times New Roman" w:hAnsi="Times New Roman"/>
          <w:sz w:val="22"/>
        </w:rPr>
      </w:pPr>
      <w:r>
        <w:rPr>
          <w:rFonts w:ascii="Times New Roman" w:hAnsi="Times New Roman"/>
          <w:sz w:val="22"/>
        </w:rPr>
        <w:t>De acuerdo al texto, ¿la bandera de Nepal</w:t>
      </w:r>
      <w:r>
        <w:rPr>
          <w:rFonts w:ascii="Times New Roman" w:hAnsi="Times New Roman"/>
          <w:spacing w:val="-2"/>
          <w:sz w:val="22"/>
        </w:rPr>
        <w:t> </w:t>
      </w:r>
      <w:r>
        <w:rPr>
          <w:rFonts w:ascii="Times New Roman" w:hAnsi="Times New Roman"/>
          <w:sz w:val="22"/>
        </w:rPr>
        <w:t>es…?</w:t>
      </w:r>
    </w:p>
    <w:p>
      <w:pPr>
        <w:pStyle w:val="BodyText"/>
        <w:rPr>
          <w:rFonts w:ascii="Times New Roman"/>
          <w:sz w:val="22"/>
        </w:rPr>
      </w:pPr>
    </w:p>
    <w:p>
      <w:pPr>
        <w:pStyle w:val="ListParagraph"/>
        <w:numPr>
          <w:ilvl w:val="1"/>
          <w:numId w:val="21"/>
        </w:numPr>
        <w:tabs>
          <w:tab w:pos="1200" w:val="left" w:leader="none"/>
        </w:tabs>
        <w:spacing w:line="251" w:lineRule="exact" w:before="0" w:after="0"/>
        <w:ind w:left="1199" w:right="0" w:hanging="360"/>
        <w:jc w:val="left"/>
        <w:rPr>
          <w:rFonts w:ascii="Times New Roman"/>
          <w:sz w:val="22"/>
        </w:rPr>
      </w:pPr>
      <w:r>
        <w:rPr>
          <w:rFonts w:ascii="Times New Roman"/>
          <w:sz w:val="22"/>
        </w:rPr>
        <w:t>Rectangular</w:t>
      </w:r>
    </w:p>
    <w:p>
      <w:pPr>
        <w:pStyle w:val="ListParagraph"/>
        <w:numPr>
          <w:ilvl w:val="1"/>
          <w:numId w:val="21"/>
        </w:numPr>
        <w:tabs>
          <w:tab w:pos="1200" w:val="left" w:leader="none"/>
        </w:tabs>
        <w:spacing w:line="251" w:lineRule="exact" w:before="0" w:after="0"/>
        <w:ind w:left="1199" w:right="0" w:hanging="360"/>
        <w:jc w:val="left"/>
        <w:rPr>
          <w:rFonts w:ascii="Times New Roman"/>
          <w:sz w:val="22"/>
        </w:rPr>
      </w:pPr>
      <w:r>
        <w:rPr>
          <w:rFonts w:ascii="Times New Roman"/>
          <w:sz w:val="22"/>
        </w:rPr>
        <w:t>Triangular</w:t>
      </w:r>
    </w:p>
    <w:p>
      <w:pPr>
        <w:pStyle w:val="ListParagraph"/>
        <w:numPr>
          <w:ilvl w:val="1"/>
          <w:numId w:val="21"/>
        </w:numPr>
        <w:tabs>
          <w:tab w:pos="1200" w:val="left" w:leader="none"/>
        </w:tabs>
        <w:spacing w:line="240" w:lineRule="auto" w:before="1" w:after="0"/>
        <w:ind w:left="1199" w:right="0" w:hanging="360"/>
        <w:jc w:val="left"/>
        <w:rPr>
          <w:rFonts w:ascii="Times New Roman"/>
          <w:sz w:val="22"/>
        </w:rPr>
      </w:pPr>
      <w:r>
        <w:rPr>
          <w:rFonts w:ascii="Times New Roman"/>
          <w:sz w:val="22"/>
        </w:rPr>
        <w:t>Cuadrada</w:t>
      </w:r>
    </w:p>
    <w:p>
      <w:pPr>
        <w:pStyle w:val="ListParagraph"/>
        <w:numPr>
          <w:ilvl w:val="1"/>
          <w:numId w:val="21"/>
        </w:numPr>
        <w:tabs>
          <w:tab w:pos="1200" w:val="left" w:leader="none"/>
        </w:tabs>
        <w:spacing w:line="240" w:lineRule="auto" w:before="1" w:after="0"/>
        <w:ind w:left="1199" w:right="0" w:hanging="360"/>
        <w:jc w:val="left"/>
        <w:rPr>
          <w:rFonts w:ascii="Times New Roman"/>
          <w:sz w:val="22"/>
        </w:rPr>
      </w:pPr>
      <w:r>
        <w:rPr>
          <w:rFonts w:ascii="Times New Roman"/>
          <w:sz w:val="22"/>
        </w:rPr>
        <w:t>No se</w:t>
      </w:r>
      <w:r>
        <w:rPr>
          <w:rFonts w:ascii="Times New Roman"/>
          <w:spacing w:val="-6"/>
          <w:sz w:val="22"/>
        </w:rPr>
        <w:t> </w:t>
      </w:r>
      <w:r>
        <w:rPr>
          <w:rFonts w:ascii="Times New Roman"/>
          <w:sz w:val="22"/>
        </w:rPr>
        <w:t>menciona</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840" w:val="left" w:leader="none"/>
        </w:tabs>
        <w:spacing w:line="240" w:lineRule="auto" w:before="1" w:after="0"/>
        <w:ind w:left="839" w:right="118" w:hanging="360"/>
        <w:jc w:val="left"/>
        <w:rPr>
          <w:rFonts w:ascii="Times New Roman" w:hAnsi="Times New Roman"/>
          <w:sz w:val="22"/>
        </w:rPr>
      </w:pPr>
      <w:r>
        <w:rPr>
          <w:rFonts w:ascii="Times New Roman" w:hAnsi="Times New Roman"/>
          <w:sz w:val="22"/>
        </w:rPr>
        <w:t>Por “simbologías”, en la línea </w:t>
      </w:r>
      <w:r>
        <w:rPr>
          <w:rFonts w:ascii="Times New Roman" w:hAnsi="Times New Roman"/>
          <w:spacing w:val="2"/>
          <w:sz w:val="22"/>
        </w:rPr>
        <w:t>13,</w:t>
      </w:r>
      <w:r>
        <w:rPr>
          <w:rFonts w:ascii="Times New Roman" w:hAnsi="Times New Roman"/>
          <w:spacing w:val="-18"/>
          <w:sz w:val="22"/>
        </w:rPr>
        <w:t> </w:t>
      </w:r>
      <w:r>
        <w:rPr>
          <w:rFonts w:ascii="Times New Roman" w:hAnsi="Times New Roman"/>
          <w:sz w:val="22"/>
        </w:rPr>
        <w:t>el autor del texto se refiere</w:t>
      </w:r>
      <w:r>
        <w:rPr>
          <w:rFonts w:ascii="Times New Roman" w:hAnsi="Times New Roman"/>
          <w:spacing w:val="-11"/>
          <w:sz w:val="22"/>
        </w:rPr>
        <w:t> </w:t>
      </w:r>
      <w:r>
        <w:rPr>
          <w:rFonts w:ascii="Times New Roman" w:hAnsi="Times New Roman"/>
          <w:sz w:val="22"/>
        </w:rPr>
        <w:t>a</w:t>
      </w:r>
    </w:p>
    <w:p>
      <w:pPr>
        <w:pStyle w:val="BodyText"/>
        <w:spacing w:before="9"/>
        <w:rPr>
          <w:rFonts w:ascii="Times New Roman"/>
          <w:sz w:val="21"/>
        </w:rPr>
      </w:pPr>
    </w:p>
    <w:p>
      <w:pPr>
        <w:pStyle w:val="ListParagraph"/>
        <w:numPr>
          <w:ilvl w:val="1"/>
          <w:numId w:val="21"/>
        </w:numPr>
        <w:tabs>
          <w:tab w:pos="1200" w:val="left" w:leader="none"/>
        </w:tabs>
        <w:spacing w:line="240" w:lineRule="auto" w:before="0" w:after="0"/>
        <w:ind w:left="1199" w:right="0" w:hanging="360"/>
        <w:jc w:val="left"/>
        <w:rPr>
          <w:rFonts w:ascii="Times New Roman" w:hAnsi="Times New Roman"/>
          <w:sz w:val="22"/>
        </w:rPr>
      </w:pPr>
      <w:r>
        <w:rPr>
          <w:rFonts w:ascii="Times New Roman" w:hAnsi="Times New Roman"/>
          <w:sz w:val="22"/>
        </w:rPr>
        <w:t>Los símbolos de cada</w:t>
      </w:r>
      <w:r>
        <w:rPr>
          <w:rFonts w:ascii="Times New Roman" w:hAnsi="Times New Roman"/>
          <w:spacing w:val="-5"/>
          <w:sz w:val="22"/>
        </w:rPr>
        <w:t> </w:t>
      </w:r>
      <w:r>
        <w:rPr>
          <w:rFonts w:ascii="Times New Roman" w:hAnsi="Times New Roman"/>
          <w:sz w:val="22"/>
        </w:rPr>
        <w:t>nación</w:t>
      </w:r>
    </w:p>
    <w:p>
      <w:pPr>
        <w:pStyle w:val="ListParagraph"/>
        <w:numPr>
          <w:ilvl w:val="1"/>
          <w:numId w:val="21"/>
        </w:numPr>
        <w:tabs>
          <w:tab w:pos="1200" w:val="left" w:leader="none"/>
        </w:tabs>
        <w:spacing w:line="250" w:lineRule="exact" w:before="7" w:after="0"/>
        <w:ind w:left="1199" w:right="376" w:hanging="360"/>
        <w:jc w:val="left"/>
        <w:rPr>
          <w:rFonts w:ascii="Times New Roman"/>
          <w:sz w:val="22"/>
        </w:rPr>
      </w:pPr>
      <w:r>
        <w:rPr>
          <w:rFonts w:ascii="Times New Roman"/>
          <w:sz w:val="22"/>
        </w:rPr>
        <w:t>La variedad de colores de las banderas</w:t>
      </w:r>
    </w:p>
    <w:p>
      <w:pPr>
        <w:pStyle w:val="ListParagraph"/>
        <w:numPr>
          <w:ilvl w:val="1"/>
          <w:numId w:val="21"/>
        </w:numPr>
        <w:tabs>
          <w:tab w:pos="1200" w:val="left" w:leader="none"/>
        </w:tabs>
        <w:spacing w:line="240" w:lineRule="auto" w:before="0" w:after="0"/>
        <w:ind w:left="1199" w:right="182" w:hanging="360"/>
        <w:jc w:val="left"/>
        <w:rPr>
          <w:rFonts w:ascii="Times New Roman"/>
          <w:sz w:val="22"/>
        </w:rPr>
      </w:pPr>
      <w:r>
        <w:rPr>
          <w:rFonts w:ascii="Times New Roman"/>
          <w:sz w:val="22"/>
        </w:rPr>
        <w:t>El significado de los colores de las</w:t>
      </w:r>
      <w:r>
        <w:rPr>
          <w:rFonts w:ascii="Times New Roman"/>
          <w:spacing w:val="-2"/>
          <w:sz w:val="22"/>
        </w:rPr>
        <w:t> </w:t>
      </w:r>
      <w:r>
        <w:rPr>
          <w:rFonts w:ascii="Times New Roman"/>
          <w:sz w:val="22"/>
        </w:rPr>
        <w:t>banderas</w:t>
      </w:r>
    </w:p>
    <w:p>
      <w:pPr>
        <w:pStyle w:val="ListParagraph"/>
        <w:numPr>
          <w:ilvl w:val="1"/>
          <w:numId w:val="21"/>
        </w:numPr>
        <w:tabs>
          <w:tab w:pos="1200" w:val="left" w:leader="none"/>
        </w:tabs>
        <w:spacing w:line="240" w:lineRule="auto" w:before="1" w:after="0"/>
        <w:ind w:left="1199" w:right="0" w:hanging="360"/>
        <w:jc w:val="left"/>
        <w:rPr>
          <w:rFonts w:ascii="Times New Roman"/>
          <w:sz w:val="22"/>
        </w:rPr>
      </w:pPr>
      <w:r>
        <w:rPr>
          <w:rFonts w:ascii="Times New Roman"/>
          <w:sz w:val="22"/>
        </w:rPr>
        <w:t>Las similitudes entre</w:t>
      </w:r>
      <w:r>
        <w:rPr>
          <w:rFonts w:ascii="Times New Roman"/>
          <w:spacing w:val="-5"/>
          <w:sz w:val="22"/>
        </w:rPr>
        <w:t> </w:t>
      </w:r>
      <w:r>
        <w:rPr>
          <w:rFonts w:ascii="Times New Roman"/>
          <w:sz w:val="22"/>
        </w:rPr>
        <w:t>banderas</w:t>
      </w:r>
    </w:p>
    <w:p>
      <w:pPr>
        <w:pStyle w:val="BodyText"/>
        <w:rPr>
          <w:rFonts w:ascii="Times New Roman"/>
          <w:sz w:val="22"/>
        </w:rPr>
      </w:pPr>
    </w:p>
    <w:p>
      <w:pPr>
        <w:pStyle w:val="BodyText"/>
        <w:spacing w:before="4"/>
        <w:rPr>
          <w:rFonts w:ascii="Times New Roman"/>
          <w:sz w:val="22"/>
        </w:rPr>
      </w:pPr>
    </w:p>
    <w:p>
      <w:pPr>
        <w:pStyle w:val="ListParagraph"/>
        <w:numPr>
          <w:ilvl w:val="0"/>
          <w:numId w:val="21"/>
        </w:numPr>
        <w:tabs>
          <w:tab w:pos="840" w:val="left" w:leader="none"/>
        </w:tabs>
        <w:spacing w:line="250" w:lineRule="exact" w:before="1" w:after="0"/>
        <w:ind w:left="839" w:right="465" w:hanging="360"/>
        <w:jc w:val="left"/>
        <w:rPr>
          <w:rFonts w:ascii="Times New Roman" w:hAnsi="Times New Roman"/>
          <w:sz w:val="22"/>
        </w:rPr>
      </w:pPr>
      <w:r>
        <w:rPr>
          <w:rFonts w:ascii="Times New Roman" w:hAnsi="Times New Roman"/>
          <w:sz w:val="22"/>
        </w:rPr>
        <w:t>El la línea 16 las palabras “la de Colombia” se refieren</w:t>
      </w:r>
      <w:r>
        <w:rPr>
          <w:rFonts w:ascii="Times New Roman" w:hAnsi="Times New Roman"/>
          <w:spacing w:val="-12"/>
          <w:sz w:val="22"/>
        </w:rPr>
        <w:t> </w:t>
      </w:r>
      <w:r>
        <w:rPr>
          <w:rFonts w:ascii="Times New Roman" w:hAnsi="Times New Roman"/>
          <w:sz w:val="22"/>
        </w:rPr>
        <w:t>a</w:t>
      </w:r>
    </w:p>
    <w:p>
      <w:pPr>
        <w:pStyle w:val="BodyText"/>
        <w:rPr>
          <w:rFonts w:ascii="Times New Roman"/>
          <w:sz w:val="22"/>
        </w:rPr>
      </w:pPr>
    </w:p>
    <w:p>
      <w:pPr>
        <w:pStyle w:val="ListParagraph"/>
        <w:numPr>
          <w:ilvl w:val="1"/>
          <w:numId w:val="21"/>
        </w:numPr>
        <w:tabs>
          <w:tab w:pos="1185" w:val="left" w:leader="none"/>
        </w:tabs>
        <w:spacing w:line="251" w:lineRule="exact" w:before="0" w:after="0"/>
        <w:ind w:left="1184" w:right="0" w:hanging="360"/>
        <w:jc w:val="left"/>
        <w:rPr>
          <w:rFonts w:ascii="Times New Roman"/>
          <w:sz w:val="22"/>
        </w:rPr>
      </w:pPr>
      <w:r>
        <w:rPr>
          <w:rFonts w:ascii="Times New Roman"/>
          <w:sz w:val="22"/>
        </w:rPr>
        <w:t>Su</w:t>
      </w:r>
      <w:r>
        <w:rPr>
          <w:rFonts w:ascii="Times New Roman"/>
          <w:spacing w:val="-5"/>
          <w:sz w:val="22"/>
        </w:rPr>
        <w:t> </w:t>
      </w:r>
      <w:r>
        <w:rPr>
          <w:rFonts w:ascii="Times New Roman"/>
          <w:sz w:val="22"/>
        </w:rPr>
        <w:t>lucha</w:t>
      </w:r>
    </w:p>
    <w:p>
      <w:pPr>
        <w:pStyle w:val="ListParagraph"/>
        <w:numPr>
          <w:ilvl w:val="1"/>
          <w:numId w:val="21"/>
        </w:numPr>
        <w:tabs>
          <w:tab w:pos="1185" w:val="left" w:leader="none"/>
        </w:tabs>
        <w:spacing w:line="251" w:lineRule="exact" w:before="0" w:after="0"/>
        <w:ind w:left="1184" w:right="0" w:hanging="360"/>
        <w:jc w:val="left"/>
        <w:rPr>
          <w:rFonts w:ascii="Times New Roman" w:hAnsi="Times New Roman"/>
          <w:sz w:val="22"/>
        </w:rPr>
      </w:pPr>
      <w:r>
        <w:rPr>
          <w:rFonts w:ascii="Times New Roman" w:hAnsi="Times New Roman"/>
          <w:sz w:val="22"/>
        </w:rPr>
        <w:t>Su</w:t>
      </w:r>
      <w:r>
        <w:rPr>
          <w:rFonts w:ascii="Times New Roman" w:hAnsi="Times New Roman"/>
          <w:spacing w:val="-5"/>
          <w:sz w:val="22"/>
        </w:rPr>
        <w:t> </w:t>
      </w:r>
      <w:r>
        <w:rPr>
          <w:rFonts w:ascii="Times New Roman" w:hAnsi="Times New Roman"/>
          <w:sz w:val="22"/>
        </w:rPr>
        <w:t>simbología</w:t>
      </w:r>
    </w:p>
    <w:p>
      <w:pPr>
        <w:pStyle w:val="ListParagraph"/>
        <w:numPr>
          <w:ilvl w:val="1"/>
          <w:numId w:val="21"/>
        </w:numPr>
        <w:tabs>
          <w:tab w:pos="1185" w:val="left" w:leader="none"/>
        </w:tabs>
        <w:spacing w:line="240" w:lineRule="auto" w:before="1" w:after="0"/>
        <w:ind w:left="1184" w:right="0" w:hanging="360"/>
        <w:jc w:val="left"/>
        <w:rPr>
          <w:rFonts w:ascii="Times New Roman"/>
          <w:sz w:val="22"/>
        </w:rPr>
      </w:pPr>
      <w:r>
        <w:rPr>
          <w:rFonts w:ascii="Times New Roman"/>
          <w:sz w:val="22"/>
        </w:rPr>
        <w:t>Su</w:t>
      </w:r>
      <w:r>
        <w:rPr>
          <w:rFonts w:ascii="Times New Roman"/>
          <w:spacing w:val="-4"/>
          <w:sz w:val="22"/>
        </w:rPr>
        <w:t> </w:t>
      </w:r>
      <w:r>
        <w:rPr>
          <w:rFonts w:ascii="Times New Roman"/>
          <w:sz w:val="22"/>
        </w:rPr>
        <w:t>libertad</w:t>
      </w:r>
    </w:p>
    <w:p>
      <w:pPr>
        <w:pStyle w:val="ListParagraph"/>
        <w:numPr>
          <w:ilvl w:val="1"/>
          <w:numId w:val="21"/>
        </w:numPr>
        <w:tabs>
          <w:tab w:pos="1185" w:val="left" w:leader="none"/>
        </w:tabs>
        <w:spacing w:line="240" w:lineRule="auto" w:before="1" w:after="0"/>
        <w:ind w:left="1184" w:right="0" w:hanging="360"/>
        <w:jc w:val="left"/>
        <w:rPr>
          <w:rFonts w:ascii="Times New Roman"/>
          <w:sz w:val="22"/>
        </w:rPr>
      </w:pPr>
      <w:r>
        <w:rPr>
          <w:rFonts w:ascii="Times New Roman"/>
          <w:sz w:val="22"/>
        </w:rPr>
        <w:t>Su</w:t>
      </w:r>
      <w:r>
        <w:rPr>
          <w:rFonts w:ascii="Times New Roman"/>
          <w:spacing w:val="-1"/>
          <w:sz w:val="22"/>
        </w:rPr>
        <w:t> </w:t>
      </w:r>
      <w:r>
        <w:rPr>
          <w:rFonts w:ascii="Times New Roman"/>
          <w:sz w:val="22"/>
        </w:rPr>
        <w:t>bandera</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9"/>
        <w:rPr>
          <w:rFonts w:ascii="Times New Roman"/>
          <w:sz w:val="21"/>
        </w:rPr>
      </w:pPr>
    </w:p>
    <w:p>
      <w:pPr>
        <w:pStyle w:val="ListParagraph"/>
        <w:numPr>
          <w:ilvl w:val="0"/>
          <w:numId w:val="21"/>
        </w:numPr>
        <w:tabs>
          <w:tab w:pos="840" w:val="left" w:leader="none"/>
        </w:tabs>
        <w:spacing w:line="240" w:lineRule="auto" w:before="0" w:after="0"/>
        <w:ind w:left="839" w:right="319" w:hanging="360"/>
        <w:jc w:val="left"/>
        <w:rPr>
          <w:rFonts w:ascii="Times New Roman" w:hAnsi="Times New Roman"/>
          <w:sz w:val="22"/>
        </w:rPr>
      </w:pPr>
      <w:r>
        <w:rPr>
          <w:rFonts w:ascii="Times New Roman" w:hAnsi="Times New Roman"/>
          <w:sz w:val="22"/>
        </w:rPr>
        <w:t>El pasaje indica que Bolivia es un país</w:t>
      </w:r>
      <w:r>
        <w:rPr>
          <w:rFonts w:ascii="Times New Roman" w:hAnsi="Times New Roman"/>
          <w:spacing w:val="2"/>
          <w:sz w:val="22"/>
        </w:rPr>
        <w:t> </w:t>
      </w:r>
      <w:r>
        <w:rPr>
          <w:rFonts w:ascii="Times New Roman" w:hAnsi="Times New Roman"/>
          <w:sz w:val="22"/>
        </w:rPr>
        <w:t>que</w:t>
      </w:r>
    </w:p>
    <w:p>
      <w:pPr>
        <w:pStyle w:val="BodyText"/>
        <w:spacing w:before="9"/>
        <w:rPr>
          <w:rFonts w:ascii="Times New Roman"/>
          <w:sz w:val="21"/>
        </w:rPr>
      </w:pPr>
    </w:p>
    <w:p>
      <w:pPr>
        <w:pStyle w:val="ListParagraph"/>
        <w:numPr>
          <w:ilvl w:val="1"/>
          <w:numId w:val="21"/>
        </w:numPr>
        <w:tabs>
          <w:tab w:pos="1200" w:val="left" w:leader="none"/>
        </w:tabs>
        <w:spacing w:line="240" w:lineRule="auto" w:before="0" w:after="0"/>
        <w:ind w:left="1199" w:right="0" w:hanging="360"/>
        <w:jc w:val="left"/>
        <w:rPr>
          <w:rFonts w:ascii="Times New Roman"/>
          <w:sz w:val="22"/>
        </w:rPr>
      </w:pPr>
      <w:r>
        <w:rPr>
          <w:rFonts w:ascii="Times New Roman"/>
          <w:sz w:val="22"/>
        </w:rPr>
        <w:t>Tiene ricas</w:t>
      </w:r>
      <w:r>
        <w:rPr>
          <w:rFonts w:ascii="Times New Roman"/>
          <w:spacing w:val="-6"/>
          <w:sz w:val="22"/>
        </w:rPr>
        <w:t> </w:t>
      </w:r>
      <w:r>
        <w:rPr>
          <w:rFonts w:ascii="Times New Roman"/>
          <w:sz w:val="22"/>
        </w:rPr>
        <w:t>minas</w:t>
      </w:r>
    </w:p>
    <w:p>
      <w:pPr>
        <w:pStyle w:val="ListParagraph"/>
        <w:numPr>
          <w:ilvl w:val="1"/>
          <w:numId w:val="21"/>
        </w:numPr>
        <w:tabs>
          <w:tab w:pos="1200" w:val="left" w:leader="none"/>
        </w:tabs>
        <w:spacing w:line="240" w:lineRule="auto" w:before="1" w:after="0"/>
        <w:ind w:left="1199" w:right="0" w:hanging="360"/>
        <w:jc w:val="left"/>
        <w:rPr>
          <w:rFonts w:ascii="Times New Roman"/>
          <w:sz w:val="22"/>
        </w:rPr>
      </w:pPr>
      <w:r>
        <w:rPr>
          <w:rFonts w:ascii="Times New Roman"/>
          <w:sz w:val="22"/>
        </w:rPr>
        <w:t>Contiene rojo en su</w:t>
      </w:r>
      <w:r>
        <w:rPr>
          <w:rFonts w:ascii="Times New Roman"/>
          <w:spacing w:val="-6"/>
          <w:sz w:val="22"/>
        </w:rPr>
        <w:t> </w:t>
      </w:r>
      <w:r>
        <w:rPr>
          <w:rFonts w:ascii="Times New Roman"/>
          <w:sz w:val="22"/>
        </w:rPr>
        <w:t>bandera</w:t>
      </w:r>
    </w:p>
    <w:p>
      <w:pPr>
        <w:pStyle w:val="ListParagraph"/>
        <w:numPr>
          <w:ilvl w:val="1"/>
          <w:numId w:val="21"/>
        </w:numPr>
        <w:tabs>
          <w:tab w:pos="1200" w:val="left" w:leader="none"/>
        </w:tabs>
        <w:spacing w:line="240" w:lineRule="auto" w:before="1" w:after="0"/>
        <w:ind w:left="1199" w:right="148" w:hanging="360"/>
        <w:jc w:val="left"/>
        <w:rPr>
          <w:rFonts w:ascii="Times New Roman"/>
          <w:sz w:val="22"/>
        </w:rPr>
      </w:pPr>
      <w:r>
        <w:rPr>
          <w:rFonts w:ascii="Times New Roman"/>
          <w:sz w:val="22"/>
        </w:rPr>
        <w:t>Tiene una bandera parecida a la de</w:t>
      </w:r>
      <w:r>
        <w:rPr>
          <w:rFonts w:ascii="Times New Roman"/>
          <w:spacing w:val="-6"/>
          <w:sz w:val="22"/>
        </w:rPr>
        <w:t> </w:t>
      </w:r>
      <w:r>
        <w:rPr>
          <w:rFonts w:ascii="Times New Roman"/>
          <w:sz w:val="22"/>
        </w:rPr>
        <w:t>Brasil</w:t>
      </w:r>
    </w:p>
    <w:p>
      <w:pPr>
        <w:pStyle w:val="ListParagraph"/>
        <w:numPr>
          <w:ilvl w:val="1"/>
          <w:numId w:val="21"/>
        </w:numPr>
        <w:tabs>
          <w:tab w:pos="1200" w:val="left" w:leader="none"/>
        </w:tabs>
        <w:spacing w:line="250" w:lineRule="exact" w:before="0" w:after="0"/>
        <w:ind w:left="1199" w:right="0" w:hanging="360"/>
        <w:jc w:val="left"/>
        <w:rPr>
          <w:rFonts w:ascii="Times New Roman"/>
          <w:sz w:val="22"/>
        </w:rPr>
      </w:pPr>
      <w:r>
        <w:rPr>
          <w:rFonts w:ascii="Times New Roman"/>
          <w:sz w:val="22"/>
        </w:rPr>
        <w:t>Tiene sol y</w:t>
      </w:r>
      <w:r>
        <w:rPr>
          <w:rFonts w:ascii="Times New Roman"/>
          <w:spacing w:val="-9"/>
          <w:sz w:val="22"/>
        </w:rPr>
        <w:t> </w:t>
      </w:r>
      <w:r>
        <w:rPr>
          <w:rFonts w:ascii="Times New Roman"/>
          <w:sz w:val="22"/>
        </w:rPr>
        <w:t>desierto</w:t>
      </w:r>
    </w:p>
    <w:p>
      <w:pPr>
        <w:spacing w:after="0" w:line="250" w:lineRule="exact"/>
        <w:jc w:val="left"/>
        <w:rPr>
          <w:rFonts w:ascii="Times New Roman"/>
          <w:sz w:val="22"/>
        </w:rPr>
        <w:sectPr>
          <w:type w:val="continuous"/>
          <w:pgSz w:w="11910" w:h="16840"/>
          <w:pgMar w:top="1580" w:bottom="280" w:left="1580" w:right="1580"/>
          <w:cols w:num="2" w:equalWidth="0">
            <w:col w:w="4007" w:space="601"/>
            <w:col w:w="4142"/>
          </w:cols>
        </w:sectPr>
      </w:pPr>
    </w:p>
    <w:p>
      <w:pPr>
        <w:pStyle w:val="BodyText"/>
        <w:spacing w:before="5"/>
        <w:rPr>
          <w:rFonts w:ascii="Times New Roman"/>
          <w:sz w:val="17"/>
        </w:rPr>
      </w:pPr>
    </w:p>
    <w:p>
      <w:pPr>
        <w:spacing w:before="73"/>
        <w:ind w:left="479" w:right="18" w:firstLine="0"/>
        <w:jc w:val="left"/>
        <w:rPr>
          <w:rFonts w:ascii="Times New Roman"/>
          <w:sz w:val="22"/>
        </w:rPr>
      </w:pPr>
      <w:r>
        <w:rPr>
          <w:rFonts w:ascii="Times New Roman"/>
          <w:sz w:val="22"/>
        </w:rPr>
        <w:t>Preguntas 11-19</w:t>
      </w:r>
    </w:p>
    <w:p>
      <w:pPr>
        <w:pStyle w:val="BodyText"/>
        <w:spacing w:before="6"/>
        <w:rPr>
          <w:rFonts w:ascii="Times New Roman"/>
          <w:sz w:val="15"/>
        </w:rPr>
      </w:pPr>
    </w:p>
    <w:p>
      <w:pPr>
        <w:spacing w:before="72"/>
        <w:ind w:left="479" w:right="112" w:firstLine="710"/>
        <w:jc w:val="both"/>
        <w:rPr>
          <w:rFonts w:ascii="Times New Roman" w:hAnsi="Times New Roman"/>
          <w:sz w:val="22"/>
        </w:rPr>
      </w:pPr>
      <w:r>
        <w:rPr>
          <w:rFonts w:ascii="Times New Roman" w:hAnsi="Times New Roman"/>
          <w:sz w:val="22"/>
        </w:rPr>
        <w:t>La migración internacional es, sin duda, uno de los temas más discutidos y analizados  en la actualidad, no sólo en el contexto nacional, sino también en el </w:t>
      </w:r>
      <w:r>
        <w:rPr>
          <w:rFonts w:ascii="Times New Roman" w:hAnsi="Times New Roman"/>
          <w:b/>
          <w:sz w:val="22"/>
        </w:rPr>
        <w:t>ámbito </w:t>
      </w:r>
      <w:r>
        <w:rPr>
          <w:rFonts w:ascii="Times New Roman" w:hAnsi="Times New Roman"/>
          <w:sz w:val="22"/>
        </w:rPr>
        <w:t>mundial, por sus implicaciones tanto económicas como</w:t>
      </w:r>
      <w:r>
        <w:rPr>
          <w:rFonts w:ascii="Times New Roman" w:hAnsi="Times New Roman"/>
          <w:spacing w:val="-17"/>
          <w:sz w:val="22"/>
        </w:rPr>
        <w:t> </w:t>
      </w:r>
      <w:r>
        <w:rPr>
          <w:rFonts w:ascii="Times New Roman" w:hAnsi="Times New Roman"/>
          <w:sz w:val="22"/>
        </w:rPr>
        <w:t>políticas.</w:t>
      </w:r>
    </w:p>
    <w:p>
      <w:pPr>
        <w:spacing w:line="250" w:lineRule="exact" w:before="0"/>
        <w:ind w:left="1189" w:right="18" w:firstLine="0"/>
        <w:jc w:val="left"/>
        <w:rPr>
          <w:rFonts w:ascii="Times New Roman" w:hAnsi="Times New Roman"/>
          <w:sz w:val="22"/>
        </w:rPr>
      </w:pPr>
      <w:r>
        <w:rPr>
          <w:rFonts w:ascii="Times New Roman" w:hAnsi="Times New Roman"/>
          <w:sz w:val="22"/>
        </w:rPr>
        <w:t>Los motivos para dejar el país de origen obedecen a diferentes cuestiones. Sin embargo,</w:t>
      </w:r>
    </w:p>
    <w:p>
      <w:pPr>
        <w:spacing w:before="1"/>
        <w:ind w:left="479" w:right="18" w:hanging="255"/>
        <w:jc w:val="left"/>
        <w:rPr>
          <w:rFonts w:ascii="Times New Roman" w:hAnsi="Times New Roman"/>
          <w:sz w:val="22"/>
        </w:rPr>
      </w:pPr>
      <w:r>
        <w:rPr>
          <w:position w:val="4"/>
          <w:sz w:val="16"/>
        </w:rPr>
        <w:t>5 </w:t>
      </w:r>
      <w:r>
        <w:rPr>
          <w:rFonts w:ascii="Times New Roman" w:hAnsi="Times New Roman"/>
          <w:sz w:val="22"/>
        </w:rPr>
        <w:t>hay dos que destacan por la </w:t>
      </w:r>
      <w:r>
        <w:rPr>
          <w:rFonts w:ascii="Times New Roman" w:hAnsi="Times New Roman"/>
          <w:b/>
          <w:sz w:val="22"/>
        </w:rPr>
        <w:t>magnitud </w:t>
      </w:r>
      <w:r>
        <w:rPr>
          <w:rFonts w:ascii="Times New Roman" w:hAnsi="Times New Roman"/>
          <w:sz w:val="22"/>
        </w:rPr>
        <w:t>que representan: la migración laboral y la migración política, es decir, la de los refugiados políticos.</w:t>
      </w:r>
    </w:p>
    <w:p>
      <w:pPr>
        <w:spacing w:line="242" w:lineRule="auto" w:before="0"/>
        <w:ind w:left="479" w:right="112" w:firstLine="710"/>
        <w:jc w:val="both"/>
        <w:rPr>
          <w:rFonts w:ascii="Times New Roman" w:hAnsi="Times New Roman"/>
          <w:sz w:val="22"/>
        </w:rPr>
      </w:pPr>
      <w:r>
        <w:rPr>
          <w:rFonts w:ascii="Times New Roman" w:hAnsi="Times New Roman"/>
          <w:sz w:val="22"/>
        </w:rPr>
        <w:t>Respecto a la migración laboral, es un hecho comprobado que los migrantes abandonan su lugar de origen para ir en busca de mejores condiciones económicas que les permitan elevar su calidad de vida y la de sus familias, que en la mayoría de las ocasiones permanecen en el</w:t>
      </w:r>
    </w:p>
    <w:p>
      <w:pPr>
        <w:spacing w:line="240" w:lineRule="auto" w:before="0"/>
        <w:ind w:left="479" w:right="117" w:hanging="375"/>
        <w:jc w:val="both"/>
        <w:rPr>
          <w:rFonts w:ascii="Times New Roman" w:hAnsi="Times New Roman"/>
          <w:sz w:val="22"/>
        </w:rPr>
      </w:pPr>
      <w:r>
        <w:rPr>
          <w:position w:val="3"/>
          <w:sz w:val="16"/>
        </w:rPr>
        <w:t>10  </w:t>
      </w:r>
      <w:r>
        <w:rPr>
          <w:rFonts w:ascii="Times New Roman" w:hAnsi="Times New Roman"/>
          <w:sz w:val="22"/>
        </w:rPr>
        <w:t>lugar de origen. Es por </w:t>
      </w:r>
      <w:r>
        <w:rPr>
          <w:rFonts w:ascii="Times New Roman" w:hAnsi="Times New Roman"/>
          <w:spacing w:val="-3"/>
          <w:sz w:val="22"/>
        </w:rPr>
        <w:t>ello </w:t>
      </w:r>
      <w:r>
        <w:rPr>
          <w:rFonts w:ascii="Times New Roman" w:hAnsi="Times New Roman"/>
          <w:sz w:val="22"/>
        </w:rPr>
        <w:t>que las </w:t>
      </w:r>
      <w:r>
        <w:rPr>
          <w:rFonts w:ascii="Times New Roman" w:hAnsi="Times New Roman"/>
          <w:b/>
          <w:sz w:val="22"/>
        </w:rPr>
        <w:t>remesas </w:t>
      </w:r>
      <w:r>
        <w:rPr>
          <w:rFonts w:ascii="Times New Roman" w:hAnsi="Times New Roman"/>
          <w:sz w:val="22"/>
        </w:rPr>
        <w:t>se han convertido en un aspecto fundamental para  las economías nacionales de los países expulsores. Un ejemplo claro de este tipo de migración  se observa en los países latinoamericanos, entre los que destaca México, hacia Estados</w:t>
      </w:r>
      <w:r>
        <w:rPr>
          <w:rFonts w:ascii="Times New Roman" w:hAnsi="Times New Roman"/>
          <w:spacing w:val="-24"/>
          <w:sz w:val="22"/>
        </w:rPr>
        <w:t> </w:t>
      </w:r>
      <w:r>
        <w:rPr>
          <w:rFonts w:ascii="Times New Roman" w:hAnsi="Times New Roman"/>
          <w:sz w:val="22"/>
        </w:rPr>
        <w:t>Unidos.</w:t>
      </w:r>
    </w:p>
    <w:p>
      <w:pPr>
        <w:spacing w:line="250" w:lineRule="exact" w:before="7"/>
        <w:ind w:left="479" w:right="112" w:firstLine="710"/>
        <w:jc w:val="both"/>
        <w:rPr>
          <w:rFonts w:ascii="Times New Roman" w:hAnsi="Times New Roman"/>
          <w:sz w:val="22"/>
        </w:rPr>
      </w:pPr>
      <w:r>
        <w:rPr>
          <w:rFonts w:ascii="Times New Roman" w:hAnsi="Times New Roman"/>
          <w:sz w:val="22"/>
        </w:rPr>
        <w:t>Por otra parte, la mayoría de los países de África también presentan importantes corrientes migratorias con destino a los países del continente Europeo, principalmente   Francia,</w:t>
      </w:r>
    </w:p>
    <w:p>
      <w:pPr>
        <w:tabs>
          <w:tab w:pos="479" w:val="left" w:leader="none"/>
        </w:tabs>
        <w:spacing w:line="252" w:lineRule="exact" w:before="0"/>
        <w:ind w:left="100" w:right="18" w:firstLine="0"/>
        <w:jc w:val="left"/>
        <w:rPr>
          <w:rFonts w:ascii="Times New Roman"/>
          <w:sz w:val="22"/>
        </w:rPr>
      </w:pPr>
      <w:r>
        <w:rPr>
          <w:position w:val="6"/>
          <w:sz w:val="16"/>
        </w:rPr>
        <w:t>15</w:t>
        <w:tab/>
      </w:r>
      <w:r>
        <w:rPr>
          <w:rFonts w:ascii="Times New Roman"/>
          <w:sz w:val="22"/>
        </w:rPr>
        <w:t>Alemania y el Reino</w:t>
      </w:r>
      <w:r>
        <w:rPr>
          <w:rFonts w:ascii="Times New Roman"/>
          <w:spacing w:val="-13"/>
          <w:sz w:val="22"/>
        </w:rPr>
        <w:t> </w:t>
      </w:r>
      <w:r>
        <w:rPr>
          <w:rFonts w:ascii="Times New Roman"/>
          <w:sz w:val="22"/>
        </w:rPr>
        <w:t>Unido.</w:t>
      </w:r>
    </w:p>
    <w:p>
      <w:pPr>
        <w:pStyle w:val="BodyText"/>
        <w:rPr>
          <w:rFonts w:ascii="Times New Roman"/>
          <w:sz w:val="20"/>
        </w:rPr>
      </w:pPr>
    </w:p>
    <w:p>
      <w:pPr>
        <w:pStyle w:val="BodyText"/>
        <w:spacing w:before="7"/>
        <w:rPr>
          <w:rFonts w:ascii="Times New Roman"/>
          <w:sz w:val="17"/>
        </w:rPr>
      </w:pPr>
    </w:p>
    <w:p>
      <w:pPr>
        <w:spacing w:after="0"/>
        <w:rPr>
          <w:rFonts w:ascii="Times New Roman"/>
          <w:sz w:val="17"/>
        </w:rPr>
        <w:sectPr>
          <w:pgSz w:w="11910" w:h="16840"/>
          <w:pgMar w:header="727" w:footer="0" w:top="1160" w:bottom="280" w:left="1220" w:right="1580"/>
        </w:sectPr>
      </w:pPr>
    </w:p>
    <w:p>
      <w:pPr>
        <w:pStyle w:val="ListParagraph"/>
        <w:numPr>
          <w:ilvl w:val="0"/>
          <w:numId w:val="21"/>
        </w:numPr>
        <w:tabs>
          <w:tab w:pos="1200" w:val="left" w:leader="none"/>
        </w:tabs>
        <w:spacing w:line="240" w:lineRule="auto" w:before="73" w:after="0"/>
        <w:ind w:left="1199" w:right="0" w:hanging="360"/>
        <w:jc w:val="left"/>
        <w:rPr>
          <w:rFonts w:ascii="Times New Roman"/>
          <w:sz w:val="22"/>
        </w:rPr>
      </w:pPr>
      <w:r>
        <w:rPr>
          <w:rFonts w:ascii="Times New Roman"/>
          <w:sz w:val="22"/>
        </w:rPr>
        <w:t>El tema principal del texto</w:t>
      </w:r>
      <w:r>
        <w:rPr>
          <w:rFonts w:ascii="Times New Roman"/>
          <w:spacing w:val="-9"/>
          <w:sz w:val="22"/>
        </w:rPr>
        <w:t> </w:t>
      </w:r>
      <w:r>
        <w:rPr>
          <w:rFonts w:ascii="Times New Roman"/>
          <w:sz w:val="22"/>
        </w:rPr>
        <w:t>es</w:t>
      </w:r>
    </w:p>
    <w:p>
      <w:pPr>
        <w:pStyle w:val="BodyText"/>
        <w:spacing w:before="2"/>
        <w:rPr>
          <w:rFonts w:ascii="Times New Roman"/>
          <w:sz w:val="22"/>
        </w:rPr>
      </w:pPr>
    </w:p>
    <w:p>
      <w:pPr>
        <w:pStyle w:val="ListParagraph"/>
        <w:numPr>
          <w:ilvl w:val="1"/>
          <w:numId w:val="21"/>
        </w:numPr>
        <w:tabs>
          <w:tab w:pos="1560" w:val="left" w:leader="none"/>
        </w:tabs>
        <w:spacing w:line="251" w:lineRule="exact" w:before="1" w:after="0"/>
        <w:ind w:left="1559" w:right="0" w:hanging="360"/>
        <w:jc w:val="left"/>
        <w:rPr>
          <w:rFonts w:ascii="Times New Roman" w:hAnsi="Times New Roman"/>
          <w:sz w:val="22"/>
        </w:rPr>
      </w:pPr>
      <w:r>
        <w:rPr>
          <w:rFonts w:ascii="Times New Roman" w:hAnsi="Times New Roman"/>
          <w:sz w:val="22"/>
        </w:rPr>
        <w:t>Migración</w:t>
      </w:r>
      <w:r>
        <w:rPr>
          <w:rFonts w:ascii="Times New Roman" w:hAnsi="Times New Roman"/>
          <w:spacing w:val="-7"/>
          <w:sz w:val="22"/>
        </w:rPr>
        <w:t> </w:t>
      </w:r>
      <w:r>
        <w:rPr>
          <w:rFonts w:ascii="Times New Roman" w:hAnsi="Times New Roman"/>
          <w:sz w:val="22"/>
        </w:rPr>
        <w:t>política</w:t>
      </w:r>
    </w:p>
    <w:p>
      <w:pPr>
        <w:pStyle w:val="ListParagraph"/>
        <w:numPr>
          <w:ilvl w:val="1"/>
          <w:numId w:val="21"/>
        </w:numPr>
        <w:tabs>
          <w:tab w:pos="1560" w:val="left" w:leader="none"/>
        </w:tabs>
        <w:spacing w:line="251" w:lineRule="exact" w:before="0" w:after="0"/>
        <w:ind w:left="1559" w:right="0" w:hanging="360"/>
        <w:jc w:val="left"/>
        <w:rPr>
          <w:rFonts w:ascii="Times New Roman" w:hAnsi="Times New Roman"/>
          <w:sz w:val="22"/>
        </w:rPr>
      </w:pPr>
      <w:r>
        <w:rPr>
          <w:rFonts w:ascii="Times New Roman" w:hAnsi="Times New Roman"/>
          <w:sz w:val="22"/>
        </w:rPr>
        <w:t>Migración</w:t>
      </w:r>
      <w:r>
        <w:rPr>
          <w:rFonts w:ascii="Times New Roman" w:hAnsi="Times New Roman"/>
          <w:spacing w:val="-6"/>
          <w:sz w:val="22"/>
        </w:rPr>
        <w:t> </w:t>
      </w:r>
      <w:r>
        <w:rPr>
          <w:rFonts w:ascii="Times New Roman" w:hAnsi="Times New Roman"/>
          <w:sz w:val="22"/>
        </w:rPr>
        <w:t>internacional</w:t>
      </w:r>
    </w:p>
    <w:p>
      <w:pPr>
        <w:pStyle w:val="ListParagraph"/>
        <w:numPr>
          <w:ilvl w:val="1"/>
          <w:numId w:val="21"/>
        </w:numPr>
        <w:tabs>
          <w:tab w:pos="1560" w:val="left" w:leader="none"/>
        </w:tabs>
        <w:spacing w:line="240" w:lineRule="auto" w:before="1" w:after="0"/>
        <w:ind w:left="1559" w:right="0" w:hanging="360"/>
        <w:jc w:val="left"/>
        <w:rPr>
          <w:rFonts w:ascii="Times New Roman" w:hAnsi="Times New Roman"/>
          <w:sz w:val="22"/>
        </w:rPr>
      </w:pPr>
      <w:r>
        <w:rPr>
          <w:rFonts w:ascii="Times New Roman" w:hAnsi="Times New Roman"/>
          <w:sz w:val="22"/>
        </w:rPr>
        <w:t>Migración</w:t>
      </w:r>
      <w:r>
        <w:rPr>
          <w:rFonts w:ascii="Times New Roman" w:hAnsi="Times New Roman"/>
          <w:spacing w:val="-12"/>
          <w:sz w:val="22"/>
        </w:rPr>
        <w:t> </w:t>
      </w:r>
      <w:r>
        <w:rPr>
          <w:rFonts w:ascii="Times New Roman" w:hAnsi="Times New Roman"/>
          <w:sz w:val="22"/>
        </w:rPr>
        <w:t>económica</w:t>
      </w:r>
    </w:p>
    <w:p>
      <w:pPr>
        <w:pStyle w:val="ListParagraph"/>
        <w:numPr>
          <w:ilvl w:val="1"/>
          <w:numId w:val="21"/>
        </w:numPr>
        <w:tabs>
          <w:tab w:pos="1560" w:val="left" w:leader="none"/>
        </w:tabs>
        <w:spacing w:line="240" w:lineRule="auto" w:before="1" w:after="0"/>
        <w:ind w:left="1559" w:right="0" w:hanging="360"/>
        <w:jc w:val="left"/>
        <w:rPr>
          <w:rFonts w:ascii="Times New Roman" w:hAnsi="Times New Roman"/>
          <w:sz w:val="22"/>
        </w:rPr>
      </w:pPr>
      <w:r>
        <w:rPr>
          <w:rFonts w:ascii="Times New Roman" w:hAnsi="Times New Roman"/>
          <w:sz w:val="22"/>
        </w:rPr>
        <w:t>Migración</w:t>
      </w:r>
      <w:r>
        <w:rPr>
          <w:rFonts w:ascii="Times New Roman" w:hAnsi="Times New Roman"/>
          <w:spacing w:val="-1"/>
          <w:sz w:val="22"/>
        </w:rPr>
        <w:t> </w:t>
      </w:r>
      <w:r>
        <w:rPr>
          <w:rFonts w:ascii="Times New Roman" w:hAnsi="Times New Roman"/>
          <w:sz w:val="22"/>
        </w:rPr>
        <w:t>laboral</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1200" w:val="left" w:leader="none"/>
        </w:tabs>
        <w:spacing w:line="240" w:lineRule="auto" w:before="1" w:after="0"/>
        <w:ind w:left="1199" w:right="244" w:hanging="360"/>
        <w:jc w:val="left"/>
        <w:rPr>
          <w:rFonts w:ascii="Times New Roman" w:hAnsi="Times New Roman"/>
          <w:sz w:val="22"/>
        </w:rPr>
      </w:pPr>
      <w:r>
        <w:rPr>
          <w:rFonts w:ascii="Times New Roman" w:hAnsi="Times New Roman"/>
          <w:sz w:val="22"/>
        </w:rPr>
        <w:t>La palabra “ámbito” en la línea</w:t>
      </w:r>
      <w:r>
        <w:rPr>
          <w:rFonts w:ascii="Times New Roman" w:hAnsi="Times New Roman"/>
          <w:spacing w:val="-16"/>
          <w:sz w:val="22"/>
        </w:rPr>
        <w:t> </w:t>
      </w:r>
      <w:r>
        <w:rPr>
          <w:rFonts w:ascii="Times New Roman" w:hAnsi="Times New Roman"/>
          <w:sz w:val="22"/>
        </w:rPr>
        <w:t>2 podría ser reemplazada por la palabra</w:t>
      </w:r>
    </w:p>
    <w:p>
      <w:pPr>
        <w:pStyle w:val="BodyText"/>
        <w:spacing w:before="2"/>
        <w:rPr>
          <w:rFonts w:ascii="Times New Roman"/>
          <w:sz w:val="22"/>
        </w:rPr>
      </w:pPr>
    </w:p>
    <w:p>
      <w:pPr>
        <w:pStyle w:val="ListParagraph"/>
        <w:numPr>
          <w:ilvl w:val="1"/>
          <w:numId w:val="21"/>
        </w:numPr>
        <w:tabs>
          <w:tab w:pos="1920" w:val="left" w:leader="none"/>
        </w:tabs>
        <w:spacing w:line="251" w:lineRule="exact" w:before="1" w:after="0"/>
        <w:ind w:left="1919" w:right="0" w:hanging="360"/>
        <w:jc w:val="left"/>
        <w:rPr>
          <w:rFonts w:ascii="Times New Roman"/>
          <w:sz w:val="22"/>
        </w:rPr>
      </w:pPr>
      <w:r>
        <w:rPr>
          <w:rFonts w:ascii="Times New Roman"/>
          <w:sz w:val="22"/>
        </w:rPr>
        <w:t>Ambiente</w:t>
      </w:r>
    </w:p>
    <w:p>
      <w:pPr>
        <w:pStyle w:val="ListParagraph"/>
        <w:numPr>
          <w:ilvl w:val="1"/>
          <w:numId w:val="21"/>
        </w:numPr>
        <w:tabs>
          <w:tab w:pos="1920" w:val="left" w:leader="none"/>
        </w:tabs>
        <w:spacing w:line="251" w:lineRule="exact" w:before="0" w:after="0"/>
        <w:ind w:left="1919" w:right="0" w:hanging="360"/>
        <w:jc w:val="left"/>
        <w:rPr>
          <w:rFonts w:ascii="Times New Roman"/>
          <w:sz w:val="22"/>
        </w:rPr>
      </w:pPr>
      <w:r>
        <w:rPr>
          <w:rFonts w:ascii="Times New Roman"/>
          <w:sz w:val="22"/>
        </w:rPr>
        <w:t>Tenor</w:t>
      </w:r>
    </w:p>
    <w:p>
      <w:pPr>
        <w:pStyle w:val="ListParagraph"/>
        <w:numPr>
          <w:ilvl w:val="1"/>
          <w:numId w:val="21"/>
        </w:numPr>
        <w:tabs>
          <w:tab w:pos="1920" w:val="left" w:leader="none"/>
        </w:tabs>
        <w:spacing w:line="240" w:lineRule="auto" w:before="1" w:after="0"/>
        <w:ind w:left="1919" w:right="0" w:hanging="360"/>
        <w:jc w:val="left"/>
        <w:rPr>
          <w:rFonts w:ascii="Times New Roman"/>
          <w:sz w:val="22"/>
        </w:rPr>
      </w:pPr>
      <w:r>
        <w:rPr>
          <w:rFonts w:ascii="Times New Roman"/>
          <w:sz w:val="22"/>
        </w:rPr>
        <w:t>Recinto</w:t>
      </w:r>
    </w:p>
    <w:p>
      <w:pPr>
        <w:pStyle w:val="ListParagraph"/>
        <w:numPr>
          <w:ilvl w:val="1"/>
          <w:numId w:val="21"/>
        </w:numPr>
        <w:tabs>
          <w:tab w:pos="1920" w:val="left" w:leader="none"/>
        </w:tabs>
        <w:spacing w:line="240" w:lineRule="auto" w:before="1" w:after="0"/>
        <w:ind w:left="1919" w:right="0" w:hanging="360"/>
        <w:jc w:val="left"/>
        <w:rPr>
          <w:rFonts w:ascii="Times New Roman"/>
          <w:sz w:val="22"/>
        </w:rPr>
      </w:pPr>
      <w:r>
        <w:rPr>
          <w:rFonts w:ascii="Times New Roman"/>
          <w:sz w:val="22"/>
        </w:rPr>
        <w:t>Espacio</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1200" w:val="left" w:leader="none"/>
        </w:tabs>
        <w:spacing w:line="240" w:lineRule="auto" w:before="1" w:after="0"/>
        <w:ind w:left="1199" w:right="0" w:hanging="360"/>
        <w:jc w:val="left"/>
        <w:rPr>
          <w:rFonts w:ascii="Times New Roman" w:hAnsi="Times New Roman"/>
          <w:sz w:val="22"/>
        </w:rPr>
      </w:pPr>
      <w:r>
        <w:rPr>
          <w:rFonts w:ascii="Times New Roman" w:hAnsi="Times New Roman"/>
          <w:sz w:val="22"/>
        </w:rPr>
        <w:t>En la línea 5, la palabra “magnitud” quiere</w:t>
      </w:r>
      <w:r>
        <w:rPr>
          <w:rFonts w:ascii="Times New Roman" w:hAnsi="Times New Roman"/>
          <w:spacing w:val="-5"/>
          <w:sz w:val="22"/>
        </w:rPr>
        <w:t> </w:t>
      </w:r>
      <w:r>
        <w:rPr>
          <w:rFonts w:ascii="Times New Roman" w:hAnsi="Times New Roman"/>
          <w:sz w:val="22"/>
        </w:rPr>
        <w:t>decir</w:t>
      </w:r>
    </w:p>
    <w:p>
      <w:pPr>
        <w:pStyle w:val="BodyText"/>
        <w:spacing w:before="9"/>
        <w:rPr>
          <w:rFonts w:ascii="Times New Roman"/>
          <w:sz w:val="21"/>
        </w:rPr>
      </w:pPr>
    </w:p>
    <w:p>
      <w:pPr>
        <w:pStyle w:val="ListParagraph"/>
        <w:numPr>
          <w:ilvl w:val="1"/>
          <w:numId w:val="21"/>
        </w:numPr>
        <w:tabs>
          <w:tab w:pos="1920" w:val="left" w:leader="none"/>
        </w:tabs>
        <w:spacing w:line="240" w:lineRule="auto" w:before="0" w:after="0"/>
        <w:ind w:left="1919" w:right="0" w:hanging="360"/>
        <w:jc w:val="left"/>
        <w:rPr>
          <w:rFonts w:ascii="Times New Roman"/>
          <w:sz w:val="22"/>
        </w:rPr>
      </w:pPr>
      <w:r>
        <w:rPr>
          <w:rFonts w:ascii="Times New Roman"/>
          <w:sz w:val="22"/>
        </w:rPr>
        <w:t>Grandeza</w:t>
      </w:r>
    </w:p>
    <w:p>
      <w:pPr>
        <w:pStyle w:val="ListParagraph"/>
        <w:numPr>
          <w:ilvl w:val="1"/>
          <w:numId w:val="21"/>
        </w:numPr>
        <w:tabs>
          <w:tab w:pos="1920" w:val="left" w:leader="none"/>
        </w:tabs>
        <w:spacing w:line="251" w:lineRule="exact" w:before="1" w:after="0"/>
        <w:ind w:left="1919" w:right="0" w:hanging="360"/>
        <w:jc w:val="left"/>
        <w:rPr>
          <w:rFonts w:ascii="Times New Roman" w:hAnsi="Times New Roman"/>
          <w:sz w:val="22"/>
        </w:rPr>
      </w:pPr>
      <w:r>
        <w:rPr>
          <w:rFonts w:ascii="Times New Roman" w:hAnsi="Times New Roman"/>
          <w:sz w:val="22"/>
        </w:rPr>
        <w:t>Proporción</w:t>
      </w:r>
    </w:p>
    <w:p>
      <w:pPr>
        <w:pStyle w:val="ListParagraph"/>
        <w:numPr>
          <w:ilvl w:val="1"/>
          <w:numId w:val="21"/>
        </w:numPr>
        <w:tabs>
          <w:tab w:pos="1920" w:val="left" w:leader="none"/>
        </w:tabs>
        <w:spacing w:line="251" w:lineRule="exact" w:before="0" w:after="0"/>
        <w:ind w:left="1919" w:right="0" w:hanging="360"/>
        <w:jc w:val="left"/>
        <w:rPr>
          <w:rFonts w:ascii="Times New Roman"/>
          <w:sz w:val="22"/>
        </w:rPr>
      </w:pPr>
      <w:r>
        <w:rPr>
          <w:rFonts w:ascii="Times New Roman"/>
          <w:sz w:val="22"/>
        </w:rPr>
        <w:t>Aumento</w:t>
      </w:r>
    </w:p>
    <w:p>
      <w:pPr>
        <w:pStyle w:val="ListParagraph"/>
        <w:numPr>
          <w:ilvl w:val="1"/>
          <w:numId w:val="21"/>
        </w:numPr>
        <w:tabs>
          <w:tab w:pos="1920" w:val="left" w:leader="none"/>
        </w:tabs>
        <w:spacing w:line="240" w:lineRule="auto" w:before="1" w:after="0"/>
        <w:ind w:left="1919" w:right="0" w:hanging="360"/>
        <w:jc w:val="left"/>
        <w:rPr>
          <w:rFonts w:ascii="Times New Roman"/>
          <w:sz w:val="22"/>
        </w:rPr>
      </w:pPr>
      <w:r>
        <w:rPr>
          <w:rFonts w:ascii="Times New Roman"/>
          <w:sz w:val="22"/>
        </w:rPr>
        <w:t>Relevancia</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1200" w:val="left" w:leader="none"/>
        </w:tabs>
        <w:spacing w:line="240" w:lineRule="auto" w:before="1" w:after="0"/>
        <w:ind w:left="1199" w:right="177" w:hanging="360"/>
        <w:jc w:val="left"/>
        <w:rPr>
          <w:rFonts w:ascii="Times New Roman" w:hAnsi="Times New Roman"/>
          <w:sz w:val="22"/>
        </w:rPr>
      </w:pPr>
      <w:r>
        <w:rPr>
          <w:rFonts w:ascii="Times New Roman" w:hAnsi="Times New Roman"/>
          <w:sz w:val="22"/>
        </w:rPr>
        <w:t>De acuerdo al pasaje, las razones por las que los migrantes dejan su país</w:t>
      </w:r>
      <w:r>
        <w:rPr>
          <w:rFonts w:ascii="Times New Roman" w:hAnsi="Times New Roman"/>
          <w:spacing w:val="2"/>
          <w:sz w:val="22"/>
        </w:rPr>
        <w:t> </w:t>
      </w:r>
      <w:r>
        <w:rPr>
          <w:rFonts w:ascii="Times New Roman" w:hAnsi="Times New Roman"/>
          <w:sz w:val="22"/>
        </w:rPr>
        <w:t>son</w:t>
      </w:r>
    </w:p>
    <w:p>
      <w:pPr>
        <w:pStyle w:val="BodyText"/>
        <w:spacing w:before="9"/>
        <w:rPr>
          <w:rFonts w:ascii="Times New Roman"/>
          <w:sz w:val="21"/>
        </w:rPr>
      </w:pPr>
    </w:p>
    <w:p>
      <w:pPr>
        <w:pStyle w:val="ListParagraph"/>
        <w:numPr>
          <w:ilvl w:val="1"/>
          <w:numId w:val="21"/>
        </w:numPr>
        <w:tabs>
          <w:tab w:pos="1560" w:val="left" w:leader="none"/>
        </w:tabs>
        <w:spacing w:line="240" w:lineRule="auto" w:before="0" w:after="0"/>
        <w:ind w:left="1559" w:right="0" w:hanging="360"/>
        <w:jc w:val="left"/>
        <w:rPr>
          <w:rFonts w:ascii="Times New Roman"/>
          <w:sz w:val="22"/>
        </w:rPr>
      </w:pPr>
      <w:r>
        <w:rPr>
          <w:rFonts w:ascii="Times New Roman"/>
          <w:sz w:val="22"/>
        </w:rPr>
        <w:t>Principalmente</w:t>
      </w:r>
      <w:r>
        <w:rPr>
          <w:rFonts w:ascii="Times New Roman"/>
          <w:spacing w:val="-9"/>
          <w:sz w:val="22"/>
        </w:rPr>
        <w:t> </w:t>
      </w:r>
      <w:r>
        <w:rPr>
          <w:rFonts w:ascii="Times New Roman"/>
          <w:sz w:val="22"/>
        </w:rPr>
        <w:t>dos</w:t>
      </w:r>
    </w:p>
    <w:p>
      <w:pPr>
        <w:pStyle w:val="ListParagraph"/>
        <w:numPr>
          <w:ilvl w:val="1"/>
          <w:numId w:val="21"/>
        </w:numPr>
        <w:tabs>
          <w:tab w:pos="1560" w:val="left" w:leader="none"/>
        </w:tabs>
        <w:spacing w:line="251" w:lineRule="exact" w:before="1" w:after="0"/>
        <w:ind w:left="1559" w:right="0" w:hanging="360"/>
        <w:jc w:val="left"/>
        <w:rPr>
          <w:rFonts w:ascii="Times New Roman"/>
          <w:sz w:val="22"/>
        </w:rPr>
      </w:pPr>
      <w:r>
        <w:rPr>
          <w:rFonts w:ascii="Times New Roman"/>
          <w:sz w:val="22"/>
        </w:rPr>
        <w:t>Cuatro</w:t>
      </w:r>
    </w:p>
    <w:p>
      <w:pPr>
        <w:pStyle w:val="ListParagraph"/>
        <w:numPr>
          <w:ilvl w:val="1"/>
          <w:numId w:val="21"/>
        </w:numPr>
        <w:tabs>
          <w:tab w:pos="1560" w:val="left" w:leader="none"/>
        </w:tabs>
        <w:spacing w:line="251" w:lineRule="exact" w:before="0" w:after="0"/>
        <w:ind w:left="1559" w:right="0" w:hanging="360"/>
        <w:jc w:val="left"/>
        <w:rPr>
          <w:rFonts w:ascii="Times New Roman"/>
          <w:sz w:val="22"/>
        </w:rPr>
      </w:pPr>
      <w:r>
        <w:rPr>
          <w:rFonts w:ascii="Times New Roman"/>
          <w:sz w:val="22"/>
        </w:rPr>
        <w:t>Innumerables</w:t>
      </w:r>
    </w:p>
    <w:p>
      <w:pPr>
        <w:pStyle w:val="ListParagraph"/>
        <w:numPr>
          <w:ilvl w:val="1"/>
          <w:numId w:val="21"/>
        </w:numPr>
        <w:tabs>
          <w:tab w:pos="1560" w:val="left" w:leader="none"/>
        </w:tabs>
        <w:spacing w:line="240" w:lineRule="auto" w:before="1" w:after="0"/>
        <w:ind w:left="1559" w:right="0" w:hanging="360"/>
        <w:jc w:val="left"/>
        <w:rPr>
          <w:rFonts w:ascii="Times New Roman"/>
          <w:sz w:val="22"/>
        </w:rPr>
      </w:pPr>
      <w:r>
        <w:rPr>
          <w:rFonts w:ascii="Times New Roman"/>
          <w:sz w:val="22"/>
        </w:rPr>
        <w:t>Desconocidas</w:t>
      </w:r>
    </w:p>
    <w:p>
      <w:pPr>
        <w:pStyle w:val="BodyText"/>
        <w:spacing w:before="5"/>
        <w:rPr>
          <w:rFonts w:ascii="Times New Roman"/>
          <w:sz w:val="28"/>
        </w:rPr>
      </w:pPr>
      <w:r>
        <w:rPr/>
        <w:br w:type="column"/>
      </w:r>
      <w:r>
        <w:rPr>
          <w:rFonts w:ascii="Times New Roman"/>
          <w:sz w:val="28"/>
        </w:rPr>
      </w:r>
    </w:p>
    <w:p>
      <w:pPr>
        <w:pStyle w:val="ListParagraph"/>
        <w:numPr>
          <w:ilvl w:val="0"/>
          <w:numId w:val="21"/>
        </w:numPr>
        <w:tabs>
          <w:tab w:pos="1200" w:val="left" w:leader="none"/>
        </w:tabs>
        <w:spacing w:line="240" w:lineRule="auto" w:before="0" w:after="0"/>
        <w:ind w:left="1199" w:right="376" w:hanging="360"/>
        <w:jc w:val="left"/>
        <w:rPr>
          <w:rFonts w:ascii="Times New Roman" w:hAnsi="Times New Roman"/>
          <w:sz w:val="22"/>
        </w:rPr>
      </w:pPr>
      <w:r>
        <w:rPr>
          <w:rFonts w:ascii="Times New Roman" w:hAnsi="Times New Roman"/>
          <w:sz w:val="22"/>
        </w:rPr>
        <w:t>Del texto se puede inferir que los refugiados</w:t>
      </w:r>
      <w:r>
        <w:rPr>
          <w:rFonts w:ascii="Times New Roman" w:hAnsi="Times New Roman"/>
          <w:spacing w:val="-9"/>
          <w:sz w:val="22"/>
        </w:rPr>
        <w:t> </w:t>
      </w:r>
      <w:r>
        <w:rPr>
          <w:rFonts w:ascii="Times New Roman" w:hAnsi="Times New Roman"/>
          <w:sz w:val="22"/>
        </w:rPr>
        <w:t>políticos</w:t>
      </w:r>
    </w:p>
    <w:p>
      <w:pPr>
        <w:pStyle w:val="BodyText"/>
        <w:spacing w:before="9"/>
        <w:rPr>
          <w:rFonts w:ascii="Times New Roman"/>
          <w:sz w:val="21"/>
        </w:rPr>
      </w:pPr>
    </w:p>
    <w:p>
      <w:pPr>
        <w:pStyle w:val="ListParagraph"/>
        <w:numPr>
          <w:ilvl w:val="1"/>
          <w:numId w:val="21"/>
        </w:numPr>
        <w:tabs>
          <w:tab w:pos="1560" w:val="left" w:leader="none"/>
        </w:tabs>
        <w:spacing w:line="240" w:lineRule="auto" w:before="0" w:after="0"/>
        <w:ind w:left="1559" w:right="0" w:hanging="360"/>
        <w:jc w:val="left"/>
        <w:rPr>
          <w:rFonts w:ascii="Times New Roman" w:hAnsi="Times New Roman"/>
          <w:sz w:val="22"/>
        </w:rPr>
      </w:pPr>
      <w:r>
        <w:rPr>
          <w:rFonts w:ascii="Times New Roman" w:hAnsi="Times New Roman"/>
          <w:sz w:val="22"/>
        </w:rPr>
        <w:t>Permanecen en sus</w:t>
      </w:r>
      <w:r>
        <w:rPr>
          <w:rFonts w:ascii="Times New Roman" w:hAnsi="Times New Roman"/>
          <w:spacing w:val="-3"/>
          <w:sz w:val="22"/>
        </w:rPr>
        <w:t> </w:t>
      </w:r>
      <w:r>
        <w:rPr>
          <w:rFonts w:ascii="Times New Roman" w:hAnsi="Times New Roman"/>
          <w:sz w:val="22"/>
        </w:rPr>
        <w:t>países</w:t>
      </w:r>
    </w:p>
    <w:p>
      <w:pPr>
        <w:pStyle w:val="ListParagraph"/>
        <w:numPr>
          <w:ilvl w:val="1"/>
          <w:numId w:val="21"/>
        </w:numPr>
        <w:tabs>
          <w:tab w:pos="1560" w:val="left" w:leader="none"/>
        </w:tabs>
        <w:spacing w:line="251" w:lineRule="exact" w:before="1" w:after="0"/>
        <w:ind w:left="1559" w:right="0" w:hanging="360"/>
        <w:jc w:val="left"/>
        <w:rPr>
          <w:rFonts w:ascii="Times New Roman"/>
          <w:sz w:val="22"/>
        </w:rPr>
      </w:pPr>
      <w:r>
        <w:rPr>
          <w:rFonts w:ascii="Times New Roman"/>
          <w:sz w:val="22"/>
        </w:rPr>
        <w:t>Emigran</w:t>
      </w:r>
      <w:r>
        <w:rPr>
          <w:rFonts w:ascii="Times New Roman"/>
          <w:spacing w:val="-9"/>
          <w:sz w:val="22"/>
        </w:rPr>
        <w:t> </w:t>
      </w:r>
      <w:r>
        <w:rPr>
          <w:rFonts w:ascii="Times New Roman"/>
          <w:sz w:val="22"/>
        </w:rPr>
        <w:t>ilegalmente</w:t>
      </w:r>
    </w:p>
    <w:p>
      <w:pPr>
        <w:pStyle w:val="ListParagraph"/>
        <w:numPr>
          <w:ilvl w:val="1"/>
          <w:numId w:val="21"/>
        </w:numPr>
        <w:tabs>
          <w:tab w:pos="1560" w:val="left" w:leader="none"/>
        </w:tabs>
        <w:spacing w:line="240" w:lineRule="auto" w:before="0" w:after="0"/>
        <w:ind w:left="1559" w:right="854" w:hanging="360"/>
        <w:jc w:val="left"/>
        <w:rPr>
          <w:rFonts w:ascii="Times New Roman" w:hAnsi="Times New Roman"/>
          <w:sz w:val="22"/>
        </w:rPr>
      </w:pPr>
      <w:r>
        <w:rPr>
          <w:rFonts w:ascii="Times New Roman" w:hAnsi="Times New Roman"/>
          <w:sz w:val="22"/>
        </w:rPr>
        <w:t>Son importantes para la economía de sus</w:t>
      </w:r>
      <w:r>
        <w:rPr>
          <w:rFonts w:ascii="Times New Roman" w:hAnsi="Times New Roman"/>
          <w:spacing w:val="-4"/>
          <w:sz w:val="22"/>
        </w:rPr>
        <w:t> </w:t>
      </w:r>
      <w:r>
        <w:rPr>
          <w:rFonts w:ascii="Times New Roman" w:hAnsi="Times New Roman"/>
          <w:sz w:val="22"/>
        </w:rPr>
        <w:t>países</w:t>
      </w:r>
    </w:p>
    <w:p>
      <w:pPr>
        <w:pStyle w:val="ListParagraph"/>
        <w:numPr>
          <w:ilvl w:val="1"/>
          <w:numId w:val="21"/>
        </w:numPr>
        <w:tabs>
          <w:tab w:pos="1560" w:val="left" w:leader="none"/>
        </w:tabs>
        <w:spacing w:line="240" w:lineRule="auto" w:before="1" w:after="0"/>
        <w:ind w:left="1559" w:right="0" w:hanging="360"/>
        <w:jc w:val="left"/>
        <w:rPr>
          <w:rFonts w:ascii="Times New Roman" w:hAnsi="Times New Roman"/>
          <w:sz w:val="22"/>
        </w:rPr>
      </w:pPr>
      <w:r>
        <w:rPr>
          <w:rFonts w:ascii="Times New Roman" w:hAnsi="Times New Roman"/>
          <w:sz w:val="22"/>
        </w:rPr>
        <w:t>Son perseguidos en sus</w:t>
      </w:r>
      <w:r>
        <w:rPr>
          <w:rFonts w:ascii="Times New Roman" w:hAnsi="Times New Roman"/>
          <w:spacing w:val="-3"/>
          <w:sz w:val="22"/>
        </w:rPr>
        <w:t> </w:t>
      </w:r>
      <w:r>
        <w:rPr>
          <w:rFonts w:ascii="Times New Roman" w:hAnsi="Times New Roman"/>
          <w:sz w:val="22"/>
        </w:rPr>
        <w:t>países</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1200" w:val="left" w:leader="none"/>
        </w:tabs>
        <w:spacing w:line="240" w:lineRule="auto" w:before="1" w:after="0"/>
        <w:ind w:left="1199" w:right="223" w:hanging="360"/>
        <w:jc w:val="left"/>
        <w:rPr>
          <w:rFonts w:ascii="Times New Roman"/>
          <w:sz w:val="22"/>
        </w:rPr>
      </w:pPr>
      <w:r>
        <w:rPr>
          <w:rFonts w:ascii="Times New Roman"/>
          <w:sz w:val="22"/>
        </w:rPr>
        <w:t>Sobre las familias de los migrantes el texto dice</w:t>
      </w:r>
      <w:r>
        <w:rPr>
          <w:rFonts w:ascii="Times New Roman"/>
          <w:spacing w:val="-6"/>
          <w:sz w:val="22"/>
        </w:rPr>
        <w:t> </w:t>
      </w:r>
      <w:r>
        <w:rPr>
          <w:rFonts w:ascii="Times New Roman"/>
          <w:sz w:val="22"/>
        </w:rPr>
        <w:t>que</w:t>
      </w:r>
    </w:p>
    <w:p>
      <w:pPr>
        <w:pStyle w:val="BodyText"/>
        <w:spacing w:before="9"/>
        <w:rPr>
          <w:rFonts w:ascii="Times New Roman"/>
          <w:sz w:val="21"/>
        </w:rPr>
      </w:pPr>
    </w:p>
    <w:p>
      <w:pPr>
        <w:pStyle w:val="ListParagraph"/>
        <w:numPr>
          <w:ilvl w:val="1"/>
          <w:numId w:val="21"/>
        </w:numPr>
        <w:tabs>
          <w:tab w:pos="1560" w:val="left" w:leader="none"/>
        </w:tabs>
        <w:spacing w:line="240" w:lineRule="auto" w:before="0" w:after="0"/>
        <w:ind w:left="1559" w:right="0" w:hanging="360"/>
        <w:jc w:val="left"/>
        <w:rPr>
          <w:rFonts w:ascii="Times New Roman"/>
          <w:sz w:val="22"/>
        </w:rPr>
      </w:pPr>
      <w:r>
        <w:rPr>
          <w:rFonts w:ascii="Times New Roman"/>
          <w:sz w:val="22"/>
        </w:rPr>
        <w:t>Elevan su calidad de</w:t>
      </w:r>
      <w:r>
        <w:rPr>
          <w:rFonts w:ascii="Times New Roman"/>
          <w:spacing w:val="-10"/>
          <w:sz w:val="22"/>
        </w:rPr>
        <w:t> </w:t>
      </w:r>
      <w:r>
        <w:rPr>
          <w:rFonts w:ascii="Times New Roman"/>
          <w:sz w:val="22"/>
        </w:rPr>
        <w:t>vida</w:t>
      </w:r>
    </w:p>
    <w:p>
      <w:pPr>
        <w:pStyle w:val="ListParagraph"/>
        <w:numPr>
          <w:ilvl w:val="1"/>
          <w:numId w:val="21"/>
        </w:numPr>
        <w:tabs>
          <w:tab w:pos="1560" w:val="left" w:leader="none"/>
        </w:tabs>
        <w:spacing w:line="251" w:lineRule="exact" w:before="1" w:after="0"/>
        <w:ind w:left="1559" w:right="0" w:hanging="360"/>
        <w:jc w:val="left"/>
        <w:rPr>
          <w:rFonts w:ascii="Times New Roman"/>
          <w:sz w:val="22"/>
        </w:rPr>
      </w:pPr>
      <w:r>
        <w:rPr>
          <w:rFonts w:ascii="Times New Roman"/>
          <w:sz w:val="22"/>
        </w:rPr>
        <w:t>Esperan por sus</w:t>
      </w:r>
      <w:r>
        <w:rPr>
          <w:rFonts w:ascii="Times New Roman"/>
          <w:spacing w:val="-14"/>
          <w:sz w:val="22"/>
        </w:rPr>
        <w:t> </w:t>
      </w:r>
      <w:r>
        <w:rPr>
          <w:rFonts w:ascii="Times New Roman"/>
          <w:sz w:val="22"/>
        </w:rPr>
        <w:t>familiares</w:t>
      </w:r>
    </w:p>
    <w:p>
      <w:pPr>
        <w:pStyle w:val="ListParagraph"/>
        <w:numPr>
          <w:ilvl w:val="1"/>
          <w:numId w:val="21"/>
        </w:numPr>
        <w:tabs>
          <w:tab w:pos="1560" w:val="left" w:leader="none"/>
        </w:tabs>
        <w:spacing w:line="240" w:lineRule="auto" w:before="0" w:after="0"/>
        <w:ind w:left="1559" w:right="765" w:hanging="360"/>
        <w:jc w:val="left"/>
        <w:rPr>
          <w:rFonts w:ascii="Times New Roman" w:hAnsi="Times New Roman"/>
          <w:sz w:val="22"/>
        </w:rPr>
      </w:pPr>
      <w:r>
        <w:rPr>
          <w:rFonts w:ascii="Times New Roman" w:hAnsi="Times New Roman"/>
          <w:sz w:val="22"/>
        </w:rPr>
        <w:t>Son importantes para las economías de los</w:t>
      </w:r>
      <w:r>
        <w:rPr>
          <w:rFonts w:ascii="Times New Roman" w:hAnsi="Times New Roman"/>
          <w:spacing w:val="-2"/>
          <w:sz w:val="22"/>
        </w:rPr>
        <w:t> </w:t>
      </w:r>
      <w:r>
        <w:rPr>
          <w:rFonts w:ascii="Times New Roman" w:hAnsi="Times New Roman"/>
          <w:sz w:val="22"/>
        </w:rPr>
        <w:t>países</w:t>
      </w:r>
    </w:p>
    <w:p>
      <w:pPr>
        <w:pStyle w:val="ListParagraph"/>
        <w:numPr>
          <w:ilvl w:val="1"/>
          <w:numId w:val="21"/>
        </w:numPr>
        <w:tabs>
          <w:tab w:pos="1560" w:val="left" w:leader="none"/>
        </w:tabs>
        <w:spacing w:line="240" w:lineRule="auto" w:before="1" w:after="0"/>
        <w:ind w:left="1559" w:right="343" w:hanging="360"/>
        <w:jc w:val="left"/>
        <w:rPr>
          <w:rFonts w:ascii="Times New Roman" w:hAnsi="Times New Roman"/>
          <w:sz w:val="22"/>
        </w:rPr>
      </w:pPr>
      <w:r>
        <w:rPr>
          <w:rFonts w:ascii="Times New Roman" w:hAnsi="Times New Roman"/>
          <w:sz w:val="22"/>
        </w:rPr>
        <w:t>Son un ejemplo de migración laboral</w:t>
      </w:r>
    </w:p>
    <w:p>
      <w:pPr>
        <w:pStyle w:val="BodyText"/>
        <w:rPr>
          <w:rFonts w:ascii="Times New Roman"/>
          <w:sz w:val="22"/>
        </w:rPr>
      </w:pPr>
    </w:p>
    <w:p>
      <w:pPr>
        <w:pStyle w:val="BodyText"/>
        <w:spacing w:before="4"/>
        <w:rPr>
          <w:rFonts w:ascii="Times New Roman"/>
          <w:sz w:val="22"/>
        </w:rPr>
      </w:pPr>
    </w:p>
    <w:p>
      <w:pPr>
        <w:pStyle w:val="ListParagraph"/>
        <w:numPr>
          <w:ilvl w:val="0"/>
          <w:numId w:val="21"/>
        </w:numPr>
        <w:tabs>
          <w:tab w:pos="1200" w:val="left" w:leader="none"/>
        </w:tabs>
        <w:spacing w:line="250" w:lineRule="exact" w:before="1" w:after="0"/>
        <w:ind w:left="1199" w:right="149" w:hanging="360"/>
        <w:jc w:val="left"/>
        <w:rPr>
          <w:rFonts w:ascii="Times New Roman" w:hAnsi="Times New Roman"/>
          <w:sz w:val="22"/>
        </w:rPr>
      </w:pPr>
      <w:r>
        <w:rPr>
          <w:rFonts w:ascii="Times New Roman" w:hAnsi="Times New Roman"/>
          <w:sz w:val="22"/>
        </w:rPr>
        <w:t>En la línea 10, la palabra “remesas” se refiere</w:t>
      </w:r>
      <w:r>
        <w:rPr>
          <w:rFonts w:ascii="Times New Roman" w:hAnsi="Times New Roman"/>
          <w:spacing w:val="-6"/>
          <w:sz w:val="22"/>
        </w:rPr>
        <w:t> </w:t>
      </w:r>
      <w:r>
        <w:rPr>
          <w:rFonts w:ascii="Times New Roman" w:hAnsi="Times New Roman"/>
          <w:sz w:val="22"/>
        </w:rPr>
        <w:t>a</w:t>
      </w:r>
    </w:p>
    <w:p>
      <w:pPr>
        <w:pStyle w:val="BodyText"/>
        <w:rPr>
          <w:rFonts w:ascii="Times New Roman"/>
          <w:sz w:val="22"/>
        </w:rPr>
      </w:pPr>
    </w:p>
    <w:p>
      <w:pPr>
        <w:pStyle w:val="ListParagraph"/>
        <w:numPr>
          <w:ilvl w:val="1"/>
          <w:numId w:val="21"/>
        </w:numPr>
        <w:tabs>
          <w:tab w:pos="1612" w:val="left" w:leader="none"/>
        </w:tabs>
        <w:spacing w:line="251" w:lineRule="exact" w:before="0" w:after="0"/>
        <w:ind w:left="1612" w:right="0" w:hanging="360"/>
        <w:jc w:val="left"/>
        <w:rPr>
          <w:rFonts w:ascii="Times New Roman"/>
          <w:sz w:val="22"/>
        </w:rPr>
      </w:pPr>
      <w:r>
        <w:rPr>
          <w:rFonts w:ascii="Times New Roman"/>
          <w:sz w:val="22"/>
        </w:rPr>
        <w:t>Mobiliario</w:t>
      </w:r>
      <w:r>
        <w:rPr>
          <w:rFonts w:ascii="Times New Roman"/>
          <w:spacing w:val="-7"/>
          <w:sz w:val="22"/>
        </w:rPr>
        <w:t> </w:t>
      </w:r>
      <w:r>
        <w:rPr>
          <w:rFonts w:ascii="Times New Roman"/>
          <w:sz w:val="22"/>
        </w:rPr>
        <w:t>usado</w:t>
      </w:r>
    </w:p>
    <w:p>
      <w:pPr>
        <w:pStyle w:val="ListParagraph"/>
        <w:numPr>
          <w:ilvl w:val="1"/>
          <w:numId w:val="21"/>
        </w:numPr>
        <w:tabs>
          <w:tab w:pos="1612" w:val="left" w:leader="none"/>
        </w:tabs>
        <w:spacing w:line="251" w:lineRule="exact" w:before="0" w:after="0"/>
        <w:ind w:left="1612" w:right="0" w:hanging="360"/>
        <w:jc w:val="left"/>
        <w:rPr>
          <w:rFonts w:ascii="Times New Roman" w:hAnsi="Times New Roman"/>
          <w:sz w:val="22"/>
        </w:rPr>
      </w:pPr>
      <w:r>
        <w:rPr>
          <w:rFonts w:ascii="Times New Roman" w:hAnsi="Times New Roman"/>
          <w:sz w:val="22"/>
        </w:rPr>
        <w:t>Mesas de</w:t>
      </w:r>
      <w:r>
        <w:rPr>
          <w:rFonts w:ascii="Times New Roman" w:hAnsi="Times New Roman"/>
          <w:spacing w:val="-5"/>
          <w:sz w:val="22"/>
        </w:rPr>
        <w:t> </w:t>
      </w:r>
      <w:r>
        <w:rPr>
          <w:rFonts w:ascii="Times New Roman" w:hAnsi="Times New Roman"/>
          <w:sz w:val="22"/>
        </w:rPr>
        <w:t>negociación</w:t>
      </w:r>
    </w:p>
    <w:p>
      <w:pPr>
        <w:pStyle w:val="ListParagraph"/>
        <w:numPr>
          <w:ilvl w:val="1"/>
          <w:numId w:val="21"/>
        </w:numPr>
        <w:tabs>
          <w:tab w:pos="1612" w:val="left" w:leader="none"/>
        </w:tabs>
        <w:spacing w:line="240" w:lineRule="auto" w:before="1" w:after="0"/>
        <w:ind w:left="1612" w:right="0" w:hanging="360"/>
        <w:jc w:val="left"/>
        <w:rPr>
          <w:rFonts w:ascii="Times New Roman"/>
          <w:sz w:val="22"/>
        </w:rPr>
      </w:pPr>
      <w:r>
        <w:rPr>
          <w:rFonts w:ascii="Times New Roman"/>
          <w:sz w:val="22"/>
        </w:rPr>
        <w:t>Dinero</w:t>
      </w:r>
    </w:p>
    <w:p>
      <w:pPr>
        <w:pStyle w:val="ListParagraph"/>
        <w:numPr>
          <w:ilvl w:val="1"/>
          <w:numId w:val="21"/>
        </w:numPr>
        <w:tabs>
          <w:tab w:pos="1612" w:val="left" w:leader="none"/>
        </w:tabs>
        <w:spacing w:line="240" w:lineRule="auto" w:before="1" w:after="0"/>
        <w:ind w:left="1612" w:right="0" w:hanging="360"/>
        <w:jc w:val="left"/>
        <w:rPr>
          <w:rFonts w:ascii="Times New Roman"/>
          <w:sz w:val="22"/>
        </w:rPr>
      </w:pPr>
      <w:r>
        <w:rPr>
          <w:rFonts w:ascii="Times New Roman"/>
          <w:sz w:val="22"/>
        </w:rPr>
        <w:t>Deportaciones</w:t>
      </w:r>
    </w:p>
    <w:p>
      <w:pPr>
        <w:spacing w:after="0" w:line="240" w:lineRule="auto"/>
        <w:jc w:val="left"/>
        <w:rPr>
          <w:rFonts w:ascii="Times New Roman"/>
          <w:sz w:val="22"/>
        </w:rPr>
        <w:sectPr>
          <w:type w:val="continuous"/>
          <w:pgSz w:w="11910" w:h="16840"/>
          <w:pgMar w:top="1580" w:bottom="280" w:left="1220" w:right="1580"/>
          <w:cols w:num="2" w:equalWidth="0">
            <w:col w:w="4360" w:space="248"/>
            <w:col w:w="4502"/>
          </w:cols>
        </w:sectPr>
      </w:pPr>
    </w:p>
    <w:p>
      <w:pPr>
        <w:pStyle w:val="BodyText"/>
        <w:spacing w:before="5"/>
        <w:rPr>
          <w:rFonts w:ascii="Times New Roman"/>
          <w:sz w:val="17"/>
        </w:rPr>
      </w:pPr>
    </w:p>
    <w:p>
      <w:pPr>
        <w:spacing w:after="0"/>
        <w:rPr>
          <w:rFonts w:ascii="Times New Roman"/>
          <w:sz w:val="17"/>
        </w:rPr>
        <w:sectPr>
          <w:pgSz w:w="11910" w:h="16840"/>
          <w:pgMar w:header="727" w:footer="0" w:top="1160" w:bottom="280" w:left="1580" w:right="1580"/>
        </w:sectPr>
      </w:pPr>
    </w:p>
    <w:p>
      <w:pPr>
        <w:pStyle w:val="BodyText"/>
        <w:spacing w:before="10"/>
        <w:rPr>
          <w:rFonts w:ascii="Times New Roman"/>
          <w:sz w:val="28"/>
        </w:rPr>
      </w:pPr>
    </w:p>
    <w:p>
      <w:pPr>
        <w:pStyle w:val="ListParagraph"/>
        <w:numPr>
          <w:ilvl w:val="0"/>
          <w:numId w:val="21"/>
        </w:numPr>
        <w:tabs>
          <w:tab w:pos="840" w:val="left" w:leader="none"/>
        </w:tabs>
        <w:spacing w:line="250" w:lineRule="exact" w:before="0" w:after="0"/>
        <w:ind w:left="839" w:right="129" w:hanging="360"/>
        <w:jc w:val="left"/>
        <w:rPr>
          <w:rFonts w:ascii="Times New Roman" w:hAnsi="Times New Roman"/>
          <w:sz w:val="22"/>
        </w:rPr>
      </w:pPr>
      <w:r>
        <w:rPr>
          <w:rFonts w:ascii="Times New Roman" w:hAnsi="Times New Roman"/>
          <w:sz w:val="22"/>
        </w:rPr>
        <w:t>De acuerdo al autor, la</w:t>
      </w:r>
      <w:r>
        <w:rPr>
          <w:rFonts w:ascii="Times New Roman" w:hAnsi="Times New Roman"/>
          <w:spacing w:val="-13"/>
          <w:sz w:val="22"/>
        </w:rPr>
        <w:t> </w:t>
      </w:r>
      <w:r>
        <w:rPr>
          <w:rFonts w:ascii="Times New Roman" w:hAnsi="Times New Roman"/>
          <w:sz w:val="22"/>
        </w:rPr>
        <w:t>migración de mexicanos a Estados</w:t>
      </w:r>
      <w:r>
        <w:rPr>
          <w:rFonts w:ascii="Times New Roman" w:hAnsi="Times New Roman"/>
          <w:spacing w:val="-10"/>
          <w:sz w:val="22"/>
        </w:rPr>
        <w:t> </w:t>
      </w:r>
      <w:r>
        <w:rPr>
          <w:rFonts w:ascii="Times New Roman" w:hAnsi="Times New Roman"/>
          <w:sz w:val="22"/>
        </w:rPr>
        <w:t>Unidos</w:t>
      </w:r>
    </w:p>
    <w:p>
      <w:pPr>
        <w:pStyle w:val="BodyText"/>
        <w:spacing w:before="5"/>
        <w:rPr>
          <w:rFonts w:ascii="Times New Roman"/>
          <w:sz w:val="22"/>
        </w:rPr>
      </w:pPr>
    </w:p>
    <w:p>
      <w:pPr>
        <w:pStyle w:val="ListParagraph"/>
        <w:numPr>
          <w:ilvl w:val="1"/>
          <w:numId w:val="21"/>
        </w:numPr>
        <w:tabs>
          <w:tab w:pos="1560" w:val="left" w:leader="none"/>
        </w:tabs>
        <w:spacing w:line="250" w:lineRule="exact" w:before="1" w:after="0"/>
        <w:ind w:left="1559" w:right="0" w:hanging="360"/>
        <w:jc w:val="left"/>
        <w:rPr>
          <w:rFonts w:ascii="Times New Roman"/>
          <w:sz w:val="22"/>
        </w:rPr>
      </w:pPr>
      <w:r>
        <w:rPr>
          <w:rFonts w:ascii="Times New Roman"/>
          <w:sz w:val="22"/>
        </w:rPr>
        <w:t>Tiene mayores efectos que otras</w:t>
      </w:r>
    </w:p>
    <w:p>
      <w:pPr>
        <w:pStyle w:val="ListParagraph"/>
        <w:numPr>
          <w:ilvl w:val="1"/>
          <w:numId w:val="21"/>
        </w:numPr>
        <w:tabs>
          <w:tab w:pos="1560" w:val="left" w:leader="none"/>
        </w:tabs>
        <w:spacing w:line="240" w:lineRule="auto" w:before="0" w:after="0"/>
        <w:ind w:left="1559" w:right="259" w:hanging="360"/>
        <w:jc w:val="left"/>
        <w:rPr>
          <w:rFonts w:ascii="Times New Roman" w:hAnsi="Times New Roman"/>
          <w:sz w:val="22"/>
        </w:rPr>
      </w:pPr>
      <w:r>
        <w:rPr>
          <w:rFonts w:ascii="Times New Roman" w:hAnsi="Times New Roman"/>
          <w:sz w:val="22"/>
        </w:rPr>
        <w:t>Es observada por otros países</w:t>
      </w:r>
      <w:r>
        <w:rPr>
          <w:rFonts w:ascii="Times New Roman" w:hAnsi="Times New Roman"/>
          <w:spacing w:val="-9"/>
          <w:sz w:val="22"/>
        </w:rPr>
        <w:t> </w:t>
      </w:r>
      <w:r>
        <w:rPr>
          <w:rFonts w:ascii="Times New Roman" w:hAnsi="Times New Roman"/>
          <w:sz w:val="22"/>
        </w:rPr>
        <w:t>latinoamericanos</w:t>
      </w:r>
    </w:p>
    <w:p>
      <w:pPr>
        <w:pStyle w:val="ListParagraph"/>
        <w:numPr>
          <w:ilvl w:val="1"/>
          <w:numId w:val="21"/>
        </w:numPr>
        <w:tabs>
          <w:tab w:pos="1560" w:val="left" w:leader="none"/>
        </w:tabs>
        <w:spacing w:line="242" w:lineRule="auto" w:before="0" w:after="0"/>
        <w:ind w:left="1559" w:right="329" w:hanging="360"/>
        <w:jc w:val="left"/>
        <w:rPr>
          <w:rFonts w:ascii="Times New Roman" w:hAnsi="Times New Roman"/>
          <w:sz w:val="22"/>
        </w:rPr>
      </w:pPr>
      <w:r>
        <w:rPr>
          <w:rFonts w:ascii="Times New Roman" w:hAnsi="Times New Roman"/>
          <w:sz w:val="22"/>
        </w:rPr>
        <w:t>Es fundamental para la economía de este</w:t>
      </w:r>
      <w:r>
        <w:rPr>
          <w:rFonts w:ascii="Times New Roman" w:hAnsi="Times New Roman"/>
          <w:spacing w:val="-1"/>
          <w:sz w:val="22"/>
        </w:rPr>
        <w:t> </w:t>
      </w:r>
      <w:r>
        <w:rPr>
          <w:rFonts w:ascii="Times New Roman" w:hAnsi="Times New Roman"/>
          <w:sz w:val="22"/>
        </w:rPr>
        <w:t>país</w:t>
      </w:r>
    </w:p>
    <w:p>
      <w:pPr>
        <w:pStyle w:val="ListParagraph"/>
        <w:numPr>
          <w:ilvl w:val="1"/>
          <w:numId w:val="21"/>
        </w:numPr>
        <w:tabs>
          <w:tab w:pos="1560" w:val="left" w:leader="none"/>
        </w:tabs>
        <w:spacing w:line="240" w:lineRule="auto" w:before="0" w:after="0"/>
        <w:ind w:left="1559" w:right="163" w:hanging="360"/>
        <w:jc w:val="left"/>
        <w:rPr>
          <w:rFonts w:ascii="Times New Roman" w:hAnsi="Times New Roman"/>
          <w:sz w:val="22"/>
        </w:rPr>
      </w:pPr>
      <w:r>
        <w:rPr>
          <w:rFonts w:ascii="Times New Roman" w:hAnsi="Times New Roman"/>
          <w:sz w:val="22"/>
        </w:rPr>
        <w:t>Es un ejemplo para otros países</w:t>
      </w:r>
      <w:r>
        <w:rPr>
          <w:rFonts w:ascii="Times New Roman" w:hAnsi="Times New Roman"/>
          <w:spacing w:val="-9"/>
          <w:sz w:val="22"/>
        </w:rPr>
        <w:t> </w:t>
      </w:r>
      <w:r>
        <w:rPr>
          <w:rFonts w:ascii="Times New Roman" w:hAnsi="Times New Roman"/>
          <w:sz w:val="22"/>
        </w:rPr>
        <w:t>latinoamericanos</w:t>
      </w:r>
    </w:p>
    <w:p>
      <w:pPr>
        <w:pStyle w:val="ListParagraph"/>
        <w:numPr>
          <w:ilvl w:val="0"/>
          <w:numId w:val="21"/>
        </w:numPr>
        <w:tabs>
          <w:tab w:pos="840" w:val="left" w:leader="none"/>
        </w:tabs>
        <w:spacing w:line="240" w:lineRule="auto" w:before="73" w:after="0"/>
        <w:ind w:left="839" w:right="0" w:hanging="360"/>
        <w:jc w:val="left"/>
        <w:rPr>
          <w:rFonts w:ascii="Times New Roman" w:hAnsi="Times New Roman"/>
          <w:sz w:val="22"/>
        </w:rPr>
      </w:pPr>
      <w:r>
        <w:rPr>
          <w:rFonts w:ascii="Times New Roman" w:hAnsi="Times New Roman"/>
          <w:w w:val="100"/>
          <w:sz w:val="22"/>
        </w:rPr>
        <w:br w:type="column"/>
      </w:r>
      <w:r>
        <w:rPr>
          <w:rFonts w:ascii="Times New Roman" w:hAnsi="Times New Roman"/>
          <w:sz w:val="22"/>
        </w:rPr>
        <w:t>El texto posiblemente continúa</w:t>
      </w:r>
      <w:r>
        <w:rPr>
          <w:rFonts w:ascii="Times New Roman" w:hAnsi="Times New Roman"/>
          <w:spacing w:val="-8"/>
          <w:sz w:val="22"/>
        </w:rPr>
        <w:t> </w:t>
      </w:r>
      <w:r>
        <w:rPr>
          <w:rFonts w:ascii="Times New Roman" w:hAnsi="Times New Roman"/>
          <w:sz w:val="22"/>
        </w:rPr>
        <w:t>con</w:t>
      </w:r>
    </w:p>
    <w:p>
      <w:pPr>
        <w:pStyle w:val="BodyText"/>
        <w:spacing w:before="9"/>
        <w:rPr>
          <w:rFonts w:ascii="Times New Roman"/>
          <w:sz w:val="21"/>
        </w:rPr>
      </w:pPr>
    </w:p>
    <w:p>
      <w:pPr>
        <w:pStyle w:val="ListParagraph"/>
        <w:numPr>
          <w:ilvl w:val="1"/>
          <w:numId w:val="21"/>
        </w:numPr>
        <w:tabs>
          <w:tab w:pos="1200" w:val="left" w:leader="none"/>
        </w:tabs>
        <w:spacing w:line="240" w:lineRule="auto" w:before="0" w:after="0"/>
        <w:ind w:left="1199" w:right="0" w:hanging="360"/>
        <w:jc w:val="left"/>
        <w:rPr>
          <w:rFonts w:ascii="Times New Roman" w:hAnsi="Times New Roman"/>
          <w:sz w:val="22"/>
        </w:rPr>
      </w:pPr>
      <w:r>
        <w:rPr>
          <w:rFonts w:ascii="Times New Roman" w:hAnsi="Times New Roman"/>
          <w:sz w:val="22"/>
        </w:rPr>
        <w:t>La migración</w:t>
      </w:r>
      <w:r>
        <w:rPr>
          <w:rFonts w:ascii="Times New Roman" w:hAnsi="Times New Roman"/>
          <w:spacing w:val="-7"/>
          <w:sz w:val="22"/>
        </w:rPr>
        <w:t> </w:t>
      </w:r>
      <w:r>
        <w:rPr>
          <w:rFonts w:ascii="Times New Roman" w:hAnsi="Times New Roman"/>
          <w:sz w:val="22"/>
        </w:rPr>
        <w:t>política</w:t>
      </w:r>
    </w:p>
    <w:p>
      <w:pPr>
        <w:pStyle w:val="ListParagraph"/>
        <w:numPr>
          <w:ilvl w:val="1"/>
          <w:numId w:val="21"/>
        </w:numPr>
        <w:tabs>
          <w:tab w:pos="1200" w:val="left" w:leader="none"/>
        </w:tabs>
        <w:spacing w:line="240" w:lineRule="auto" w:before="1" w:after="0"/>
        <w:ind w:left="1199" w:right="750" w:hanging="360"/>
        <w:jc w:val="left"/>
        <w:rPr>
          <w:rFonts w:ascii="Times New Roman" w:hAnsi="Times New Roman"/>
          <w:sz w:val="22"/>
        </w:rPr>
      </w:pPr>
      <w:r>
        <w:rPr>
          <w:rFonts w:ascii="Times New Roman" w:hAnsi="Times New Roman"/>
          <w:sz w:val="22"/>
        </w:rPr>
        <w:t>La migración latina a los Estados Unidos</w:t>
      </w:r>
    </w:p>
    <w:p>
      <w:pPr>
        <w:pStyle w:val="ListParagraph"/>
        <w:numPr>
          <w:ilvl w:val="1"/>
          <w:numId w:val="21"/>
        </w:numPr>
        <w:tabs>
          <w:tab w:pos="1200" w:val="left" w:leader="none"/>
        </w:tabs>
        <w:spacing w:line="242" w:lineRule="auto" w:before="0" w:after="0"/>
        <w:ind w:left="1199" w:right="539" w:hanging="360"/>
        <w:jc w:val="left"/>
        <w:rPr>
          <w:rFonts w:ascii="Times New Roman" w:hAnsi="Times New Roman"/>
          <w:sz w:val="22"/>
        </w:rPr>
      </w:pPr>
      <w:r>
        <w:rPr>
          <w:rFonts w:ascii="Times New Roman" w:hAnsi="Times New Roman"/>
          <w:sz w:val="22"/>
        </w:rPr>
        <w:t>La migración europea a los países</w:t>
      </w:r>
      <w:r>
        <w:rPr>
          <w:rFonts w:ascii="Times New Roman" w:hAnsi="Times New Roman"/>
          <w:spacing w:val="-3"/>
          <w:sz w:val="22"/>
        </w:rPr>
        <w:t> </w:t>
      </w:r>
      <w:r>
        <w:rPr>
          <w:rFonts w:ascii="Times New Roman" w:hAnsi="Times New Roman"/>
          <w:sz w:val="22"/>
        </w:rPr>
        <w:t>africanos</w:t>
      </w:r>
    </w:p>
    <w:p>
      <w:pPr>
        <w:pStyle w:val="ListParagraph"/>
        <w:numPr>
          <w:ilvl w:val="1"/>
          <w:numId w:val="21"/>
        </w:numPr>
        <w:tabs>
          <w:tab w:pos="1200" w:val="left" w:leader="none"/>
        </w:tabs>
        <w:spacing w:line="250" w:lineRule="exact" w:before="4" w:after="0"/>
        <w:ind w:left="1199" w:right="462" w:hanging="360"/>
        <w:jc w:val="left"/>
        <w:rPr>
          <w:rFonts w:ascii="Times New Roman" w:hAnsi="Times New Roman"/>
          <w:sz w:val="22"/>
        </w:rPr>
      </w:pPr>
      <w:r>
        <w:rPr>
          <w:rFonts w:ascii="Times New Roman" w:hAnsi="Times New Roman"/>
          <w:sz w:val="22"/>
        </w:rPr>
        <w:t>La migración en el contexto nacional</w:t>
      </w:r>
    </w:p>
    <w:p>
      <w:pPr>
        <w:spacing w:after="0" w:line="250" w:lineRule="exact"/>
        <w:jc w:val="left"/>
        <w:rPr>
          <w:rFonts w:ascii="Times New Roman" w:hAnsi="Times New Roman"/>
          <w:sz w:val="22"/>
        </w:rPr>
        <w:sectPr>
          <w:type w:val="continuous"/>
          <w:pgSz w:w="11910" w:h="16840"/>
          <w:pgMar w:top="1580" w:bottom="280" w:left="1580" w:right="1580"/>
          <w:cols w:num="2" w:equalWidth="0">
            <w:col w:w="3914" w:space="694"/>
            <w:col w:w="4142"/>
          </w:cols>
        </w:sectPr>
      </w:pPr>
    </w:p>
    <w:p>
      <w:pPr>
        <w:pStyle w:val="BodyText"/>
        <w:spacing w:before="5"/>
        <w:rPr>
          <w:rFonts w:ascii="Times New Roman"/>
          <w:sz w:val="17"/>
        </w:rPr>
      </w:pPr>
    </w:p>
    <w:p>
      <w:pPr>
        <w:spacing w:before="73"/>
        <w:ind w:left="531" w:right="18" w:firstLine="0"/>
        <w:jc w:val="left"/>
        <w:rPr>
          <w:rFonts w:ascii="Times New Roman"/>
          <w:sz w:val="22"/>
        </w:rPr>
      </w:pPr>
      <w:r>
        <w:rPr>
          <w:rFonts w:ascii="Times New Roman"/>
          <w:sz w:val="22"/>
        </w:rPr>
        <w:t>Preguntas 20-29</w:t>
      </w:r>
    </w:p>
    <w:p>
      <w:pPr>
        <w:pStyle w:val="BodyText"/>
        <w:spacing w:before="4"/>
        <w:rPr>
          <w:rFonts w:ascii="Times New Roman"/>
          <w:sz w:val="15"/>
        </w:rPr>
      </w:pPr>
    </w:p>
    <w:p>
      <w:pPr>
        <w:spacing w:line="240" w:lineRule="auto" w:before="74"/>
        <w:ind w:left="479" w:right="117" w:firstLine="710"/>
        <w:jc w:val="both"/>
        <w:rPr>
          <w:rFonts w:ascii="Times New Roman" w:hAnsi="Times New Roman"/>
          <w:sz w:val="21"/>
        </w:rPr>
      </w:pPr>
      <w:r>
        <w:rPr>
          <w:rFonts w:ascii="Times New Roman" w:hAnsi="Times New Roman"/>
          <w:sz w:val="21"/>
        </w:rPr>
        <w:t>Nacido en Tampico en 1895, de padres de ascendencia vasca, Emilio Azcárraga Vidaurreta había crecido en ciudades fronterizas y había aprendido un inglés bastante fluido mientras estudiaba en San Antonio y Austin. Su padre, Mariano, había trabajado primero como oficial de aduanas y luego ayudando a las autoridades  tejanas de salud en el  tratamiento de  los trabajadores    migrantes</w:t>
      </w:r>
    </w:p>
    <w:p>
      <w:pPr>
        <w:tabs>
          <w:tab w:pos="479" w:val="left" w:leader="none"/>
        </w:tabs>
        <w:spacing w:line="240" w:lineRule="exact" w:before="0"/>
        <w:ind w:left="138" w:right="18" w:firstLine="0"/>
        <w:jc w:val="left"/>
        <w:rPr>
          <w:rFonts w:ascii="Times New Roman"/>
          <w:sz w:val="21"/>
        </w:rPr>
      </w:pPr>
      <w:r>
        <w:rPr>
          <w:position w:val="4"/>
          <w:sz w:val="16"/>
        </w:rPr>
        <w:t>5</w:t>
        <w:tab/>
      </w:r>
      <w:r>
        <w:rPr>
          <w:rFonts w:ascii="Times New Roman"/>
          <w:sz w:val="21"/>
        </w:rPr>
        <w:t>mexicanos.</w:t>
      </w:r>
    </w:p>
    <w:p>
      <w:pPr>
        <w:spacing w:line="240" w:lineRule="auto" w:before="3"/>
        <w:ind w:left="479" w:right="121" w:firstLine="710"/>
        <w:jc w:val="both"/>
        <w:rPr>
          <w:rFonts w:ascii="Times New Roman" w:hAnsi="Times New Roman"/>
          <w:sz w:val="21"/>
        </w:rPr>
      </w:pPr>
      <w:r>
        <w:rPr>
          <w:rFonts w:ascii="Times New Roman" w:hAnsi="Times New Roman"/>
          <w:sz w:val="21"/>
        </w:rPr>
        <w:t>Azcárraga era un admirador de Estados Unidos y tenía muchos amigos en ese país. Los estadounidenses que visitaban su casa en las Lomas se encontraban con toda clase de objetos procedentes de su patria: muebles, radios, </w:t>
      </w:r>
      <w:r>
        <w:rPr>
          <w:rFonts w:ascii="Times New Roman" w:hAnsi="Times New Roman"/>
          <w:b/>
          <w:sz w:val="21"/>
        </w:rPr>
        <w:t>sinfonolas </w:t>
      </w:r>
      <w:r>
        <w:rPr>
          <w:rFonts w:ascii="Times New Roman" w:hAnsi="Times New Roman"/>
          <w:sz w:val="21"/>
        </w:rPr>
        <w:t>y otros, incluso la comida les era familiar. Los rivales  de  Azcárraga criticaban su estilo agresivo,  marcadamente “americano”,  de  hacer negocios.</w:t>
      </w:r>
    </w:p>
    <w:p>
      <w:pPr>
        <w:spacing w:line="220" w:lineRule="auto" w:before="14"/>
        <w:ind w:left="479" w:right="117" w:hanging="380"/>
        <w:jc w:val="both"/>
        <w:rPr>
          <w:rFonts w:ascii="Times New Roman" w:hAnsi="Times New Roman"/>
          <w:sz w:val="21"/>
        </w:rPr>
      </w:pPr>
      <w:r>
        <w:rPr>
          <w:position w:val="-4"/>
          <w:sz w:val="16"/>
        </w:rPr>
        <w:t>10   </w:t>
      </w:r>
      <w:r>
        <w:rPr>
          <w:rFonts w:ascii="Times New Roman" w:hAnsi="Times New Roman"/>
          <w:sz w:val="21"/>
        </w:rPr>
        <w:t>(</w:t>
      </w:r>
      <w:r>
        <w:rPr>
          <w:rFonts w:ascii="Times New Roman" w:hAnsi="Times New Roman"/>
          <w:b/>
          <w:sz w:val="21"/>
        </w:rPr>
        <w:t>Esto </w:t>
      </w:r>
      <w:r>
        <w:rPr>
          <w:rFonts w:ascii="Times New Roman" w:hAnsi="Times New Roman"/>
          <w:spacing w:val="-3"/>
          <w:sz w:val="21"/>
        </w:rPr>
        <w:t>no </w:t>
      </w:r>
      <w:r>
        <w:rPr>
          <w:rFonts w:ascii="Times New Roman" w:hAnsi="Times New Roman"/>
          <w:sz w:val="21"/>
        </w:rPr>
        <w:t>quiere decir que no fuera nacionalista, su colección </w:t>
      </w:r>
      <w:r>
        <w:rPr>
          <w:rFonts w:ascii="Times New Roman" w:hAnsi="Times New Roman"/>
          <w:spacing w:val="-3"/>
          <w:sz w:val="21"/>
        </w:rPr>
        <w:t>de </w:t>
      </w:r>
      <w:r>
        <w:rPr>
          <w:rFonts w:ascii="Times New Roman" w:hAnsi="Times New Roman"/>
          <w:sz w:val="21"/>
        </w:rPr>
        <w:t>arte era completamente mexicana y   la pieza central era </w:t>
      </w:r>
      <w:r>
        <w:rPr>
          <w:rFonts w:ascii="Times New Roman" w:hAnsi="Times New Roman"/>
          <w:spacing w:val="-4"/>
          <w:sz w:val="21"/>
        </w:rPr>
        <w:t>una </w:t>
      </w:r>
      <w:r>
        <w:rPr>
          <w:rFonts w:ascii="Times New Roman" w:hAnsi="Times New Roman"/>
          <w:sz w:val="21"/>
        </w:rPr>
        <w:t>indígena frente a un enorme atado </w:t>
      </w:r>
      <w:r>
        <w:rPr>
          <w:rFonts w:ascii="Times New Roman" w:hAnsi="Times New Roman"/>
          <w:spacing w:val="-3"/>
          <w:sz w:val="21"/>
        </w:rPr>
        <w:t>de </w:t>
      </w:r>
      <w:r>
        <w:rPr>
          <w:rFonts w:ascii="Times New Roman" w:hAnsi="Times New Roman"/>
          <w:sz w:val="21"/>
        </w:rPr>
        <w:t>alcatraces, pintada </w:t>
      </w:r>
      <w:r>
        <w:rPr>
          <w:rFonts w:ascii="Times New Roman" w:hAnsi="Times New Roman"/>
          <w:spacing w:val="-4"/>
          <w:sz w:val="21"/>
        </w:rPr>
        <w:t>por </w:t>
      </w:r>
      <w:r>
        <w:rPr>
          <w:rFonts w:ascii="Times New Roman" w:hAnsi="Times New Roman"/>
          <w:sz w:val="21"/>
        </w:rPr>
        <w:t>Diego Rivera). Sobre todo, el capital y la experiencia estadounidenses eran </w:t>
      </w:r>
      <w:r>
        <w:rPr>
          <w:rFonts w:ascii="Times New Roman" w:hAnsi="Times New Roman"/>
          <w:b/>
          <w:sz w:val="21"/>
        </w:rPr>
        <w:t>cruciales </w:t>
      </w:r>
      <w:r>
        <w:rPr>
          <w:rFonts w:ascii="Times New Roman" w:hAnsi="Times New Roman"/>
          <w:sz w:val="21"/>
        </w:rPr>
        <w:t>para la edificación del</w:t>
      </w:r>
      <w:r>
        <w:rPr>
          <w:rFonts w:ascii="Times New Roman" w:hAnsi="Times New Roman"/>
          <w:spacing w:val="12"/>
          <w:sz w:val="21"/>
        </w:rPr>
        <w:t> </w:t>
      </w:r>
      <w:r>
        <w:rPr>
          <w:rFonts w:ascii="Times New Roman" w:hAnsi="Times New Roman"/>
          <w:sz w:val="21"/>
        </w:rPr>
        <w:t>imperio</w:t>
      </w:r>
    </w:p>
    <w:p>
      <w:pPr>
        <w:spacing w:line="240" w:lineRule="auto" w:before="2"/>
        <w:ind w:left="479" w:right="117" w:firstLine="0"/>
        <w:jc w:val="both"/>
        <w:rPr>
          <w:rFonts w:ascii="Times New Roman" w:hAnsi="Times New Roman"/>
          <w:sz w:val="21"/>
        </w:rPr>
      </w:pPr>
      <w:r>
        <w:rPr>
          <w:rFonts w:ascii="Times New Roman" w:hAnsi="Times New Roman"/>
          <w:sz w:val="21"/>
        </w:rPr>
        <w:t>radiofónico de Azcárraga, y como ya había decidido que su hijo formara parte del negocio familiar. Emilio Jr. iba a necesitar un buen nivel de inglés para estar siempre al tanto de la nueva tecnología y para tratar con los socios y anunciantes internacionales.</w:t>
      </w:r>
    </w:p>
    <w:p>
      <w:pPr>
        <w:pStyle w:val="BodyText"/>
        <w:rPr>
          <w:rFonts w:ascii="Times New Roman"/>
          <w:sz w:val="22"/>
        </w:rPr>
      </w:pPr>
    </w:p>
    <w:p>
      <w:pPr>
        <w:pStyle w:val="ListParagraph"/>
        <w:numPr>
          <w:ilvl w:val="0"/>
          <w:numId w:val="21"/>
        </w:numPr>
        <w:tabs>
          <w:tab w:pos="1200" w:val="left" w:leader="none"/>
        </w:tabs>
        <w:spacing w:line="240" w:lineRule="auto" w:before="0" w:after="0"/>
        <w:ind w:left="1199" w:right="0" w:hanging="360"/>
        <w:jc w:val="left"/>
        <w:rPr>
          <w:rFonts w:ascii="Times New Roman"/>
          <w:sz w:val="22"/>
        </w:rPr>
      </w:pPr>
      <w:r>
        <w:rPr>
          <w:rFonts w:ascii="Times New Roman"/>
          <w:sz w:val="22"/>
        </w:rPr>
        <w:t>El tema principal del texto</w:t>
      </w:r>
      <w:r>
        <w:rPr>
          <w:rFonts w:ascii="Times New Roman"/>
          <w:spacing w:val="-9"/>
          <w:sz w:val="22"/>
        </w:rPr>
        <w:t> </w:t>
      </w:r>
      <w:r>
        <w:rPr>
          <w:rFonts w:ascii="Times New Roman"/>
          <w:sz w:val="22"/>
        </w:rPr>
        <w:t>es</w:t>
      </w:r>
    </w:p>
    <w:p>
      <w:pPr>
        <w:pStyle w:val="BodyText"/>
        <w:spacing w:before="6"/>
        <w:rPr>
          <w:rFonts w:ascii="Times New Roman"/>
          <w:sz w:val="15"/>
        </w:rPr>
      </w:pPr>
    </w:p>
    <w:p>
      <w:pPr>
        <w:spacing w:after="0"/>
        <w:rPr>
          <w:rFonts w:ascii="Times New Roman"/>
          <w:sz w:val="15"/>
        </w:rPr>
        <w:sectPr>
          <w:pgSz w:w="11910" w:h="16840"/>
          <w:pgMar w:header="727" w:footer="0" w:top="1160" w:bottom="280" w:left="1220" w:right="1580"/>
        </w:sectPr>
      </w:pPr>
    </w:p>
    <w:p>
      <w:pPr>
        <w:pStyle w:val="ListParagraph"/>
        <w:numPr>
          <w:ilvl w:val="1"/>
          <w:numId w:val="21"/>
        </w:numPr>
        <w:tabs>
          <w:tab w:pos="1920" w:val="left" w:leader="none"/>
        </w:tabs>
        <w:spacing w:line="240" w:lineRule="auto" w:before="72" w:after="0"/>
        <w:ind w:left="1919" w:right="177" w:hanging="360"/>
        <w:jc w:val="left"/>
        <w:rPr>
          <w:rFonts w:ascii="Times New Roman"/>
          <w:sz w:val="22"/>
        </w:rPr>
      </w:pPr>
      <w:r>
        <w:rPr>
          <w:rFonts w:ascii="Times New Roman"/>
          <w:sz w:val="22"/>
        </w:rPr>
        <w:t>Un migrante mexicano</w:t>
      </w:r>
      <w:r>
        <w:rPr>
          <w:rFonts w:ascii="Times New Roman"/>
          <w:spacing w:val="-9"/>
          <w:sz w:val="22"/>
        </w:rPr>
        <w:t> </w:t>
      </w:r>
      <w:r>
        <w:rPr>
          <w:rFonts w:ascii="Times New Roman"/>
          <w:sz w:val="22"/>
        </w:rPr>
        <w:t>en Estados Unidos</w:t>
      </w:r>
    </w:p>
    <w:p>
      <w:pPr>
        <w:pStyle w:val="ListParagraph"/>
        <w:numPr>
          <w:ilvl w:val="1"/>
          <w:numId w:val="21"/>
        </w:numPr>
        <w:tabs>
          <w:tab w:pos="1920" w:val="left" w:leader="none"/>
        </w:tabs>
        <w:spacing w:line="242" w:lineRule="auto" w:before="0" w:after="0"/>
        <w:ind w:left="1919" w:right="262" w:hanging="360"/>
        <w:jc w:val="left"/>
        <w:rPr>
          <w:rFonts w:ascii="Times New Roman"/>
          <w:sz w:val="22"/>
        </w:rPr>
      </w:pPr>
      <w:r>
        <w:rPr>
          <w:rFonts w:ascii="Times New Roman"/>
          <w:sz w:val="22"/>
        </w:rPr>
        <w:t>La vida de un hombre</w:t>
      </w:r>
      <w:r>
        <w:rPr>
          <w:rFonts w:ascii="Times New Roman"/>
          <w:spacing w:val="-9"/>
          <w:sz w:val="22"/>
        </w:rPr>
        <w:t> </w:t>
      </w:r>
      <w:r>
        <w:rPr>
          <w:rFonts w:ascii="Times New Roman"/>
          <w:sz w:val="22"/>
        </w:rPr>
        <w:t>de negocios</w:t>
      </w:r>
    </w:p>
    <w:p>
      <w:pPr>
        <w:pStyle w:val="ListParagraph"/>
        <w:numPr>
          <w:ilvl w:val="1"/>
          <w:numId w:val="21"/>
        </w:numPr>
        <w:tabs>
          <w:tab w:pos="1920" w:val="left" w:leader="none"/>
        </w:tabs>
        <w:spacing w:line="250" w:lineRule="exact" w:before="4" w:after="0"/>
        <w:ind w:left="1919" w:right="657" w:hanging="360"/>
        <w:jc w:val="left"/>
        <w:rPr>
          <w:rFonts w:ascii="Times New Roman" w:hAnsi="Times New Roman"/>
          <w:sz w:val="22"/>
        </w:rPr>
      </w:pPr>
      <w:r>
        <w:rPr>
          <w:rFonts w:ascii="Times New Roman" w:hAnsi="Times New Roman"/>
          <w:sz w:val="22"/>
        </w:rPr>
        <w:t>Migrantes vascos</w:t>
      </w:r>
      <w:r>
        <w:rPr>
          <w:rFonts w:ascii="Times New Roman" w:hAnsi="Times New Roman"/>
          <w:spacing w:val="-5"/>
          <w:sz w:val="22"/>
        </w:rPr>
        <w:t> </w:t>
      </w:r>
      <w:r>
        <w:rPr>
          <w:rFonts w:ascii="Times New Roman" w:hAnsi="Times New Roman"/>
          <w:sz w:val="22"/>
        </w:rPr>
        <w:t>en México</w:t>
      </w:r>
    </w:p>
    <w:p>
      <w:pPr>
        <w:pStyle w:val="ListParagraph"/>
        <w:numPr>
          <w:ilvl w:val="1"/>
          <w:numId w:val="21"/>
        </w:numPr>
        <w:tabs>
          <w:tab w:pos="1920" w:val="left" w:leader="none"/>
        </w:tabs>
        <w:spacing w:line="240" w:lineRule="auto" w:before="0" w:after="0"/>
        <w:ind w:left="1919" w:right="701" w:hanging="360"/>
        <w:jc w:val="left"/>
        <w:rPr>
          <w:rFonts w:ascii="Times New Roman"/>
          <w:sz w:val="22"/>
        </w:rPr>
      </w:pPr>
      <w:r>
        <w:rPr>
          <w:rFonts w:ascii="Times New Roman"/>
          <w:sz w:val="22"/>
        </w:rPr>
        <w:t>La vida en</w:t>
      </w:r>
      <w:r>
        <w:rPr>
          <w:rFonts w:ascii="Times New Roman"/>
          <w:spacing w:val="-6"/>
          <w:sz w:val="22"/>
        </w:rPr>
        <w:t> </w:t>
      </w:r>
      <w:r>
        <w:rPr>
          <w:rFonts w:ascii="Times New Roman"/>
          <w:sz w:val="22"/>
        </w:rPr>
        <w:t>ciudades fronterizas</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1200" w:val="left" w:leader="none"/>
        </w:tabs>
        <w:spacing w:line="240" w:lineRule="auto" w:before="1" w:after="0"/>
        <w:ind w:left="1199" w:right="806" w:hanging="360"/>
        <w:jc w:val="left"/>
        <w:rPr>
          <w:rFonts w:ascii="Times New Roman" w:hAnsi="Times New Roman"/>
          <w:sz w:val="22"/>
        </w:rPr>
      </w:pPr>
      <w:r>
        <w:rPr>
          <w:rFonts w:ascii="Times New Roman" w:hAnsi="Times New Roman"/>
          <w:sz w:val="22"/>
        </w:rPr>
        <w:t>De acuerdo al texto</w:t>
      </w:r>
      <w:r>
        <w:rPr>
          <w:rFonts w:ascii="Times New Roman" w:hAnsi="Times New Roman"/>
          <w:spacing w:val="-12"/>
          <w:sz w:val="22"/>
        </w:rPr>
        <w:t> </w:t>
      </w:r>
      <w:r>
        <w:rPr>
          <w:rFonts w:ascii="Times New Roman" w:hAnsi="Times New Roman"/>
          <w:sz w:val="22"/>
        </w:rPr>
        <w:t>Emilio Azcárraga</w:t>
      </w:r>
      <w:r>
        <w:rPr>
          <w:rFonts w:ascii="Times New Roman" w:hAnsi="Times New Roman"/>
          <w:spacing w:val="-8"/>
          <w:sz w:val="22"/>
        </w:rPr>
        <w:t> </w:t>
      </w:r>
      <w:r>
        <w:rPr>
          <w:rFonts w:ascii="Times New Roman" w:hAnsi="Times New Roman"/>
          <w:sz w:val="22"/>
        </w:rPr>
        <w:t>Vidaurreta</w:t>
      </w:r>
    </w:p>
    <w:p>
      <w:pPr>
        <w:pStyle w:val="BodyText"/>
        <w:spacing w:before="9"/>
        <w:rPr>
          <w:rFonts w:ascii="Times New Roman"/>
          <w:sz w:val="21"/>
        </w:rPr>
      </w:pPr>
    </w:p>
    <w:p>
      <w:pPr>
        <w:pStyle w:val="ListParagraph"/>
        <w:numPr>
          <w:ilvl w:val="1"/>
          <w:numId w:val="21"/>
        </w:numPr>
        <w:tabs>
          <w:tab w:pos="1920" w:val="left" w:leader="none"/>
        </w:tabs>
        <w:spacing w:line="240" w:lineRule="auto" w:before="0" w:after="0"/>
        <w:ind w:left="1919" w:right="876" w:hanging="360"/>
        <w:jc w:val="left"/>
        <w:rPr>
          <w:rFonts w:ascii="Times New Roman" w:hAnsi="Times New Roman"/>
          <w:sz w:val="22"/>
        </w:rPr>
      </w:pPr>
      <w:r>
        <w:rPr>
          <w:rFonts w:ascii="Times New Roman" w:hAnsi="Times New Roman"/>
          <w:sz w:val="22"/>
        </w:rPr>
        <w:t>Hablaba inglés de nacimiento</w:t>
      </w:r>
    </w:p>
    <w:p>
      <w:pPr>
        <w:pStyle w:val="ListParagraph"/>
        <w:numPr>
          <w:ilvl w:val="1"/>
          <w:numId w:val="21"/>
        </w:numPr>
        <w:tabs>
          <w:tab w:pos="1920" w:val="left" w:leader="none"/>
        </w:tabs>
        <w:spacing w:line="251" w:lineRule="exact" w:before="1" w:after="0"/>
        <w:ind w:left="1919" w:right="0" w:hanging="360"/>
        <w:jc w:val="left"/>
        <w:rPr>
          <w:rFonts w:ascii="Times New Roman"/>
          <w:sz w:val="22"/>
        </w:rPr>
      </w:pPr>
      <w:r>
        <w:rPr>
          <w:rFonts w:ascii="Times New Roman"/>
          <w:sz w:val="22"/>
        </w:rPr>
        <w:t>Era hijo de  padres</w:t>
      </w:r>
      <w:r>
        <w:rPr>
          <w:rFonts w:ascii="Times New Roman"/>
          <w:spacing w:val="-3"/>
          <w:sz w:val="22"/>
        </w:rPr>
        <w:t> </w:t>
      </w:r>
      <w:r>
        <w:rPr>
          <w:rFonts w:ascii="Times New Roman"/>
          <w:sz w:val="22"/>
        </w:rPr>
        <w:t>vascos</w:t>
      </w:r>
    </w:p>
    <w:p>
      <w:pPr>
        <w:pStyle w:val="ListParagraph"/>
        <w:numPr>
          <w:ilvl w:val="1"/>
          <w:numId w:val="21"/>
        </w:numPr>
        <w:tabs>
          <w:tab w:pos="1920" w:val="left" w:leader="none"/>
        </w:tabs>
        <w:spacing w:line="240" w:lineRule="auto" w:before="0" w:after="0"/>
        <w:ind w:left="1919" w:right="569" w:hanging="360"/>
        <w:jc w:val="left"/>
        <w:rPr>
          <w:rFonts w:ascii="Times New Roman" w:hAnsi="Times New Roman"/>
          <w:sz w:val="22"/>
        </w:rPr>
      </w:pPr>
      <w:r>
        <w:rPr>
          <w:rFonts w:ascii="Times New Roman" w:hAnsi="Times New Roman"/>
          <w:sz w:val="22"/>
        </w:rPr>
        <w:t>Tenía antepasados de origen</w:t>
      </w:r>
      <w:r>
        <w:rPr>
          <w:rFonts w:ascii="Times New Roman" w:hAnsi="Times New Roman"/>
          <w:spacing w:val="-2"/>
          <w:sz w:val="22"/>
        </w:rPr>
        <w:t> </w:t>
      </w:r>
      <w:r>
        <w:rPr>
          <w:rFonts w:ascii="Times New Roman" w:hAnsi="Times New Roman"/>
          <w:sz w:val="22"/>
        </w:rPr>
        <w:t>vasco</w:t>
      </w:r>
    </w:p>
    <w:p>
      <w:pPr>
        <w:pStyle w:val="ListParagraph"/>
        <w:numPr>
          <w:ilvl w:val="1"/>
          <w:numId w:val="21"/>
        </w:numPr>
        <w:tabs>
          <w:tab w:pos="1920" w:val="left" w:leader="none"/>
        </w:tabs>
        <w:spacing w:line="240" w:lineRule="auto" w:before="1" w:after="0"/>
        <w:ind w:left="1919" w:right="0" w:hanging="360"/>
        <w:jc w:val="left"/>
        <w:rPr>
          <w:rFonts w:ascii="Times New Roman" w:hAnsi="Times New Roman"/>
          <w:sz w:val="22"/>
        </w:rPr>
      </w:pPr>
      <w:r>
        <w:rPr>
          <w:rFonts w:ascii="Times New Roman" w:hAnsi="Times New Roman"/>
          <w:sz w:val="22"/>
        </w:rPr>
        <w:t>Se crió en el País</w:t>
      </w:r>
      <w:r>
        <w:rPr>
          <w:rFonts w:ascii="Times New Roman" w:hAnsi="Times New Roman"/>
          <w:spacing w:val="-5"/>
          <w:sz w:val="22"/>
        </w:rPr>
        <w:t> </w:t>
      </w:r>
      <w:r>
        <w:rPr>
          <w:rFonts w:ascii="Times New Roman" w:hAnsi="Times New Roman"/>
          <w:sz w:val="22"/>
        </w:rPr>
        <w:t>Vasco</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1200" w:val="left" w:leader="none"/>
        </w:tabs>
        <w:spacing w:line="240" w:lineRule="auto" w:before="1" w:after="0"/>
        <w:ind w:left="1199" w:right="101" w:hanging="360"/>
        <w:jc w:val="left"/>
        <w:rPr>
          <w:rFonts w:ascii="Times New Roman" w:hAnsi="Times New Roman"/>
          <w:sz w:val="22"/>
        </w:rPr>
      </w:pPr>
      <w:r>
        <w:rPr>
          <w:rFonts w:ascii="Times New Roman" w:hAnsi="Times New Roman"/>
          <w:sz w:val="22"/>
        </w:rPr>
        <w:t>¿Cuál de las siguientes afirmaciones NO está contenida</w:t>
      </w:r>
      <w:r>
        <w:rPr>
          <w:rFonts w:ascii="Times New Roman" w:hAnsi="Times New Roman"/>
          <w:spacing w:val="-16"/>
          <w:sz w:val="22"/>
        </w:rPr>
        <w:t> </w:t>
      </w:r>
      <w:r>
        <w:rPr>
          <w:rFonts w:ascii="Times New Roman" w:hAnsi="Times New Roman"/>
          <w:sz w:val="22"/>
        </w:rPr>
        <w:t>en el</w:t>
      </w:r>
      <w:r>
        <w:rPr>
          <w:rFonts w:ascii="Times New Roman" w:hAnsi="Times New Roman"/>
          <w:spacing w:val="-3"/>
          <w:sz w:val="22"/>
        </w:rPr>
        <w:t> </w:t>
      </w:r>
      <w:r>
        <w:rPr>
          <w:rFonts w:ascii="Times New Roman" w:hAnsi="Times New Roman"/>
          <w:sz w:val="22"/>
        </w:rPr>
        <w:t>texto?</w:t>
      </w:r>
    </w:p>
    <w:p>
      <w:pPr>
        <w:pStyle w:val="BodyText"/>
        <w:spacing w:before="8"/>
        <w:rPr>
          <w:rFonts w:ascii="Times New Roman"/>
          <w:sz w:val="22"/>
        </w:rPr>
      </w:pPr>
    </w:p>
    <w:p>
      <w:pPr>
        <w:pStyle w:val="ListParagraph"/>
        <w:numPr>
          <w:ilvl w:val="1"/>
          <w:numId w:val="21"/>
        </w:numPr>
        <w:tabs>
          <w:tab w:pos="1920" w:val="left" w:leader="none"/>
        </w:tabs>
        <w:spacing w:line="250" w:lineRule="exact" w:before="0" w:after="0"/>
        <w:ind w:left="1919" w:right="129" w:hanging="360"/>
        <w:jc w:val="left"/>
        <w:rPr>
          <w:rFonts w:ascii="Times New Roman" w:hAnsi="Times New Roman"/>
          <w:sz w:val="22"/>
        </w:rPr>
      </w:pPr>
      <w:r>
        <w:rPr>
          <w:rFonts w:ascii="Times New Roman" w:hAnsi="Times New Roman"/>
          <w:sz w:val="22"/>
        </w:rPr>
        <w:t>El padre de Emilio trabajó en la oficina de</w:t>
      </w:r>
      <w:r>
        <w:rPr>
          <w:rFonts w:ascii="Times New Roman" w:hAnsi="Times New Roman"/>
          <w:spacing w:val="-5"/>
          <w:sz w:val="22"/>
        </w:rPr>
        <w:t> </w:t>
      </w:r>
      <w:r>
        <w:rPr>
          <w:rFonts w:ascii="Times New Roman" w:hAnsi="Times New Roman"/>
          <w:sz w:val="22"/>
        </w:rPr>
        <w:t>aduanas</w:t>
      </w:r>
    </w:p>
    <w:p>
      <w:pPr>
        <w:pStyle w:val="ListParagraph"/>
        <w:numPr>
          <w:ilvl w:val="1"/>
          <w:numId w:val="21"/>
        </w:numPr>
        <w:tabs>
          <w:tab w:pos="1920" w:val="left" w:leader="none"/>
        </w:tabs>
        <w:spacing w:line="240" w:lineRule="auto" w:before="0" w:after="0"/>
        <w:ind w:left="1919" w:right="7" w:hanging="360"/>
        <w:jc w:val="left"/>
        <w:rPr>
          <w:rFonts w:ascii="Times New Roman"/>
          <w:sz w:val="22"/>
        </w:rPr>
      </w:pPr>
      <w:r>
        <w:rPr>
          <w:rFonts w:ascii="Times New Roman"/>
          <w:sz w:val="22"/>
        </w:rPr>
        <w:t>El padre de Emilio ayudaba a los</w:t>
      </w:r>
      <w:r>
        <w:rPr>
          <w:rFonts w:ascii="Times New Roman"/>
          <w:spacing w:val="-7"/>
          <w:sz w:val="22"/>
        </w:rPr>
        <w:t> </w:t>
      </w:r>
      <w:r>
        <w:rPr>
          <w:rFonts w:ascii="Times New Roman"/>
          <w:sz w:val="22"/>
        </w:rPr>
        <w:t>migrantes</w:t>
      </w:r>
    </w:p>
    <w:p>
      <w:pPr>
        <w:pStyle w:val="ListParagraph"/>
        <w:numPr>
          <w:ilvl w:val="1"/>
          <w:numId w:val="21"/>
        </w:numPr>
        <w:tabs>
          <w:tab w:pos="1920" w:val="left" w:leader="none"/>
        </w:tabs>
        <w:spacing w:line="242" w:lineRule="auto" w:before="0" w:after="0"/>
        <w:ind w:left="1919" w:right="0" w:hanging="360"/>
        <w:jc w:val="left"/>
        <w:rPr>
          <w:rFonts w:ascii="Times New Roman" w:hAnsi="Times New Roman"/>
          <w:sz w:val="22"/>
        </w:rPr>
      </w:pPr>
      <w:r>
        <w:rPr>
          <w:rFonts w:ascii="Times New Roman" w:hAnsi="Times New Roman"/>
          <w:sz w:val="22"/>
        </w:rPr>
        <w:t>El padre de Emilio colaboró con el gobierno</w:t>
      </w:r>
      <w:r>
        <w:rPr>
          <w:rFonts w:ascii="Times New Roman" w:hAnsi="Times New Roman"/>
          <w:spacing w:val="-9"/>
          <w:sz w:val="22"/>
        </w:rPr>
        <w:t> </w:t>
      </w:r>
      <w:r>
        <w:rPr>
          <w:rFonts w:ascii="Times New Roman" w:hAnsi="Times New Roman"/>
          <w:sz w:val="22"/>
        </w:rPr>
        <w:t>de Texas</w:t>
      </w:r>
    </w:p>
    <w:p>
      <w:pPr>
        <w:pStyle w:val="ListParagraph"/>
        <w:numPr>
          <w:ilvl w:val="1"/>
          <w:numId w:val="21"/>
        </w:numPr>
        <w:tabs>
          <w:tab w:pos="1920" w:val="left" w:leader="none"/>
        </w:tabs>
        <w:spacing w:line="242" w:lineRule="auto" w:before="0" w:after="0"/>
        <w:ind w:left="1919" w:right="34" w:hanging="360"/>
        <w:jc w:val="left"/>
        <w:rPr>
          <w:rFonts w:ascii="Times New Roman" w:hAnsi="Times New Roman"/>
          <w:sz w:val="22"/>
        </w:rPr>
      </w:pPr>
      <w:r>
        <w:rPr>
          <w:rFonts w:ascii="Times New Roman" w:hAnsi="Times New Roman"/>
          <w:sz w:val="22"/>
        </w:rPr>
        <w:t>El padre de Emilio trabajó como doctor en los</w:t>
      </w:r>
      <w:r>
        <w:rPr>
          <w:rFonts w:ascii="Times New Roman" w:hAnsi="Times New Roman"/>
          <w:spacing w:val="-5"/>
          <w:sz w:val="22"/>
        </w:rPr>
        <w:t> </w:t>
      </w:r>
      <w:r>
        <w:rPr>
          <w:rFonts w:ascii="Times New Roman" w:hAnsi="Times New Roman"/>
          <w:sz w:val="22"/>
        </w:rPr>
        <w:t>Estados Unidos</w:t>
      </w:r>
    </w:p>
    <w:p>
      <w:pPr>
        <w:pStyle w:val="ListParagraph"/>
        <w:numPr>
          <w:ilvl w:val="0"/>
          <w:numId w:val="21"/>
        </w:numPr>
        <w:tabs>
          <w:tab w:pos="1200" w:val="left" w:leader="none"/>
        </w:tabs>
        <w:spacing w:line="240" w:lineRule="auto" w:before="72" w:after="0"/>
        <w:ind w:left="1199" w:right="1180" w:hanging="360"/>
        <w:jc w:val="left"/>
        <w:rPr>
          <w:rFonts w:ascii="Times New Roman" w:hAnsi="Times New Roman"/>
          <w:sz w:val="22"/>
        </w:rPr>
      </w:pPr>
      <w:r>
        <w:rPr>
          <w:rFonts w:ascii="Times New Roman" w:hAnsi="Times New Roman"/>
          <w:w w:val="100"/>
          <w:sz w:val="22"/>
        </w:rPr>
        <w:br w:type="column"/>
      </w:r>
      <w:r>
        <w:rPr>
          <w:rFonts w:ascii="Times New Roman" w:hAnsi="Times New Roman"/>
          <w:sz w:val="22"/>
        </w:rPr>
        <w:t>En la línea 8, la palabra “sinfonolas” se refiere</w:t>
      </w:r>
      <w:r>
        <w:rPr>
          <w:rFonts w:ascii="Times New Roman" w:hAnsi="Times New Roman"/>
          <w:spacing w:val="-14"/>
          <w:sz w:val="22"/>
        </w:rPr>
        <w:t> </w:t>
      </w:r>
      <w:r>
        <w:rPr>
          <w:rFonts w:ascii="Times New Roman" w:hAnsi="Times New Roman"/>
          <w:sz w:val="22"/>
        </w:rPr>
        <w:t>a</w:t>
      </w:r>
    </w:p>
    <w:p>
      <w:pPr>
        <w:pStyle w:val="BodyText"/>
        <w:spacing w:before="9"/>
        <w:rPr>
          <w:rFonts w:ascii="Times New Roman"/>
          <w:sz w:val="21"/>
        </w:rPr>
      </w:pPr>
    </w:p>
    <w:p>
      <w:pPr>
        <w:pStyle w:val="ListParagraph"/>
        <w:numPr>
          <w:ilvl w:val="1"/>
          <w:numId w:val="21"/>
        </w:numPr>
        <w:tabs>
          <w:tab w:pos="1920" w:val="left" w:leader="none"/>
        </w:tabs>
        <w:spacing w:line="240" w:lineRule="auto" w:before="0" w:after="0"/>
        <w:ind w:left="1919" w:right="0" w:hanging="360"/>
        <w:jc w:val="left"/>
        <w:rPr>
          <w:rFonts w:ascii="Times New Roman"/>
          <w:sz w:val="22"/>
        </w:rPr>
      </w:pPr>
      <w:r>
        <w:rPr>
          <w:rFonts w:ascii="Times New Roman"/>
          <w:sz w:val="22"/>
        </w:rPr>
        <w:t>Un aparato de</w:t>
      </w:r>
      <w:r>
        <w:rPr>
          <w:rFonts w:ascii="Times New Roman"/>
          <w:spacing w:val="-8"/>
          <w:sz w:val="22"/>
        </w:rPr>
        <w:t> </w:t>
      </w:r>
      <w:r>
        <w:rPr>
          <w:rFonts w:ascii="Times New Roman"/>
          <w:sz w:val="22"/>
        </w:rPr>
        <w:t>sonido</w:t>
      </w:r>
    </w:p>
    <w:p>
      <w:pPr>
        <w:pStyle w:val="ListParagraph"/>
        <w:numPr>
          <w:ilvl w:val="1"/>
          <w:numId w:val="21"/>
        </w:numPr>
        <w:tabs>
          <w:tab w:pos="1920" w:val="left" w:leader="none"/>
        </w:tabs>
        <w:spacing w:line="250" w:lineRule="exact" w:before="7" w:after="0"/>
        <w:ind w:left="1919" w:right="328" w:hanging="360"/>
        <w:jc w:val="left"/>
        <w:rPr>
          <w:rFonts w:ascii="Times New Roman"/>
          <w:sz w:val="22"/>
        </w:rPr>
      </w:pPr>
      <w:r>
        <w:rPr>
          <w:rFonts w:ascii="Times New Roman"/>
          <w:sz w:val="22"/>
        </w:rPr>
        <w:t>Recuerdos de los Estados Unidos</w:t>
      </w:r>
    </w:p>
    <w:p>
      <w:pPr>
        <w:pStyle w:val="ListParagraph"/>
        <w:numPr>
          <w:ilvl w:val="1"/>
          <w:numId w:val="21"/>
        </w:numPr>
        <w:tabs>
          <w:tab w:pos="1920" w:val="left" w:leader="none"/>
        </w:tabs>
        <w:spacing w:line="252" w:lineRule="exact" w:before="0" w:after="0"/>
        <w:ind w:left="1919" w:right="0" w:hanging="360"/>
        <w:jc w:val="left"/>
        <w:rPr>
          <w:rFonts w:ascii="Times New Roman"/>
          <w:sz w:val="22"/>
        </w:rPr>
      </w:pPr>
      <w:r>
        <w:rPr>
          <w:rFonts w:ascii="Times New Roman"/>
          <w:sz w:val="22"/>
        </w:rPr>
        <w:t>Alimentos</w:t>
      </w:r>
      <w:r>
        <w:rPr>
          <w:rFonts w:ascii="Times New Roman"/>
          <w:spacing w:val="1"/>
          <w:sz w:val="22"/>
        </w:rPr>
        <w:t> </w:t>
      </w:r>
      <w:r>
        <w:rPr>
          <w:rFonts w:ascii="Times New Roman"/>
          <w:sz w:val="22"/>
        </w:rPr>
        <w:t>importados</w:t>
      </w:r>
    </w:p>
    <w:p>
      <w:pPr>
        <w:pStyle w:val="ListParagraph"/>
        <w:numPr>
          <w:ilvl w:val="1"/>
          <w:numId w:val="21"/>
        </w:numPr>
        <w:tabs>
          <w:tab w:pos="1920" w:val="left" w:leader="none"/>
        </w:tabs>
        <w:spacing w:line="240" w:lineRule="auto" w:before="1" w:after="0"/>
        <w:ind w:left="1919" w:right="0" w:hanging="360"/>
        <w:jc w:val="left"/>
        <w:rPr>
          <w:rFonts w:ascii="Times New Roman" w:hAnsi="Times New Roman"/>
          <w:sz w:val="22"/>
        </w:rPr>
      </w:pPr>
      <w:r>
        <w:rPr>
          <w:rFonts w:ascii="Times New Roman" w:hAnsi="Times New Roman"/>
          <w:sz w:val="22"/>
        </w:rPr>
        <w:t>Adornos de</w:t>
      </w:r>
      <w:r>
        <w:rPr>
          <w:rFonts w:ascii="Times New Roman" w:hAnsi="Times New Roman"/>
          <w:spacing w:val="-4"/>
          <w:sz w:val="22"/>
        </w:rPr>
        <w:t> </w:t>
      </w:r>
      <w:r>
        <w:rPr>
          <w:rFonts w:ascii="Times New Roman" w:hAnsi="Times New Roman"/>
          <w:sz w:val="22"/>
        </w:rPr>
        <w:t>importación</w:t>
      </w:r>
    </w:p>
    <w:p>
      <w:pPr>
        <w:pStyle w:val="BodyText"/>
        <w:spacing w:before="9"/>
        <w:rPr>
          <w:rFonts w:ascii="Times New Roman"/>
          <w:sz w:val="21"/>
        </w:rPr>
      </w:pPr>
    </w:p>
    <w:p>
      <w:pPr>
        <w:pStyle w:val="ListParagraph"/>
        <w:numPr>
          <w:ilvl w:val="0"/>
          <w:numId w:val="21"/>
        </w:numPr>
        <w:tabs>
          <w:tab w:pos="1200" w:val="left" w:leader="none"/>
        </w:tabs>
        <w:spacing w:line="240" w:lineRule="auto" w:before="0" w:after="0"/>
        <w:ind w:left="1199" w:right="139" w:hanging="360"/>
        <w:jc w:val="left"/>
        <w:rPr>
          <w:rFonts w:ascii="Times New Roman" w:hAnsi="Times New Roman"/>
          <w:sz w:val="22"/>
        </w:rPr>
      </w:pPr>
      <w:r>
        <w:rPr>
          <w:rFonts w:ascii="Times New Roman" w:hAnsi="Times New Roman"/>
          <w:sz w:val="22"/>
        </w:rPr>
        <w:t>¿Cuál de las siguientes afirmaciones sobre Emilio Azcárraga Vidaurreta es</w:t>
      </w:r>
      <w:r>
        <w:rPr>
          <w:rFonts w:ascii="Times New Roman" w:hAnsi="Times New Roman"/>
          <w:spacing w:val="-13"/>
          <w:sz w:val="22"/>
        </w:rPr>
        <w:t> </w:t>
      </w:r>
      <w:r>
        <w:rPr>
          <w:rFonts w:ascii="Times New Roman" w:hAnsi="Times New Roman"/>
          <w:sz w:val="22"/>
        </w:rPr>
        <w:t>verdadera?</w:t>
      </w:r>
    </w:p>
    <w:p>
      <w:pPr>
        <w:pStyle w:val="BodyText"/>
        <w:spacing w:before="9"/>
        <w:rPr>
          <w:rFonts w:ascii="Times New Roman"/>
          <w:sz w:val="21"/>
        </w:rPr>
      </w:pPr>
    </w:p>
    <w:p>
      <w:pPr>
        <w:pStyle w:val="ListParagraph"/>
        <w:numPr>
          <w:ilvl w:val="1"/>
          <w:numId w:val="21"/>
        </w:numPr>
        <w:tabs>
          <w:tab w:pos="1920" w:val="left" w:leader="none"/>
        </w:tabs>
        <w:spacing w:line="240" w:lineRule="auto" w:before="0" w:after="0"/>
        <w:ind w:left="1919" w:right="362" w:hanging="360"/>
        <w:jc w:val="left"/>
        <w:rPr>
          <w:rFonts w:ascii="Times New Roman" w:hAnsi="Times New Roman"/>
          <w:sz w:val="22"/>
        </w:rPr>
      </w:pPr>
      <w:r>
        <w:rPr>
          <w:rFonts w:ascii="Times New Roman" w:hAnsi="Times New Roman"/>
          <w:sz w:val="22"/>
        </w:rPr>
        <w:t>Tenía admiradores en los Estados Unidos</w:t>
      </w:r>
    </w:p>
    <w:p>
      <w:pPr>
        <w:pStyle w:val="ListParagraph"/>
        <w:numPr>
          <w:ilvl w:val="1"/>
          <w:numId w:val="21"/>
        </w:numPr>
        <w:tabs>
          <w:tab w:pos="1920" w:val="left" w:leader="none"/>
        </w:tabs>
        <w:spacing w:line="250" w:lineRule="exact" w:before="7" w:after="0"/>
        <w:ind w:left="1919" w:right="561" w:hanging="360"/>
        <w:jc w:val="left"/>
        <w:rPr>
          <w:rFonts w:ascii="Times New Roman" w:hAnsi="Times New Roman"/>
          <w:sz w:val="22"/>
        </w:rPr>
      </w:pPr>
      <w:r>
        <w:rPr>
          <w:rFonts w:ascii="Times New Roman" w:hAnsi="Times New Roman"/>
          <w:sz w:val="22"/>
        </w:rPr>
        <w:t>Se sentía atraído por la cultura</w:t>
      </w:r>
      <w:r>
        <w:rPr>
          <w:rFonts w:ascii="Times New Roman" w:hAnsi="Times New Roman"/>
          <w:spacing w:val="-6"/>
          <w:sz w:val="22"/>
        </w:rPr>
        <w:t> </w:t>
      </w:r>
      <w:r>
        <w:rPr>
          <w:rFonts w:ascii="Times New Roman" w:hAnsi="Times New Roman"/>
          <w:sz w:val="22"/>
        </w:rPr>
        <w:t>estadounidense</w:t>
      </w:r>
    </w:p>
    <w:p>
      <w:pPr>
        <w:pStyle w:val="ListParagraph"/>
        <w:numPr>
          <w:ilvl w:val="1"/>
          <w:numId w:val="21"/>
        </w:numPr>
        <w:tabs>
          <w:tab w:pos="1920" w:val="left" w:leader="none"/>
        </w:tabs>
        <w:spacing w:line="252" w:lineRule="exact" w:before="0" w:after="0"/>
        <w:ind w:left="1919" w:right="0" w:hanging="360"/>
        <w:jc w:val="left"/>
        <w:rPr>
          <w:rFonts w:ascii="Times New Roman" w:hAnsi="Times New Roman"/>
          <w:sz w:val="22"/>
        </w:rPr>
      </w:pPr>
      <w:r>
        <w:rPr>
          <w:rFonts w:ascii="Times New Roman" w:hAnsi="Times New Roman"/>
          <w:sz w:val="22"/>
        </w:rPr>
        <w:t>Tenía enemigos</w:t>
      </w:r>
      <w:r>
        <w:rPr>
          <w:rFonts w:ascii="Times New Roman" w:hAnsi="Times New Roman"/>
          <w:spacing w:val="-5"/>
          <w:sz w:val="22"/>
        </w:rPr>
        <w:t> </w:t>
      </w:r>
      <w:r>
        <w:rPr>
          <w:rFonts w:ascii="Times New Roman" w:hAnsi="Times New Roman"/>
          <w:sz w:val="22"/>
        </w:rPr>
        <w:t>americanos</w:t>
      </w:r>
    </w:p>
    <w:p>
      <w:pPr>
        <w:pStyle w:val="ListParagraph"/>
        <w:numPr>
          <w:ilvl w:val="1"/>
          <w:numId w:val="21"/>
        </w:numPr>
        <w:tabs>
          <w:tab w:pos="1920" w:val="left" w:leader="none"/>
        </w:tabs>
        <w:spacing w:line="250" w:lineRule="exact" w:before="7" w:after="0"/>
        <w:ind w:left="1919" w:right="197" w:hanging="360"/>
        <w:jc w:val="left"/>
        <w:rPr>
          <w:rFonts w:ascii="Times New Roman" w:hAnsi="Times New Roman"/>
          <w:sz w:val="22"/>
        </w:rPr>
      </w:pPr>
      <w:r>
        <w:rPr>
          <w:rFonts w:ascii="Times New Roman" w:hAnsi="Times New Roman"/>
          <w:sz w:val="22"/>
        </w:rPr>
        <w:t>Vendía objetos estadounidenses en su</w:t>
      </w:r>
      <w:r>
        <w:rPr>
          <w:rFonts w:ascii="Times New Roman" w:hAnsi="Times New Roman"/>
          <w:spacing w:val="-4"/>
          <w:sz w:val="22"/>
        </w:rPr>
        <w:t> </w:t>
      </w:r>
      <w:r>
        <w:rPr>
          <w:rFonts w:ascii="Times New Roman" w:hAnsi="Times New Roman"/>
          <w:sz w:val="22"/>
        </w:rPr>
        <w:t>casa</w:t>
      </w:r>
    </w:p>
    <w:p>
      <w:pPr>
        <w:pStyle w:val="BodyText"/>
        <w:rPr>
          <w:rFonts w:ascii="Times New Roman"/>
          <w:sz w:val="22"/>
        </w:rPr>
      </w:pPr>
    </w:p>
    <w:p>
      <w:pPr>
        <w:pStyle w:val="BodyText"/>
        <w:spacing w:before="8"/>
        <w:rPr>
          <w:rFonts w:ascii="Times New Roman"/>
          <w:sz w:val="21"/>
        </w:rPr>
      </w:pPr>
    </w:p>
    <w:p>
      <w:pPr>
        <w:pStyle w:val="ListParagraph"/>
        <w:numPr>
          <w:ilvl w:val="0"/>
          <w:numId w:val="21"/>
        </w:numPr>
        <w:tabs>
          <w:tab w:pos="1200" w:val="left" w:leader="none"/>
        </w:tabs>
        <w:spacing w:line="240" w:lineRule="auto" w:before="0" w:after="0"/>
        <w:ind w:left="1199" w:right="336" w:hanging="360"/>
        <w:jc w:val="left"/>
        <w:rPr>
          <w:rFonts w:ascii="Times New Roman" w:hAnsi="Times New Roman"/>
          <w:sz w:val="22"/>
        </w:rPr>
      </w:pPr>
      <w:r>
        <w:rPr>
          <w:rFonts w:ascii="Times New Roman" w:hAnsi="Times New Roman"/>
          <w:sz w:val="22"/>
        </w:rPr>
        <w:t>En la línea 8, la palabra “Esto” se refiere</w:t>
      </w:r>
      <w:r>
        <w:rPr>
          <w:rFonts w:ascii="Times New Roman" w:hAnsi="Times New Roman"/>
          <w:spacing w:val="-7"/>
          <w:sz w:val="22"/>
        </w:rPr>
        <w:t> </w:t>
      </w:r>
      <w:r>
        <w:rPr>
          <w:rFonts w:ascii="Times New Roman" w:hAnsi="Times New Roman"/>
          <w:sz w:val="22"/>
        </w:rPr>
        <w:t>a</w:t>
      </w:r>
    </w:p>
    <w:p>
      <w:pPr>
        <w:pStyle w:val="BodyText"/>
        <w:spacing w:before="2"/>
        <w:rPr>
          <w:rFonts w:ascii="Times New Roman"/>
          <w:sz w:val="22"/>
        </w:rPr>
      </w:pPr>
    </w:p>
    <w:p>
      <w:pPr>
        <w:pStyle w:val="ListParagraph"/>
        <w:numPr>
          <w:ilvl w:val="1"/>
          <w:numId w:val="21"/>
        </w:numPr>
        <w:tabs>
          <w:tab w:pos="1920" w:val="left" w:leader="none"/>
        </w:tabs>
        <w:spacing w:line="251" w:lineRule="exact" w:before="1" w:after="0"/>
        <w:ind w:left="1919" w:right="0" w:hanging="360"/>
        <w:jc w:val="left"/>
        <w:rPr>
          <w:rFonts w:ascii="Times New Roman"/>
          <w:sz w:val="22"/>
        </w:rPr>
      </w:pPr>
      <w:r>
        <w:rPr>
          <w:rFonts w:ascii="Times New Roman"/>
          <w:sz w:val="22"/>
        </w:rPr>
        <w:t>La agresividad de</w:t>
      </w:r>
      <w:r>
        <w:rPr>
          <w:rFonts w:ascii="Times New Roman"/>
          <w:spacing w:val="-12"/>
          <w:sz w:val="22"/>
        </w:rPr>
        <w:t> </w:t>
      </w:r>
      <w:r>
        <w:rPr>
          <w:rFonts w:ascii="Times New Roman"/>
          <w:sz w:val="22"/>
        </w:rPr>
        <w:t>Emilio</w:t>
      </w:r>
    </w:p>
    <w:p>
      <w:pPr>
        <w:pStyle w:val="ListParagraph"/>
        <w:numPr>
          <w:ilvl w:val="1"/>
          <w:numId w:val="21"/>
        </w:numPr>
        <w:tabs>
          <w:tab w:pos="1920" w:val="left" w:leader="none"/>
        </w:tabs>
        <w:spacing w:line="240" w:lineRule="auto" w:before="0" w:after="0"/>
        <w:ind w:left="1919" w:right="494" w:hanging="360"/>
        <w:jc w:val="left"/>
        <w:rPr>
          <w:rFonts w:ascii="Times New Roman"/>
          <w:sz w:val="22"/>
        </w:rPr>
      </w:pPr>
      <w:r>
        <w:rPr>
          <w:rFonts w:ascii="Times New Roman"/>
          <w:sz w:val="22"/>
        </w:rPr>
        <w:t>El estilo de Emilio para hacer</w:t>
      </w:r>
      <w:r>
        <w:rPr>
          <w:rFonts w:ascii="Times New Roman"/>
          <w:spacing w:val="-7"/>
          <w:sz w:val="22"/>
        </w:rPr>
        <w:t> </w:t>
      </w:r>
      <w:r>
        <w:rPr>
          <w:rFonts w:ascii="Times New Roman"/>
          <w:sz w:val="22"/>
        </w:rPr>
        <w:t>negocios</w:t>
      </w:r>
    </w:p>
    <w:p>
      <w:pPr>
        <w:pStyle w:val="ListParagraph"/>
        <w:numPr>
          <w:ilvl w:val="1"/>
          <w:numId w:val="21"/>
        </w:numPr>
        <w:tabs>
          <w:tab w:pos="1920" w:val="left" w:leader="none"/>
        </w:tabs>
        <w:spacing w:line="251" w:lineRule="exact" w:before="1" w:after="0"/>
        <w:ind w:left="1919" w:right="0" w:hanging="360"/>
        <w:jc w:val="left"/>
        <w:rPr>
          <w:rFonts w:ascii="Times New Roman"/>
          <w:sz w:val="22"/>
        </w:rPr>
      </w:pPr>
      <w:r>
        <w:rPr>
          <w:rFonts w:ascii="Times New Roman"/>
          <w:sz w:val="22"/>
        </w:rPr>
        <w:t>Los negocios de</w:t>
      </w:r>
      <w:r>
        <w:rPr>
          <w:rFonts w:ascii="Times New Roman"/>
          <w:spacing w:val="-10"/>
          <w:sz w:val="22"/>
        </w:rPr>
        <w:t> </w:t>
      </w:r>
      <w:r>
        <w:rPr>
          <w:rFonts w:ascii="Times New Roman"/>
          <w:sz w:val="22"/>
        </w:rPr>
        <w:t>Emilio</w:t>
      </w:r>
    </w:p>
    <w:p>
      <w:pPr>
        <w:pStyle w:val="ListParagraph"/>
        <w:numPr>
          <w:ilvl w:val="1"/>
          <w:numId w:val="21"/>
        </w:numPr>
        <w:tabs>
          <w:tab w:pos="1920" w:val="left" w:leader="none"/>
        </w:tabs>
        <w:spacing w:line="240" w:lineRule="auto" w:before="0" w:after="0"/>
        <w:ind w:left="1919" w:right="386" w:hanging="360"/>
        <w:jc w:val="left"/>
        <w:rPr>
          <w:rFonts w:ascii="Times New Roman" w:hAnsi="Times New Roman"/>
          <w:sz w:val="22"/>
        </w:rPr>
      </w:pPr>
      <w:r>
        <w:rPr>
          <w:rFonts w:ascii="Times New Roman" w:hAnsi="Times New Roman"/>
          <w:sz w:val="22"/>
        </w:rPr>
        <w:t>La admiración de Emilio por los Estados</w:t>
      </w:r>
      <w:r>
        <w:rPr>
          <w:rFonts w:ascii="Times New Roman" w:hAnsi="Times New Roman"/>
          <w:spacing w:val="-5"/>
          <w:sz w:val="22"/>
        </w:rPr>
        <w:t> </w:t>
      </w:r>
      <w:r>
        <w:rPr>
          <w:rFonts w:ascii="Times New Roman" w:hAnsi="Times New Roman"/>
          <w:sz w:val="22"/>
        </w:rPr>
        <w:t>Unidos</w:t>
      </w:r>
    </w:p>
    <w:p>
      <w:pPr>
        <w:spacing w:after="0" w:line="240" w:lineRule="auto"/>
        <w:jc w:val="left"/>
        <w:rPr>
          <w:rFonts w:ascii="Times New Roman" w:hAnsi="Times New Roman"/>
          <w:sz w:val="22"/>
        </w:rPr>
        <w:sectPr>
          <w:type w:val="continuous"/>
          <w:pgSz w:w="11910" w:h="16840"/>
          <w:pgMar w:top="1580" w:bottom="280" w:left="1220" w:right="1580"/>
          <w:cols w:num="2" w:equalWidth="0">
            <w:col w:w="4374" w:space="234"/>
            <w:col w:w="4502"/>
          </w:cols>
        </w:sectPr>
      </w:pPr>
    </w:p>
    <w:p>
      <w:pPr>
        <w:pStyle w:val="BodyText"/>
        <w:spacing w:before="5"/>
        <w:rPr>
          <w:rFonts w:ascii="Times New Roman"/>
          <w:sz w:val="17"/>
        </w:rPr>
      </w:pPr>
    </w:p>
    <w:p>
      <w:pPr>
        <w:spacing w:after="0"/>
        <w:rPr>
          <w:rFonts w:ascii="Times New Roman"/>
          <w:sz w:val="17"/>
        </w:rPr>
        <w:sectPr>
          <w:pgSz w:w="11910" w:h="16840"/>
          <w:pgMar w:header="727" w:footer="0" w:top="1160" w:bottom="280" w:left="1580" w:right="1600"/>
        </w:sectPr>
      </w:pPr>
    </w:p>
    <w:p>
      <w:pPr>
        <w:pStyle w:val="ListParagraph"/>
        <w:numPr>
          <w:ilvl w:val="0"/>
          <w:numId w:val="21"/>
        </w:numPr>
        <w:tabs>
          <w:tab w:pos="840" w:val="left" w:leader="none"/>
        </w:tabs>
        <w:spacing w:line="240" w:lineRule="auto" w:before="73" w:after="0"/>
        <w:ind w:left="839" w:right="46" w:hanging="360"/>
        <w:jc w:val="both"/>
        <w:rPr>
          <w:rFonts w:ascii="Times New Roman" w:hAnsi="Times New Roman"/>
          <w:sz w:val="22"/>
        </w:rPr>
      </w:pPr>
      <w:r>
        <w:rPr>
          <w:rFonts w:ascii="Times New Roman" w:hAnsi="Times New Roman"/>
          <w:sz w:val="22"/>
        </w:rPr>
        <w:t>De acuerdo al texto la obra de arte más importante de la colección de Emilio</w:t>
      </w:r>
    </w:p>
    <w:p>
      <w:pPr>
        <w:pStyle w:val="BodyText"/>
        <w:spacing w:before="2"/>
        <w:rPr>
          <w:rFonts w:ascii="Times New Roman"/>
          <w:sz w:val="22"/>
        </w:rPr>
      </w:pPr>
    </w:p>
    <w:p>
      <w:pPr>
        <w:pStyle w:val="ListParagraph"/>
        <w:numPr>
          <w:ilvl w:val="1"/>
          <w:numId w:val="21"/>
        </w:numPr>
        <w:tabs>
          <w:tab w:pos="1560" w:val="left" w:leader="none"/>
        </w:tabs>
        <w:spacing w:line="251" w:lineRule="exact" w:before="1" w:after="0"/>
        <w:ind w:left="1559" w:right="0" w:hanging="360"/>
        <w:jc w:val="left"/>
        <w:rPr>
          <w:rFonts w:ascii="Times New Roman"/>
          <w:sz w:val="22"/>
        </w:rPr>
      </w:pPr>
      <w:r>
        <w:rPr>
          <w:rFonts w:ascii="Times New Roman"/>
          <w:sz w:val="22"/>
        </w:rPr>
        <w:t>Era una pintura</w:t>
      </w:r>
      <w:r>
        <w:rPr>
          <w:rFonts w:ascii="Times New Roman"/>
          <w:spacing w:val="-8"/>
          <w:sz w:val="22"/>
        </w:rPr>
        <w:t> </w:t>
      </w:r>
      <w:r>
        <w:rPr>
          <w:rFonts w:ascii="Times New Roman"/>
          <w:sz w:val="22"/>
        </w:rPr>
        <w:t>mexicana</w:t>
      </w:r>
    </w:p>
    <w:p>
      <w:pPr>
        <w:pStyle w:val="ListParagraph"/>
        <w:numPr>
          <w:ilvl w:val="1"/>
          <w:numId w:val="21"/>
        </w:numPr>
        <w:tabs>
          <w:tab w:pos="1560" w:val="left" w:leader="none"/>
        </w:tabs>
        <w:spacing w:line="240" w:lineRule="auto" w:before="0" w:after="0"/>
        <w:ind w:left="1559" w:right="566" w:hanging="360"/>
        <w:jc w:val="left"/>
        <w:rPr>
          <w:rFonts w:ascii="Times New Roman"/>
          <w:sz w:val="22"/>
        </w:rPr>
      </w:pPr>
      <w:r>
        <w:rPr>
          <w:rFonts w:ascii="Times New Roman"/>
          <w:sz w:val="22"/>
        </w:rPr>
        <w:t>Fue adquirida en</w:t>
      </w:r>
      <w:r>
        <w:rPr>
          <w:rFonts w:ascii="Times New Roman"/>
          <w:spacing w:val="-11"/>
          <w:sz w:val="22"/>
        </w:rPr>
        <w:t> </w:t>
      </w:r>
      <w:r>
        <w:rPr>
          <w:rFonts w:ascii="Times New Roman"/>
          <w:sz w:val="22"/>
        </w:rPr>
        <w:t>los Estados Unidos</w:t>
      </w:r>
    </w:p>
    <w:p>
      <w:pPr>
        <w:pStyle w:val="ListParagraph"/>
        <w:numPr>
          <w:ilvl w:val="1"/>
          <w:numId w:val="21"/>
        </w:numPr>
        <w:tabs>
          <w:tab w:pos="1560" w:val="left" w:leader="none"/>
        </w:tabs>
        <w:spacing w:line="250" w:lineRule="exact" w:before="7" w:after="0"/>
        <w:ind w:left="1559" w:right="748" w:hanging="360"/>
        <w:jc w:val="left"/>
        <w:rPr>
          <w:rFonts w:ascii="Times New Roman"/>
          <w:sz w:val="22"/>
        </w:rPr>
      </w:pPr>
      <w:r>
        <w:rPr>
          <w:rFonts w:ascii="Times New Roman"/>
          <w:sz w:val="22"/>
        </w:rPr>
        <w:t>Era un florero</w:t>
      </w:r>
      <w:r>
        <w:rPr>
          <w:rFonts w:ascii="Times New Roman"/>
          <w:spacing w:val="-7"/>
          <w:sz w:val="22"/>
        </w:rPr>
        <w:t> </w:t>
      </w:r>
      <w:r>
        <w:rPr>
          <w:rFonts w:ascii="Times New Roman"/>
          <w:sz w:val="22"/>
        </w:rPr>
        <w:t>con alcatraces</w:t>
      </w:r>
    </w:p>
    <w:p>
      <w:pPr>
        <w:pStyle w:val="ListParagraph"/>
        <w:numPr>
          <w:ilvl w:val="1"/>
          <w:numId w:val="21"/>
        </w:numPr>
        <w:tabs>
          <w:tab w:pos="1560" w:val="left" w:leader="none"/>
        </w:tabs>
        <w:spacing w:line="252" w:lineRule="exact" w:before="0" w:after="0"/>
        <w:ind w:left="1559" w:right="0" w:hanging="360"/>
        <w:jc w:val="left"/>
        <w:rPr>
          <w:rFonts w:ascii="Times New Roman" w:hAnsi="Times New Roman"/>
          <w:sz w:val="22"/>
        </w:rPr>
      </w:pPr>
      <w:r>
        <w:rPr>
          <w:rFonts w:ascii="Times New Roman" w:hAnsi="Times New Roman"/>
          <w:sz w:val="22"/>
        </w:rPr>
        <w:t>Era de origen</w:t>
      </w:r>
      <w:r>
        <w:rPr>
          <w:rFonts w:ascii="Times New Roman" w:hAnsi="Times New Roman"/>
          <w:spacing w:val="-8"/>
          <w:sz w:val="22"/>
        </w:rPr>
        <w:t> </w:t>
      </w:r>
      <w:r>
        <w:rPr>
          <w:rFonts w:ascii="Times New Roman" w:hAnsi="Times New Roman"/>
          <w:sz w:val="22"/>
        </w:rPr>
        <w:t>indígena</w:t>
      </w:r>
    </w:p>
    <w:p>
      <w:pPr>
        <w:pStyle w:val="BodyText"/>
        <w:spacing w:before="2"/>
        <w:rPr>
          <w:rFonts w:ascii="Times New Roman"/>
          <w:sz w:val="22"/>
        </w:rPr>
      </w:pPr>
    </w:p>
    <w:p>
      <w:pPr>
        <w:pStyle w:val="ListParagraph"/>
        <w:numPr>
          <w:ilvl w:val="0"/>
          <w:numId w:val="21"/>
        </w:numPr>
        <w:tabs>
          <w:tab w:pos="840" w:val="left" w:leader="none"/>
        </w:tabs>
        <w:spacing w:line="240" w:lineRule="auto" w:before="1" w:after="0"/>
        <w:ind w:left="839" w:right="0" w:hanging="360"/>
        <w:jc w:val="left"/>
        <w:rPr>
          <w:rFonts w:ascii="Times New Roman" w:hAnsi="Times New Roman"/>
          <w:sz w:val="22"/>
        </w:rPr>
      </w:pPr>
      <w:r>
        <w:rPr>
          <w:rFonts w:ascii="Times New Roman" w:hAnsi="Times New Roman"/>
          <w:sz w:val="22"/>
        </w:rPr>
        <w:t>En la línea 12, la palabra “cruciales” podría ser reemplazada con</w:t>
      </w:r>
    </w:p>
    <w:p>
      <w:pPr>
        <w:pStyle w:val="BodyText"/>
        <w:spacing w:before="9"/>
        <w:rPr>
          <w:rFonts w:ascii="Times New Roman"/>
          <w:sz w:val="21"/>
        </w:rPr>
      </w:pPr>
    </w:p>
    <w:p>
      <w:pPr>
        <w:pStyle w:val="ListParagraph"/>
        <w:numPr>
          <w:ilvl w:val="1"/>
          <w:numId w:val="21"/>
        </w:numPr>
        <w:tabs>
          <w:tab w:pos="1560" w:val="left" w:leader="none"/>
        </w:tabs>
        <w:spacing w:line="240" w:lineRule="auto" w:before="0" w:after="0"/>
        <w:ind w:left="1559" w:right="0" w:hanging="360"/>
        <w:jc w:val="left"/>
        <w:rPr>
          <w:rFonts w:ascii="Times New Roman"/>
          <w:sz w:val="22"/>
        </w:rPr>
      </w:pPr>
      <w:r>
        <w:rPr>
          <w:rFonts w:ascii="Times New Roman"/>
          <w:sz w:val="22"/>
        </w:rPr>
        <w:t>Delicados</w:t>
      </w:r>
    </w:p>
    <w:p>
      <w:pPr>
        <w:pStyle w:val="ListParagraph"/>
        <w:numPr>
          <w:ilvl w:val="1"/>
          <w:numId w:val="21"/>
        </w:numPr>
        <w:tabs>
          <w:tab w:pos="1560" w:val="left" w:leader="none"/>
        </w:tabs>
        <w:spacing w:line="240" w:lineRule="auto" w:before="1" w:after="0"/>
        <w:ind w:left="1559" w:right="0" w:hanging="360"/>
        <w:jc w:val="left"/>
        <w:rPr>
          <w:rFonts w:ascii="Times New Roman"/>
          <w:sz w:val="22"/>
        </w:rPr>
      </w:pPr>
      <w:r>
        <w:rPr>
          <w:rFonts w:ascii="Times New Roman"/>
          <w:sz w:val="22"/>
        </w:rPr>
        <w:t>Irrelevantes</w:t>
      </w:r>
    </w:p>
    <w:p>
      <w:pPr>
        <w:pStyle w:val="ListParagraph"/>
        <w:numPr>
          <w:ilvl w:val="1"/>
          <w:numId w:val="21"/>
        </w:numPr>
        <w:tabs>
          <w:tab w:pos="1560" w:val="left" w:leader="none"/>
        </w:tabs>
        <w:spacing w:line="251" w:lineRule="exact" w:before="1" w:after="0"/>
        <w:ind w:left="1559" w:right="0" w:hanging="360"/>
        <w:jc w:val="left"/>
        <w:rPr>
          <w:rFonts w:ascii="Times New Roman"/>
          <w:sz w:val="22"/>
        </w:rPr>
      </w:pPr>
      <w:r>
        <w:rPr>
          <w:rFonts w:ascii="Times New Roman"/>
          <w:sz w:val="22"/>
        </w:rPr>
        <w:t>Decisivos</w:t>
      </w:r>
    </w:p>
    <w:p>
      <w:pPr>
        <w:pStyle w:val="ListParagraph"/>
        <w:numPr>
          <w:ilvl w:val="1"/>
          <w:numId w:val="21"/>
        </w:numPr>
        <w:tabs>
          <w:tab w:pos="1560" w:val="left" w:leader="none"/>
        </w:tabs>
        <w:spacing w:line="251" w:lineRule="exact" w:before="0" w:after="0"/>
        <w:ind w:left="1559" w:right="0" w:hanging="360"/>
        <w:jc w:val="left"/>
        <w:rPr>
          <w:rFonts w:ascii="Times New Roman"/>
          <w:sz w:val="22"/>
        </w:rPr>
      </w:pPr>
      <w:r>
        <w:rPr>
          <w:rFonts w:ascii="Times New Roman"/>
          <w:sz w:val="22"/>
        </w:rPr>
        <w:t>Concluyentes</w:t>
      </w:r>
    </w:p>
    <w:p>
      <w:pPr>
        <w:pStyle w:val="ListParagraph"/>
        <w:numPr>
          <w:ilvl w:val="0"/>
          <w:numId w:val="21"/>
        </w:numPr>
        <w:tabs>
          <w:tab w:pos="840" w:val="left" w:leader="none"/>
        </w:tabs>
        <w:spacing w:line="240" w:lineRule="auto" w:before="73" w:after="0"/>
        <w:ind w:left="839" w:right="126" w:hanging="360"/>
        <w:jc w:val="left"/>
        <w:rPr>
          <w:rFonts w:ascii="Times New Roman" w:hAnsi="Times New Roman"/>
          <w:sz w:val="22"/>
        </w:rPr>
      </w:pPr>
      <w:r>
        <w:rPr>
          <w:rFonts w:ascii="Times New Roman" w:hAnsi="Times New Roman"/>
          <w:spacing w:val="2"/>
          <w:w w:val="100"/>
          <w:sz w:val="22"/>
        </w:rPr>
        <w:br w:type="column"/>
      </w:r>
      <w:r>
        <w:rPr>
          <w:rFonts w:ascii="Times New Roman" w:hAnsi="Times New Roman"/>
          <w:sz w:val="22"/>
        </w:rPr>
        <w:t>Por el texto se puede inferir que Emilio Azcárraga Vidaurreta era un importante</w:t>
      </w:r>
    </w:p>
    <w:p>
      <w:pPr>
        <w:pStyle w:val="BodyText"/>
        <w:spacing w:before="8"/>
        <w:rPr>
          <w:rFonts w:ascii="Times New Roman"/>
          <w:sz w:val="22"/>
        </w:rPr>
      </w:pPr>
    </w:p>
    <w:p>
      <w:pPr>
        <w:pStyle w:val="ListParagraph"/>
        <w:numPr>
          <w:ilvl w:val="1"/>
          <w:numId w:val="21"/>
        </w:numPr>
        <w:tabs>
          <w:tab w:pos="1560" w:val="left" w:leader="none"/>
        </w:tabs>
        <w:spacing w:line="250" w:lineRule="exact" w:before="0" w:after="0"/>
        <w:ind w:left="1559" w:right="160" w:hanging="360"/>
        <w:jc w:val="left"/>
        <w:rPr>
          <w:rFonts w:ascii="Times New Roman"/>
          <w:sz w:val="22"/>
        </w:rPr>
      </w:pPr>
      <w:r>
        <w:rPr>
          <w:rFonts w:ascii="Times New Roman"/>
          <w:sz w:val="22"/>
        </w:rPr>
        <w:t>Magnate de la industria del radio</w:t>
      </w:r>
    </w:p>
    <w:p>
      <w:pPr>
        <w:pStyle w:val="ListParagraph"/>
        <w:numPr>
          <w:ilvl w:val="1"/>
          <w:numId w:val="21"/>
        </w:numPr>
        <w:tabs>
          <w:tab w:pos="1560" w:val="left" w:leader="none"/>
        </w:tabs>
        <w:spacing w:line="252" w:lineRule="exact" w:before="0" w:after="0"/>
        <w:ind w:left="1559" w:right="0" w:hanging="360"/>
        <w:jc w:val="left"/>
        <w:rPr>
          <w:rFonts w:ascii="Times New Roman"/>
          <w:sz w:val="22"/>
        </w:rPr>
      </w:pPr>
      <w:r>
        <w:rPr>
          <w:rFonts w:ascii="Times New Roman"/>
          <w:sz w:val="22"/>
        </w:rPr>
        <w:t>Agente</w:t>
      </w:r>
      <w:r>
        <w:rPr>
          <w:rFonts w:ascii="Times New Roman"/>
          <w:spacing w:val="4"/>
          <w:sz w:val="22"/>
        </w:rPr>
        <w:t> </w:t>
      </w:r>
      <w:r>
        <w:rPr>
          <w:rFonts w:ascii="Times New Roman"/>
          <w:sz w:val="22"/>
        </w:rPr>
        <w:t>aduanal</w:t>
      </w:r>
    </w:p>
    <w:p>
      <w:pPr>
        <w:pStyle w:val="ListParagraph"/>
        <w:numPr>
          <w:ilvl w:val="1"/>
          <w:numId w:val="21"/>
        </w:numPr>
        <w:tabs>
          <w:tab w:pos="1560" w:val="left" w:leader="none"/>
        </w:tabs>
        <w:spacing w:line="251" w:lineRule="exact" w:before="1" w:after="0"/>
        <w:ind w:left="1559" w:right="0" w:hanging="360"/>
        <w:jc w:val="left"/>
        <w:rPr>
          <w:rFonts w:ascii="Times New Roman"/>
          <w:sz w:val="22"/>
        </w:rPr>
      </w:pPr>
      <w:r>
        <w:rPr>
          <w:rFonts w:ascii="Times New Roman"/>
          <w:sz w:val="22"/>
        </w:rPr>
        <w:t>Locutor de</w:t>
      </w:r>
      <w:r>
        <w:rPr>
          <w:rFonts w:ascii="Times New Roman"/>
          <w:spacing w:val="-11"/>
          <w:sz w:val="22"/>
        </w:rPr>
        <w:t> </w:t>
      </w:r>
      <w:r>
        <w:rPr>
          <w:rFonts w:ascii="Times New Roman"/>
          <w:sz w:val="22"/>
        </w:rPr>
        <w:t>radio</w:t>
      </w:r>
    </w:p>
    <w:p>
      <w:pPr>
        <w:pStyle w:val="ListParagraph"/>
        <w:numPr>
          <w:ilvl w:val="1"/>
          <w:numId w:val="21"/>
        </w:numPr>
        <w:tabs>
          <w:tab w:pos="1560" w:val="left" w:leader="none"/>
        </w:tabs>
        <w:spacing w:line="240" w:lineRule="auto" w:before="0" w:after="0"/>
        <w:ind w:left="1559" w:right="419" w:hanging="360"/>
        <w:jc w:val="left"/>
        <w:rPr>
          <w:rFonts w:ascii="Times New Roman"/>
          <w:sz w:val="22"/>
        </w:rPr>
      </w:pPr>
      <w:r>
        <w:rPr>
          <w:rFonts w:ascii="Times New Roman"/>
          <w:sz w:val="22"/>
        </w:rPr>
        <w:t>Embajador mexicano en Texas</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840" w:val="left" w:leader="none"/>
        </w:tabs>
        <w:spacing w:line="240" w:lineRule="auto" w:before="1" w:after="0"/>
        <w:ind w:left="839" w:right="0" w:hanging="360"/>
        <w:jc w:val="left"/>
        <w:rPr>
          <w:rFonts w:ascii="Times New Roman" w:hAnsi="Times New Roman"/>
          <w:sz w:val="22"/>
        </w:rPr>
      </w:pPr>
      <w:r>
        <w:rPr>
          <w:rFonts w:ascii="Times New Roman" w:hAnsi="Times New Roman"/>
          <w:sz w:val="22"/>
        </w:rPr>
        <w:t>Es posible que el texto continúe</w:t>
      </w:r>
      <w:r>
        <w:rPr>
          <w:rFonts w:ascii="Times New Roman" w:hAnsi="Times New Roman"/>
          <w:spacing w:val="-15"/>
          <w:sz w:val="22"/>
        </w:rPr>
        <w:t> </w:t>
      </w:r>
      <w:r>
        <w:rPr>
          <w:rFonts w:ascii="Times New Roman" w:hAnsi="Times New Roman"/>
          <w:sz w:val="22"/>
        </w:rPr>
        <w:t>con</w:t>
      </w:r>
    </w:p>
    <w:p>
      <w:pPr>
        <w:pStyle w:val="BodyText"/>
        <w:spacing w:before="2"/>
        <w:rPr>
          <w:rFonts w:ascii="Times New Roman"/>
          <w:sz w:val="22"/>
        </w:rPr>
      </w:pPr>
    </w:p>
    <w:p>
      <w:pPr>
        <w:pStyle w:val="ListParagraph"/>
        <w:numPr>
          <w:ilvl w:val="1"/>
          <w:numId w:val="21"/>
        </w:numPr>
        <w:tabs>
          <w:tab w:pos="1560" w:val="left" w:leader="none"/>
        </w:tabs>
        <w:spacing w:line="251" w:lineRule="exact" w:before="1" w:after="0"/>
        <w:ind w:left="1559" w:right="0" w:hanging="360"/>
        <w:jc w:val="left"/>
        <w:rPr>
          <w:rFonts w:ascii="Times New Roman"/>
          <w:sz w:val="22"/>
        </w:rPr>
      </w:pPr>
      <w:r>
        <w:rPr>
          <w:rFonts w:ascii="Times New Roman"/>
          <w:sz w:val="22"/>
        </w:rPr>
        <w:t>Los viajes de Emilio</w:t>
      </w:r>
      <w:r>
        <w:rPr>
          <w:rFonts w:ascii="Times New Roman"/>
          <w:spacing w:val="-10"/>
          <w:sz w:val="22"/>
        </w:rPr>
        <w:t> </w:t>
      </w:r>
      <w:r>
        <w:rPr>
          <w:rFonts w:ascii="Times New Roman"/>
          <w:sz w:val="22"/>
        </w:rPr>
        <w:t>Jr.</w:t>
      </w:r>
    </w:p>
    <w:p>
      <w:pPr>
        <w:pStyle w:val="ListParagraph"/>
        <w:numPr>
          <w:ilvl w:val="1"/>
          <w:numId w:val="21"/>
        </w:numPr>
        <w:tabs>
          <w:tab w:pos="1560" w:val="left" w:leader="none"/>
        </w:tabs>
        <w:spacing w:line="240" w:lineRule="auto" w:before="0" w:after="0"/>
        <w:ind w:left="1559" w:right="442" w:hanging="360"/>
        <w:jc w:val="left"/>
        <w:rPr>
          <w:rFonts w:ascii="Times New Roman"/>
          <w:sz w:val="22"/>
        </w:rPr>
      </w:pPr>
      <w:r>
        <w:rPr>
          <w:rFonts w:ascii="Times New Roman"/>
          <w:sz w:val="22"/>
        </w:rPr>
        <w:t>La manera en que adquirieron equipo muy sofisticado</w:t>
      </w:r>
    </w:p>
    <w:p>
      <w:pPr>
        <w:pStyle w:val="ListParagraph"/>
        <w:numPr>
          <w:ilvl w:val="1"/>
          <w:numId w:val="21"/>
        </w:numPr>
        <w:tabs>
          <w:tab w:pos="1560" w:val="left" w:leader="none"/>
        </w:tabs>
        <w:spacing w:line="242" w:lineRule="auto" w:before="0" w:after="0"/>
        <w:ind w:left="1559" w:right="517" w:hanging="360"/>
        <w:jc w:val="left"/>
        <w:rPr>
          <w:rFonts w:ascii="Times New Roman" w:hAnsi="Times New Roman"/>
          <w:sz w:val="22"/>
        </w:rPr>
      </w:pPr>
      <w:r>
        <w:rPr>
          <w:rFonts w:ascii="Times New Roman" w:hAnsi="Times New Roman"/>
          <w:sz w:val="22"/>
        </w:rPr>
        <w:t>La colección de arte de Emilio</w:t>
      </w:r>
    </w:p>
    <w:p>
      <w:pPr>
        <w:pStyle w:val="ListParagraph"/>
        <w:numPr>
          <w:ilvl w:val="1"/>
          <w:numId w:val="21"/>
        </w:numPr>
        <w:tabs>
          <w:tab w:pos="1560" w:val="left" w:leader="none"/>
        </w:tabs>
        <w:spacing w:line="240" w:lineRule="auto" w:before="0" w:after="0"/>
        <w:ind w:left="1559" w:right="414" w:hanging="360"/>
        <w:jc w:val="left"/>
        <w:rPr>
          <w:rFonts w:ascii="Times New Roman"/>
          <w:sz w:val="22"/>
        </w:rPr>
      </w:pPr>
      <w:r>
        <w:rPr>
          <w:rFonts w:ascii="Times New Roman"/>
          <w:sz w:val="22"/>
        </w:rPr>
        <w:t>La casa de Emilio en las Lomas</w:t>
      </w:r>
    </w:p>
    <w:p>
      <w:pPr>
        <w:spacing w:after="0" w:line="240" w:lineRule="auto"/>
        <w:jc w:val="left"/>
        <w:rPr>
          <w:rFonts w:ascii="Times New Roman"/>
          <w:sz w:val="22"/>
        </w:rPr>
        <w:sectPr>
          <w:type w:val="continuous"/>
          <w:pgSz w:w="11910" w:h="16840"/>
          <w:pgMar w:top="1580" w:bottom="280" w:left="1580" w:right="1600"/>
          <w:cols w:num="2" w:equalWidth="0">
            <w:col w:w="3914" w:space="694"/>
            <w:col w:w="4122"/>
          </w:cols>
        </w:sectPr>
      </w:pPr>
    </w:p>
    <w:p>
      <w:pPr>
        <w:pStyle w:val="BodyText"/>
        <w:spacing w:before="5"/>
        <w:rPr>
          <w:rFonts w:ascii="Times New Roman"/>
          <w:sz w:val="17"/>
        </w:rPr>
      </w:pPr>
    </w:p>
    <w:p>
      <w:pPr>
        <w:spacing w:before="73"/>
        <w:ind w:left="479" w:right="18" w:firstLine="0"/>
        <w:jc w:val="left"/>
        <w:rPr>
          <w:rFonts w:ascii="Times New Roman"/>
          <w:sz w:val="22"/>
        </w:rPr>
      </w:pPr>
      <w:r>
        <w:rPr>
          <w:rFonts w:ascii="Times New Roman"/>
          <w:sz w:val="22"/>
        </w:rPr>
        <w:t>Preguntas 30-39</w:t>
      </w:r>
    </w:p>
    <w:p>
      <w:pPr>
        <w:pStyle w:val="BodyText"/>
        <w:spacing w:before="6"/>
        <w:rPr>
          <w:rFonts w:ascii="Times New Roman"/>
          <w:sz w:val="15"/>
        </w:rPr>
      </w:pPr>
    </w:p>
    <w:p>
      <w:pPr>
        <w:spacing w:line="240" w:lineRule="auto" w:before="72"/>
        <w:ind w:left="479" w:right="117" w:firstLine="710"/>
        <w:jc w:val="both"/>
        <w:rPr>
          <w:rFonts w:ascii="Times New Roman" w:hAnsi="Times New Roman"/>
          <w:sz w:val="22"/>
        </w:rPr>
      </w:pPr>
      <w:r>
        <w:rPr>
          <w:rFonts w:ascii="Times New Roman" w:hAnsi="Times New Roman"/>
          <w:sz w:val="22"/>
        </w:rPr>
        <w:t>El queso, al igual que el vino, es producto de una fermentación que crea algo enteramente diferente e infinitamente más complejo que la materia prima de la que procede. Como el vino, el queso se deja envejecer hasta que alcanza un punto de perfección; entonces empieza  a  descomponerse. También presenta  una  gran  variedad de estilos, cada  uno con  sus</w:t>
      </w:r>
    </w:p>
    <w:p>
      <w:pPr>
        <w:spacing w:line="240" w:lineRule="auto" w:before="1"/>
        <w:ind w:left="479" w:right="117" w:hanging="375"/>
        <w:jc w:val="both"/>
        <w:rPr>
          <w:rFonts w:ascii="Times New Roman" w:hAnsi="Times New Roman"/>
          <w:sz w:val="22"/>
        </w:rPr>
      </w:pPr>
      <w:r>
        <w:rPr>
          <w:position w:val="3"/>
          <w:sz w:val="16"/>
        </w:rPr>
        <w:t>5 </w:t>
      </w:r>
      <w:r>
        <w:rPr>
          <w:rFonts w:ascii="Times New Roman" w:hAnsi="Times New Roman"/>
          <w:sz w:val="22"/>
        </w:rPr>
        <w:t>propias características, reflejo de la gente que lo elabora, del sitio, de las maneras de hacerlo, del clima, del tipo de leche y de su procedencia. Francia, Italia, España y otros países poseen muchas denominaciones de origen para sus quesos, tantas o más de las que </w:t>
      </w:r>
      <w:r>
        <w:rPr>
          <w:rFonts w:ascii="Times New Roman" w:hAnsi="Times New Roman"/>
          <w:b/>
          <w:sz w:val="22"/>
        </w:rPr>
        <w:t>ostentan </w:t>
      </w:r>
      <w:r>
        <w:rPr>
          <w:rFonts w:ascii="Times New Roman" w:hAnsi="Times New Roman"/>
          <w:sz w:val="22"/>
        </w:rPr>
        <w:t>para sus vinos.</w:t>
      </w:r>
    </w:p>
    <w:p>
      <w:pPr>
        <w:spacing w:line="246" w:lineRule="exact" w:before="1"/>
        <w:ind w:left="1189" w:right="18" w:firstLine="0"/>
        <w:jc w:val="left"/>
        <w:rPr>
          <w:rFonts w:ascii="Times New Roman" w:hAnsi="Times New Roman"/>
          <w:sz w:val="22"/>
        </w:rPr>
      </w:pPr>
      <w:r>
        <w:rPr>
          <w:rFonts w:ascii="Times New Roman" w:hAnsi="Times New Roman"/>
          <w:sz w:val="22"/>
        </w:rPr>
        <w:t>A través de los siglos, los principios esenciales de  la  elaboración         del queso siguen</w:t>
      </w:r>
    </w:p>
    <w:p>
      <w:pPr>
        <w:spacing w:line="259" w:lineRule="exact" w:before="0"/>
        <w:ind w:left="114" w:right="18" w:firstLine="0"/>
        <w:jc w:val="left"/>
        <w:rPr>
          <w:rFonts w:ascii="Times New Roman" w:hAnsi="Times New Roman"/>
          <w:sz w:val="22"/>
        </w:rPr>
      </w:pPr>
      <w:r>
        <w:rPr>
          <w:position w:val="7"/>
          <w:sz w:val="16"/>
        </w:rPr>
        <w:t>10          </w:t>
      </w:r>
      <w:r>
        <w:rPr>
          <w:rFonts w:ascii="Times New Roman" w:hAnsi="Times New Roman"/>
          <w:sz w:val="22"/>
        </w:rPr>
        <w:t>siendo los mismos: la leche es cortada y más tarde cuajada para separar los sólidos del suero.</w:t>
      </w:r>
    </w:p>
    <w:p>
      <w:pPr>
        <w:spacing w:line="251" w:lineRule="exact" w:before="0"/>
        <w:ind w:left="479" w:right="18" w:firstLine="0"/>
        <w:jc w:val="left"/>
        <w:rPr>
          <w:rFonts w:ascii="Times New Roman" w:hAnsi="Times New Roman"/>
          <w:sz w:val="22"/>
        </w:rPr>
      </w:pPr>
      <w:r>
        <w:rPr>
          <w:rFonts w:ascii="Times New Roman" w:hAnsi="Times New Roman"/>
          <w:b/>
          <w:sz w:val="22"/>
        </w:rPr>
        <w:t>Éste </w:t>
      </w:r>
      <w:r>
        <w:rPr>
          <w:rFonts w:ascii="Times New Roman" w:hAnsi="Times New Roman"/>
          <w:sz w:val="22"/>
        </w:rPr>
        <w:t>es drenado de la “cuajada”, la cual es cortada, prensada o calentada para </w:t>
      </w:r>
      <w:r>
        <w:rPr>
          <w:rFonts w:ascii="Times New Roman" w:hAnsi="Times New Roman"/>
          <w:b/>
          <w:sz w:val="22"/>
        </w:rPr>
        <w:t>expeler </w:t>
      </w:r>
      <w:r>
        <w:rPr>
          <w:rFonts w:ascii="Times New Roman" w:hAnsi="Times New Roman"/>
          <w:sz w:val="22"/>
        </w:rPr>
        <w:t>el líquido</w:t>
      </w:r>
    </w:p>
    <w:p>
      <w:pPr>
        <w:spacing w:before="1"/>
        <w:ind w:left="479" w:right="18" w:firstLine="0"/>
        <w:jc w:val="left"/>
        <w:rPr>
          <w:rFonts w:ascii="Times New Roman" w:hAnsi="Times New Roman"/>
          <w:sz w:val="22"/>
        </w:rPr>
      </w:pPr>
      <w:r>
        <w:rPr>
          <w:rFonts w:ascii="Times New Roman" w:hAnsi="Times New Roman"/>
          <w:sz w:val="22"/>
        </w:rPr>
        <w:t>– cuando la mayor parte del líquido se ha expulsado, la masa densificada forma el queso -. El salado, lavado y formado se realiza de muchas maneras y todas afectan su textura y sabor.</w:t>
      </w:r>
    </w:p>
    <w:p>
      <w:pPr>
        <w:spacing w:line="250" w:lineRule="exact" w:before="0"/>
        <w:ind w:left="1189" w:right="18" w:firstLine="0"/>
        <w:jc w:val="left"/>
        <w:rPr>
          <w:rFonts w:ascii="Times New Roman"/>
          <w:sz w:val="22"/>
        </w:rPr>
      </w:pPr>
      <w:r>
        <w:rPr>
          <w:rFonts w:ascii="Times New Roman"/>
          <w:sz w:val="22"/>
        </w:rPr>
        <w:t>Finalmente, todos los quesos son madurados, incluso, por poco tiempo. Cada etapa es</w:t>
      </w:r>
    </w:p>
    <w:p>
      <w:pPr>
        <w:spacing w:before="1"/>
        <w:ind w:left="479" w:right="18" w:hanging="360"/>
        <w:jc w:val="left"/>
        <w:rPr>
          <w:rFonts w:ascii="Times New Roman" w:hAnsi="Times New Roman"/>
          <w:sz w:val="22"/>
        </w:rPr>
      </w:pPr>
      <w:r>
        <w:rPr>
          <w:position w:val="4"/>
          <w:sz w:val="16"/>
        </w:rPr>
        <w:t>15 </w:t>
      </w:r>
      <w:r>
        <w:rPr>
          <w:rFonts w:ascii="Times New Roman" w:hAnsi="Times New Roman"/>
          <w:sz w:val="22"/>
        </w:rPr>
        <w:t>importante, pero muchos consideran la maduración como crucial en términos del desarrollo del carácter que hace excepcional a un queso.</w:t>
      </w:r>
    </w:p>
    <w:p>
      <w:pPr>
        <w:pStyle w:val="BodyText"/>
        <w:rPr>
          <w:rFonts w:ascii="Times New Roman"/>
          <w:sz w:val="20"/>
        </w:rPr>
      </w:pPr>
    </w:p>
    <w:p>
      <w:pPr>
        <w:pStyle w:val="BodyText"/>
        <w:spacing w:before="7"/>
        <w:rPr>
          <w:rFonts w:ascii="Times New Roman"/>
          <w:sz w:val="17"/>
        </w:rPr>
      </w:pPr>
    </w:p>
    <w:p>
      <w:pPr>
        <w:spacing w:after="0"/>
        <w:rPr>
          <w:rFonts w:ascii="Times New Roman"/>
          <w:sz w:val="17"/>
        </w:rPr>
        <w:sectPr>
          <w:pgSz w:w="11910" w:h="16840"/>
          <w:pgMar w:header="727" w:footer="0" w:top="1160" w:bottom="280" w:left="1220" w:right="1580"/>
        </w:sectPr>
      </w:pPr>
    </w:p>
    <w:p>
      <w:pPr>
        <w:pStyle w:val="ListParagraph"/>
        <w:numPr>
          <w:ilvl w:val="0"/>
          <w:numId w:val="21"/>
        </w:numPr>
        <w:tabs>
          <w:tab w:pos="1200" w:val="left" w:leader="none"/>
        </w:tabs>
        <w:spacing w:line="240" w:lineRule="auto" w:before="73" w:after="0"/>
        <w:ind w:left="1199" w:right="0" w:hanging="360"/>
        <w:jc w:val="left"/>
        <w:rPr>
          <w:rFonts w:ascii="Times New Roman"/>
          <w:sz w:val="22"/>
        </w:rPr>
      </w:pPr>
      <w:r>
        <w:rPr>
          <w:rFonts w:ascii="Times New Roman"/>
          <w:sz w:val="22"/>
        </w:rPr>
        <w:t>El tema principal del texto</w:t>
      </w:r>
      <w:r>
        <w:rPr>
          <w:rFonts w:ascii="Times New Roman"/>
          <w:spacing w:val="-9"/>
          <w:sz w:val="22"/>
        </w:rPr>
        <w:t> </w:t>
      </w:r>
      <w:r>
        <w:rPr>
          <w:rFonts w:ascii="Times New Roman"/>
          <w:sz w:val="22"/>
        </w:rPr>
        <w:t>es</w:t>
      </w:r>
    </w:p>
    <w:p>
      <w:pPr>
        <w:pStyle w:val="BodyText"/>
        <w:spacing w:before="9"/>
        <w:rPr>
          <w:rFonts w:ascii="Times New Roman"/>
          <w:sz w:val="21"/>
        </w:rPr>
      </w:pPr>
    </w:p>
    <w:p>
      <w:pPr>
        <w:pStyle w:val="ListParagraph"/>
        <w:numPr>
          <w:ilvl w:val="1"/>
          <w:numId w:val="21"/>
        </w:numPr>
        <w:tabs>
          <w:tab w:pos="1920" w:val="left" w:leader="none"/>
        </w:tabs>
        <w:spacing w:line="240" w:lineRule="auto" w:before="0" w:after="0"/>
        <w:ind w:left="1919" w:right="0" w:hanging="360"/>
        <w:jc w:val="left"/>
        <w:rPr>
          <w:rFonts w:ascii="Times New Roman"/>
          <w:sz w:val="22"/>
        </w:rPr>
      </w:pPr>
      <w:r>
        <w:rPr>
          <w:rFonts w:ascii="Times New Roman"/>
          <w:sz w:val="22"/>
        </w:rPr>
        <w:t>Tipos de</w:t>
      </w:r>
      <w:r>
        <w:rPr>
          <w:rFonts w:ascii="Times New Roman"/>
          <w:spacing w:val="-3"/>
          <w:sz w:val="22"/>
        </w:rPr>
        <w:t> </w:t>
      </w:r>
      <w:r>
        <w:rPr>
          <w:rFonts w:ascii="Times New Roman"/>
          <w:sz w:val="22"/>
        </w:rPr>
        <w:t>queso</w:t>
      </w:r>
    </w:p>
    <w:p>
      <w:pPr>
        <w:pStyle w:val="ListParagraph"/>
        <w:numPr>
          <w:ilvl w:val="1"/>
          <w:numId w:val="21"/>
        </w:numPr>
        <w:tabs>
          <w:tab w:pos="1920" w:val="left" w:leader="none"/>
        </w:tabs>
        <w:spacing w:line="240" w:lineRule="auto" w:before="1" w:after="0"/>
        <w:ind w:left="1919" w:right="504" w:hanging="360"/>
        <w:jc w:val="left"/>
        <w:rPr>
          <w:rFonts w:ascii="Times New Roman" w:hAnsi="Times New Roman"/>
          <w:sz w:val="22"/>
        </w:rPr>
      </w:pPr>
      <w:r>
        <w:rPr>
          <w:rFonts w:ascii="Times New Roman" w:hAnsi="Times New Roman"/>
          <w:sz w:val="22"/>
        </w:rPr>
        <w:t>Países productores de queso y</w:t>
      </w:r>
      <w:r>
        <w:rPr>
          <w:rFonts w:ascii="Times New Roman" w:hAnsi="Times New Roman"/>
          <w:spacing w:val="-9"/>
          <w:sz w:val="22"/>
        </w:rPr>
        <w:t> </w:t>
      </w:r>
      <w:r>
        <w:rPr>
          <w:rFonts w:ascii="Times New Roman" w:hAnsi="Times New Roman"/>
          <w:sz w:val="22"/>
        </w:rPr>
        <w:t>vino</w:t>
      </w:r>
    </w:p>
    <w:p>
      <w:pPr>
        <w:pStyle w:val="ListParagraph"/>
        <w:numPr>
          <w:ilvl w:val="1"/>
          <w:numId w:val="21"/>
        </w:numPr>
        <w:tabs>
          <w:tab w:pos="1920" w:val="left" w:leader="none"/>
        </w:tabs>
        <w:spacing w:line="250" w:lineRule="exact" w:before="0" w:after="0"/>
        <w:ind w:left="1919" w:right="0" w:hanging="360"/>
        <w:jc w:val="left"/>
        <w:rPr>
          <w:rFonts w:ascii="Times New Roman" w:hAnsi="Times New Roman"/>
          <w:sz w:val="22"/>
        </w:rPr>
      </w:pPr>
      <w:r>
        <w:rPr>
          <w:rFonts w:ascii="Times New Roman" w:hAnsi="Times New Roman"/>
          <w:sz w:val="22"/>
        </w:rPr>
        <w:t>Elaboración de</w:t>
      </w:r>
      <w:r>
        <w:rPr>
          <w:rFonts w:ascii="Times New Roman" w:hAnsi="Times New Roman"/>
          <w:spacing w:val="-6"/>
          <w:sz w:val="22"/>
        </w:rPr>
        <w:t> </w:t>
      </w:r>
      <w:r>
        <w:rPr>
          <w:rFonts w:ascii="Times New Roman" w:hAnsi="Times New Roman"/>
          <w:sz w:val="22"/>
        </w:rPr>
        <w:t>queso</w:t>
      </w:r>
    </w:p>
    <w:p>
      <w:pPr>
        <w:pStyle w:val="ListParagraph"/>
        <w:numPr>
          <w:ilvl w:val="1"/>
          <w:numId w:val="21"/>
        </w:numPr>
        <w:tabs>
          <w:tab w:pos="1920" w:val="left" w:leader="none"/>
        </w:tabs>
        <w:spacing w:line="240" w:lineRule="auto" w:before="1" w:after="0"/>
        <w:ind w:left="1919" w:right="168" w:hanging="360"/>
        <w:jc w:val="left"/>
        <w:rPr>
          <w:rFonts w:ascii="Times New Roman" w:hAnsi="Times New Roman"/>
          <w:sz w:val="22"/>
        </w:rPr>
      </w:pPr>
      <w:r>
        <w:rPr>
          <w:rFonts w:ascii="Times New Roman" w:hAnsi="Times New Roman"/>
          <w:sz w:val="22"/>
        </w:rPr>
        <w:t>Productos elaborados por fermentación</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1200" w:val="left" w:leader="none"/>
        </w:tabs>
        <w:spacing w:line="240" w:lineRule="auto" w:before="1" w:after="0"/>
        <w:ind w:left="1199" w:right="258" w:hanging="360"/>
        <w:jc w:val="left"/>
        <w:rPr>
          <w:rFonts w:ascii="Times New Roman"/>
          <w:sz w:val="22"/>
        </w:rPr>
      </w:pPr>
      <w:r>
        <w:rPr>
          <w:rFonts w:ascii="Times New Roman"/>
          <w:sz w:val="22"/>
        </w:rPr>
        <w:t>De acuerdo al texto el queso y</w:t>
      </w:r>
      <w:r>
        <w:rPr>
          <w:rFonts w:ascii="Times New Roman"/>
          <w:spacing w:val="-13"/>
          <w:sz w:val="22"/>
        </w:rPr>
        <w:t> </w:t>
      </w:r>
      <w:r>
        <w:rPr>
          <w:rFonts w:ascii="Times New Roman"/>
          <w:sz w:val="22"/>
        </w:rPr>
        <w:t>el vino se originan</w:t>
      </w:r>
      <w:r>
        <w:rPr>
          <w:rFonts w:ascii="Times New Roman"/>
          <w:spacing w:val="-7"/>
          <w:sz w:val="22"/>
        </w:rPr>
        <w:t> </w:t>
      </w:r>
      <w:r>
        <w:rPr>
          <w:rFonts w:ascii="Times New Roman"/>
          <w:sz w:val="22"/>
        </w:rPr>
        <w:t>de</w:t>
      </w:r>
    </w:p>
    <w:p>
      <w:pPr>
        <w:pStyle w:val="BodyText"/>
        <w:spacing w:before="9"/>
        <w:rPr>
          <w:rFonts w:ascii="Times New Roman"/>
          <w:sz w:val="21"/>
        </w:rPr>
      </w:pPr>
    </w:p>
    <w:p>
      <w:pPr>
        <w:pStyle w:val="ListParagraph"/>
        <w:numPr>
          <w:ilvl w:val="1"/>
          <w:numId w:val="21"/>
        </w:numPr>
        <w:tabs>
          <w:tab w:pos="1920" w:val="left" w:leader="none"/>
        </w:tabs>
        <w:spacing w:line="240" w:lineRule="auto" w:before="0" w:after="0"/>
        <w:ind w:left="1919" w:right="0" w:hanging="360"/>
        <w:jc w:val="left"/>
        <w:rPr>
          <w:rFonts w:ascii="Times New Roman"/>
          <w:sz w:val="22"/>
        </w:rPr>
      </w:pPr>
      <w:r>
        <w:rPr>
          <w:rFonts w:ascii="Times New Roman"/>
          <w:sz w:val="22"/>
        </w:rPr>
        <w:t>Materias primas</w:t>
      </w:r>
      <w:r>
        <w:rPr>
          <w:rFonts w:ascii="Times New Roman"/>
          <w:spacing w:val="-9"/>
          <w:sz w:val="22"/>
        </w:rPr>
        <w:t> </w:t>
      </w:r>
      <w:r>
        <w:rPr>
          <w:rFonts w:ascii="Times New Roman"/>
          <w:sz w:val="22"/>
        </w:rPr>
        <w:t>complejas</w:t>
      </w:r>
    </w:p>
    <w:p>
      <w:pPr>
        <w:pStyle w:val="ListParagraph"/>
        <w:numPr>
          <w:ilvl w:val="1"/>
          <w:numId w:val="21"/>
        </w:numPr>
        <w:tabs>
          <w:tab w:pos="1920" w:val="left" w:leader="none"/>
        </w:tabs>
        <w:spacing w:line="251" w:lineRule="exact" w:before="1" w:after="0"/>
        <w:ind w:left="1919" w:right="0" w:hanging="360"/>
        <w:jc w:val="left"/>
        <w:rPr>
          <w:rFonts w:ascii="Times New Roman"/>
          <w:sz w:val="22"/>
        </w:rPr>
      </w:pPr>
      <w:r>
        <w:rPr>
          <w:rFonts w:ascii="Times New Roman"/>
          <w:sz w:val="22"/>
        </w:rPr>
        <w:t>Productos</w:t>
      </w:r>
      <w:r>
        <w:rPr>
          <w:rFonts w:ascii="Times New Roman"/>
          <w:spacing w:val="-7"/>
          <w:sz w:val="22"/>
        </w:rPr>
        <w:t> </w:t>
      </w:r>
      <w:r>
        <w:rPr>
          <w:rFonts w:ascii="Times New Roman"/>
          <w:sz w:val="22"/>
        </w:rPr>
        <w:t>diferentes</w:t>
      </w:r>
    </w:p>
    <w:p>
      <w:pPr>
        <w:pStyle w:val="ListParagraph"/>
        <w:numPr>
          <w:ilvl w:val="1"/>
          <w:numId w:val="21"/>
        </w:numPr>
        <w:tabs>
          <w:tab w:pos="1920" w:val="left" w:leader="none"/>
        </w:tabs>
        <w:spacing w:line="251" w:lineRule="exact" w:before="0" w:after="0"/>
        <w:ind w:left="1919" w:right="0" w:hanging="360"/>
        <w:jc w:val="left"/>
        <w:rPr>
          <w:rFonts w:ascii="Times New Roman"/>
          <w:sz w:val="22"/>
        </w:rPr>
      </w:pPr>
      <w:r>
        <w:rPr>
          <w:rFonts w:ascii="Times New Roman"/>
          <w:sz w:val="22"/>
        </w:rPr>
        <w:t>La misma</w:t>
      </w:r>
      <w:r>
        <w:rPr>
          <w:rFonts w:ascii="Times New Roman"/>
          <w:spacing w:val="-9"/>
          <w:sz w:val="22"/>
        </w:rPr>
        <w:t> </w:t>
      </w:r>
      <w:r>
        <w:rPr>
          <w:rFonts w:ascii="Times New Roman"/>
          <w:sz w:val="22"/>
        </w:rPr>
        <w:t>manera</w:t>
      </w:r>
    </w:p>
    <w:p>
      <w:pPr>
        <w:pStyle w:val="ListParagraph"/>
        <w:numPr>
          <w:ilvl w:val="1"/>
          <w:numId w:val="21"/>
        </w:numPr>
        <w:tabs>
          <w:tab w:pos="1920" w:val="left" w:leader="none"/>
        </w:tabs>
        <w:spacing w:line="240" w:lineRule="auto" w:before="1" w:after="0"/>
        <w:ind w:left="1919" w:right="0" w:hanging="360"/>
        <w:jc w:val="left"/>
        <w:rPr>
          <w:rFonts w:ascii="Times New Roman" w:hAnsi="Times New Roman"/>
          <w:sz w:val="22"/>
        </w:rPr>
      </w:pPr>
      <w:r>
        <w:rPr>
          <w:rFonts w:ascii="Times New Roman" w:hAnsi="Times New Roman"/>
          <w:sz w:val="22"/>
        </w:rPr>
        <w:t>El proceso de</w:t>
      </w:r>
      <w:r>
        <w:rPr>
          <w:rFonts w:ascii="Times New Roman" w:hAnsi="Times New Roman"/>
          <w:spacing w:val="-7"/>
          <w:sz w:val="22"/>
        </w:rPr>
        <w:t> </w:t>
      </w:r>
      <w:r>
        <w:rPr>
          <w:rFonts w:ascii="Times New Roman" w:hAnsi="Times New Roman"/>
          <w:sz w:val="22"/>
        </w:rPr>
        <w:t>fermentación</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1200" w:val="left" w:leader="none"/>
        </w:tabs>
        <w:spacing w:line="240" w:lineRule="auto" w:before="1" w:after="0"/>
        <w:ind w:left="1199" w:right="437" w:hanging="360"/>
        <w:jc w:val="left"/>
        <w:rPr>
          <w:rFonts w:ascii="Times New Roman" w:hAnsi="Times New Roman"/>
          <w:sz w:val="22"/>
        </w:rPr>
      </w:pPr>
      <w:r>
        <w:rPr>
          <w:rFonts w:ascii="Times New Roman" w:hAnsi="Times New Roman"/>
          <w:sz w:val="22"/>
        </w:rPr>
        <w:t>¿Cuál de las siguientes aseveraciones es verdadera,</w:t>
      </w:r>
      <w:r>
        <w:rPr>
          <w:rFonts w:ascii="Times New Roman" w:hAnsi="Times New Roman"/>
          <w:spacing w:val="-12"/>
          <w:sz w:val="22"/>
        </w:rPr>
        <w:t> </w:t>
      </w:r>
      <w:r>
        <w:rPr>
          <w:rFonts w:ascii="Times New Roman" w:hAnsi="Times New Roman"/>
          <w:sz w:val="22"/>
        </w:rPr>
        <w:t>de acuerdo al</w:t>
      </w:r>
      <w:r>
        <w:rPr>
          <w:rFonts w:ascii="Times New Roman" w:hAnsi="Times New Roman"/>
          <w:spacing w:val="-3"/>
          <w:sz w:val="22"/>
        </w:rPr>
        <w:t> </w:t>
      </w:r>
      <w:r>
        <w:rPr>
          <w:rFonts w:ascii="Times New Roman" w:hAnsi="Times New Roman"/>
          <w:sz w:val="22"/>
        </w:rPr>
        <w:t>texto?</w:t>
      </w:r>
    </w:p>
    <w:p>
      <w:pPr>
        <w:pStyle w:val="BodyText"/>
        <w:spacing w:before="9"/>
        <w:rPr>
          <w:rFonts w:ascii="Times New Roman"/>
          <w:sz w:val="21"/>
        </w:rPr>
      </w:pPr>
    </w:p>
    <w:p>
      <w:pPr>
        <w:pStyle w:val="ListParagraph"/>
        <w:numPr>
          <w:ilvl w:val="1"/>
          <w:numId w:val="21"/>
        </w:numPr>
        <w:tabs>
          <w:tab w:pos="1920" w:val="left" w:leader="none"/>
        </w:tabs>
        <w:spacing w:line="240" w:lineRule="auto" w:before="0" w:after="0"/>
        <w:ind w:left="1919" w:right="79" w:hanging="360"/>
        <w:jc w:val="left"/>
        <w:rPr>
          <w:rFonts w:ascii="Times New Roman"/>
          <w:sz w:val="22"/>
        </w:rPr>
      </w:pPr>
      <w:r>
        <w:rPr>
          <w:rFonts w:ascii="Times New Roman"/>
          <w:sz w:val="22"/>
        </w:rPr>
        <w:t>El vino y el queso reflejan lo que son sus</w:t>
      </w:r>
      <w:r>
        <w:rPr>
          <w:rFonts w:ascii="Times New Roman"/>
          <w:spacing w:val="-9"/>
          <w:sz w:val="22"/>
        </w:rPr>
        <w:t> </w:t>
      </w:r>
      <w:r>
        <w:rPr>
          <w:rFonts w:ascii="Times New Roman"/>
          <w:sz w:val="22"/>
        </w:rPr>
        <w:t>productores</w:t>
      </w:r>
    </w:p>
    <w:p>
      <w:pPr>
        <w:pStyle w:val="ListParagraph"/>
        <w:numPr>
          <w:ilvl w:val="1"/>
          <w:numId w:val="21"/>
        </w:numPr>
        <w:tabs>
          <w:tab w:pos="1920" w:val="left" w:leader="none"/>
        </w:tabs>
        <w:spacing w:line="242" w:lineRule="auto" w:before="0" w:after="0"/>
        <w:ind w:left="1919" w:right="242" w:hanging="360"/>
        <w:jc w:val="left"/>
        <w:rPr>
          <w:rFonts w:ascii="Times New Roman"/>
          <w:sz w:val="22"/>
        </w:rPr>
      </w:pPr>
      <w:r>
        <w:rPr>
          <w:rFonts w:ascii="Times New Roman"/>
          <w:sz w:val="22"/>
        </w:rPr>
        <w:t>El vino y el queso deben descomponerse</w:t>
      </w:r>
    </w:p>
    <w:p>
      <w:pPr>
        <w:pStyle w:val="ListParagraph"/>
        <w:numPr>
          <w:ilvl w:val="1"/>
          <w:numId w:val="21"/>
        </w:numPr>
        <w:tabs>
          <w:tab w:pos="1920" w:val="left" w:leader="none"/>
        </w:tabs>
        <w:spacing w:line="240" w:lineRule="auto" w:before="0" w:after="0"/>
        <w:ind w:left="1919" w:right="166" w:hanging="360"/>
        <w:jc w:val="left"/>
        <w:rPr>
          <w:rFonts w:ascii="Times New Roman" w:hAnsi="Times New Roman"/>
          <w:sz w:val="22"/>
        </w:rPr>
      </w:pPr>
      <w:r>
        <w:rPr>
          <w:rFonts w:ascii="Times New Roman" w:hAnsi="Times New Roman"/>
          <w:sz w:val="22"/>
        </w:rPr>
        <w:t>El vino y el queso son mejores si son más</w:t>
      </w:r>
      <w:r>
        <w:rPr>
          <w:rFonts w:ascii="Times New Roman" w:hAnsi="Times New Roman"/>
          <w:spacing w:val="-9"/>
          <w:sz w:val="22"/>
        </w:rPr>
        <w:t> </w:t>
      </w:r>
      <w:r>
        <w:rPr>
          <w:rFonts w:ascii="Times New Roman" w:hAnsi="Times New Roman"/>
          <w:sz w:val="22"/>
        </w:rPr>
        <w:t>viejos</w:t>
      </w:r>
    </w:p>
    <w:p>
      <w:pPr>
        <w:pStyle w:val="ListParagraph"/>
        <w:numPr>
          <w:ilvl w:val="1"/>
          <w:numId w:val="21"/>
        </w:numPr>
        <w:tabs>
          <w:tab w:pos="1920" w:val="left" w:leader="none"/>
        </w:tabs>
        <w:spacing w:line="242" w:lineRule="auto" w:before="0" w:after="0"/>
        <w:ind w:left="1919" w:right="242" w:hanging="360"/>
        <w:jc w:val="left"/>
        <w:rPr>
          <w:rFonts w:ascii="Times New Roman"/>
          <w:sz w:val="22"/>
        </w:rPr>
      </w:pPr>
      <w:r>
        <w:rPr>
          <w:rFonts w:ascii="Times New Roman"/>
          <w:sz w:val="22"/>
        </w:rPr>
        <w:t>El vino y el queso deben madurar de una manera muy</w:t>
      </w:r>
      <w:r>
        <w:rPr>
          <w:rFonts w:ascii="Times New Roman"/>
          <w:spacing w:val="-6"/>
          <w:sz w:val="22"/>
        </w:rPr>
        <w:t> </w:t>
      </w:r>
      <w:r>
        <w:rPr>
          <w:rFonts w:ascii="Times New Roman"/>
          <w:sz w:val="22"/>
        </w:rPr>
        <w:t>precisa</w:t>
      </w:r>
    </w:p>
    <w:p>
      <w:pPr>
        <w:pStyle w:val="ListParagraph"/>
        <w:numPr>
          <w:ilvl w:val="0"/>
          <w:numId w:val="21"/>
        </w:numPr>
        <w:tabs>
          <w:tab w:pos="1200" w:val="left" w:leader="none"/>
        </w:tabs>
        <w:spacing w:line="240" w:lineRule="auto" w:before="73" w:after="0"/>
        <w:ind w:left="1199" w:right="391" w:hanging="360"/>
        <w:jc w:val="left"/>
        <w:rPr>
          <w:rFonts w:ascii="Times New Roman" w:hAnsi="Times New Roman"/>
          <w:sz w:val="22"/>
        </w:rPr>
      </w:pPr>
      <w:r>
        <w:rPr>
          <w:rFonts w:ascii="Times New Roman" w:hAnsi="Times New Roman"/>
          <w:spacing w:val="2"/>
          <w:w w:val="100"/>
          <w:sz w:val="22"/>
        </w:rPr>
        <w:br w:type="column"/>
      </w:r>
      <w:r>
        <w:rPr>
          <w:rFonts w:ascii="Times New Roman" w:hAnsi="Times New Roman"/>
          <w:sz w:val="22"/>
        </w:rPr>
        <w:t>¿Cuál de los siguientes NO es un factor en las características del queso?</w:t>
      </w:r>
    </w:p>
    <w:p>
      <w:pPr>
        <w:pStyle w:val="BodyText"/>
        <w:spacing w:before="2"/>
        <w:rPr>
          <w:rFonts w:ascii="Times New Roman"/>
          <w:sz w:val="22"/>
        </w:rPr>
      </w:pPr>
    </w:p>
    <w:p>
      <w:pPr>
        <w:pStyle w:val="ListParagraph"/>
        <w:numPr>
          <w:ilvl w:val="1"/>
          <w:numId w:val="21"/>
        </w:numPr>
        <w:tabs>
          <w:tab w:pos="1920" w:val="left" w:leader="none"/>
        </w:tabs>
        <w:spacing w:line="251" w:lineRule="exact" w:before="1" w:after="0"/>
        <w:ind w:left="1919" w:right="0" w:hanging="360"/>
        <w:jc w:val="left"/>
        <w:rPr>
          <w:rFonts w:ascii="Times New Roman" w:hAnsi="Times New Roman"/>
          <w:sz w:val="22"/>
        </w:rPr>
      </w:pPr>
      <w:r>
        <w:rPr>
          <w:rFonts w:ascii="Times New Roman" w:hAnsi="Times New Roman"/>
          <w:sz w:val="22"/>
        </w:rPr>
        <w:t>Proceso de</w:t>
      </w:r>
      <w:r>
        <w:rPr>
          <w:rFonts w:ascii="Times New Roman" w:hAnsi="Times New Roman"/>
          <w:spacing w:val="-3"/>
          <w:sz w:val="22"/>
        </w:rPr>
        <w:t> </w:t>
      </w:r>
      <w:r>
        <w:rPr>
          <w:rFonts w:ascii="Times New Roman" w:hAnsi="Times New Roman"/>
          <w:sz w:val="22"/>
        </w:rPr>
        <w:t>elaboración</w:t>
      </w:r>
    </w:p>
    <w:p>
      <w:pPr>
        <w:pStyle w:val="ListParagraph"/>
        <w:numPr>
          <w:ilvl w:val="1"/>
          <w:numId w:val="21"/>
        </w:numPr>
        <w:tabs>
          <w:tab w:pos="1920" w:val="left" w:leader="none"/>
        </w:tabs>
        <w:spacing w:line="251" w:lineRule="exact" w:before="0" w:after="0"/>
        <w:ind w:left="1919" w:right="0" w:hanging="360"/>
        <w:jc w:val="left"/>
        <w:rPr>
          <w:rFonts w:ascii="Times New Roman"/>
          <w:sz w:val="22"/>
        </w:rPr>
      </w:pPr>
      <w:r>
        <w:rPr>
          <w:rFonts w:ascii="Times New Roman"/>
          <w:sz w:val="22"/>
        </w:rPr>
        <w:t>Tipo de</w:t>
      </w:r>
      <w:r>
        <w:rPr>
          <w:rFonts w:ascii="Times New Roman"/>
          <w:spacing w:val="-5"/>
          <w:sz w:val="22"/>
        </w:rPr>
        <w:t> </w:t>
      </w:r>
      <w:r>
        <w:rPr>
          <w:rFonts w:ascii="Times New Roman"/>
          <w:sz w:val="22"/>
        </w:rPr>
        <w:t>suero</w:t>
      </w:r>
    </w:p>
    <w:p>
      <w:pPr>
        <w:pStyle w:val="ListParagraph"/>
        <w:numPr>
          <w:ilvl w:val="1"/>
          <w:numId w:val="21"/>
        </w:numPr>
        <w:tabs>
          <w:tab w:pos="1920" w:val="left" w:leader="none"/>
        </w:tabs>
        <w:spacing w:line="240" w:lineRule="auto" w:before="1" w:after="0"/>
        <w:ind w:left="1919" w:right="0" w:hanging="360"/>
        <w:jc w:val="left"/>
        <w:rPr>
          <w:rFonts w:ascii="Times New Roman" w:hAnsi="Times New Roman"/>
          <w:sz w:val="22"/>
        </w:rPr>
      </w:pPr>
      <w:r>
        <w:rPr>
          <w:rFonts w:ascii="Times New Roman" w:hAnsi="Times New Roman"/>
          <w:sz w:val="22"/>
        </w:rPr>
        <w:t>Lugar de</w:t>
      </w:r>
      <w:r>
        <w:rPr>
          <w:rFonts w:ascii="Times New Roman" w:hAnsi="Times New Roman"/>
          <w:spacing w:val="-5"/>
          <w:sz w:val="22"/>
        </w:rPr>
        <w:t> </w:t>
      </w:r>
      <w:r>
        <w:rPr>
          <w:rFonts w:ascii="Times New Roman" w:hAnsi="Times New Roman"/>
          <w:sz w:val="22"/>
        </w:rPr>
        <w:t>elaboración</w:t>
      </w:r>
    </w:p>
    <w:p>
      <w:pPr>
        <w:pStyle w:val="ListParagraph"/>
        <w:numPr>
          <w:ilvl w:val="1"/>
          <w:numId w:val="21"/>
        </w:numPr>
        <w:tabs>
          <w:tab w:pos="1920" w:val="left" w:leader="none"/>
        </w:tabs>
        <w:spacing w:line="240" w:lineRule="auto" w:before="1" w:after="0"/>
        <w:ind w:left="1919" w:right="0" w:hanging="360"/>
        <w:jc w:val="left"/>
        <w:rPr>
          <w:rFonts w:ascii="Times New Roman"/>
          <w:sz w:val="22"/>
        </w:rPr>
      </w:pPr>
      <w:r>
        <w:rPr>
          <w:rFonts w:ascii="Times New Roman"/>
          <w:sz w:val="22"/>
        </w:rPr>
        <w:t>Los</w:t>
      </w:r>
      <w:r>
        <w:rPr>
          <w:rFonts w:ascii="Times New Roman"/>
          <w:spacing w:val="-3"/>
          <w:sz w:val="22"/>
        </w:rPr>
        <w:t> </w:t>
      </w:r>
      <w:r>
        <w:rPr>
          <w:rFonts w:ascii="Times New Roman"/>
          <w:sz w:val="22"/>
        </w:rPr>
        <w:t>productores</w:t>
      </w:r>
    </w:p>
    <w:p>
      <w:pPr>
        <w:pStyle w:val="BodyText"/>
        <w:spacing w:before="9"/>
        <w:rPr>
          <w:rFonts w:ascii="Times New Roman"/>
          <w:sz w:val="21"/>
        </w:rPr>
      </w:pPr>
    </w:p>
    <w:p>
      <w:pPr>
        <w:pStyle w:val="ListParagraph"/>
        <w:numPr>
          <w:ilvl w:val="0"/>
          <w:numId w:val="21"/>
        </w:numPr>
        <w:tabs>
          <w:tab w:pos="1200" w:val="left" w:leader="none"/>
        </w:tabs>
        <w:spacing w:line="240" w:lineRule="auto" w:before="0" w:after="0"/>
        <w:ind w:left="1199" w:right="0" w:hanging="360"/>
        <w:jc w:val="left"/>
        <w:rPr>
          <w:rFonts w:ascii="Times New Roman"/>
          <w:sz w:val="22"/>
        </w:rPr>
      </w:pPr>
      <w:r>
        <w:rPr>
          <w:rFonts w:ascii="Times New Roman"/>
          <w:sz w:val="22"/>
        </w:rPr>
        <w:t>De acuerdo al texto, el</w:t>
      </w:r>
      <w:r>
        <w:rPr>
          <w:rFonts w:ascii="Times New Roman"/>
          <w:spacing w:val="-9"/>
          <w:sz w:val="22"/>
        </w:rPr>
        <w:t> </w:t>
      </w:r>
      <w:r>
        <w:rPr>
          <w:rFonts w:ascii="Times New Roman"/>
          <w:sz w:val="22"/>
        </w:rPr>
        <w:t>queso</w:t>
      </w:r>
    </w:p>
    <w:p>
      <w:pPr>
        <w:pStyle w:val="BodyText"/>
        <w:spacing w:before="8"/>
        <w:rPr>
          <w:rFonts w:ascii="Times New Roman"/>
          <w:sz w:val="22"/>
        </w:rPr>
      </w:pPr>
    </w:p>
    <w:p>
      <w:pPr>
        <w:pStyle w:val="ListParagraph"/>
        <w:numPr>
          <w:ilvl w:val="1"/>
          <w:numId w:val="21"/>
        </w:numPr>
        <w:tabs>
          <w:tab w:pos="1920" w:val="left" w:leader="none"/>
        </w:tabs>
        <w:spacing w:line="250" w:lineRule="exact" w:before="0" w:after="0"/>
        <w:ind w:left="1919" w:right="292" w:hanging="360"/>
        <w:jc w:val="left"/>
        <w:rPr>
          <w:rFonts w:ascii="Times New Roman" w:hAnsi="Times New Roman"/>
          <w:sz w:val="22"/>
        </w:rPr>
      </w:pPr>
      <w:r>
        <w:rPr>
          <w:rFonts w:ascii="Times New Roman" w:hAnsi="Times New Roman"/>
          <w:sz w:val="22"/>
        </w:rPr>
        <w:t>Tiene más variedades que el</w:t>
      </w:r>
      <w:r>
        <w:rPr>
          <w:rFonts w:ascii="Times New Roman" w:hAnsi="Times New Roman"/>
          <w:spacing w:val="-7"/>
          <w:sz w:val="22"/>
        </w:rPr>
        <w:t> </w:t>
      </w:r>
      <w:r>
        <w:rPr>
          <w:rFonts w:ascii="Times New Roman" w:hAnsi="Times New Roman"/>
          <w:sz w:val="22"/>
        </w:rPr>
        <w:t>vino</w:t>
      </w:r>
    </w:p>
    <w:p>
      <w:pPr>
        <w:pStyle w:val="ListParagraph"/>
        <w:numPr>
          <w:ilvl w:val="1"/>
          <w:numId w:val="21"/>
        </w:numPr>
        <w:tabs>
          <w:tab w:pos="1920" w:val="left" w:leader="none"/>
        </w:tabs>
        <w:spacing w:line="240" w:lineRule="auto" w:before="0" w:after="0"/>
        <w:ind w:left="1919" w:right="561" w:hanging="360"/>
        <w:jc w:val="left"/>
        <w:rPr>
          <w:rFonts w:ascii="Times New Roman" w:hAnsi="Times New Roman"/>
          <w:sz w:val="22"/>
        </w:rPr>
      </w:pPr>
      <w:r>
        <w:rPr>
          <w:rFonts w:ascii="Times New Roman" w:hAnsi="Times New Roman"/>
          <w:sz w:val="22"/>
        </w:rPr>
        <w:t>Se produce en Francia, Italia y</w:t>
      </w:r>
      <w:r>
        <w:rPr>
          <w:rFonts w:ascii="Times New Roman" w:hAnsi="Times New Roman"/>
          <w:spacing w:val="-4"/>
          <w:sz w:val="22"/>
        </w:rPr>
        <w:t> </w:t>
      </w:r>
      <w:r>
        <w:rPr>
          <w:rFonts w:ascii="Times New Roman" w:hAnsi="Times New Roman"/>
          <w:sz w:val="22"/>
        </w:rPr>
        <w:t>España</w:t>
      </w:r>
    </w:p>
    <w:p>
      <w:pPr>
        <w:pStyle w:val="ListParagraph"/>
        <w:numPr>
          <w:ilvl w:val="1"/>
          <w:numId w:val="21"/>
        </w:numPr>
        <w:tabs>
          <w:tab w:pos="1920" w:val="left" w:leader="none"/>
        </w:tabs>
        <w:spacing w:line="242" w:lineRule="auto" w:before="0" w:after="0"/>
        <w:ind w:left="1919" w:right="425" w:hanging="360"/>
        <w:jc w:val="left"/>
        <w:rPr>
          <w:rFonts w:ascii="Times New Roman" w:hAnsi="Times New Roman"/>
          <w:sz w:val="22"/>
        </w:rPr>
      </w:pPr>
      <w:r>
        <w:rPr>
          <w:rFonts w:ascii="Times New Roman" w:hAnsi="Times New Roman"/>
          <w:sz w:val="22"/>
        </w:rPr>
        <w:t>Es resultado de retirar el líquido de la</w:t>
      </w:r>
      <w:r>
        <w:rPr>
          <w:rFonts w:ascii="Times New Roman" w:hAnsi="Times New Roman"/>
          <w:spacing w:val="-7"/>
          <w:sz w:val="22"/>
        </w:rPr>
        <w:t> </w:t>
      </w:r>
      <w:r>
        <w:rPr>
          <w:rFonts w:ascii="Times New Roman" w:hAnsi="Times New Roman"/>
          <w:sz w:val="22"/>
        </w:rPr>
        <w:t>“cuajada”</w:t>
      </w:r>
    </w:p>
    <w:p>
      <w:pPr>
        <w:pStyle w:val="ListParagraph"/>
        <w:numPr>
          <w:ilvl w:val="1"/>
          <w:numId w:val="21"/>
        </w:numPr>
        <w:tabs>
          <w:tab w:pos="1920" w:val="left" w:leader="none"/>
        </w:tabs>
        <w:spacing w:line="240" w:lineRule="auto" w:before="0" w:after="0"/>
        <w:ind w:left="1919" w:right="156" w:hanging="360"/>
        <w:jc w:val="left"/>
        <w:rPr>
          <w:rFonts w:ascii="Times New Roman" w:hAnsi="Times New Roman"/>
          <w:sz w:val="22"/>
        </w:rPr>
      </w:pPr>
      <w:r>
        <w:rPr>
          <w:rFonts w:ascii="Times New Roman" w:hAnsi="Times New Roman"/>
          <w:sz w:val="22"/>
        </w:rPr>
        <w:t>Ha cambiado en su proceso de elaboración a través de los</w:t>
      </w:r>
      <w:r>
        <w:rPr>
          <w:rFonts w:ascii="Times New Roman" w:hAnsi="Times New Roman"/>
          <w:spacing w:val="-7"/>
          <w:sz w:val="22"/>
        </w:rPr>
        <w:t> </w:t>
      </w:r>
      <w:r>
        <w:rPr>
          <w:rFonts w:ascii="Times New Roman" w:hAnsi="Times New Roman"/>
          <w:sz w:val="22"/>
        </w:rPr>
        <w:t>siglos</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1200" w:val="left" w:leader="none"/>
        </w:tabs>
        <w:spacing w:line="240" w:lineRule="auto" w:before="1" w:after="0"/>
        <w:ind w:left="1199" w:right="235" w:hanging="360"/>
        <w:jc w:val="left"/>
        <w:rPr>
          <w:rFonts w:ascii="Times New Roman" w:hAnsi="Times New Roman"/>
          <w:sz w:val="22"/>
        </w:rPr>
      </w:pPr>
      <w:r>
        <w:rPr>
          <w:rFonts w:ascii="Times New Roman" w:hAnsi="Times New Roman"/>
          <w:sz w:val="22"/>
        </w:rPr>
        <w:t>En la línea 7, la palabra “ostentan” podría reemplazarse</w:t>
      </w:r>
      <w:r>
        <w:rPr>
          <w:rFonts w:ascii="Times New Roman" w:hAnsi="Times New Roman"/>
          <w:spacing w:val="-8"/>
          <w:sz w:val="22"/>
        </w:rPr>
        <w:t> </w:t>
      </w:r>
      <w:r>
        <w:rPr>
          <w:rFonts w:ascii="Times New Roman" w:hAnsi="Times New Roman"/>
          <w:sz w:val="22"/>
        </w:rPr>
        <w:t>con</w:t>
      </w:r>
    </w:p>
    <w:p>
      <w:pPr>
        <w:pStyle w:val="BodyText"/>
        <w:spacing w:before="9"/>
        <w:rPr>
          <w:rFonts w:ascii="Times New Roman"/>
          <w:sz w:val="21"/>
        </w:rPr>
      </w:pPr>
    </w:p>
    <w:p>
      <w:pPr>
        <w:pStyle w:val="ListParagraph"/>
        <w:numPr>
          <w:ilvl w:val="1"/>
          <w:numId w:val="21"/>
        </w:numPr>
        <w:tabs>
          <w:tab w:pos="1920" w:val="left" w:leader="none"/>
        </w:tabs>
        <w:spacing w:line="240" w:lineRule="auto" w:before="0" w:after="0"/>
        <w:ind w:left="1919" w:right="0" w:hanging="360"/>
        <w:jc w:val="left"/>
        <w:rPr>
          <w:rFonts w:ascii="Times New Roman"/>
          <w:sz w:val="22"/>
        </w:rPr>
      </w:pPr>
      <w:r>
        <w:rPr>
          <w:rFonts w:ascii="Times New Roman"/>
          <w:sz w:val="22"/>
        </w:rPr>
        <w:t>Alardean</w:t>
      </w:r>
    </w:p>
    <w:p>
      <w:pPr>
        <w:pStyle w:val="ListParagraph"/>
        <w:numPr>
          <w:ilvl w:val="1"/>
          <w:numId w:val="21"/>
        </w:numPr>
        <w:tabs>
          <w:tab w:pos="1920" w:val="left" w:leader="none"/>
        </w:tabs>
        <w:spacing w:line="240" w:lineRule="auto" w:before="1" w:after="0"/>
        <w:ind w:left="1919" w:right="0" w:hanging="360"/>
        <w:jc w:val="left"/>
        <w:rPr>
          <w:rFonts w:ascii="Times New Roman"/>
          <w:sz w:val="22"/>
        </w:rPr>
      </w:pPr>
      <w:r>
        <w:rPr>
          <w:rFonts w:ascii="Times New Roman"/>
          <w:sz w:val="22"/>
        </w:rPr>
        <w:t>Patentizan</w:t>
      </w:r>
    </w:p>
    <w:p>
      <w:pPr>
        <w:pStyle w:val="ListParagraph"/>
        <w:numPr>
          <w:ilvl w:val="1"/>
          <w:numId w:val="21"/>
        </w:numPr>
        <w:tabs>
          <w:tab w:pos="1920" w:val="left" w:leader="none"/>
        </w:tabs>
        <w:spacing w:line="240" w:lineRule="auto" w:before="1" w:after="0"/>
        <w:ind w:left="1919" w:right="0" w:hanging="360"/>
        <w:jc w:val="left"/>
        <w:rPr>
          <w:rFonts w:ascii="Times New Roman"/>
          <w:sz w:val="22"/>
        </w:rPr>
      </w:pPr>
      <w:r>
        <w:rPr>
          <w:rFonts w:ascii="Times New Roman"/>
          <w:sz w:val="22"/>
        </w:rPr>
        <w:t>Muestran</w:t>
      </w:r>
    </w:p>
    <w:p>
      <w:pPr>
        <w:pStyle w:val="ListParagraph"/>
        <w:numPr>
          <w:ilvl w:val="1"/>
          <w:numId w:val="21"/>
        </w:numPr>
        <w:tabs>
          <w:tab w:pos="1920" w:val="left" w:leader="none"/>
        </w:tabs>
        <w:spacing w:line="240" w:lineRule="auto" w:before="1" w:after="0"/>
        <w:ind w:left="1919" w:right="0" w:hanging="360"/>
        <w:jc w:val="left"/>
        <w:rPr>
          <w:rFonts w:ascii="Times New Roman"/>
          <w:sz w:val="22"/>
        </w:rPr>
      </w:pPr>
      <w:r>
        <w:rPr>
          <w:rFonts w:ascii="Times New Roman"/>
          <w:sz w:val="22"/>
        </w:rPr>
        <w:t>Revelan</w:t>
      </w:r>
    </w:p>
    <w:p>
      <w:pPr>
        <w:spacing w:after="0" w:line="240" w:lineRule="auto"/>
        <w:jc w:val="left"/>
        <w:rPr>
          <w:rFonts w:ascii="Times New Roman"/>
          <w:sz w:val="22"/>
        </w:rPr>
        <w:sectPr>
          <w:type w:val="continuous"/>
          <w:pgSz w:w="11910" w:h="16840"/>
          <w:pgMar w:top="1580" w:bottom="280" w:left="1220" w:right="1580"/>
          <w:cols w:num="2" w:equalWidth="0">
            <w:col w:w="4334" w:space="274"/>
            <w:col w:w="4502"/>
          </w:cols>
        </w:sectPr>
      </w:pPr>
    </w:p>
    <w:p>
      <w:pPr>
        <w:pStyle w:val="BodyText"/>
        <w:spacing w:before="5"/>
        <w:rPr>
          <w:rFonts w:ascii="Times New Roman"/>
          <w:sz w:val="17"/>
        </w:rPr>
      </w:pPr>
    </w:p>
    <w:p>
      <w:pPr>
        <w:spacing w:after="0"/>
        <w:rPr>
          <w:rFonts w:ascii="Times New Roman"/>
          <w:sz w:val="17"/>
        </w:rPr>
        <w:sectPr>
          <w:pgSz w:w="11910" w:h="16840"/>
          <w:pgMar w:header="727" w:footer="0" w:top="1160" w:bottom="280" w:left="1580" w:right="1600"/>
        </w:sectPr>
      </w:pPr>
    </w:p>
    <w:p>
      <w:pPr>
        <w:pStyle w:val="ListParagraph"/>
        <w:numPr>
          <w:ilvl w:val="0"/>
          <w:numId w:val="21"/>
        </w:numPr>
        <w:tabs>
          <w:tab w:pos="840" w:val="left" w:leader="none"/>
        </w:tabs>
        <w:spacing w:line="240" w:lineRule="auto" w:before="73" w:after="0"/>
        <w:ind w:left="839" w:right="53" w:hanging="360"/>
        <w:jc w:val="left"/>
        <w:rPr>
          <w:rFonts w:ascii="Times New Roman" w:hAnsi="Times New Roman"/>
          <w:sz w:val="22"/>
        </w:rPr>
      </w:pPr>
      <w:r>
        <w:rPr>
          <w:rFonts w:ascii="Times New Roman" w:hAnsi="Times New Roman"/>
          <w:sz w:val="22"/>
        </w:rPr>
        <w:t>En la línea 11, la palabra “Éste” se refiere</w:t>
      </w:r>
      <w:r>
        <w:rPr>
          <w:rFonts w:ascii="Times New Roman" w:hAnsi="Times New Roman"/>
          <w:spacing w:val="-7"/>
          <w:sz w:val="22"/>
        </w:rPr>
        <w:t> </w:t>
      </w:r>
      <w:r>
        <w:rPr>
          <w:rFonts w:ascii="Times New Roman" w:hAnsi="Times New Roman"/>
          <w:sz w:val="22"/>
        </w:rPr>
        <w:t>a</w:t>
      </w:r>
    </w:p>
    <w:p>
      <w:pPr>
        <w:pStyle w:val="BodyText"/>
        <w:spacing w:before="9"/>
        <w:rPr>
          <w:rFonts w:ascii="Times New Roman"/>
          <w:sz w:val="21"/>
        </w:rPr>
      </w:pPr>
    </w:p>
    <w:p>
      <w:pPr>
        <w:pStyle w:val="ListParagraph"/>
        <w:numPr>
          <w:ilvl w:val="1"/>
          <w:numId w:val="21"/>
        </w:numPr>
        <w:tabs>
          <w:tab w:pos="1560" w:val="left" w:leader="none"/>
        </w:tabs>
        <w:spacing w:line="240" w:lineRule="auto" w:before="0" w:after="0"/>
        <w:ind w:left="1559" w:right="0" w:hanging="360"/>
        <w:jc w:val="left"/>
        <w:rPr>
          <w:rFonts w:ascii="Times New Roman"/>
          <w:sz w:val="22"/>
        </w:rPr>
      </w:pPr>
      <w:r>
        <w:rPr>
          <w:rFonts w:ascii="Times New Roman"/>
          <w:sz w:val="22"/>
        </w:rPr>
        <w:t>El</w:t>
      </w:r>
      <w:r>
        <w:rPr>
          <w:rFonts w:ascii="Times New Roman"/>
          <w:spacing w:val="-3"/>
          <w:sz w:val="22"/>
        </w:rPr>
        <w:t> </w:t>
      </w:r>
      <w:r>
        <w:rPr>
          <w:rFonts w:ascii="Times New Roman"/>
          <w:sz w:val="22"/>
        </w:rPr>
        <w:t>queso</w:t>
      </w:r>
    </w:p>
    <w:p>
      <w:pPr>
        <w:pStyle w:val="ListParagraph"/>
        <w:numPr>
          <w:ilvl w:val="1"/>
          <w:numId w:val="21"/>
        </w:numPr>
        <w:tabs>
          <w:tab w:pos="1560" w:val="left" w:leader="none"/>
        </w:tabs>
        <w:spacing w:line="251" w:lineRule="exact" w:before="1" w:after="0"/>
        <w:ind w:left="1559" w:right="0" w:hanging="360"/>
        <w:jc w:val="left"/>
        <w:rPr>
          <w:rFonts w:ascii="Times New Roman"/>
          <w:sz w:val="22"/>
        </w:rPr>
      </w:pPr>
      <w:r>
        <w:rPr>
          <w:rFonts w:ascii="Times New Roman"/>
          <w:sz w:val="22"/>
        </w:rPr>
        <w:t>El</w:t>
      </w:r>
      <w:r>
        <w:rPr>
          <w:rFonts w:ascii="Times New Roman"/>
          <w:spacing w:val="-4"/>
          <w:sz w:val="22"/>
        </w:rPr>
        <w:t> </w:t>
      </w:r>
      <w:r>
        <w:rPr>
          <w:rFonts w:ascii="Times New Roman"/>
          <w:sz w:val="22"/>
        </w:rPr>
        <w:t>suero</w:t>
      </w:r>
    </w:p>
    <w:p>
      <w:pPr>
        <w:pStyle w:val="ListParagraph"/>
        <w:numPr>
          <w:ilvl w:val="1"/>
          <w:numId w:val="21"/>
        </w:numPr>
        <w:tabs>
          <w:tab w:pos="1560" w:val="left" w:leader="none"/>
        </w:tabs>
        <w:spacing w:line="240" w:lineRule="auto" w:before="0" w:after="0"/>
        <w:ind w:left="1559" w:right="0" w:hanging="360"/>
        <w:jc w:val="left"/>
        <w:rPr>
          <w:rFonts w:ascii="Times New Roman" w:hAnsi="Times New Roman"/>
          <w:sz w:val="22"/>
        </w:rPr>
      </w:pPr>
      <w:r>
        <w:rPr>
          <w:rFonts w:ascii="Times New Roman" w:hAnsi="Times New Roman"/>
          <w:sz w:val="22"/>
        </w:rPr>
        <w:t>El principio de elaboración del</w:t>
      </w:r>
      <w:r>
        <w:rPr>
          <w:rFonts w:ascii="Times New Roman" w:hAnsi="Times New Roman"/>
          <w:spacing w:val="-4"/>
          <w:sz w:val="22"/>
        </w:rPr>
        <w:t> </w:t>
      </w:r>
      <w:r>
        <w:rPr>
          <w:rFonts w:ascii="Times New Roman" w:hAnsi="Times New Roman"/>
          <w:sz w:val="22"/>
        </w:rPr>
        <w:t>queso</w:t>
      </w:r>
    </w:p>
    <w:p>
      <w:pPr>
        <w:pStyle w:val="ListParagraph"/>
        <w:numPr>
          <w:ilvl w:val="1"/>
          <w:numId w:val="21"/>
        </w:numPr>
        <w:tabs>
          <w:tab w:pos="1560" w:val="left" w:leader="none"/>
        </w:tabs>
        <w:spacing w:line="240" w:lineRule="auto" w:before="1" w:after="0"/>
        <w:ind w:left="1559" w:right="0" w:hanging="360"/>
        <w:jc w:val="left"/>
        <w:rPr>
          <w:rFonts w:ascii="Times New Roman"/>
          <w:sz w:val="22"/>
        </w:rPr>
      </w:pPr>
      <w:r>
        <w:rPr>
          <w:rFonts w:ascii="Times New Roman"/>
          <w:sz w:val="22"/>
        </w:rPr>
        <w:t>El</w:t>
      </w:r>
      <w:r>
        <w:rPr>
          <w:rFonts w:ascii="Times New Roman"/>
          <w:spacing w:val="-1"/>
          <w:sz w:val="22"/>
        </w:rPr>
        <w:t> </w:t>
      </w:r>
      <w:r>
        <w:rPr>
          <w:rFonts w:ascii="Times New Roman"/>
          <w:sz w:val="22"/>
        </w:rPr>
        <w:t>drenado</w:t>
      </w:r>
    </w:p>
    <w:p>
      <w:pPr>
        <w:pStyle w:val="BodyText"/>
        <w:rPr>
          <w:rFonts w:ascii="Times New Roman"/>
          <w:sz w:val="22"/>
        </w:rPr>
      </w:pPr>
    </w:p>
    <w:p>
      <w:pPr>
        <w:pStyle w:val="BodyText"/>
        <w:spacing w:before="10"/>
        <w:rPr>
          <w:rFonts w:ascii="Times New Roman"/>
          <w:sz w:val="21"/>
        </w:rPr>
      </w:pPr>
    </w:p>
    <w:p>
      <w:pPr>
        <w:pStyle w:val="ListParagraph"/>
        <w:numPr>
          <w:ilvl w:val="0"/>
          <w:numId w:val="21"/>
        </w:numPr>
        <w:tabs>
          <w:tab w:pos="840" w:val="left" w:leader="none"/>
        </w:tabs>
        <w:spacing w:line="240" w:lineRule="auto" w:before="1" w:after="0"/>
        <w:ind w:left="839" w:right="29" w:hanging="360"/>
        <w:jc w:val="left"/>
        <w:rPr>
          <w:rFonts w:ascii="Times New Roman" w:hAnsi="Times New Roman"/>
          <w:sz w:val="22"/>
        </w:rPr>
      </w:pPr>
      <w:r>
        <w:rPr>
          <w:rFonts w:ascii="Times New Roman" w:hAnsi="Times New Roman"/>
          <w:sz w:val="22"/>
        </w:rPr>
        <w:t>En la línea 11, la palabra “expeler” significa</w:t>
      </w:r>
    </w:p>
    <w:p>
      <w:pPr>
        <w:pStyle w:val="BodyText"/>
        <w:spacing w:before="9"/>
        <w:rPr>
          <w:rFonts w:ascii="Times New Roman"/>
          <w:sz w:val="21"/>
        </w:rPr>
      </w:pPr>
    </w:p>
    <w:p>
      <w:pPr>
        <w:pStyle w:val="ListParagraph"/>
        <w:numPr>
          <w:ilvl w:val="1"/>
          <w:numId w:val="21"/>
        </w:numPr>
        <w:tabs>
          <w:tab w:pos="1560" w:val="left" w:leader="none"/>
        </w:tabs>
        <w:spacing w:line="240" w:lineRule="auto" w:before="0" w:after="0"/>
        <w:ind w:left="1559" w:right="0" w:hanging="360"/>
        <w:jc w:val="left"/>
        <w:rPr>
          <w:rFonts w:ascii="Times New Roman"/>
          <w:sz w:val="22"/>
        </w:rPr>
      </w:pPr>
      <w:r>
        <w:rPr>
          <w:rFonts w:ascii="Times New Roman"/>
          <w:sz w:val="22"/>
        </w:rPr>
        <w:t>Desprender</w:t>
      </w:r>
    </w:p>
    <w:p>
      <w:pPr>
        <w:pStyle w:val="ListParagraph"/>
        <w:numPr>
          <w:ilvl w:val="1"/>
          <w:numId w:val="21"/>
        </w:numPr>
        <w:tabs>
          <w:tab w:pos="1560" w:val="left" w:leader="none"/>
        </w:tabs>
        <w:spacing w:line="251" w:lineRule="exact" w:before="1" w:after="0"/>
        <w:ind w:left="1559" w:right="0" w:hanging="360"/>
        <w:jc w:val="left"/>
        <w:rPr>
          <w:rFonts w:ascii="Times New Roman"/>
          <w:sz w:val="22"/>
        </w:rPr>
      </w:pPr>
      <w:r>
        <w:rPr>
          <w:rFonts w:ascii="Times New Roman"/>
          <w:sz w:val="22"/>
        </w:rPr>
        <w:t>Emitir</w:t>
      </w:r>
    </w:p>
    <w:p>
      <w:pPr>
        <w:pStyle w:val="ListParagraph"/>
        <w:numPr>
          <w:ilvl w:val="1"/>
          <w:numId w:val="21"/>
        </w:numPr>
        <w:tabs>
          <w:tab w:pos="1560" w:val="left" w:leader="none"/>
        </w:tabs>
        <w:spacing w:line="251" w:lineRule="exact" w:before="0" w:after="0"/>
        <w:ind w:left="1559" w:right="0" w:hanging="360"/>
        <w:jc w:val="left"/>
        <w:rPr>
          <w:rFonts w:ascii="Times New Roman"/>
          <w:sz w:val="22"/>
        </w:rPr>
      </w:pPr>
      <w:r>
        <w:rPr>
          <w:rFonts w:ascii="Times New Roman"/>
          <w:sz w:val="22"/>
        </w:rPr>
        <w:t>Concentrar</w:t>
      </w:r>
    </w:p>
    <w:p>
      <w:pPr>
        <w:pStyle w:val="ListParagraph"/>
        <w:numPr>
          <w:ilvl w:val="1"/>
          <w:numId w:val="21"/>
        </w:numPr>
        <w:tabs>
          <w:tab w:pos="1560" w:val="left" w:leader="none"/>
        </w:tabs>
        <w:spacing w:line="240" w:lineRule="auto" w:before="1" w:after="0"/>
        <w:ind w:left="1559" w:right="0" w:hanging="360"/>
        <w:jc w:val="left"/>
        <w:rPr>
          <w:rFonts w:ascii="Times New Roman"/>
          <w:sz w:val="22"/>
        </w:rPr>
      </w:pPr>
      <w:r>
        <w:rPr>
          <w:rFonts w:ascii="Times New Roman"/>
          <w:sz w:val="22"/>
        </w:rPr>
        <w:t>Densificar</w:t>
      </w:r>
    </w:p>
    <w:p>
      <w:pPr>
        <w:pStyle w:val="ListParagraph"/>
        <w:numPr>
          <w:ilvl w:val="0"/>
          <w:numId w:val="21"/>
        </w:numPr>
        <w:tabs>
          <w:tab w:pos="840" w:val="left" w:leader="none"/>
        </w:tabs>
        <w:spacing w:line="240" w:lineRule="auto" w:before="73" w:after="0"/>
        <w:ind w:left="839" w:right="261" w:hanging="360"/>
        <w:jc w:val="left"/>
        <w:rPr>
          <w:rFonts w:ascii="Times New Roman" w:hAnsi="Times New Roman"/>
          <w:sz w:val="22"/>
        </w:rPr>
      </w:pPr>
      <w:r>
        <w:rPr>
          <w:rFonts w:ascii="Times New Roman" w:hAnsi="Times New Roman"/>
          <w:w w:val="100"/>
          <w:sz w:val="22"/>
        </w:rPr>
        <w:br w:type="column"/>
      </w:r>
      <w:r>
        <w:rPr>
          <w:rFonts w:ascii="Times New Roman" w:hAnsi="Times New Roman"/>
          <w:sz w:val="22"/>
        </w:rPr>
        <w:t>De acuerdo al texto, esta etapa del proceso se considera la más importante para darle carácter al queso</w:t>
      </w:r>
    </w:p>
    <w:p>
      <w:pPr>
        <w:pStyle w:val="BodyText"/>
        <w:spacing w:before="9"/>
        <w:rPr>
          <w:rFonts w:ascii="Times New Roman"/>
          <w:sz w:val="21"/>
        </w:rPr>
      </w:pPr>
    </w:p>
    <w:p>
      <w:pPr>
        <w:pStyle w:val="ListParagraph"/>
        <w:numPr>
          <w:ilvl w:val="1"/>
          <w:numId w:val="21"/>
        </w:numPr>
        <w:tabs>
          <w:tab w:pos="1560" w:val="left" w:leader="none"/>
        </w:tabs>
        <w:spacing w:line="240" w:lineRule="auto" w:before="0" w:after="0"/>
        <w:ind w:left="1559" w:right="0" w:hanging="360"/>
        <w:jc w:val="left"/>
        <w:rPr>
          <w:rFonts w:ascii="Times New Roman"/>
          <w:sz w:val="22"/>
        </w:rPr>
      </w:pPr>
      <w:r>
        <w:rPr>
          <w:rFonts w:ascii="Times New Roman"/>
          <w:sz w:val="22"/>
        </w:rPr>
        <w:t>Salado</w:t>
      </w:r>
    </w:p>
    <w:p>
      <w:pPr>
        <w:pStyle w:val="ListParagraph"/>
        <w:numPr>
          <w:ilvl w:val="1"/>
          <w:numId w:val="21"/>
        </w:numPr>
        <w:tabs>
          <w:tab w:pos="1560" w:val="left" w:leader="none"/>
        </w:tabs>
        <w:spacing w:line="240" w:lineRule="auto" w:before="1" w:after="0"/>
        <w:ind w:left="1559" w:right="0" w:hanging="360"/>
        <w:jc w:val="left"/>
        <w:rPr>
          <w:rFonts w:ascii="Times New Roman" w:hAnsi="Times New Roman"/>
          <w:sz w:val="22"/>
        </w:rPr>
      </w:pPr>
      <w:r>
        <w:rPr>
          <w:rFonts w:ascii="Times New Roman" w:hAnsi="Times New Roman"/>
          <w:sz w:val="22"/>
        </w:rPr>
        <w:t>Maduración</w:t>
      </w:r>
    </w:p>
    <w:p>
      <w:pPr>
        <w:pStyle w:val="ListParagraph"/>
        <w:numPr>
          <w:ilvl w:val="1"/>
          <w:numId w:val="21"/>
        </w:numPr>
        <w:tabs>
          <w:tab w:pos="1560" w:val="left" w:leader="none"/>
        </w:tabs>
        <w:spacing w:line="251" w:lineRule="exact" w:before="1" w:after="0"/>
        <w:ind w:left="1559" w:right="0" w:hanging="360"/>
        <w:jc w:val="left"/>
        <w:rPr>
          <w:rFonts w:ascii="Times New Roman" w:hAnsi="Times New Roman"/>
          <w:sz w:val="22"/>
        </w:rPr>
      </w:pPr>
      <w:r>
        <w:rPr>
          <w:rFonts w:ascii="Times New Roman" w:hAnsi="Times New Roman"/>
          <w:sz w:val="22"/>
        </w:rPr>
        <w:t>Fermentación</w:t>
      </w:r>
    </w:p>
    <w:p>
      <w:pPr>
        <w:pStyle w:val="ListParagraph"/>
        <w:numPr>
          <w:ilvl w:val="1"/>
          <w:numId w:val="21"/>
        </w:numPr>
        <w:tabs>
          <w:tab w:pos="1560" w:val="left" w:leader="none"/>
        </w:tabs>
        <w:spacing w:line="251" w:lineRule="exact" w:before="0" w:after="0"/>
        <w:ind w:left="1559" w:right="0" w:hanging="360"/>
        <w:jc w:val="left"/>
        <w:rPr>
          <w:rFonts w:ascii="Times New Roman"/>
          <w:sz w:val="22"/>
        </w:rPr>
      </w:pPr>
      <w:r>
        <w:rPr>
          <w:rFonts w:ascii="Times New Roman"/>
          <w:sz w:val="22"/>
        </w:rPr>
        <w:t>Formado</w:t>
      </w:r>
    </w:p>
    <w:p>
      <w:pPr>
        <w:pStyle w:val="BodyText"/>
        <w:spacing w:before="2"/>
        <w:rPr>
          <w:rFonts w:ascii="Times New Roman"/>
          <w:sz w:val="22"/>
        </w:rPr>
      </w:pPr>
    </w:p>
    <w:p>
      <w:pPr>
        <w:pStyle w:val="ListParagraph"/>
        <w:numPr>
          <w:ilvl w:val="0"/>
          <w:numId w:val="21"/>
        </w:numPr>
        <w:tabs>
          <w:tab w:pos="840" w:val="left" w:leader="none"/>
        </w:tabs>
        <w:spacing w:line="240" w:lineRule="auto" w:before="1" w:after="0"/>
        <w:ind w:left="839" w:right="325" w:hanging="360"/>
        <w:jc w:val="left"/>
        <w:rPr>
          <w:rFonts w:ascii="Times New Roman" w:hAnsi="Times New Roman"/>
          <w:sz w:val="22"/>
        </w:rPr>
      </w:pPr>
      <w:r>
        <w:rPr>
          <w:rFonts w:ascii="Times New Roman" w:hAnsi="Times New Roman"/>
          <w:sz w:val="22"/>
        </w:rPr>
        <w:t>¿Cuál de las siguientes aseveraciones NO es mencionada en el</w:t>
      </w:r>
      <w:r>
        <w:rPr>
          <w:rFonts w:ascii="Times New Roman" w:hAnsi="Times New Roman"/>
          <w:spacing w:val="-2"/>
          <w:sz w:val="22"/>
        </w:rPr>
        <w:t> </w:t>
      </w:r>
      <w:r>
        <w:rPr>
          <w:rFonts w:ascii="Times New Roman" w:hAnsi="Times New Roman"/>
          <w:sz w:val="22"/>
        </w:rPr>
        <w:t>texto?</w:t>
      </w:r>
    </w:p>
    <w:p>
      <w:pPr>
        <w:pStyle w:val="BodyText"/>
        <w:spacing w:before="8"/>
        <w:rPr>
          <w:rFonts w:ascii="Times New Roman"/>
          <w:sz w:val="22"/>
        </w:rPr>
      </w:pPr>
    </w:p>
    <w:p>
      <w:pPr>
        <w:pStyle w:val="ListParagraph"/>
        <w:numPr>
          <w:ilvl w:val="1"/>
          <w:numId w:val="21"/>
        </w:numPr>
        <w:tabs>
          <w:tab w:pos="1560" w:val="left" w:leader="none"/>
        </w:tabs>
        <w:spacing w:line="250" w:lineRule="exact" w:before="0" w:after="0"/>
        <w:ind w:left="1559" w:right="253" w:hanging="360"/>
        <w:jc w:val="left"/>
        <w:rPr>
          <w:rFonts w:ascii="Times New Roman" w:hAnsi="Times New Roman"/>
          <w:sz w:val="22"/>
        </w:rPr>
      </w:pPr>
      <w:r>
        <w:rPr>
          <w:rFonts w:ascii="Times New Roman" w:hAnsi="Times New Roman"/>
          <w:sz w:val="22"/>
        </w:rPr>
        <w:t>No es mucho el tiempo de maduración del</w:t>
      </w:r>
      <w:r>
        <w:rPr>
          <w:rFonts w:ascii="Times New Roman" w:hAnsi="Times New Roman"/>
          <w:spacing w:val="-7"/>
          <w:sz w:val="22"/>
        </w:rPr>
        <w:t> </w:t>
      </w:r>
      <w:r>
        <w:rPr>
          <w:rFonts w:ascii="Times New Roman" w:hAnsi="Times New Roman"/>
          <w:sz w:val="22"/>
        </w:rPr>
        <w:t>queso</w:t>
      </w:r>
    </w:p>
    <w:p>
      <w:pPr>
        <w:pStyle w:val="ListParagraph"/>
        <w:numPr>
          <w:ilvl w:val="1"/>
          <w:numId w:val="21"/>
        </w:numPr>
        <w:tabs>
          <w:tab w:pos="1560" w:val="left" w:leader="none"/>
        </w:tabs>
        <w:spacing w:line="240" w:lineRule="auto" w:before="0" w:after="0"/>
        <w:ind w:left="1559" w:right="275" w:hanging="360"/>
        <w:jc w:val="left"/>
        <w:rPr>
          <w:rFonts w:ascii="Times New Roman" w:hAnsi="Times New Roman"/>
          <w:sz w:val="22"/>
        </w:rPr>
      </w:pPr>
      <w:r>
        <w:rPr>
          <w:rFonts w:ascii="Times New Roman" w:hAnsi="Times New Roman"/>
          <w:sz w:val="22"/>
        </w:rPr>
        <w:t>Los principios de elaboración del queso son todos</w:t>
      </w:r>
      <w:r>
        <w:rPr>
          <w:rFonts w:ascii="Times New Roman" w:hAnsi="Times New Roman"/>
          <w:spacing w:val="-7"/>
          <w:sz w:val="22"/>
        </w:rPr>
        <w:t> </w:t>
      </w:r>
      <w:r>
        <w:rPr>
          <w:rFonts w:ascii="Times New Roman" w:hAnsi="Times New Roman"/>
          <w:sz w:val="22"/>
        </w:rPr>
        <w:t>iguales</w:t>
      </w:r>
    </w:p>
    <w:p>
      <w:pPr>
        <w:pStyle w:val="ListParagraph"/>
        <w:numPr>
          <w:ilvl w:val="1"/>
          <w:numId w:val="21"/>
        </w:numPr>
        <w:tabs>
          <w:tab w:pos="1560" w:val="left" w:leader="none"/>
        </w:tabs>
        <w:spacing w:line="240" w:lineRule="auto" w:before="1" w:after="0"/>
        <w:ind w:left="1559" w:right="145" w:hanging="360"/>
        <w:jc w:val="left"/>
        <w:rPr>
          <w:rFonts w:ascii="Times New Roman" w:hAnsi="Times New Roman"/>
          <w:sz w:val="22"/>
        </w:rPr>
      </w:pPr>
      <w:r>
        <w:rPr>
          <w:rFonts w:ascii="Times New Roman" w:hAnsi="Times New Roman"/>
          <w:sz w:val="22"/>
        </w:rPr>
        <w:t>La denominación de origen es para quesos muy exclusivos</w:t>
      </w:r>
    </w:p>
    <w:p>
      <w:pPr>
        <w:pStyle w:val="ListParagraph"/>
        <w:numPr>
          <w:ilvl w:val="1"/>
          <w:numId w:val="21"/>
        </w:numPr>
        <w:tabs>
          <w:tab w:pos="1560" w:val="left" w:leader="none"/>
        </w:tabs>
        <w:spacing w:line="242" w:lineRule="auto" w:before="0" w:after="0"/>
        <w:ind w:left="1559" w:right="225" w:hanging="360"/>
        <w:jc w:val="left"/>
        <w:rPr>
          <w:rFonts w:ascii="Times New Roman" w:hAnsi="Times New Roman"/>
          <w:sz w:val="22"/>
        </w:rPr>
      </w:pPr>
      <w:r>
        <w:rPr>
          <w:rFonts w:ascii="Times New Roman" w:hAnsi="Times New Roman"/>
          <w:sz w:val="22"/>
        </w:rPr>
        <w:t>El líquido puede separarse del queso por calentamiento</w:t>
      </w:r>
    </w:p>
    <w:p>
      <w:pPr>
        <w:spacing w:after="0" w:line="242" w:lineRule="auto"/>
        <w:jc w:val="left"/>
        <w:rPr>
          <w:rFonts w:ascii="Times New Roman" w:hAnsi="Times New Roman"/>
          <w:sz w:val="22"/>
        </w:rPr>
        <w:sectPr>
          <w:type w:val="continuous"/>
          <w:pgSz w:w="11910" w:h="16840"/>
          <w:pgMar w:top="1580" w:bottom="280" w:left="1580" w:right="1600"/>
          <w:cols w:num="2" w:equalWidth="0">
            <w:col w:w="3955" w:space="653"/>
            <w:col w:w="4122"/>
          </w:cols>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15"/>
        </w:rPr>
      </w:pPr>
    </w:p>
    <w:p>
      <w:pPr>
        <w:pStyle w:val="Heading2"/>
        <w:spacing w:line="271" w:lineRule="auto" w:before="70"/>
        <w:ind w:left="119"/>
        <w:rPr>
          <w:u w:val="none"/>
        </w:rPr>
      </w:pPr>
      <w:r>
        <w:rPr>
          <w:u w:val="none"/>
        </w:rPr>
        <w:t>CLAVE DE INSTRUMENTO DE EVALUACIÓN DE COMPRENSIÓN DE LECTURA EN ESPAÑOL</w:t>
      </w:r>
    </w:p>
    <w:p>
      <w:pPr>
        <w:pStyle w:val="BodyText"/>
        <w:rPr>
          <w:sz w:val="24"/>
        </w:rPr>
      </w:pPr>
    </w:p>
    <w:p>
      <w:pPr>
        <w:pStyle w:val="BodyText"/>
        <w:spacing w:before="3"/>
        <w:rPr>
          <w:sz w:val="35"/>
        </w:rPr>
      </w:pP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C</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A</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D</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B</w:t>
      </w:r>
    </w:p>
    <w:p>
      <w:pPr>
        <w:pStyle w:val="ListParagraph"/>
        <w:numPr>
          <w:ilvl w:val="0"/>
          <w:numId w:val="22"/>
        </w:numPr>
        <w:tabs>
          <w:tab w:pos="840" w:val="left" w:leader="none"/>
        </w:tabs>
        <w:spacing w:line="228" w:lineRule="exact" w:before="0" w:after="0"/>
        <w:ind w:left="839" w:right="0" w:hanging="360"/>
        <w:jc w:val="left"/>
        <w:rPr>
          <w:sz w:val="20"/>
        </w:rPr>
      </w:pPr>
      <w:r>
        <w:rPr>
          <w:w w:val="100"/>
          <w:sz w:val="20"/>
        </w:rPr>
        <w:t>C</w:t>
      </w:r>
    </w:p>
    <w:p>
      <w:pPr>
        <w:pStyle w:val="ListParagraph"/>
        <w:numPr>
          <w:ilvl w:val="0"/>
          <w:numId w:val="22"/>
        </w:numPr>
        <w:tabs>
          <w:tab w:pos="840" w:val="left" w:leader="none"/>
        </w:tabs>
        <w:spacing w:line="228" w:lineRule="exact" w:before="0" w:after="0"/>
        <w:ind w:left="839" w:right="0" w:hanging="360"/>
        <w:jc w:val="left"/>
        <w:rPr>
          <w:sz w:val="20"/>
        </w:rPr>
      </w:pPr>
      <w:r>
        <w:rPr>
          <w:w w:val="100"/>
          <w:sz w:val="20"/>
        </w:rPr>
        <w:t>B</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D</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C</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D</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A</w:t>
      </w:r>
    </w:p>
    <w:p>
      <w:pPr>
        <w:pStyle w:val="BodyText"/>
        <w:rPr>
          <w:sz w:val="20"/>
        </w:rPr>
      </w:pPr>
    </w:p>
    <w:p>
      <w:pPr>
        <w:pStyle w:val="ListParagraph"/>
        <w:numPr>
          <w:ilvl w:val="0"/>
          <w:numId w:val="22"/>
        </w:numPr>
        <w:tabs>
          <w:tab w:pos="840" w:val="left" w:leader="none"/>
        </w:tabs>
        <w:spacing w:line="240" w:lineRule="auto" w:before="1" w:after="0"/>
        <w:ind w:left="839" w:right="0" w:hanging="360"/>
        <w:jc w:val="left"/>
        <w:rPr>
          <w:sz w:val="20"/>
        </w:rPr>
      </w:pPr>
      <w:r>
        <w:rPr>
          <w:w w:val="100"/>
          <w:sz w:val="20"/>
        </w:rPr>
        <w:t>B</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A</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D</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C</w:t>
      </w:r>
    </w:p>
    <w:p>
      <w:pPr>
        <w:pStyle w:val="ListParagraph"/>
        <w:numPr>
          <w:ilvl w:val="0"/>
          <w:numId w:val="22"/>
        </w:numPr>
        <w:tabs>
          <w:tab w:pos="840" w:val="left" w:leader="none"/>
        </w:tabs>
        <w:spacing w:line="228" w:lineRule="exact" w:before="0" w:after="0"/>
        <w:ind w:left="839" w:right="0" w:hanging="360"/>
        <w:jc w:val="left"/>
        <w:rPr>
          <w:sz w:val="20"/>
        </w:rPr>
      </w:pPr>
      <w:r>
        <w:rPr>
          <w:w w:val="100"/>
          <w:sz w:val="20"/>
        </w:rPr>
        <w:t>D</w:t>
      </w:r>
    </w:p>
    <w:p>
      <w:pPr>
        <w:pStyle w:val="ListParagraph"/>
        <w:numPr>
          <w:ilvl w:val="0"/>
          <w:numId w:val="22"/>
        </w:numPr>
        <w:tabs>
          <w:tab w:pos="840" w:val="left" w:leader="none"/>
        </w:tabs>
        <w:spacing w:line="228" w:lineRule="exact" w:before="0" w:after="0"/>
        <w:ind w:left="839" w:right="0" w:hanging="360"/>
        <w:jc w:val="left"/>
        <w:rPr>
          <w:sz w:val="20"/>
        </w:rPr>
      </w:pPr>
      <w:r>
        <w:rPr>
          <w:w w:val="100"/>
          <w:sz w:val="20"/>
        </w:rPr>
        <w:t>B</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C</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A</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A</w:t>
      </w:r>
    </w:p>
    <w:p>
      <w:pPr>
        <w:pStyle w:val="BodyText"/>
        <w:rPr>
          <w:sz w:val="20"/>
        </w:rPr>
      </w:pPr>
    </w:p>
    <w:p>
      <w:pPr>
        <w:pStyle w:val="ListParagraph"/>
        <w:numPr>
          <w:ilvl w:val="0"/>
          <w:numId w:val="22"/>
        </w:numPr>
        <w:tabs>
          <w:tab w:pos="840" w:val="left" w:leader="none"/>
        </w:tabs>
        <w:spacing w:line="240" w:lineRule="auto" w:before="1" w:after="0"/>
        <w:ind w:left="839" w:right="0" w:hanging="360"/>
        <w:jc w:val="left"/>
        <w:rPr>
          <w:sz w:val="20"/>
        </w:rPr>
      </w:pPr>
      <w:r>
        <w:rPr>
          <w:w w:val="100"/>
          <w:sz w:val="20"/>
        </w:rPr>
        <w:t>B</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C</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D</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A</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D</w:t>
      </w:r>
    </w:p>
    <w:p>
      <w:pPr>
        <w:pStyle w:val="ListParagraph"/>
        <w:numPr>
          <w:ilvl w:val="0"/>
          <w:numId w:val="22"/>
        </w:numPr>
        <w:tabs>
          <w:tab w:pos="840" w:val="left" w:leader="none"/>
        </w:tabs>
        <w:spacing w:line="228" w:lineRule="exact" w:before="0" w:after="0"/>
        <w:ind w:left="839" w:right="0" w:hanging="360"/>
        <w:jc w:val="left"/>
        <w:rPr>
          <w:sz w:val="20"/>
        </w:rPr>
      </w:pPr>
      <w:r>
        <w:rPr>
          <w:w w:val="100"/>
          <w:sz w:val="20"/>
        </w:rPr>
        <w:t>D</w:t>
      </w:r>
    </w:p>
    <w:p>
      <w:pPr>
        <w:pStyle w:val="ListParagraph"/>
        <w:numPr>
          <w:ilvl w:val="0"/>
          <w:numId w:val="22"/>
        </w:numPr>
        <w:tabs>
          <w:tab w:pos="840" w:val="left" w:leader="none"/>
        </w:tabs>
        <w:spacing w:line="228" w:lineRule="exact" w:before="0" w:after="0"/>
        <w:ind w:left="839" w:right="0" w:hanging="360"/>
        <w:jc w:val="left"/>
        <w:rPr>
          <w:sz w:val="20"/>
        </w:rPr>
      </w:pPr>
      <w:r>
        <w:rPr>
          <w:w w:val="100"/>
          <w:sz w:val="20"/>
        </w:rPr>
        <w:t>A</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C</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A</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B</w:t>
      </w:r>
    </w:p>
    <w:p>
      <w:pPr>
        <w:pStyle w:val="BodyText"/>
        <w:rPr>
          <w:sz w:val="20"/>
        </w:rPr>
      </w:pPr>
    </w:p>
    <w:p>
      <w:pPr>
        <w:pStyle w:val="ListParagraph"/>
        <w:numPr>
          <w:ilvl w:val="0"/>
          <w:numId w:val="22"/>
        </w:numPr>
        <w:tabs>
          <w:tab w:pos="840" w:val="left" w:leader="none"/>
        </w:tabs>
        <w:spacing w:line="240" w:lineRule="auto" w:before="1" w:after="0"/>
        <w:ind w:left="839" w:right="0" w:hanging="360"/>
        <w:jc w:val="left"/>
        <w:rPr>
          <w:sz w:val="20"/>
        </w:rPr>
      </w:pPr>
      <w:r>
        <w:rPr>
          <w:w w:val="100"/>
          <w:sz w:val="20"/>
        </w:rPr>
        <w:t>C</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D</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D</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B</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A</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C</w:t>
      </w:r>
    </w:p>
    <w:p>
      <w:pPr>
        <w:pStyle w:val="ListParagraph"/>
        <w:numPr>
          <w:ilvl w:val="0"/>
          <w:numId w:val="22"/>
        </w:numPr>
        <w:tabs>
          <w:tab w:pos="840" w:val="left" w:leader="none"/>
        </w:tabs>
        <w:spacing w:line="228" w:lineRule="exact" w:before="0" w:after="0"/>
        <w:ind w:left="839" w:right="0" w:hanging="360"/>
        <w:jc w:val="left"/>
        <w:rPr>
          <w:sz w:val="20"/>
        </w:rPr>
      </w:pPr>
      <w:r>
        <w:rPr>
          <w:w w:val="100"/>
          <w:sz w:val="20"/>
        </w:rPr>
        <w:t>B</w:t>
      </w:r>
    </w:p>
    <w:p>
      <w:pPr>
        <w:pStyle w:val="ListParagraph"/>
        <w:numPr>
          <w:ilvl w:val="0"/>
          <w:numId w:val="22"/>
        </w:numPr>
        <w:tabs>
          <w:tab w:pos="840" w:val="left" w:leader="none"/>
        </w:tabs>
        <w:spacing w:line="228" w:lineRule="exact" w:before="0" w:after="0"/>
        <w:ind w:left="839" w:right="0" w:hanging="360"/>
        <w:jc w:val="left"/>
        <w:rPr>
          <w:sz w:val="20"/>
        </w:rPr>
      </w:pPr>
      <w:r>
        <w:rPr>
          <w:w w:val="100"/>
          <w:sz w:val="20"/>
        </w:rPr>
        <w:t>A</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B</w:t>
      </w:r>
    </w:p>
    <w:p>
      <w:pPr>
        <w:pStyle w:val="ListParagraph"/>
        <w:numPr>
          <w:ilvl w:val="0"/>
          <w:numId w:val="22"/>
        </w:numPr>
        <w:tabs>
          <w:tab w:pos="840" w:val="left" w:leader="none"/>
        </w:tabs>
        <w:spacing w:line="240" w:lineRule="auto" w:before="0" w:after="0"/>
        <w:ind w:left="839" w:right="0" w:hanging="360"/>
        <w:jc w:val="left"/>
        <w:rPr>
          <w:sz w:val="20"/>
        </w:rPr>
      </w:pPr>
      <w:r>
        <w:rPr>
          <w:w w:val="100"/>
          <w:sz w:val="20"/>
        </w:rPr>
        <w:t>C</w:t>
      </w:r>
    </w:p>
    <w:p>
      <w:pPr>
        <w:spacing w:after="0" w:line="240" w:lineRule="auto"/>
        <w:jc w:val="left"/>
        <w:rPr>
          <w:sz w:val="20"/>
        </w:rPr>
        <w:sectPr>
          <w:headerReference w:type="default" r:id="rId36"/>
          <w:pgSz w:w="11910" w:h="16840"/>
          <w:pgMar w:header="732" w:footer="0" w:top="1160" w:bottom="280" w:left="1580" w:right="1020"/>
          <w:pgNumType w:start="113"/>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Heading1"/>
        <w:spacing w:line="242" w:lineRule="auto"/>
        <w:ind w:left="3152" w:hanging="2804"/>
      </w:pPr>
      <w:bookmarkStart w:name="_bookmark46" w:id="72"/>
      <w:bookmarkEnd w:id="72"/>
      <w:r>
        <w:rPr>
          <w:b w:val="0"/>
        </w:rPr>
      </w:r>
      <w:r>
        <w:rPr/>
        <w:t>ANEXO J. INSTRUMENTO DE COMPETENCIA LINGÜÍSTICA EN LA LENGUA INGLESA: VOCABULARIO</w:t>
      </w:r>
    </w:p>
    <w:p>
      <w:pPr>
        <w:spacing w:after="0" w:line="242" w:lineRule="auto"/>
        <w:sectPr>
          <w:pgSz w:w="11910" w:h="16840"/>
          <w:pgMar w:header="732" w:footer="0" w:top="1160" w:bottom="280" w:left="1580" w:right="1020"/>
        </w:sectPr>
      </w:pPr>
    </w:p>
    <w:p>
      <w:pPr>
        <w:pStyle w:val="BodyText"/>
        <w:spacing w:before="10"/>
        <w:rPr>
          <w:b/>
          <w:sz w:val="14"/>
        </w:rPr>
      </w:pPr>
    </w:p>
    <w:p>
      <w:pPr>
        <w:pStyle w:val="Heading2"/>
        <w:spacing w:line="242" w:lineRule="auto" w:before="69"/>
        <w:ind w:left="1981" w:right="1295"/>
        <w:jc w:val="center"/>
        <w:rPr>
          <w:rFonts w:ascii="Times New Roman" w:hAnsi="Times New Roman"/>
          <w:u w:val="none"/>
        </w:rPr>
      </w:pPr>
      <w:r>
        <w:rPr>
          <w:rFonts w:ascii="Times New Roman" w:hAnsi="Times New Roman"/>
          <w:u w:val="none"/>
        </w:rPr>
        <w:t>UNIVERSIDAD AUTÓNOMA DEL ESTADO DE MÉXICO FACULTAD DE LENGUAS</w:t>
      </w:r>
    </w:p>
    <w:p>
      <w:pPr>
        <w:pStyle w:val="BodyText"/>
        <w:spacing w:before="8"/>
        <w:rPr>
          <w:rFonts w:ascii="Times New Roman"/>
        </w:rPr>
      </w:pPr>
    </w:p>
    <w:p>
      <w:pPr>
        <w:spacing w:line="275" w:lineRule="exact" w:before="1"/>
        <w:ind w:left="1974" w:right="1295" w:firstLine="0"/>
        <w:jc w:val="center"/>
        <w:rPr>
          <w:rFonts w:ascii="Times New Roman"/>
          <w:sz w:val="24"/>
        </w:rPr>
      </w:pPr>
      <w:r>
        <w:rPr>
          <w:rFonts w:ascii="Times New Roman"/>
          <w:sz w:val="24"/>
        </w:rPr>
        <w:t>VOCABULARY LEVELS TEST</w:t>
      </w:r>
    </w:p>
    <w:p>
      <w:pPr>
        <w:spacing w:line="275" w:lineRule="exact" w:before="0"/>
        <w:ind w:left="1976" w:right="1295" w:firstLine="0"/>
        <w:jc w:val="center"/>
        <w:rPr>
          <w:rFonts w:ascii="Times New Roman"/>
          <w:sz w:val="24"/>
        </w:rPr>
      </w:pPr>
      <w:r>
        <w:rPr>
          <w:rFonts w:ascii="Times New Roman"/>
          <w:sz w:val="24"/>
        </w:rPr>
        <w:t>Time: 30 minutes</w:t>
      </w:r>
    </w:p>
    <w:p>
      <w:pPr>
        <w:pStyle w:val="BodyText"/>
        <w:rPr>
          <w:rFonts w:ascii="Times New Roman"/>
          <w:sz w:val="24"/>
        </w:rPr>
      </w:pPr>
    </w:p>
    <w:p>
      <w:pPr>
        <w:pStyle w:val="BodyText"/>
        <w:rPr>
          <w:rFonts w:ascii="Times New Roman"/>
          <w:sz w:val="24"/>
        </w:rPr>
      </w:pPr>
    </w:p>
    <w:p>
      <w:pPr>
        <w:pStyle w:val="BodyText"/>
        <w:spacing w:before="9"/>
        <w:rPr>
          <w:rFonts w:ascii="Times New Roman"/>
          <w:sz w:val="24"/>
        </w:rPr>
      </w:pPr>
    </w:p>
    <w:p>
      <w:pPr>
        <w:spacing w:line="242" w:lineRule="auto" w:before="0"/>
        <w:ind w:left="119" w:right="0" w:firstLine="0"/>
        <w:jc w:val="left"/>
        <w:rPr>
          <w:rFonts w:ascii="Times New Roman" w:hAnsi="Times New Roman"/>
          <w:b/>
          <w:sz w:val="24"/>
        </w:rPr>
      </w:pPr>
      <w:r>
        <w:rPr>
          <w:rFonts w:ascii="Times New Roman" w:hAnsi="Times New Roman"/>
          <w:b/>
          <w:sz w:val="24"/>
        </w:rPr>
        <w:t>INSTRUCCIONES: Elige la palabra que corresponda a cada definición. Escribe la letra sobre la línea adecuada. Ejemplo:</w:t>
      </w:r>
    </w:p>
    <w:p>
      <w:pPr>
        <w:pStyle w:val="BodyText"/>
        <w:rPr>
          <w:rFonts w:ascii="Times New Roman"/>
          <w:b/>
          <w:sz w:val="24"/>
        </w:rPr>
      </w:pPr>
    </w:p>
    <w:p>
      <w:pPr>
        <w:pStyle w:val="BodyText"/>
        <w:rPr>
          <w:rFonts w:ascii="Times New Roman"/>
          <w:b/>
          <w:sz w:val="24"/>
        </w:rPr>
      </w:pPr>
    </w:p>
    <w:p>
      <w:pPr>
        <w:pStyle w:val="BodyText"/>
        <w:spacing w:before="11"/>
        <w:rPr>
          <w:rFonts w:ascii="Times New Roman"/>
          <w:b/>
        </w:rPr>
      </w:pPr>
    </w:p>
    <w:p>
      <w:pPr>
        <w:pStyle w:val="ListParagraph"/>
        <w:numPr>
          <w:ilvl w:val="0"/>
          <w:numId w:val="23"/>
        </w:numPr>
        <w:tabs>
          <w:tab w:pos="839" w:val="left" w:leader="none"/>
          <w:tab w:pos="840" w:val="left" w:leader="none"/>
        </w:tabs>
        <w:spacing w:line="240" w:lineRule="auto" w:before="0" w:after="0"/>
        <w:ind w:left="839" w:right="0" w:hanging="360"/>
        <w:jc w:val="left"/>
        <w:rPr>
          <w:sz w:val="17"/>
        </w:rPr>
      </w:pPr>
      <w:r>
        <w:rPr>
          <w:sz w:val="17"/>
        </w:rPr>
        <w:t>business</w:t>
      </w:r>
    </w:p>
    <w:p>
      <w:pPr>
        <w:pStyle w:val="ListParagraph"/>
        <w:numPr>
          <w:ilvl w:val="0"/>
          <w:numId w:val="23"/>
        </w:numPr>
        <w:tabs>
          <w:tab w:pos="839" w:val="left" w:leader="none"/>
          <w:tab w:pos="840" w:val="left" w:leader="none"/>
          <w:tab w:pos="2240" w:val="left" w:leader="none"/>
        </w:tabs>
        <w:spacing w:line="240" w:lineRule="auto" w:before="10" w:after="0"/>
        <w:ind w:left="839" w:right="0" w:hanging="360"/>
        <w:jc w:val="left"/>
        <w:rPr>
          <w:sz w:val="16"/>
        </w:rPr>
      </w:pPr>
      <w:r>
        <w:rPr>
          <w:w w:val="105"/>
          <w:sz w:val="16"/>
        </w:rPr>
        <w:t>clock</w:t>
        <w:tab/>
        <w:t>___</w:t>
      </w:r>
      <w:r>
        <w:rPr>
          <w:w w:val="105"/>
          <w:sz w:val="16"/>
          <w:u w:val="single"/>
        </w:rPr>
        <w:t>f    </w:t>
      </w:r>
      <w:r>
        <w:rPr>
          <w:w w:val="105"/>
          <w:sz w:val="16"/>
        </w:rPr>
        <w:t>_  part of a</w:t>
      </w:r>
      <w:r>
        <w:rPr>
          <w:spacing w:val="6"/>
          <w:w w:val="105"/>
          <w:sz w:val="16"/>
        </w:rPr>
        <w:t> </w:t>
      </w:r>
      <w:r>
        <w:rPr>
          <w:w w:val="105"/>
          <w:sz w:val="16"/>
        </w:rPr>
        <w:t>house</w:t>
      </w:r>
    </w:p>
    <w:p>
      <w:pPr>
        <w:spacing w:after="0" w:line="240" w:lineRule="auto"/>
        <w:jc w:val="left"/>
        <w:rPr>
          <w:sz w:val="16"/>
        </w:rPr>
        <w:sectPr>
          <w:pgSz w:w="11910" w:h="16840"/>
          <w:pgMar w:header="732" w:footer="0" w:top="1160" w:bottom="280" w:left="1580" w:right="1020"/>
        </w:sectPr>
      </w:pPr>
    </w:p>
    <w:p>
      <w:pPr>
        <w:pStyle w:val="ListParagraph"/>
        <w:numPr>
          <w:ilvl w:val="0"/>
          <w:numId w:val="23"/>
        </w:numPr>
        <w:tabs>
          <w:tab w:pos="839" w:val="left" w:leader="none"/>
          <w:tab w:pos="840" w:val="left" w:leader="none"/>
        </w:tabs>
        <w:spacing w:line="194" w:lineRule="exact" w:before="0" w:after="0"/>
        <w:ind w:left="839" w:right="0" w:hanging="360"/>
        <w:jc w:val="left"/>
        <w:rPr>
          <w:sz w:val="17"/>
        </w:rPr>
      </w:pPr>
      <w:r>
        <w:rPr>
          <w:sz w:val="17"/>
        </w:rPr>
        <w:t>horse</w:t>
      </w:r>
    </w:p>
    <w:p>
      <w:pPr>
        <w:pStyle w:val="ListParagraph"/>
        <w:numPr>
          <w:ilvl w:val="0"/>
          <w:numId w:val="23"/>
        </w:numPr>
        <w:tabs>
          <w:tab w:pos="839" w:val="left" w:leader="none"/>
          <w:tab w:pos="840" w:val="left" w:leader="none"/>
        </w:tabs>
        <w:spacing w:line="240" w:lineRule="auto" w:before="10" w:after="0"/>
        <w:ind w:left="839" w:right="0" w:hanging="360"/>
        <w:jc w:val="left"/>
        <w:rPr>
          <w:sz w:val="16"/>
        </w:rPr>
      </w:pPr>
      <w:r>
        <w:rPr>
          <w:w w:val="105"/>
          <w:sz w:val="16"/>
        </w:rPr>
        <w:t>pencil</w:t>
      </w:r>
    </w:p>
    <w:p>
      <w:pPr>
        <w:pStyle w:val="ListParagraph"/>
        <w:numPr>
          <w:ilvl w:val="0"/>
          <w:numId w:val="23"/>
        </w:numPr>
        <w:tabs>
          <w:tab w:pos="839" w:val="left" w:leader="none"/>
          <w:tab w:pos="840" w:val="left" w:leader="none"/>
        </w:tabs>
        <w:spacing w:line="240" w:lineRule="auto" w:before="3" w:after="0"/>
        <w:ind w:left="839" w:right="0" w:hanging="360"/>
        <w:jc w:val="left"/>
        <w:rPr>
          <w:sz w:val="17"/>
        </w:rPr>
      </w:pPr>
      <w:r>
        <w:rPr>
          <w:sz w:val="17"/>
        </w:rPr>
        <w:t>shoe</w:t>
      </w:r>
    </w:p>
    <w:p>
      <w:pPr>
        <w:pStyle w:val="ListParagraph"/>
        <w:numPr>
          <w:ilvl w:val="0"/>
          <w:numId w:val="23"/>
        </w:numPr>
        <w:tabs>
          <w:tab w:pos="839" w:val="left" w:leader="none"/>
          <w:tab w:pos="840" w:val="left" w:leader="none"/>
        </w:tabs>
        <w:spacing w:line="240" w:lineRule="auto" w:before="6" w:after="0"/>
        <w:ind w:left="839" w:right="0" w:hanging="360"/>
        <w:jc w:val="left"/>
        <w:rPr>
          <w:sz w:val="16"/>
        </w:rPr>
      </w:pPr>
      <w:r>
        <w:rPr>
          <w:w w:val="105"/>
          <w:sz w:val="16"/>
        </w:rPr>
        <w:t>wall</w:t>
      </w:r>
    </w:p>
    <w:p>
      <w:pPr>
        <w:spacing w:line="194" w:lineRule="exact" w:before="0"/>
        <w:ind w:left="479" w:right="0" w:firstLine="0"/>
        <w:jc w:val="left"/>
        <w:rPr>
          <w:sz w:val="17"/>
        </w:rPr>
      </w:pPr>
      <w:r>
        <w:rPr/>
        <w:br w:type="column"/>
      </w:r>
      <w:r>
        <w:rPr>
          <w:sz w:val="17"/>
        </w:rPr>
        <w:t>___</w:t>
      </w:r>
      <w:r>
        <w:rPr>
          <w:sz w:val="17"/>
          <w:u w:val="single"/>
        </w:rPr>
        <w:t>c</w:t>
      </w:r>
      <w:r>
        <w:rPr>
          <w:sz w:val="17"/>
        </w:rPr>
        <w:t>___  animal with four legs</w:t>
      </w:r>
    </w:p>
    <w:p>
      <w:pPr>
        <w:spacing w:before="10"/>
        <w:ind w:left="479" w:right="0" w:firstLine="0"/>
        <w:jc w:val="left"/>
        <w:rPr>
          <w:sz w:val="16"/>
        </w:rPr>
      </w:pPr>
      <w:r>
        <w:rPr>
          <w:w w:val="105"/>
          <w:sz w:val="16"/>
        </w:rPr>
        <w:t>___</w:t>
      </w:r>
      <w:r>
        <w:rPr>
          <w:w w:val="105"/>
          <w:sz w:val="16"/>
          <w:u w:val="single"/>
        </w:rPr>
        <w:t>d</w:t>
      </w:r>
      <w:r>
        <w:rPr>
          <w:w w:val="105"/>
          <w:sz w:val="16"/>
        </w:rPr>
        <w:t>___  something used for writing</w:t>
      </w:r>
    </w:p>
    <w:p>
      <w:pPr>
        <w:spacing w:after="0"/>
        <w:jc w:val="left"/>
        <w:rPr>
          <w:sz w:val="16"/>
        </w:rPr>
        <w:sectPr>
          <w:type w:val="continuous"/>
          <w:pgSz w:w="11910" w:h="16840"/>
          <w:pgMar w:top="1580" w:bottom="280" w:left="1580" w:right="1020"/>
          <w:cols w:num="2" w:equalWidth="0">
            <w:col w:w="1285" w:space="477"/>
            <w:col w:w="7548"/>
          </w:cols>
        </w:sectPr>
      </w:pPr>
    </w:p>
    <w:p>
      <w:pPr>
        <w:pStyle w:val="BodyText"/>
        <w:spacing w:before="11"/>
        <w:rPr>
          <w:sz w:val="14"/>
        </w:rPr>
      </w:pPr>
    </w:p>
    <w:p>
      <w:pPr>
        <w:spacing w:before="76"/>
        <w:ind w:left="119" w:right="0" w:firstLine="0"/>
        <w:jc w:val="left"/>
        <w:rPr>
          <w:b/>
          <w:sz w:val="20"/>
        </w:rPr>
      </w:pPr>
      <w:r>
        <w:rPr>
          <w:b/>
          <w:sz w:val="20"/>
        </w:rPr>
        <w:t>FIRST SECTION</w:t>
      </w:r>
    </w:p>
    <w:p>
      <w:pPr>
        <w:pStyle w:val="BodyText"/>
        <w:spacing w:before="3"/>
        <w:rPr>
          <w:b/>
          <w:sz w:val="18"/>
        </w:rPr>
      </w:pPr>
    </w:p>
    <w:p>
      <w:pPr>
        <w:spacing w:before="0"/>
        <w:ind w:left="119" w:right="0" w:firstLine="0"/>
        <w:jc w:val="left"/>
        <w:rPr>
          <w:sz w:val="16"/>
        </w:rPr>
      </w:pPr>
      <w:r>
        <w:rPr>
          <w:w w:val="105"/>
          <w:sz w:val="16"/>
        </w:rPr>
        <w:t>1.</w:t>
      </w:r>
    </w:p>
    <w:p>
      <w:pPr>
        <w:pStyle w:val="BodyText"/>
        <w:spacing w:before="4"/>
        <w:rPr>
          <w:sz w:val="17"/>
        </w:rPr>
      </w:pPr>
    </w:p>
    <w:p>
      <w:pPr>
        <w:pStyle w:val="ListParagraph"/>
        <w:numPr>
          <w:ilvl w:val="0"/>
          <w:numId w:val="24"/>
        </w:numPr>
        <w:tabs>
          <w:tab w:pos="479" w:val="left" w:leader="none"/>
          <w:tab w:pos="480" w:val="left" w:leader="none"/>
        </w:tabs>
        <w:spacing w:line="194" w:lineRule="exact" w:before="0" w:after="0"/>
        <w:ind w:left="479" w:right="0" w:hanging="360"/>
        <w:jc w:val="left"/>
        <w:rPr>
          <w:sz w:val="17"/>
        </w:rPr>
      </w:pPr>
      <w:r>
        <w:rPr>
          <w:sz w:val="17"/>
        </w:rPr>
        <w:t>Afternoon</w:t>
      </w:r>
    </w:p>
    <w:p>
      <w:pPr>
        <w:pStyle w:val="ListParagraph"/>
        <w:numPr>
          <w:ilvl w:val="0"/>
          <w:numId w:val="24"/>
        </w:numPr>
        <w:tabs>
          <w:tab w:pos="479" w:val="left" w:leader="none"/>
          <w:tab w:pos="480" w:val="left" w:leader="none"/>
          <w:tab w:pos="2240" w:val="left" w:leader="none"/>
        </w:tabs>
        <w:spacing w:line="194" w:lineRule="exact" w:before="0" w:after="0"/>
        <w:ind w:left="479" w:right="0" w:hanging="360"/>
        <w:jc w:val="left"/>
        <w:rPr>
          <w:sz w:val="17"/>
        </w:rPr>
      </w:pPr>
      <w:r>
        <w:rPr>
          <w:sz w:val="17"/>
        </w:rPr>
        <w:t>Coal</w:t>
        <w:tab/>
      </w:r>
      <w:r>
        <w:rPr>
          <w:spacing w:val="2"/>
          <w:sz w:val="17"/>
        </w:rPr>
        <w:t>___   </w:t>
      </w:r>
      <w:r>
        <w:rPr>
          <w:sz w:val="17"/>
        </w:rPr>
        <w:t>_  to suggest that someone do something that you believe would be</w:t>
      </w:r>
      <w:r>
        <w:rPr>
          <w:spacing w:val="-2"/>
          <w:sz w:val="17"/>
        </w:rPr>
        <w:t> </w:t>
      </w:r>
      <w:r>
        <w:rPr>
          <w:sz w:val="17"/>
        </w:rPr>
        <w:t>good</w:t>
      </w:r>
    </w:p>
    <w:p>
      <w:pPr>
        <w:pStyle w:val="ListParagraph"/>
        <w:numPr>
          <w:ilvl w:val="0"/>
          <w:numId w:val="24"/>
        </w:numPr>
        <w:tabs>
          <w:tab w:pos="479" w:val="left" w:leader="none"/>
          <w:tab w:pos="480" w:val="left" w:leader="none"/>
          <w:tab w:pos="2240" w:val="left" w:leader="none"/>
        </w:tabs>
        <w:spacing w:line="240" w:lineRule="auto" w:before="1" w:after="0"/>
        <w:ind w:left="479" w:right="0" w:hanging="360"/>
        <w:jc w:val="left"/>
        <w:rPr>
          <w:sz w:val="17"/>
        </w:rPr>
      </w:pPr>
      <w:r>
        <w:rPr>
          <w:sz w:val="17"/>
        </w:rPr>
        <w:t>Encourage</w:t>
        <w:tab/>
      </w:r>
      <w:r>
        <w:rPr>
          <w:spacing w:val="2"/>
          <w:sz w:val="17"/>
        </w:rPr>
        <w:t>___   </w:t>
      </w:r>
      <w:r>
        <w:rPr>
          <w:sz w:val="17"/>
        </w:rPr>
        <w:t>_  a hard black substance that is dug from the ground and burned as fuel to provide</w:t>
      </w:r>
      <w:r>
        <w:rPr>
          <w:spacing w:val="-9"/>
          <w:sz w:val="17"/>
        </w:rPr>
        <w:t> </w:t>
      </w:r>
      <w:r>
        <w:rPr>
          <w:sz w:val="17"/>
        </w:rPr>
        <w:t>heat</w:t>
      </w:r>
    </w:p>
    <w:p>
      <w:pPr>
        <w:pStyle w:val="ListParagraph"/>
        <w:numPr>
          <w:ilvl w:val="0"/>
          <w:numId w:val="24"/>
        </w:numPr>
        <w:tabs>
          <w:tab w:pos="479" w:val="left" w:leader="none"/>
          <w:tab w:pos="480" w:val="left" w:leader="none"/>
          <w:tab w:pos="2240" w:val="left" w:leader="none"/>
        </w:tabs>
        <w:spacing w:line="240" w:lineRule="auto" w:before="10" w:after="0"/>
        <w:ind w:left="479" w:right="0" w:hanging="360"/>
        <w:jc w:val="left"/>
        <w:rPr>
          <w:sz w:val="16"/>
        </w:rPr>
      </w:pPr>
      <w:r>
        <w:rPr>
          <w:w w:val="105"/>
          <w:sz w:val="16"/>
        </w:rPr>
        <w:t>Midnight</w:t>
        <w:tab/>
      </w:r>
      <w:r>
        <w:rPr>
          <w:spacing w:val="2"/>
          <w:w w:val="105"/>
          <w:sz w:val="16"/>
        </w:rPr>
        <w:t>___    </w:t>
      </w:r>
      <w:r>
        <w:rPr>
          <w:w w:val="105"/>
          <w:sz w:val="16"/>
        </w:rPr>
        <w:t>_  the period of time between the middle of the day and the beginning of the</w:t>
      </w:r>
      <w:r>
        <w:rPr>
          <w:spacing w:val="23"/>
          <w:w w:val="105"/>
          <w:sz w:val="16"/>
        </w:rPr>
        <w:t> </w:t>
      </w:r>
      <w:r>
        <w:rPr>
          <w:w w:val="105"/>
          <w:sz w:val="16"/>
        </w:rPr>
        <w:t>evening</w:t>
      </w:r>
    </w:p>
    <w:p>
      <w:pPr>
        <w:pStyle w:val="ListParagraph"/>
        <w:numPr>
          <w:ilvl w:val="0"/>
          <w:numId w:val="24"/>
        </w:numPr>
        <w:tabs>
          <w:tab w:pos="479" w:val="left" w:leader="none"/>
          <w:tab w:pos="480" w:val="left" w:leader="none"/>
        </w:tabs>
        <w:spacing w:line="240" w:lineRule="auto" w:before="8" w:after="0"/>
        <w:ind w:left="479" w:right="0" w:hanging="360"/>
        <w:jc w:val="left"/>
        <w:rPr>
          <w:sz w:val="16"/>
        </w:rPr>
      </w:pPr>
      <w:r>
        <w:rPr>
          <w:w w:val="105"/>
          <w:sz w:val="16"/>
        </w:rPr>
        <w:t>Oil</w:t>
      </w:r>
    </w:p>
    <w:p>
      <w:pPr>
        <w:pStyle w:val="ListParagraph"/>
        <w:numPr>
          <w:ilvl w:val="0"/>
          <w:numId w:val="24"/>
        </w:numPr>
        <w:tabs>
          <w:tab w:pos="479" w:val="left" w:leader="none"/>
          <w:tab w:pos="480" w:val="left" w:leader="none"/>
        </w:tabs>
        <w:spacing w:line="240" w:lineRule="auto" w:before="13" w:after="0"/>
        <w:ind w:left="479" w:right="0" w:hanging="360"/>
        <w:jc w:val="left"/>
        <w:rPr>
          <w:sz w:val="16"/>
        </w:rPr>
      </w:pPr>
      <w:r>
        <w:rPr>
          <w:w w:val="105"/>
          <w:sz w:val="16"/>
        </w:rPr>
        <w:t>Recommend</w:t>
      </w:r>
    </w:p>
    <w:p>
      <w:pPr>
        <w:pStyle w:val="BodyText"/>
        <w:rPr>
          <w:sz w:val="16"/>
        </w:rPr>
      </w:pPr>
    </w:p>
    <w:p>
      <w:pPr>
        <w:pStyle w:val="BodyText"/>
        <w:spacing w:before="1"/>
        <w:rPr>
          <w:sz w:val="18"/>
        </w:rPr>
      </w:pPr>
    </w:p>
    <w:p>
      <w:pPr>
        <w:spacing w:before="0"/>
        <w:ind w:left="119" w:right="0" w:firstLine="0"/>
        <w:jc w:val="left"/>
        <w:rPr>
          <w:sz w:val="17"/>
        </w:rPr>
      </w:pPr>
      <w:r>
        <w:rPr>
          <w:sz w:val="17"/>
        </w:rPr>
        <w:t>2.</w:t>
      </w:r>
    </w:p>
    <w:p>
      <w:pPr>
        <w:pStyle w:val="BodyText"/>
        <w:spacing w:before="2"/>
        <w:rPr>
          <w:sz w:val="17"/>
        </w:rPr>
      </w:pPr>
    </w:p>
    <w:p>
      <w:pPr>
        <w:pStyle w:val="ListParagraph"/>
        <w:numPr>
          <w:ilvl w:val="0"/>
          <w:numId w:val="25"/>
        </w:numPr>
        <w:tabs>
          <w:tab w:pos="479" w:val="left" w:leader="none"/>
          <w:tab w:pos="480" w:val="left" w:leader="none"/>
        </w:tabs>
        <w:spacing w:line="240" w:lineRule="auto" w:before="0" w:after="0"/>
        <w:ind w:left="479" w:right="0" w:hanging="360"/>
        <w:jc w:val="left"/>
        <w:rPr>
          <w:sz w:val="17"/>
        </w:rPr>
      </w:pPr>
      <w:r>
        <w:rPr>
          <w:sz w:val="17"/>
        </w:rPr>
        <w:t>Communication</w:t>
      </w:r>
    </w:p>
    <w:p>
      <w:pPr>
        <w:pStyle w:val="ListParagraph"/>
        <w:numPr>
          <w:ilvl w:val="0"/>
          <w:numId w:val="25"/>
        </w:numPr>
        <w:tabs>
          <w:tab w:pos="479" w:val="left" w:leader="none"/>
          <w:tab w:pos="480" w:val="left" w:leader="none"/>
        </w:tabs>
        <w:spacing w:line="240" w:lineRule="auto" w:before="6" w:after="0"/>
        <w:ind w:left="479" w:right="0" w:hanging="360"/>
        <w:jc w:val="left"/>
        <w:rPr>
          <w:sz w:val="16"/>
        </w:rPr>
      </w:pPr>
      <w:r>
        <w:rPr>
          <w:w w:val="105"/>
          <w:sz w:val="16"/>
        </w:rPr>
        <w:t>Hope</w:t>
      </w:r>
    </w:p>
    <w:p>
      <w:pPr>
        <w:pStyle w:val="ListParagraph"/>
        <w:numPr>
          <w:ilvl w:val="0"/>
          <w:numId w:val="25"/>
        </w:numPr>
        <w:tabs>
          <w:tab w:pos="479" w:val="left" w:leader="none"/>
          <w:tab w:pos="480" w:val="left" w:leader="none"/>
          <w:tab w:pos="2240" w:val="left" w:leader="none"/>
        </w:tabs>
        <w:spacing w:line="240" w:lineRule="auto" w:before="3" w:after="0"/>
        <w:ind w:left="479" w:right="0" w:hanging="360"/>
        <w:jc w:val="left"/>
        <w:rPr>
          <w:sz w:val="17"/>
        </w:rPr>
      </w:pPr>
      <w:r>
        <w:rPr>
          <w:sz w:val="17"/>
        </w:rPr>
        <w:t>Keep</w:t>
        <w:tab/>
      </w:r>
      <w:r>
        <w:rPr>
          <w:spacing w:val="2"/>
          <w:sz w:val="17"/>
        </w:rPr>
        <w:t>___   </w:t>
      </w:r>
      <w:r>
        <w:rPr>
          <w:sz w:val="17"/>
        </w:rPr>
        <w:t>_  the feeling or belief that something you want to happen is likely to</w:t>
      </w:r>
      <w:r>
        <w:rPr>
          <w:spacing w:val="-5"/>
          <w:sz w:val="17"/>
        </w:rPr>
        <w:t> </w:t>
      </w:r>
      <w:r>
        <w:rPr>
          <w:sz w:val="17"/>
        </w:rPr>
        <w:t>happen</w:t>
      </w:r>
    </w:p>
    <w:p>
      <w:pPr>
        <w:pStyle w:val="ListParagraph"/>
        <w:numPr>
          <w:ilvl w:val="0"/>
          <w:numId w:val="25"/>
        </w:numPr>
        <w:tabs>
          <w:tab w:pos="479" w:val="left" w:leader="none"/>
          <w:tab w:pos="480" w:val="left" w:leader="none"/>
          <w:tab w:pos="2240" w:val="left" w:leader="none"/>
        </w:tabs>
        <w:spacing w:line="240" w:lineRule="auto" w:before="10" w:after="0"/>
        <w:ind w:left="479" w:right="0" w:hanging="360"/>
        <w:jc w:val="left"/>
        <w:rPr>
          <w:sz w:val="16"/>
        </w:rPr>
      </w:pPr>
      <w:r>
        <w:rPr>
          <w:w w:val="105"/>
          <w:sz w:val="16"/>
        </w:rPr>
        <w:t>Media</w:t>
        <w:tab/>
      </w:r>
      <w:r>
        <w:rPr>
          <w:spacing w:val="2"/>
          <w:w w:val="105"/>
          <w:sz w:val="16"/>
        </w:rPr>
        <w:t>___    </w:t>
      </w:r>
      <w:r>
        <w:rPr>
          <w:w w:val="105"/>
          <w:sz w:val="16"/>
        </w:rPr>
        <w:t>_  radio, television, newspapers, the internet, and magazines, considered as a</w:t>
      </w:r>
      <w:r>
        <w:rPr>
          <w:spacing w:val="22"/>
          <w:w w:val="105"/>
          <w:sz w:val="16"/>
        </w:rPr>
        <w:t> </w:t>
      </w:r>
      <w:r>
        <w:rPr>
          <w:w w:val="105"/>
          <w:sz w:val="16"/>
        </w:rPr>
        <w:t>group</w:t>
      </w:r>
    </w:p>
    <w:p>
      <w:pPr>
        <w:pStyle w:val="ListParagraph"/>
        <w:numPr>
          <w:ilvl w:val="0"/>
          <w:numId w:val="25"/>
        </w:numPr>
        <w:tabs>
          <w:tab w:pos="479" w:val="left" w:leader="none"/>
          <w:tab w:pos="480" w:val="left" w:leader="none"/>
          <w:tab w:pos="2240" w:val="left" w:leader="none"/>
        </w:tabs>
        <w:spacing w:line="240" w:lineRule="auto" w:before="3" w:after="0"/>
        <w:ind w:left="479" w:right="0" w:hanging="360"/>
        <w:jc w:val="left"/>
        <w:rPr>
          <w:sz w:val="17"/>
        </w:rPr>
      </w:pPr>
      <w:r>
        <w:rPr>
          <w:sz w:val="17"/>
        </w:rPr>
        <w:t>Probably</w:t>
        <w:tab/>
      </w:r>
      <w:r>
        <w:rPr>
          <w:spacing w:val="2"/>
          <w:sz w:val="17"/>
        </w:rPr>
        <w:t>___   </w:t>
      </w:r>
      <w:r>
        <w:rPr>
          <w:sz w:val="17"/>
        </w:rPr>
        <w:t>_  to continue to</w:t>
      </w:r>
      <w:r>
        <w:rPr>
          <w:spacing w:val="13"/>
          <w:sz w:val="17"/>
        </w:rPr>
        <w:t> </w:t>
      </w:r>
      <w:r>
        <w:rPr>
          <w:sz w:val="17"/>
        </w:rPr>
        <w:t>happen</w:t>
      </w:r>
    </w:p>
    <w:p>
      <w:pPr>
        <w:pStyle w:val="ListParagraph"/>
        <w:numPr>
          <w:ilvl w:val="0"/>
          <w:numId w:val="25"/>
        </w:numPr>
        <w:tabs>
          <w:tab w:pos="479" w:val="left" w:leader="none"/>
          <w:tab w:pos="480" w:val="left" w:leader="none"/>
        </w:tabs>
        <w:spacing w:line="240" w:lineRule="auto" w:before="6" w:after="0"/>
        <w:ind w:left="479" w:right="0" w:hanging="360"/>
        <w:jc w:val="left"/>
        <w:rPr>
          <w:sz w:val="16"/>
        </w:rPr>
      </w:pPr>
      <w:r>
        <w:rPr>
          <w:w w:val="105"/>
          <w:sz w:val="16"/>
        </w:rPr>
        <w:t>Proceed</w:t>
      </w:r>
    </w:p>
    <w:p>
      <w:pPr>
        <w:pStyle w:val="BodyText"/>
        <w:rPr>
          <w:sz w:val="16"/>
        </w:rPr>
      </w:pPr>
    </w:p>
    <w:p>
      <w:pPr>
        <w:pStyle w:val="BodyText"/>
        <w:spacing w:before="6"/>
        <w:rPr>
          <w:sz w:val="18"/>
        </w:rPr>
      </w:pPr>
    </w:p>
    <w:p>
      <w:pPr>
        <w:spacing w:before="0"/>
        <w:ind w:left="119" w:right="0" w:firstLine="0"/>
        <w:jc w:val="left"/>
        <w:rPr>
          <w:sz w:val="17"/>
        </w:rPr>
      </w:pPr>
      <w:r>
        <w:rPr>
          <w:sz w:val="17"/>
        </w:rPr>
        <w:t>3.</w:t>
      </w:r>
    </w:p>
    <w:p>
      <w:pPr>
        <w:pStyle w:val="BodyText"/>
        <w:spacing w:before="9"/>
        <w:rPr>
          <w:sz w:val="16"/>
        </w:rPr>
      </w:pPr>
    </w:p>
    <w:p>
      <w:pPr>
        <w:pStyle w:val="ListParagraph"/>
        <w:numPr>
          <w:ilvl w:val="0"/>
          <w:numId w:val="26"/>
        </w:numPr>
        <w:tabs>
          <w:tab w:pos="479" w:val="left" w:leader="none"/>
          <w:tab w:pos="480" w:val="left" w:leader="none"/>
        </w:tabs>
        <w:spacing w:line="240" w:lineRule="auto" w:before="0" w:after="0"/>
        <w:ind w:left="479" w:right="0" w:hanging="360"/>
        <w:jc w:val="left"/>
        <w:rPr>
          <w:sz w:val="17"/>
        </w:rPr>
      </w:pPr>
      <w:r>
        <w:rPr>
          <w:sz w:val="17"/>
        </w:rPr>
        <w:t>Collect</w:t>
      </w:r>
    </w:p>
    <w:p>
      <w:pPr>
        <w:pStyle w:val="ListParagraph"/>
        <w:numPr>
          <w:ilvl w:val="0"/>
          <w:numId w:val="26"/>
        </w:numPr>
        <w:tabs>
          <w:tab w:pos="479" w:val="left" w:leader="none"/>
          <w:tab w:pos="480" w:val="left" w:leader="none"/>
          <w:tab w:pos="2240" w:val="left" w:leader="none"/>
        </w:tabs>
        <w:spacing w:line="183" w:lineRule="exact" w:before="10" w:after="0"/>
        <w:ind w:left="479" w:right="0" w:hanging="360"/>
        <w:jc w:val="left"/>
        <w:rPr>
          <w:sz w:val="16"/>
        </w:rPr>
      </w:pPr>
      <w:r>
        <w:rPr>
          <w:w w:val="105"/>
          <w:sz w:val="16"/>
        </w:rPr>
        <w:t>Front</w:t>
        <w:tab/>
      </w:r>
      <w:r>
        <w:rPr>
          <w:spacing w:val="2"/>
          <w:w w:val="105"/>
          <w:sz w:val="16"/>
        </w:rPr>
        <w:t>___    </w:t>
      </w:r>
      <w:r>
        <w:rPr>
          <w:w w:val="105"/>
          <w:sz w:val="16"/>
        </w:rPr>
        <w:t>_  </w:t>
      </w:r>
      <w:r>
        <w:rPr>
          <w:spacing w:val="-4"/>
          <w:w w:val="105"/>
          <w:sz w:val="16"/>
        </w:rPr>
        <w:t>an </w:t>
      </w:r>
      <w:r>
        <w:rPr>
          <w:w w:val="105"/>
          <w:sz w:val="16"/>
        </w:rPr>
        <w:t>effect or</w:t>
      </w:r>
      <w:r>
        <w:rPr>
          <w:spacing w:val="9"/>
          <w:w w:val="105"/>
          <w:sz w:val="16"/>
        </w:rPr>
        <w:t> </w:t>
      </w:r>
      <w:r>
        <w:rPr>
          <w:w w:val="105"/>
          <w:sz w:val="16"/>
        </w:rPr>
        <w:t>influence</w:t>
      </w:r>
    </w:p>
    <w:p>
      <w:pPr>
        <w:pStyle w:val="ListParagraph"/>
        <w:numPr>
          <w:ilvl w:val="0"/>
          <w:numId w:val="26"/>
        </w:numPr>
        <w:tabs>
          <w:tab w:pos="479" w:val="left" w:leader="none"/>
          <w:tab w:pos="480" w:val="left" w:leader="none"/>
          <w:tab w:pos="2240" w:val="left" w:leader="none"/>
        </w:tabs>
        <w:spacing w:line="195" w:lineRule="exact" w:before="0" w:after="0"/>
        <w:ind w:left="479" w:right="0" w:hanging="360"/>
        <w:jc w:val="left"/>
        <w:rPr>
          <w:sz w:val="17"/>
        </w:rPr>
      </w:pPr>
      <w:r>
        <w:rPr>
          <w:sz w:val="17"/>
        </w:rPr>
        <w:t>Hunt</w:t>
        <w:tab/>
      </w:r>
      <w:r>
        <w:rPr>
          <w:spacing w:val="2"/>
          <w:sz w:val="17"/>
        </w:rPr>
        <w:t>___   </w:t>
      </w:r>
      <w:r>
        <w:rPr>
          <w:sz w:val="17"/>
        </w:rPr>
        <w:t>_  the surface </w:t>
      </w:r>
      <w:r>
        <w:rPr>
          <w:spacing w:val="-4"/>
          <w:sz w:val="17"/>
        </w:rPr>
        <w:t>of </w:t>
      </w:r>
      <w:r>
        <w:rPr>
          <w:sz w:val="17"/>
        </w:rPr>
        <w:t>something that faces</w:t>
      </w:r>
      <w:r>
        <w:rPr>
          <w:spacing w:val="17"/>
          <w:sz w:val="17"/>
        </w:rPr>
        <w:t> </w:t>
      </w:r>
      <w:r>
        <w:rPr>
          <w:sz w:val="17"/>
        </w:rPr>
        <w:t>forward.</w:t>
      </w:r>
    </w:p>
    <w:p>
      <w:pPr>
        <w:pStyle w:val="ListParagraph"/>
        <w:numPr>
          <w:ilvl w:val="0"/>
          <w:numId w:val="26"/>
        </w:numPr>
        <w:tabs>
          <w:tab w:pos="479" w:val="left" w:leader="none"/>
          <w:tab w:pos="480" w:val="left" w:leader="none"/>
          <w:tab w:pos="2240" w:val="left" w:leader="none"/>
        </w:tabs>
        <w:spacing w:line="240" w:lineRule="auto" w:before="1" w:after="0"/>
        <w:ind w:left="479" w:right="0" w:hanging="360"/>
        <w:jc w:val="left"/>
        <w:rPr>
          <w:sz w:val="17"/>
        </w:rPr>
      </w:pPr>
      <w:r>
        <w:rPr>
          <w:sz w:val="17"/>
        </w:rPr>
        <w:t>Impact</w:t>
        <w:tab/>
      </w:r>
      <w:r>
        <w:rPr>
          <w:spacing w:val="2"/>
          <w:sz w:val="17"/>
        </w:rPr>
        <w:t>___   </w:t>
      </w:r>
      <w:r>
        <w:rPr>
          <w:sz w:val="17"/>
        </w:rPr>
        <w:t>_  to get things and keep them together for a particular</w:t>
      </w:r>
      <w:r>
        <w:rPr>
          <w:spacing w:val="-2"/>
          <w:sz w:val="17"/>
        </w:rPr>
        <w:t> </w:t>
      </w:r>
      <w:r>
        <w:rPr>
          <w:sz w:val="17"/>
        </w:rPr>
        <w:t>reason</w:t>
      </w:r>
    </w:p>
    <w:p>
      <w:pPr>
        <w:pStyle w:val="ListParagraph"/>
        <w:numPr>
          <w:ilvl w:val="0"/>
          <w:numId w:val="26"/>
        </w:numPr>
        <w:tabs>
          <w:tab w:pos="479" w:val="left" w:leader="none"/>
          <w:tab w:pos="480" w:val="left" w:leader="none"/>
        </w:tabs>
        <w:spacing w:line="240" w:lineRule="auto" w:before="1" w:after="0"/>
        <w:ind w:left="479" w:right="0" w:hanging="360"/>
        <w:jc w:val="left"/>
        <w:rPr>
          <w:sz w:val="17"/>
        </w:rPr>
      </w:pPr>
      <w:r>
        <w:rPr>
          <w:sz w:val="17"/>
        </w:rPr>
        <w:t>Nose</w:t>
      </w:r>
    </w:p>
    <w:p>
      <w:pPr>
        <w:pStyle w:val="ListParagraph"/>
        <w:numPr>
          <w:ilvl w:val="0"/>
          <w:numId w:val="26"/>
        </w:numPr>
        <w:tabs>
          <w:tab w:pos="479" w:val="left" w:leader="none"/>
          <w:tab w:pos="480" w:val="left" w:leader="none"/>
        </w:tabs>
        <w:spacing w:line="240" w:lineRule="auto" w:before="1" w:after="0"/>
        <w:ind w:left="479" w:right="0" w:hanging="360"/>
        <w:jc w:val="left"/>
        <w:rPr>
          <w:sz w:val="17"/>
        </w:rPr>
      </w:pPr>
      <w:r>
        <w:rPr>
          <w:sz w:val="17"/>
        </w:rPr>
        <w:t>Rule</w:t>
      </w:r>
    </w:p>
    <w:p>
      <w:pPr>
        <w:pStyle w:val="BodyText"/>
        <w:rPr>
          <w:sz w:val="16"/>
        </w:rPr>
      </w:pPr>
    </w:p>
    <w:p>
      <w:pPr>
        <w:pStyle w:val="BodyText"/>
        <w:spacing w:before="10"/>
        <w:rPr>
          <w:sz w:val="17"/>
        </w:rPr>
      </w:pPr>
    </w:p>
    <w:p>
      <w:pPr>
        <w:spacing w:before="0"/>
        <w:ind w:left="119" w:right="0" w:firstLine="0"/>
        <w:jc w:val="left"/>
        <w:rPr>
          <w:sz w:val="17"/>
        </w:rPr>
      </w:pPr>
      <w:r>
        <w:rPr>
          <w:sz w:val="17"/>
        </w:rPr>
        <w:t>4.</w:t>
      </w:r>
    </w:p>
    <w:p>
      <w:pPr>
        <w:pStyle w:val="BodyText"/>
        <w:spacing w:before="9"/>
        <w:rPr>
          <w:sz w:val="16"/>
        </w:rPr>
      </w:pPr>
    </w:p>
    <w:p>
      <w:pPr>
        <w:pStyle w:val="ListParagraph"/>
        <w:numPr>
          <w:ilvl w:val="0"/>
          <w:numId w:val="26"/>
        </w:numPr>
        <w:tabs>
          <w:tab w:pos="479" w:val="left" w:leader="none"/>
          <w:tab w:pos="480" w:val="left" w:leader="none"/>
        </w:tabs>
        <w:spacing w:line="240" w:lineRule="auto" w:before="0" w:after="0"/>
        <w:ind w:left="479" w:right="0" w:hanging="360"/>
        <w:jc w:val="left"/>
        <w:rPr>
          <w:sz w:val="17"/>
        </w:rPr>
      </w:pPr>
      <w:r>
        <w:rPr>
          <w:sz w:val="17"/>
        </w:rPr>
        <w:t>Accurate</w:t>
      </w:r>
    </w:p>
    <w:p>
      <w:pPr>
        <w:pStyle w:val="ListParagraph"/>
        <w:numPr>
          <w:ilvl w:val="0"/>
          <w:numId w:val="26"/>
        </w:numPr>
        <w:tabs>
          <w:tab w:pos="479" w:val="left" w:leader="none"/>
          <w:tab w:pos="480" w:val="left" w:leader="none"/>
          <w:tab w:pos="2240" w:val="left" w:leader="none"/>
        </w:tabs>
        <w:spacing w:line="240" w:lineRule="auto" w:before="1" w:after="0"/>
        <w:ind w:left="479" w:right="0" w:hanging="360"/>
        <w:jc w:val="left"/>
        <w:rPr>
          <w:sz w:val="17"/>
        </w:rPr>
      </w:pPr>
      <w:r>
        <w:rPr>
          <w:sz w:val="17"/>
        </w:rPr>
        <w:t>Certain</w:t>
        <w:tab/>
      </w:r>
      <w:r>
        <w:rPr>
          <w:spacing w:val="2"/>
          <w:sz w:val="17"/>
        </w:rPr>
        <w:t>___   </w:t>
      </w:r>
      <w:r>
        <w:rPr>
          <w:sz w:val="17"/>
        </w:rPr>
        <w:t>_  the profession or work of a</w:t>
      </w:r>
      <w:r>
        <w:rPr>
          <w:spacing w:val="12"/>
          <w:sz w:val="17"/>
        </w:rPr>
        <w:t> </w:t>
      </w:r>
      <w:r>
        <w:rPr>
          <w:sz w:val="17"/>
        </w:rPr>
        <w:t>church</w:t>
      </w:r>
    </w:p>
    <w:p>
      <w:pPr>
        <w:pStyle w:val="ListParagraph"/>
        <w:numPr>
          <w:ilvl w:val="0"/>
          <w:numId w:val="26"/>
        </w:numPr>
        <w:tabs>
          <w:tab w:pos="479" w:val="left" w:leader="none"/>
          <w:tab w:pos="480" w:val="left" w:leader="none"/>
          <w:tab w:pos="2240" w:val="left" w:leader="none"/>
        </w:tabs>
        <w:spacing w:line="183" w:lineRule="exact" w:before="10" w:after="0"/>
        <w:ind w:left="479" w:right="0" w:hanging="360"/>
        <w:jc w:val="left"/>
        <w:rPr>
          <w:sz w:val="16"/>
        </w:rPr>
      </w:pPr>
      <w:r>
        <w:rPr>
          <w:w w:val="105"/>
          <w:sz w:val="16"/>
        </w:rPr>
        <w:t>Honest</w:t>
        <w:tab/>
      </w:r>
      <w:r>
        <w:rPr>
          <w:spacing w:val="2"/>
          <w:w w:val="105"/>
          <w:sz w:val="16"/>
        </w:rPr>
        <w:t>___    </w:t>
      </w:r>
      <w:r>
        <w:rPr>
          <w:w w:val="105"/>
          <w:sz w:val="16"/>
        </w:rPr>
        <w:t>_  correct or true in every</w:t>
      </w:r>
      <w:r>
        <w:rPr>
          <w:spacing w:val="-5"/>
          <w:w w:val="105"/>
          <w:sz w:val="16"/>
        </w:rPr>
        <w:t> </w:t>
      </w:r>
      <w:r>
        <w:rPr>
          <w:w w:val="105"/>
          <w:sz w:val="16"/>
        </w:rPr>
        <w:t>detail</w:t>
      </w:r>
    </w:p>
    <w:p>
      <w:pPr>
        <w:pStyle w:val="ListParagraph"/>
        <w:numPr>
          <w:ilvl w:val="0"/>
          <w:numId w:val="26"/>
        </w:numPr>
        <w:tabs>
          <w:tab w:pos="479" w:val="left" w:leader="none"/>
          <w:tab w:pos="480" w:val="left" w:leader="none"/>
          <w:tab w:pos="2240" w:val="left" w:leader="none"/>
        </w:tabs>
        <w:spacing w:line="195" w:lineRule="exact" w:before="0" w:after="0"/>
        <w:ind w:left="479" w:right="0" w:hanging="360"/>
        <w:jc w:val="left"/>
        <w:rPr>
          <w:sz w:val="17"/>
        </w:rPr>
      </w:pPr>
      <w:r>
        <w:rPr>
          <w:sz w:val="17"/>
        </w:rPr>
        <w:t>Ministry</w:t>
        <w:tab/>
      </w:r>
      <w:r>
        <w:rPr>
          <w:spacing w:val="2"/>
          <w:sz w:val="17"/>
        </w:rPr>
        <w:t>___   </w:t>
      </w:r>
      <w:r>
        <w:rPr>
          <w:sz w:val="17"/>
        </w:rPr>
        <w:t>_  having </w:t>
      </w:r>
      <w:r>
        <w:rPr>
          <w:spacing w:val="3"/>
          <w:sz w:val="17"/>
        </w:rPr>
        <w:t>no </w:t>
      </w:r>
      <w:r>
        <w:rPr>
          <w:sz w:val="17"/>
        </w:rPr>
        <w:t>doubts that something is</w:t>
      </w:r>
      <w:r>
        <w:rPr>
          <w:spacing w:val="8"/>
          <w:sz w:val="17"/>
        </w:rPr>
        <w:t> </w:t>
      </w:r>
      <w:r>
        <w:rPr>
          <w:sz w:val="17"/>
        </w:rPr>
        <w:t>true</w:t>
      </w:r>
    </w:p>
    <w:p>
      <w:pPr>
        <w:pStyle w:val="ListParagraph"/>
        <w:numPr>
          <w:ilvl w:val="0"/>
          <w:numId w:val="26"/>
        </w:numPr>
        <w:tabs>
          <w:tab w:pos="479" w:val="left" w:leader="none"/>
          <w:tab w:pos="480" w:val="left" w:leader="none"/>
        </w:tabs>
        <w:spacing w:line="240" w:lineRule="auto" w:before="10" w:after="0"/>
        <w:ind w:left="479" w:right="0" w:hanging="360"/>
        <w:jc w:val="left"/>
        <w:rPr>
          <w:sz w:val="16"/>
        </w:rPr>
      </w:pPr>
      <w:r>
        <w:rPr>
          <w:w w:val="105"/>
          <w:sz w:val="16"/>
        </w:rPr>
        <w:t>Protestant</w:t>
      </w:r>
    </w:p>
    <w:p>
      <w:pPr>
        <w:pStyle w:val="ListParagraph"/>
        <w:numPr>
          <w:ilvl w:val="0"/>
          <w:numId w:val="26"/>
        </w:numPr>
        <w:tabs>
          <w:tab w:pos="479" w:val="left" w:leader="none"/>
          <w:tab w:pos="480" w:val="left" w:leader="none"/>
        </w:tabs>
        <w:spacing w:line="240" w:lineRule="auto" w:before="13" w:after="0"/>
        <w:ind w:left="479" w:right="0" w:hanging="360"/>
        <w:jc w:val="left"/>
        <w:rPr>
          <w:sz w:val="16"/>
        </w:rPr>
      </w:pPr>
      <w:r>
        <w:rPr>
          <w:w w:val="105"/>
          <w:sz w:val="16"/>
        </w:rPr>
        <w:t>Valid</w:t>
      </w:r>
    </w:p>
    <w:p>
      <w:pPr>
        <w:pStyle w:val="BodyText"/>
        <w:rPr>
          <w:sz w:val="16"/>
        </w:rPr>
      </w:pPr>
    </w:p>
    <w:p>
      <w:pPr>
        <w:pStyle w:val="BodyText"/>
        <w:spacing w:before="10"/>
        <w:rPr>
          <w:sz w:val="18"/>
        </w:rPr>
      </w:pPr>
    </w:p>
    <w:p>
      <w:pPr>
        <w:spacing w:before="0"/>
        <w:ind w:left="119" w:right="0" w:firstLine="0"/>
        <w:jc w:val="left"/>
        <w:rPr>
          <w:sz w:val="16"/>
        </w:rPr>
      </w:pPr>
      <w:r>
        <w:rPr>
          <w:w w:val="105"/>
          <w:sz w:val="16"/>
        </w:rPr>
        <w:t>5.</w:t>
      </w:r>
    </w:p>
    <w:p>
      <w:pPr>
        <w:pStyle w:val="BodyText"/>
        <w:spacing w:before="2"/>
        <w:rPr>
          <w:sz w:val="18"/>
        </w:rPr>
      </w:pPr>
    </w:p>
    <w:p>
      <w:pPr>
        <w:pStyle w:val="ListParagraph"/>
        <w:numPr>
          <w:ilvl w:val="0"/>
          <w:numId w:val="27"/>
        </w:numPr>
        <w:tabs>
          <w:tab w:pos="479" w:val="left" w:leader="none"/>
          <w:tab w:pos="480" w:val="left" w:leader="none"/>
        </w:tabs>
        <w:spacing w:line="240" w:lineRule="auto" w:before="0" w:after="0"/>
        <w:ind w:left="479" w:right="0" w:hanging="360"/>
        <w:jc w:val="left"/>
        <w:rPr>
          <w:sz w:val="16"/>
        </w:rPr>
      </w:pPr>
      <w:r>
        <w:rPr>
          <w:w w:val="105"/>
          <w:sz w:val="16"/>
        </w:rPr>
        <w:t>Appeal</w:t>
      </w:r>
    </w:p>
    <w:p>
      <w:pPr>
        <w:pStyle w:val="ListParagraph"/>
        <w:numPr>
          <w:ilvl w:val="0"/>
          <w:numId w:val="27"/>
        </w:numPr>
        <w:tabs>
          <w:tab w:pos="479" w:val="left" w:leader="none"/>
          <w:tab w:pos="480" w:val="left" w:leader="none"/>
          <w:tab w:pos="2240" w:val="left" w:leader="none"/>
        </w:tabs>
        <w:spacing w:line="240" w:lineRule="auto" w:before="8" w:after="0"/>
        <w:ind w:left="479" w:right="0" w:hanging="360"/>
        <w:jc w:val="left"/>
        <w:rPr>
          <w:sz w:val="16"/>
        </w:rPr>
      </w:pPr>
      <w:r>
        <w:rPr>
          <w:w w:val="105"/>
          <w:sz w:val="16"/>
        </w:rPr>
        <w:t>Ask</w:t>
        <w:tab/>
      </w:r>
      <w:r>
        <w:rPr>
          <w:spacing w:val="2"/>
          <w:w w:val="105"/>
          <w:sz w:val="16"/>
        </w:rPr>
        <w:t>___    </w:t>
      </w:r>
      <w:r>
        <w:rPr>
          <w:w w:val="105"/>
          <w:sz w:val="16"/>
        </w:rPr>
        <w:t>_  including all the parts, details, or</w:t>
      </w:r>
      <w:r>
        <w:rPr>
          <w:spacing w:val="-1"/>
          <w:w w:val="105"/>
          <w:sz w:val="16"/>
        </w:rPr>
        <w:t> </w:t>
      </w:r>
      <w:r>
        <w:rPr>
          <w:w w:val="105"/>
          <w:sz w:val="16"/>
        </w:rPr>
        <w:t>features</w:t>
      </w:r>
    </w:p>
    <w:p>
      <w:pPr>
        <w:pStyle w:val="ListParagraph"/>
        <w:numPr>
          <w:ilvl w:val="0"/>
          <w:numId w:val="27"/>
        </w:numPr>
        <w:tabs>
          <w:tab w:pos="479" w:val="left" w:leader="none"/>
          <w:tab w:pos="480" w:val="left" w:leader="none"/>
          <w:tab w:pos="2240" w:val="left" w:leader="none"/>
        </w:tabs>
        <w:spacing w:line="240" w:lineRule="auto" w:before="13" w:after="0"/>
        <w:ind w:left="479" w:right="0" w:hanging="360"/>
        <w:jc w:val="left"/>
        <w:rPr>
          <w:sz w:val="16"/>
        </w:rPr>
      </w:pPr>
      <w:r>
        <w:rPr>
          <w:w w:val="105"/>
          <w:sz w:val="16"/>
        </w:rPr>
        <w:t>Complete</w:t>
        <w:tab/>
      </w:r>
      <w:r>
        <w:rPr>
          <w:spacing w:val="2"/>
          <w:w w:val="105"/>
          <w:sz w:val="16"/>
        </w:rPr>
        <w:t>___    </w:t>
      </w:r>
      <w:r>
        <w:rPr>
          <w:w w:val="105"/>
          <w:sz w:val="16"/>
        </w:rPr>
        <w:t>_  to continue for a particular distance or in a particular</w:t>
      </w:r>
      <w:r>
        <w:rPr>
          <w:spacing w:val="19"/>
          <w:w w:val="105"/>
          <w:sz w:val="16"/>
        </w:rPr>
        <w:t> </w:t>
      </w:r>
      <w:r>
        <w:rPr>
          <w:w w:val="105"/>
          <w:sz w:val="16"/>
        </w:rPr>
        <w:t>direction.</w:t>
      </w:r>
    </w:p>
    <w:p>
      <w:pPr>
        <w:pStyle w:val="ListParagraph"/>
        <w:numPr>
          <w:ilvl w:val="0"/>
          <w:numId w:val="27"/>
        </w:numPr>
        <w:tabs>
          <w:tab w:pos="479" w:val="left" w:leader="none"/>
          <w:tab w:pos="480" w:val="left" w:leader="none"/>
          <w:tab w:pos="2240" w:val="left" w:leader="none"/>
        </w:tabs>
        <w:spacing w:line="240" w:lineRule="auto" w:before="13" w:after="0"/>
        <w:ind w:left="479" w:right="0" w:hanging="360"/>
        <w:jc w:val="left"/>
        <w:rPr>
          <w:sz w:val="16"/>
        </w:rPr>
      </w:pPr>
      <w:r>
        <w:rPr>
          <w:w w:val="105"/>
          <w:sz w:val="16"/>
        </w:rPr>
        <w:t>Extend</w:t>
        <w:tab/>
      </w:r>
      <w:r>
        <w:rPr>
          <w:spacing w:val="2"/>
          <w:w w:val="105"/>
          <w:sz w:val="16"/>
        </w:rPr>
        <w:t>___    </w:t>
      </w:r>
      <w:r>
        <w:rPr>
          <w:w w:val="105"/>
          <w:sz w:val="16"/>
        </w:rPr>
        <w:t>_  to make an urgent request for people to give you something that you</w:t>
      </w:r>
      <w:r>
        <w:rPr>
          <w:spacing w:val="20"/>
          <w:w w:val="105"/>
          <w:sz w:val="16"/>
        </w:rPr>
        <w:t> </w:t>
      </w:r>
      <w:r>
        <w:rPr>
          <w:w w:val="105"/>
          <w:sz w:val="16"/>
        </w:rPr>
        <w:t>need</w:t>
      </w:r>
    </w:p>
    <w:p>
      <w:pPr>
        <w:pStyle w:val="ListParagraph"/>
        <w:numPr>
          <w:ilvl w:val="0"/>
          <w:numId w:val="27"/>
        </w:numPr>
        <w:tabs>
          <w:tab w:pos="479" w:val="left" w:leader="none"/>
          <w:tab w:pos="480" w:val="left" w:leader="none"/>
        </w:tabs>
        <w:spacing w:line="240" w:lineRule="auto" w:before="8" w:after="0"/>
        <w:ind w:left="479" w:right="0" w:hanging="360"/>
        <w:jc w:val="left"/>
        <w:rPr>
          <w:sz w:val="16"/>
        </w:rPr>
      </w:pPr>
      <w:r>
        <w:rPr>
          <w:w w:val="105"/>
          <w:sz w:val="16"/>
        </w:rPr>
        <w:t>Full</w:t>
      </w:r>
    </w:p>
    <w:p>
      <w:pPr>
        <w:pStyle w:val="ListParagraph"/>
        <w:numPr>
          <w:ilvl w:val="0"/>
          <w:numId w:val="27"/>
        </w:numPr>
        <w:tabs>
          <w:tab w:pos="479" w:val="left" w:leader="none"/>
          <w:tab w:pos="480" w:val="left" w:leader="none"/>
        </w:tabs>
        <w:spacing w:line="240" w:lineRule="auto" w:before="13" w:after="0"/>
        <w:ind w:left="479" w:right="0" w:hanging="360"/>
        <w:jc w:val="left"/>
        <w:rPr>
          <w:sz w:val="16"/>
        </w:rPr>
      </w:pPr>
      <w:r>
        <w:rPr>
          <w:w w:val="105"/>
          <w:sz w:val="16"/>
        </w:rPr>
        <w:t>Carry</w:t>
      </w:r>
    </w:p>
    <w:p>
      <w:pPr>
        <w:pStyle w:val="BodyText"/>
        <w:rPr>
          <w:sz w:val="16"/>
        </w:rPr>
      </w:pPr>
    </w:p>
    <w:p>
      <w:pPr>
        <w:pStyle w:val="BodyText"/>
        <w:spacing w:before="1"/>
        <w:rPr>
          <w:sz w:val="18"/>
        </w:rPr>
      </w:pPr>
    </w:p>
    <w:p>
      <w:pPr>
        <w:spacing w:before="0"/>
        <w:ind w:left="119" w:right="0" w:firstLine="0"/>
        <w:jc w:val="left"/>
        <w:rPr>
          <w:sz w:val="17"/>
        </w:rPr>
      </w:pPr>
      <w:r>
        <w:rPr>
          <w:sz w:val="17"/>
        </w:rPr>
        <w:t>6.</w:t>
      </w:r>
    </w:p>
    <w:p>
      <w:pPr>
        <w:pStyle w:val="BodyText"/>
        <w:rPr>
          <w:sz w:val="18"/>
        </w:rPr>
      </w:pPr>
    </w:p>
    <w:p>
      <w:pPr>
        <w:pStyle w:val="ListParagraph"/>
        <w:numPr>
          <w:ilvl w:val="0"/>
          <w:numId w:val="28"/>
        </w:numPr>
        <w:tabs>
          <w:tab w:pos="479" w:val="left" w:leader="none"/>
          <w:tab w:pos="480" w:val="left" w:leader="none"/>
        </w:tabs>
        <w:spacing w:line="240" w:lineRule="auto" w:before="0" w:after="0"/>
        <w:ind w:left="479" w:right="0" w:hanging="360"/>
        <w:jc w:val="left"/>
        <w:rPr>
          <w:sz w:val="16"/>
        </w:rPr>
      </w:pPr>
      <w:r>
        <w:rPr>
          <w:w w:val="105"/>
          <w:sz w:val="16"/>
        </w:rPr>
        <w:t>Achieve</w:t>
      </w:r>
    </w:p>
    <w:p>
      <w:pPr>
        <w:pStyle w:val="ListParagraph"/>
        <w:numPr>
          <w:ilvl w:val="0"/>
          <w:numId w:val="28"/>
        </w:numPr>
        <w:tabs>
          <w:tab w:pos="479" w:val="left" w:leader="none"/>
          <w:tab w:pos="480" w:val="left" w:leader="none"/>
          <w:tab w:pos="2240" w:val="left" w:leader="none"/>
        </w:tabs>
        <w:spacing w:line="240" w:lineRule="auto" w:before="3" w:after="0"/>
        <w:ind w:left="479" w:right="0" w:hanging="360"/>
        <w:jc w:val="left"/>
        <w:rPr>
          <w:sz w:val="17"/>
        </w:rPr>
      </w:pPr>
      <w:r>
        <w:rPr>
          <w:sz w:val="17"/>
        </w:rPr>
        <w:t>Cost</w:t>
        <w:tab/>
      </w:r>
      <w:r>
        <w:rPr>
          <w:spacing w:val="2"/>
          <w:sz w:val="17"/>
        </w:rPr>
        <w:t>___   </w:t>
      </w:r>
      <w:r>
        <w:rPr>
          <w:sz w:val="17"/>
        </w:rPr>
        <w:t>_  to succeed in doing or having what you intended, usually after a lot of</w:t>
      </w:r>
      <w:r>
        <w:rPr>
          <w:spacing w:val="-3"/>
          <w:sz w:val="17"/>
        </w:rPr>
        <w:t> </w:t>
      </w:r>
      <w:r>
        <w:rPr>
          <w:sz w:val="17"/>
        </w:rPr>
        <w:t>effort</w:t>
      </w:r>
    </w:p>
    <w:p>
      <w:pPr>
        <w:pStyle w:val="ListParagraph"/>
        <w:numPr>
          <w:ilvl w:val="0"/>
          <w:numId w:val="28"/>
        </w:numPr>
        <w:tabs>
          <w:tab w:pos="479" w:val="left" w:leader="none"/>
          <w:tab w:pos="480" w:val="left" w:leader="none"/>
          <w:tab w:pos="2240" w:val="left" w:leader="none"/>
        </w:tabs>
        <w:spacing w:line="240" w:lineRule="auto" w:before="6" w:after="0"/>
        <w:ind w:left="479" w:right="0" w:hanging="360"/>
        <w:jc w:val="left"/>
        <w:rPr>
          <w:sz w:val="16"/>
        </w:rPr>
      </w:pPr>
      <w:r>
        <w:rPr>
          <w:w w:val="105"/>
          <w:sz w:val="16"/>
        </w:rPr>
        <w:t>Inflation</w:t>
        <w:tab/>
      </w:r>
      <w:r>
        <w:rPr>
          <w:spacing w:val="2"/>
          <w:w w:val="105"/>
          <w:sz w:val="16"/>
        </w:rPr>
        <w:t>___    </w:t>
      </w:r>
      <w:r>
        <w:rPr>
          <w:w w:val="105"/>
          <w:sz w:val="16"/>
        </w:rPr>
        <w:t>_  the way someone is</w:t>
      </w:r>
      <w:r>
        <w:rPr>
          <w:spacing w:val="-4"/>
          <w:w w:val="105"/>
          <w:sz w:val="16"/>
        </w:rPr>
        <w:t> </w:t>
      </w:r>
      <w:r>
        <w:rPr>
          <w:w w:val="105"/>
          <w:sz w:val="16"/>
        </w:rPr>
        <w:t>feeling.</w:t>
      </w:r>
    </w:p>
    <w:p>
      <w:pPr>
        <w:pStyle w:val="ListParagraph"/>
        <w:numPr>
          <w:ilvl w:val="0"/>
          <w:numId w:val="28"/>
        </w:numPr>
        <w:tabs>
          <w:tab w:pos="479" w:val="left" w:leader="none"/>
          <w:tab w:pos="480" w:val="left" w:leader="none"/>
          <w:tab w:pos="2240" w:val="left" w:leader="none"/>
        </w:tabs>
        <w:spacing w:line="240" w:lineRule="auto" w:before="13" w:after="0"/>
        <w:ind w:left="479" w:right="0" w:hanging="360"/>
        <w:jc w:val="left"/>
        <w:rPr>
          <w:sz w:val="16"/>
        </w:rPr>
      </w:pPr>
      <w:r>
        <w:rPr>
          <w:w w:val="105"/>
          <w:sz w:val="16"/>
        </w:rPr>
        <w:t>Mood</w:t>
        <w:tab/>
      </w:r>
      <w:r>
        <w:rPr>
          <w:spacing w:val="2"/>
          <w:w w:val="105"/>
          <w:sz w:val="16"/>
        </w:rPr>
        <w:t>___    </w:t>
      </w:r>
      <w:r>
        <w:rPr>
          <w:w w:val="105"/>
          <w:sz w:val="16"/>
        </w:rPr>
        <w:t>_  </w:t>
      </w:r>
      <w:r>
        <w:rPr>
          <w:spacing w:val="-4"/>
          <w:w w:val="105"/>
          <w:sz w:val="16"/>
        </w:rPr>
        <w:t>an </w:t>
      </w:r>
      <w:r>
        <w:rPr>
          <w:w w:val="105"/>
          <w:sz w:val="16"/>
        </w:rPr>
        <w:t>economic process in which prices</w:t>
      </w:r>
      <w:r>
        <w:rPr>
          <w:spacing w:val="14"/>
          <w:w w:val="105"/>
          <w:sz w:val="16"/>
        </w:rPr>
        <w:t> </w:t>
      </w:r>
      <w:r>
        <w:rPr>
          <w:w w:val="105"/>
          <w:sz w:val="16"/>
        </w:rPr>
        <w:t>increase</w:t>
      </w:r>
    </w:p>
    <w:p>
      <w:pPr>
        <w:pStyle w:val="ListParagraph"/>
        <w:numPr>
          <w:ilvl w:val="0"/>
          <w:numId w:val="28"/>
        </w:numPr>
        <w:tabs>
          <w:tab w:pos="479" w:val="left" w:leader="none"/>
          <w:tab w:pos="480" w:val="left" w:leader="none"/>
        </w:tabs>
        <w:spacing w:line="240" w:lineRule="auto" w:before="3" w:after="0"/>
        <w:ind w:left="479" w:right="0" w:hanging="360"/>
        <w:jc w:val="left"/>
        <w:rPr>
          <w:sz w:val="17"/>
        </w:rPr>
      </w:pPr>
      <w:r>
        <w:rPr>
          <w:sz w:val="17"/>
        </w:rPr>
        <w:t>Sad</w:t>
      </w:r>
    </w:p>
    <w:p>
      <w:pPr>
        <w:pStyle w:val="ListParagraph"/>
        <w:numPr>
          <w:ilvl w:val="0"/>
          <w:numId w:val="28"/>
        </w:numPr>
        <w:tabs>
          <w:tab w:pos="479" w:val="left" w:leader="none"/>
          <w:tab w:pos="480" w:val="left" w:leader="none"/>
        </w:tabs>
        <w:spacing w:line="240" w:lineRule="auto" w:before="6" w:after="0"/>
        <w:ind w:left="479" w:right="0" w:hanging="360"/>
        <w:jc w:val="left"/>
        <w:rPr>
          <w:sz w:val="16"/>
        </w:rPr>
      </w:pPr>
      <w:r>
        <w:rPr>
          <w:w w:val="105"/>
          <w:sz w:val="16"/>
        </w:rPr>
        <w:t>Execute</w:t>
      </w:r>
    </w:p>
    <w:p>
      <w:pPr>
        <w:spacing w:after="0" w:line="240" w:lineRule="auto"/>
        <w:jc w:val="left"/>
        <w:rPr>
          <w:sz w:val="16"/>
        </w:rPr>
        <w:sectPr>
          <w:pgSz w:w="11910" w:h="16840"/>
          <w:pgMar w:header="732" w:footer="0" w:top="1160" w:bottom="280" w:left="1580" w:right="860"/>
        </w:sectPr>
      </w:pPr>
    </w:p>
    <w:p>
      <w:pPr>
        <w:pStyle w:val="BodyText"/>
        <w:spacing w:before="11"/>
        <w:rPr>
          <w:sz w:val="14"/>
        </w:rPr>
      </w:pPr>
    </w:p>
    <w:p>
      <w:pPr>
        <w:spacing w:before="76"/>
        <w:ind w:left="119" w:right="0" w:firstLine="0"/>
        <w:jc w:val="left"/>
        <w:rPr>
          <w:b/>
          <w:sz w:val="20"/>
        </w:rPr>
      </w:pPr>
      <w:r>
        <w:rPr>
          <w:b/>
          <w:sz w:val="20"/>
        </w:rPr>
        <w:t>SECOND SECTION</w:t>
      </w:r>
    </w:p>
    <w:p>
      <w:pPr>
        <w:pStyle w:val="BodyText"/>
        <w:spacing w:before="3"/>
        <w:rPr>
          <w:b/>
          <w:sz w:val="18"/>
        </w:rPr>
      </w:pPr>
    </w:p>
    <w:p>
      <w:pPr>
        <w:spacing w:before="0"/>
        <w:ind w:left="119" w:right="0" w:firstLine="0"/>
        <w:jc w:val="left"/>
        <w:rPr>
          <w:sz w:val="16"/>
        </w:rPr>
      </w:pPr>
      <w:r>
        <w:rPr>
          <w:w w:val="105"/>
          <w:sz w:val="16"/>
        </w:rPr>
        <w:t>1.</w:t>
      </w:r>
    </w:p>
    <w:p>
      <w:pPr>
        <w:pStyle w:val="BodyText"/>
        <w:spacing w:before="4"/>
        <w:rPr>
          <w:sz w:val="17"/>
        </w:rPr>
      </w:pPr>
    </w:p>
    <w:p>
      <w:pPr>
        <w:pStyle w:val="ListParagraph"/>
        <w:numPr>
          <w:ilvl w:val="0"/>
          <w:numId w:val="29"/>
        </w:numPr>
        <w:tabs>
          <w:tab w:pos="824" w:val="left" w:leader="none"/>
          <w:tab w:pos="825" w:val="left" w:leader="none"/>
        </w:tabs>
        <w:spacing w:line="194" w:lineRule="exact" w:before="0" w:after="0"/>
        <w:ind w:left="824" w:right="0" w:hanging="705"/>
        <w:jc w:val="left"/>
        <w:rPr>
          <w:sz w:val="17"/>
        </w:rPr>
      </w:pPr>
      <w:r>
        <w:rPr>
          <w:sz w:val="17"/>
        </w:rPr>
        <w:t>Aggression</w:t>
      </w:r>
    </w:p>
    <w:p>
      <w:pPr>
        <w:pStyle w:val="ListParagraph"/>
        <w:numPr>
          <w:ilvl w:val="0"/>
          <w:numId w:val="29"/>
        </w:numPr>
        <w:tabs>
          <w:tab w:pos="824" w:val="left" w:leader="none"/>
          <w:tab w:pos="825" w:val="left" w:leader="none"/>
          <w:tab w:pos="2240" w:val="left" w:leader="none"/>
        </w:tabs>
        <w:spacing w:line="194" w:lineRule="exact" w:before="0" w:after="0"/>
        <w:ind w:left="824" w:right="0" w:hanging="705"/>
        <w:jc w:val="left"/>
        <w:rPr>
          <w:sz w:val="17"/>
        </w:rPr>
      </w:pPr>
      <w:r>
        <w:rPr>
          <w:sz w:val="17"/>
        </w:rPr>
        <w:t>Compensate</w:t>
        <w:tab/>
      </w:r>
      <w:r>
        <w:rPr>
          <w:spacing w:val="2"/>
          <w:sz w:val="17"/>
        </w:rPr>
        <w:t>___   </w:t>
      </w:r>
      <w:r>
        <w:rPr>
          <w:sz w:val="17"/>
        </w:rPr>
        <w:t>_  to do or give something to somebody in return for</w:t>
      </w:r>
      <w:r>
        <w:rPr>
          <w:spacing w:val="10"/>
          <w:sz w:val="17"/>
        </w:rPr>
        <w:t> </w:t>
      </w:r>
      <w:r>
        <w:rPr>
          <w:sz w:val="17"/>
        </w:rPr>
        <w:t>something</w:t>
      </w:r>
    </w:p>
    <w:p>
      <w:pPr>
        <w:pStyle w:val="ListParagraph"/>
        <w:numPr>
          <w:ilvl w:val="0"/>
          <w:numId w:val="29"/>
        </w:numPr>
        <w:tabs>
          <w:tab w:pos="824" w:val="left" w:leader="none"/>
          <w:tab w:pos="825" w:val="left" w:leader="none"/>
          <w:tab w:pos="2240" w:val="left" w:leader="none"/>
        </w:tabs>
        <w:spacing w:line="240" w:lineRule="auto" w:before="1" w:after="0"/>
        <w:ind w:left="824" w:right="0" w:hanging="705"/>
        <w:jc w:val="left"/>
        <w:rPr>
          <w:sz w:val="17"/>
        </w:rPr>
      </w:pPr>
      <w:r>
        <w:rPr>
          <w:sz w:val="17"/>
        </w:rPr>
        <w:t>Heal</w:t>
        <w:tab/>
      </w:r>
      <w:r>
        <w:rPr>
          <w:spacing w:val="2"/>
          <w:sz w:val="17"/>
        </w:rPr>
        <w:t>___   </w:t>
      </w:r>
      <w:r>
        <w:rPr>
          <w:sz w:val="17"/>
        </w:rPr>
        <w:t>_  unfriendly or harmful action against</w:t>
      </w:r>
      <w:r>
        <w:rPr>
          <w:spacing w:val="10"/>
          <w:sz w:val="17"/>
        </w:rPr>
        <w:t> </w:t>
      </w:r>
      <w:r>
        <w:rPr>
          <w:sz w:val="17"/>
        </w:rPr>
        <w:t>someone</w:t>
      </w:r>
    </w:p>
    <w:p>
      <w:pPr>
        <w:pStyle w:val="ListParagraph"/>
        <w:numPr>
          <w:ilvl w:val="0"/>
          <w:numId w:val="29"/>
        </w:numPr>
        <w:tabs>
          <w:tab w:pos="824" w:val="left" w:leader="none"/>
          <w:tab w:pos="825" w:val="left" w:leader="none"/>
          <w:tab w:pos="2240" w:val="left" w:leader="none"/>
        </w:tabs>
        <w:spacing w:line="240" w:lineRule="auto" w:before="10" w:after="0"/>
        <w:ind w:left="824" w:right="0" w:hanging="705"/>
        <w:jc w:val="left"/>
        <w:rPr>
          <w:sz w:val="16"/>
        </w:rPr>
      </w:pPr>
      <w:r>
        <w:rPr>
          <w:w w:val="105"/>
          <w:sz w:val="16"/>
        </w:rPr>
        <w:t>Murder</w:t>
        <w:tab/>
      </w:r>
      <w:r>
        <w:rPr>
          <w:spacing w:val="2"/>
          <w:w w:val="105"/>
          <w:sz w:val="16"/>
        </w:rPr>
        <w:t>___    </w:t>
      </w:r>
      <w:r>
        <w:rPr>
          <w:w w:val="105"/>
          <w:sz w:val="16"/>
        </w:rPr>
        <w:t>_  to become healthy</w:t>
      </w:r>
      <w:r>
        <w:rPr>
          <w:spacing w:val="-7"/>
          <w:w w:val="105"/>
          <w:sz w:val="16"/>
        </w:rPr>
        <w:t> </w:t>
      </w:r>
      <w:r>
        <w:rPr>
          <w:w w:val="105"/>
          <w:sz w:val="16"/>
        </w:rPr>
        <w:t>again</w:t>
      </w:r>
    </w:p>
    <w:p>
      <w:pPr>
        <w:pStyle w:val="ListParagraph"/>
        <w:numPr>
          <w:ilvl w:val="0"/>
          <w:numId w:val="29"/>
        </w:numPr>
        <w:tabs>
          <w:tab w:pos="824" w:val="left" w:leader="none"/>
          <w:tab w:pos="825" w:val="left" w:leader="none"/>
        </w:tabs>
        <w:spacing w:line="240" w:lineRule="auto" w:before="8" w:after="0"/>
        <w:ind w:left="824" w:right="0" w:hanging="705"/>
        <w:jc w:val="left"/>
        <w:rPr>
          <w:sz w:val="16"/>
        </w:rPr>
      </w:pPr>
      <w:r>
        <w:rPr>
          <w:w w:val="105"/>
          <w:sz w:val="16"/>
        </w:rPr>
        <w:t>Fix</w:t>
      </w:r>
    </w:p>
    <w:p>
      <w:pPr>
        <w:pStyle w:val="ListParagraph"/>
        <w:numPr>
          <w:ilvl w:val="0"/>
          <w:numId w:val="29"/>
        </w:numPr>
        <w:tabs>
          <w:tab w:pos="824" w:val="left" w:leader="none"/>
          <w:tab w:pos="825" w:val="left" w:leader="none"/>
        </w:tabs>
        <w:spacing w:line="240" w:lineRule="auto" w:before="13" w:after="0"/>
        <w:ind w:left="824" w:right="0" w:hanging="705"/>
        <w:jc w:val="left"/>
        <w:rPr>
          <w:sz w:val="16"/>
        </w:rPr>
      </w:pPr>
      <w:r>
        <w:rPr>
          <w:w w:val="105"/>
          <w:sz w:val="16"/>
        </w:rPr>
        <w:t>Sick</w:t>
      </w:r>
    </w:p>
    <w:p>
      <w:pPr>
        <w:pStyle w:val="BodyText"/>
        <w:rPr>
          <w:sz w:val="16"/>
        </w:rPr>
      </w:pPr>
    </w:p>
    <w:p>
      <w:pPr>
        <w:pStyle w:val="BodyText"/>
        <w:spacing w:before="1"/>
        <w:rPr>
          <w:sz w:val="18"/>
        </w:rPr>
      </w:pPr>
    </w:p>
    <w:p>
      <w:pPr>
        <w:spacing w:before="0"/>
        <w:ind w:left="119" w:right="0" w:firstLine="0"/>
        <w:jc w:val="left"/>
        <w:rPr>
          <w:sz w:val="17"/>
        </w:rPr>
      </w:pPr>
      <w:r>
        <w:rPr>
          <w:sz w:val="17"/>
        </w:rPr>
        <w:t>2.</w:t>
      </w:r>
    </w:p>
    <w:p>
      <w:pPr>
        <w:pStyle w:val="BodyText"/>
        <w:spacing w:before="2"/>
        <w:rPr>
          <w:sz w:val="17"/>
        </w:rPr>
      </w:pPr>
    </w:p>
    <w:p>
      <w:pPr>
        <w:pStyle w:val="ListParagraph"/>
        <w:numPr>
          <w:ilvl w:val="0"/>
          <w:numId w:val="30"/>
        </w:numPr>
        <w:tabs>
          <w:tab w:pos="824" w:val="left" w:leader="none"/>
          <w:tab w:pos="825" w:val="left" w:leader="none"/>
        </w:tabs>
        <w:spacing w:line="240" w:lineRule="auto" w:before="0" w:after="0"/>
        <w:ind w:left="824" w:right="0" w:hanging="705"/>
        <w:jc w:val="left"/>
        <w:rPr>
          <w:sz w:val="17"/>
        </w:rPr>
      </w:pPr>
      <w:r>
        <w:rPr>
          <w:sz w:val="17"/>
        </w:rPr>
        <w:t>Acceptance</w:t>
      </w:r>
    </w:p>
    <w:p>
      <w:pPr>
        <w:pStyle w:val="ListParagraph"/>
        <w:numPr>
          <w:ilvl w:val="0"/>
          <w:numId w:val="30"/>
        </w:numPr>
        <w:tabs>
          <w:tab w:pos="824" w:val="left" w:leader="none"/>
          <w:tab w:pos="825" w:val="left" w:leader="none"/>
          <w:tab w:pos="2240" w:val="left" w:leader="none"/>
        </w:tabs>
        <w:spacing w:line="240" w:lineRule="auto" w:before="6" w:after="0"/>
        <w:ind w:left="824" w:right="0" w:hanging="705"/>
        <w:jc w:val="left"/>
        <w:rPr>
          <w:sz w:val="16"/>
        </w:rPr>
      </w:pPr>
      <w:r>
        <w:rPr>
          <w:w w:val="105"/>
          <w:sz w:val="16"/>
        </w:rPr>
        <w:t>Beam</w:t>
        <w:tab/>
      </w:r>
      <w:r>
        <w:rPr>
          <w:spacing w:val="2"/>
          <w:w w:val="105"/>
          <w:sz w:val="16"/>
        </w:rPr>
        <w:t>___    </w:t>
      </w:r>
      <w:r>
        <w:rPr>
          <w:w w:val="105"/>
          <w:sz w:val="16"/>
        </w:rPr>
        <w:t>_  a long thick piece of wood, metal, or concrete that supports a</w:t>
      </w:r>
      <w:r>
        <w:rPr>
          <w:spacing w:val="7"/>
          <w:w w:val="105"/>
          <w:sz w:val="16"/>
        </w:rPr>
        <w:t> </w:t>
      </w:r>
      <w:r>
        <w:rPr>
          <w:w w:val="105"/>
          <w:sz w:val="16"/>
        </w:rPr>
        <w:t>roof</w:t>
      </w:r>
    </w:p>
    <w:p>
      <w:pPr>
        <w:pStyle w:val="ListParagraph"/>
        <w:numPr>
          <w:ilvl w:val="0"/>
          <w:numId w:val="30"/>
        </w:numPr>
        <w:tabs>
          <w:tab w:pos="824" w:val="left" w:leader="none"/>
          <w:tab w:pos="825" w:val="left" w:leader="none"/>
          <w:tab w:pos="2240" w:val="left" w:leader="none"/>
        </w:tabs>
        <w:spacing w:line="240" w:lineRule="auto" w:before="3" w:after="0"/>
        <w:ind w:left="824" w:right="0" w:hanging="705"/>
        <w:jc w:val="left"/>
        <w:rPr>
          <w:sz w:val="17"/>
        </w:rPr>
      </w:pPr>
      <w:r>
        <w:rPr>
          <w:sz w:val="17"/>
        </w:rPr>
        <w:t>Bury</w:t>
        <w:tab/>
      </w:r>
      <w:r>
        <w:rPr>
          <w:spacing w:val="2"/>
          <w:sz w:val="17"/>
        </w:rPr>
        <w:t>___    </w:t>
      </w:r>
      <w:r>
        <w:rPr>
          <w:sz w:val="17"/>
        </w:rPr>
        <w:t>_  to hide in the</w:t>
      </w:r>
      <w:r>
        <w:rPr>
          <w:spacing w:val="-28"/>
          <w:sz w:val="17"/>
        </w:rPr>
        <w:t> </w:t>
      </w:r>
      <w:r>
        <w:rPr>
          <w:sz w:val="17"/>
        </w:rPr>
        <w:t>ground</w:t>
      </w:r>
    </w:p>
    <w:p>
      <w:pPr>
        <w:pStyle w:val="ListParagraph"/>
        <w:numPr>
          <w:ilvl w:val="0"/>
          <w:numId w:val="30"/>
        </w:numPr>
        <w:tabs>
          <w:tab w:pos="824" w:val="left" w:leader="none"/>
          <w:tab w:pos="825" w:val="left" w:leader="none"/>
          <w:tab w:pos="2240" w:val="left" w:leader="none"/>
        </w:tabs>
        <w:spacing w:line="240" w:lineRule="auto" w:before="10" w:after="0"/>
        <w:ind w:left="824" w:right="0" w:hanging="705"/>
        <w:jc w:val="left"/>
        <w:rPr>
          <w:sz w:val="16"/>
        </w:rPr>
      </w:pPr>
      <w:r>
        <w:rPr>
          <w:w w:val="105"/>
          <w:sz w:val="16"/>
        </w:rPr>
        <w:t>Cover</w:t>
        <w:tab/>
      </w:r>
      <w:r>
        <w:rPr>
          <w:spacing w:val="2"/>
          <w:w w:val="105"/>
          <w:sz w:val="16"/>
        </w:rPr>
        <w:t>___    </w:t>
      </w:r>
      <w:r>
        <w:rPr>
          <w:w w:val="105"/>
          <w:sz w:val="16"/>
        </w:rPr>
        <w:t>_  general agreement that something is true or</w:t>
      </w:r>
      <w:r>
        <w:rPr>
          <w:spacing w:val="9"/>
          <w:w w:val="105"/>
          <w:sz w:val="16"/>
        </w:rPr>
        <w:t> </w:t>
      </w:r>
      <w:r>
        <w:rPr>
          <w:w w:val="105"/>
          <w:sz w:val="16"/>
        </w:rPr>
        <w:t>important</w:t>
      </w:r>
    </w:p>
    <w:p>
      <w:pPr>
        <w:pStyle w:val="ListParagraph"/>
        <w:numPr>
          <w:ilvl w:val="0"/>
          <w:numId w:val="30"/>
        </w:numPr>
        <w:tabs>
          <w:tab w:pos="824" w:val="left" w:leader="none"/>
          <w:tab w:pos="825" w:val="left" w:leader="none"/>
        </w:tabs>
        <w:spacing w:line="240" w:lineRule="auto" w:before="3" w:after="0"/>
        <w:ind w:left="824" w:right="0" w:hanging="705"/>
        <w:jc w:val="left"/>
        <w:rPr>
          <w:sz w:val="17"/>
        </w:rPr>
      </w:pPr>
      <w:r>
        <w:rPr>
          <w:sz w:val="17"/>
        </w:rPr>
        <w:t>Tower</w:t>
      </w:r>
    </w:p>
    <w:p>
      <w:pPr>
        <w:pStyle w:val="ListParagraph"/>
        <w:numPr>
          <w:ilvl w:val="0"/>
          <w:numId w:val="30"/>
        </w:numPr>
        <w:tabs>
          <w:tab w:pos="824" w:val="left" w:leader="none"/>
          <w:tab w:pos="825" w:val="left" w:leader="none"/>
        </w:tabs>
        <w:spacing w:line="240" w:lineRule="auto" w:before="6" w:after="0"/>
        <w:ind w:left="824" w:right="0" w:hanging="705"/>
        <w:jc w:val="left"/>
        <w:rPr>
          <w:sz w:val="16"/>
        </w:rPr>
      </w:pPr>
      <w:r>
        <w:rPr>
          <w:w w:val="105"/>
          <w:sz w:val="16"/>
        </w:rPr>
        <w:t>Recognition</w:t>
      </w:r>
    </w:p>
    <w:p>
      <w:pPr>
        <w:pStyle w:val="BodyText"/>
        <w:rPr>
          <w:sz w:val="16"/>
        </w:rPr>
      </w:pPr>
    </w:p>
    <w:p>
      <w:pPr>
        <w:pStyle w:val="BodyText"/>
        <w:spacing w:before="6"/>
        <w:rPr>
          <w:sz w:val="18"/>
        </w:rPr>
      </w:pPr>
    </w:p>
    <w:p>
      <w:pPr>
        <w:spacing w:before="0"/>
        <w:ind w:left="119" w:right="0" w:firstLine="0"/>
        <w:jc w:val="left"/>
        <w:rPr>
          <w:sz w:val="17"/>
        </w:rPr>
      </w:pPr>
      <w:r>
        <w:rPr>
          <w:sz w:val="17"/>
        </w:rPr>
        <w:t>3.</w:t>
      </w:r>
    </w:p>
    <w:p>
      <w:pPr>
        <w:pStyle w:val="BodyText"/>
        <w:spacing w:before="9"/>
        <w:rPr>
          <w:sz w:val="16"/>
        </w:rPr>
      </w:pPr>
    </w:p>
    <w:p>
      <w:pPr>
        <w:pStyle w:val="ListParagraph"/>
        <w:numPr>
          <w:ilvl w:val="0"/>
          <w:numId w:val="31"/>
        </w:numPr>
        <w:tabs>
          <w:tab w:pos="824" w:val="left" w:leader="none"/>
          <w:tab w:pos="825" w:val="left" w:leader="none"/>
        </w:tabs>
        <w:spacing w:line="240" w:lineRule="auto" w:before="0" w:after="0"/>
        <w:ind w:left="824" w:right="0" w:hanging="705"/>
        <w:jc w:val="left"/>
        <w:rPr>
          <w:sz w:val="17"/>
        </w:rPr>
      </w:pPr>
      <w:r>
        <w:rPr>
          <w:sz w:val="17"/>
        </w:rPr>
        <w:t>Crack</w:t>
      </w:r>
    </w:p>
    <w:p>
      <w:pPr>
        <w:pStyle w:val="ListParagraph"/>
        <w:numPr>
          <w:ilvl w:val="0"/>
          <w:numId w:val="31"/>
        </w:numPr>
        <w:tabs>
          <w:tab w:pos="824" w:val="left" w:leader="none"/>
          <w:tab w:pos="825" w:val="left" w:leader="none"/>
          <w:tab w:pos="2240" w:val="left" w:leader="none"/>
        </w:tabs>
        <w:spacing w:line="183" w:lineRule="exact" w:before="10" w:after="0"/>
        <w:ind w:left="824" w:right="0" w:hanging="705"/>
        <w:jc w:val="left"/>
        <w:rPr>
          <w:sz w:val="16"/>
        </w:rPr>
      </w:pPr>
      <w:r>
        <w:rPr>
          <w:w w:val="105"/>
          <w:sz w:val="16"/>
        </w:rPr>
        <w:t>Fate</w:t>
        <w:tab/>
      </w:r>
      <w:r>
        <w:rPr>
          <w:spacing w:val="2"/>
          <w:w w:val="105"/>
          <w:sz w:val="16"/>
        </w:rPr>
        <w:t>___    </w:t>
      </w:r>
      <w:r>
        <w:rPr>
          <w:w w:val="105"/>
          <w:sz w:val="16"/>
        </w:rPr>
        <w:t>_  a line on a surface where something is beginning to break</w:t>
      </w:r>
      <w:r>
        <w:rPr>
          <w:spacing w:val="10"/>
          <w:w w:val="105"/>
          <w:sz w:val="16"/>
        </w:rPr>
        <w:t> </w:t>
      </w:r>
      <w:r>
        <w:rPr>
          <w:w w:val="105"/>
          <w:sz w:val="16"/>
        </w:rPr>
        <w:t>apart</w:t>
      </w:r>
    </w:p>
    <w:p>
      <w:pPr>
        <w:pStyle w:val="ListParagraph"/>
        <w:numPr>
          <w:ilvl w:val="0"/>
          <w:numId w:val="31"/>
        </w:numPr>
        <w:tabs>
          <w:tab w:pos="824" w:val="left" w:leader="none"/>
          <w:tab w:pos="825" w:val="left" w:leader="none"/>
          <w:tab w:pos="2240" w:val="left" w:leader="none"/>
        </w:tabs>
        <w:spacing w:line="195" w:lineRule="exact" w:before="0" w:after="0"/>
        <w:ind w:left="824" w:right="0" w:hanging="705"/>
        <w:jc w:val="left"/>
        <w:rPr>
          <w:sz w:val="17"/>
        </w:rPr>
      </w:pPr>
      <w:r>
        <w:rPr>
          <w:sz w:val="17"/>
        </w:rPr>
        <w:t>Glass</w:t>
        <w:tab/>
      </w:r>
      <w:r>
        <w:rPr>
          <w:spacing w:val="2"/>
          <w:sz w:val="17"/>
        </w:rPr>
        <w:t>___   </w:t>
      </w:r>
      <w:r>
        <w:rPr>
          <w:sz w:val="17"/>
        </w:rPr>
        <w:t>_  able to make other people think or behave in some</w:t>
      </w:r>
      <w:r>
        <w:rPr>
          <w:spacing w:val="1"/>
          <w:sz w:val="17"/>
        </w:rPr>
        <w:t> </w:t>
      </w:r>
      <w:r>
        <w:rPr>
          <w:sz w:val="17"/>
        </w:rPr>
        <w:t>way</w:t>
      </w:r>
    </w:p>
    <w:p>
      <w:pPr>
        <w:pStyle w:val="ListParagraph"/>
        <w:numPr>
          <w:ilvl w:val="0"/>
          <w:numId w:val="31"/>
        </w:numPr>
        <w:tabs>
          <w:tab w:pos="824" w:val="left" w:leader="none"/>
          <w:tab w:pos="825" w:val="left" w:leader="none"/>
          <w:tab w:pos="2240" w:val="left" w:leader="none"/>
        </w:tabs>
        <w:spacing w:line="240" w:lineRule="auto" w:before="1" w:after="0"/>
        <w:ind w:left="824" w:right="0" w:hanging="705"/>
        <w:jc w:val="left"/>
        <w:rPr>
          <w:sz w:val="17"/>
        </w:rPr>
      </w:pPr>
      <w:r>
        <w:rPr>
          <w:sz w:val="17"/>
        </w:rPr>
        <w:t>Influential</w:t>
        <w:tab/>
      </w:r>
      <w:r>
        <w:rPr>
          <w:spacing w:val="2"/>
          <w:sz w:val="17"/>
        </w:rPr>
        <w:t>___   </w:t>
      </w:r>
      <w:r>
        <w:rPr>
          <w:sz w:val="17"/>
        </w:rPr>
        <w:t>_  a force believed to determine in advance everything that happens</w:t>
      </w:r>
    </w:p>
    <w:p>
      <w:pPr>
        <w:pStyle w:val="ListParagraph"/>
        <w:numPr>
          <w:ilvl w:val="0"/>
          <w:numId w:val="31"/>
        </w:numPr>
        <w:tabs>
          <w:tab w:pos="824" w:val="left" w:leader="none"/>
          <w:tab w:pos="825" w:val="left" w:leader="none"/>
        </w:tabs>
        <w:spacing w:line="240" w:lineRule="auto" w:before="1" w:after="0"/>
        <w:ind w:left="824" w:right="0" w:hanging="705"/>
        <w:jc w:val="left"/>
        <w:rPr>
          <w:sz w:val="17"/>
        </w:rPr>
      </w:pPr>
      <w:r>
        <w:rPr>
          <w:sz w:val="17"/>
        </w:rPr>
        <w:t>Power</w:t>
      </w:r>
    </w:p>
    <w:p>
      <w:pPr>
        <w:pStyle w:val="ListParagraph"/>
        <w:numPr>
          <w:ilvl w:val="0"/>
          <w:numId w:val="31"/>
        </w:numPr>
        <w:tabs>
          <w:tab w:pos="824" w:val="left" w:leader="none"/>
          <w:tab w:pos="825" w:val="left" w:leader="none"/>
        </w:tabs>
        <w:spacing w:line="240" w:lineRule="auto" w:before="1" w:after="0"/>
        <w:ind w:left="824" w:right="0" w:hanging="705"/>
        <w:jc w:val="left"/>
        <w:rPr>
          <w:sz w:val="17"/>
        </w:rPr>
      </w:pPr>
      <w:r>
        <w:rPr>
          <w:sz w:val="17"/>
        </w:rPr>
        <w:t>Predict</w:t>
      </w:r>
    </w:p>
    <w:p>
      <w:pPr>
        <w:pStyle w:val="BodyText"/>
        <w:rPr>
          <w:sz w:val="16"/>
        </w:rPr>
      </w:pPr>
    </w:p>
    <w:p>
      <w:pPr>
        <w:pStyle w:val="BodyText"/>
        <w:spacing w:before="10"/>
        <w:rPr>
          <w:sz w:val="17"/>
        </w:rPr>
      </w:pPr>
    </w:p>
    <w:p>
      <w:pPr>
        <w:spacing w:before="0"/>
        <w:ind w:left="119" w:right="0" w:firstLine="0"/>
        <w:jc w:val="left"/>
        <w:rPr>
          <w:sz w:val="17"/>
        </w:rPr>
      </w:pPr>
      <w:r>
        <w:rPr>
          <w:sz w:val="17"/>
        </w:rPr>
        <w:t>4.</w:t>
      </w:r>
    </w:p>
    <w:p>
      <w:pPr>
        <w:pStyle w:val="BodyText"/>
        <w:spacing w:before="9"/>
        <w:rPr>
          <w:sz w:val="16"/>
        </w:rPr>
      </w:pPr>
    </w:p>
    <w:p>
      <w:pPr>
        <w:pStyle w:val="ListParagraph"/>
        <w:numPr>
          <w:ilvl w:val="0"/>
          <w:numId w:val="32"/>
        </w:numPr>
        <w:tabs>
          <w:tab w:pos="824" w:val="left" w:leader="none"/>
          <w:tab w:pos="825" w:val="left" w:leader="none"/>
        </w:tabs>
        <w:spacing w:line="240" w:lineRule="auto" w:before="0" w:after="0"/>
        <w:ind w:left="824" w:right="0" w:hanging="705"/>
        <w:jc w:val="left"/>
        <w:rPr>
          <w:sz w:val="17"/>
        </w:rPr>
      </w:pPr>
      <w:r>
        <w:rPr>
          <w:sz w:val="17"/>
        </w:rPr>
        <w:t>Eagle</w:t>
      </w:r>
    </w:p>
    <w:p>
      <w:pPr>
        <w:pStyle w:val="ListParagraph"/>
        <w:numPr>
          <w:ilvl w:val="0"/>
          <w:numId w:val="32"/>
        </w:numPr>
        <w:tabs>
          <w:tab w:pos="824" w:val="left" w:leader="none"/>
          <w:tab w:pos="825" w:val="left" w:leader="none"/>
          <w:tab w:pos="2240" w:val="left" w:leader="none"/>
        </w:tabs>
        <w:spacing w:line="240" w:lineRule="auto" w:before="1" w:after="0"/>
        <w:ind w:left="824" w:right="0" w:hanging="705"/>
        <w:jc w:val="left"/>
        <w:rPr>
          <w:sz w:val="17"/>
        </w:rPr>
      </w:pPr>
      <w:r>
        <w:rPr>
          <w:sz w:val="17"/>
        </w:rPr>
        <w:t>Fox</w:t>
        <w:tab/>
      </w:r>
      <w:r>
        <w:rPr>
          <w:spacing w:val="2"/>
          <w:sz w:val="17"/>
        </w:rPr>
        <w:t>___   </w:t>
      </w:r>
      <w:r>
        <w:rPr>
          <w:sz w:val="17"/>
        </w:rPr>
        <w:t>_  money or property that you arrange for someone to </w:t>
      </w:r>
      <w:r>
        <w:rPr>
          <w:spacing w:val="2"/>
          <w:sz w:val="17"/>
        </w:rPr>
        <w:t>have </w:t>
      </w:r>
      <w:r>
        <w:rPr>
          <w:sz w:val="17"/>
        </w:rPr>
        <w:t>after you</w:t>
      </w:r>
      <w:r>
        <w:rPr>
          <w:spacing w:val="-13"/>
          <w:sz w:val="17"/>
        </w:rPr>
        <w:t> </w:t>
      </w:r>
      <w:r>
        <w:rPr>
          <w:sz w:val="17"/>
        </w:rPr>
        <w:t>die</w:t>
      </w:r>
    </w:p>
    <w:p>
      <w:pPr>
        <w:pStyle w:val="ListParagraph"/>
        <w:numPr>
          <w:ilvl w:val="0"/>
          <w:numId w:val="32"/>
        </w:numPr>
        <w:tabs>
          <w:tab w:pos="824" w:val="left" w:leader="none"/>
          <w:tab w:pos="825" w:val="left" w:leader="none"/>
          <w:tab w:pos="2240" w:val="left" w:leader="none"/>
        </w:tabs>
        <w:spacing w:line="183" w:lineRule="exact" w:before="10" w:after="0"/>
        <w:ind w:left="824" w:right="0" w:hanging="705"/>
        <w:jc w:val="left"/>
        <w:rPr>
          <w:sz w:val="16"/>
        </w:rPr>
      </w:pPr>
      <w:r>
        <w:rPr>
          <w:w w:val="105"/>
          <w:sz w:val="16"/>
        </w:rPr>
        <w:t>Gap</w:t>
        <w:tab/>
      </w:r>
      <w:r>
        <w:rPr>
          <w:spacing w:val="2"/>
          <w:w w:val="105"/>
          <w:sz w:val="16"/>
        </w:rPr>
        <w:t>___    </w:t>
      </w:r>
      <w:r>
        <w:rPr>
          <w:w w:val="105"/>
          <w:sz w:val="16"/>
        </w:rPr>
        <w:t>_  clever animal with a furry</w:t>
      </w:r>
      <w:r>
        <w:rPr>
          <w:spacing w:val="-5"/>
          <w:w w:val="105"/>
          <w:sz w:val="16"/>
        </w:rPr>
        <w:t> </w:t>
      </w:r>
      <w:r>
        <w:rPr>
          <w:w w:val="105"/>
          <w:sz w:val="16"/>
        </w:rPr>
        <w:t>tail</w:t>
      </w:r>
    </w:p>
    <w:p>
      <w:pPr>
        <w:pStyle w:val="ListParagraph"/>
        <w:numPr>
          <w:ilvl w:val="0"/>
          <w:numId w:val="32"/>
        </w:numPr>
        <w:tabs>
          <w:tab w:pos="824" w:val="left" w:leader="none"/>
          <w:tab w:pos="825" w:val="left" w:leader="none"/>
          <w:tab w:pos="2240" w:val="left" w:leader="none"/>
        </w:tabs>
        <w:spacing w:line="195" w:lineRule="exact" w:before="0" w:after="0"/>
        <w:ind w:left="824" w:right="0" w:hanging="705"/>
        <w:jc w:val="left"/>
        <w:rPr>
          <w:sz w:val="17"/>
        </w:rPr>
      </w:pPr>
      <w:r>
        <w:rPr>
          <w:sz w:val="17"/>
        </w:rPr>
        <w:t>Legacy</w:t>
        <w:tab/>
      </w:r>
      <w:r>
        <w:rPr>
          <w:spacing w:val="2"/>
          <w:sz w:val="17"/>
        </w:rPr>
        <w:t>___   </w:t>
      </w:r>
      <w:r>
        <w:rPr>
          <w:sz w:val="17"/>
        </w:rPr>
        <w:t>_  a short time when someone stops doing</w:t>
      </w:r>
      <w:r>
        <w:rPr>
          <w:spacing w:val="13"/>
          <w:sz w:val="17"/>
        </w:rPr>
        <w:t> </w:t>
      </w:r>
      <w:r>
        <w:rPr>
          <w:sz w:val="17"/>
        </w:rPr>
        <w:t>something</w:t>
      </w:r>
    </w:p>
    <w:p>
      <w:pPr>
        <w:pStyle w:val="ListParagraph"/>
        <w:numPr>
          <w:ilvl w:val="0"/>
          <w:numId w:val="32"/>
        </w:numPr>
        <w:tabs>
          <w:tab w:pos="824" w:val="left" w:leader="none"/>
          <w:tab w:pos="825" w:val="left" w:leader="none"/>
        </w:tabs>
        <w:spacing w:line="240" w:lineRule="auto" w:before="10" w:after="0"/>
        <w:ind w:left="824" w:right="0" w:hanging="705"/>
        <w:jc w:val="left"/>
        <w:rPr>
          <w:sz w:val="16"/>
        </w:rPr>
      </w:pPr>
      <w:r>
        <w:rPr>
          <w:w w:val="105"/>
          <w:sz w:val="16"/>
        </w:rPr>
        <w:t>Owe</w:t>
      </w:r>
    </w:p>
    <w:p>
      <w:pPr>
        <w:pStyle w:val="ListParagraph"/>
        <w:numPr>
          <w:ilvl w:val="0"/>
          <w:numId w:val="32"/>
        </w:numPr>
        <w:tabs>
          <w:tab w:pos="824" w:val="left" w:leader="none"/>
          <w:tab w:pos="825" w:val="left" w:leader="none"/>
        </w:tabs>
        <w:spacing w:line="240" w:lineRule="auto" w:before="13" w:after="0"/>
        <w:ind w:left="824" w:right="0" w:hanging="705"/>
        <w:jc w:val="left"/>
        <w:rPr>
          <w:sz w:val="16"/>
        </w:rPr>
      </w:pPr>
      <w:r>
        <w:rPr>
          <w:w w:val="105"/>
          <w:sz w:val="16"/>
        </w:rPr>
        <w:t>Pause</w:t>
      </w:r>
    </w:p>
    <w:p>
      <w:pPr>
        <w:pStyle w:val="BodyText"/>
        <w:rPr>
          <w:sz w:val="16"/>
        </w:rPr>
      </w:pPr>
    </w:p>
    <w:p>
      <w:pPr>
        <w:pStyle w:val="BodyText"/>
        <w:spacing w:before="10"/>
        <w:rPr>
          <w:sz w:val="18"/>
        </w:rPr>
      </w:pPr>
    </w:p>
    <w:p>
      <w:pPr>
        <w:spacing w:before="0"/>
        <w:ind w:left="119" w:right="0" w:firstLine="0"/>
        <w:jc w:val="left"/>
        <w:rPr>
          <w:sz w:val="16"/>
        </w:rPr>
      </w:pPr>
      <w:r>
        <w:rPr>
          <w:w w:val="105"/>
          <w:sz w:val="16"/>
        </w:rPr>
        <w:t>5.</w:t>
      </w:r>
    </w:p>
    <w:p>
      <w:pPr>
        <w:pStyle w:val="BodyText"/>
        <w:spacing w:before="2"/>
        <w:rPr>
          <w:sz w:val="18"/>
        </w:rPr>
      </w:pPr>
    </w:p>
    <w:p>
      <w:pPr>
        <w:pStyle w:val="ListParagraph"/>
        <w:numPr>
          <w:ilvl w:val="0"/>
          <w:numId w:val="33"/>
        </w:numPr>
        <w:tabs>
          <w:tab w:pos="824" w:val="left" w:leader="none"/>
          <w:tab w:pos="825" w:val="left" w:leader="none"/>
        </w:tabs>
        <w:spacing w:line="240" w:lineRule="auto" w:before="0" w:after="0"/>
        <w:ind w:left="824" w:right="0" w:hanging="705"/>
        <w:jc w:val="left"/>
        <w:rPr>
          <w:sz w:val="16"/>
        </w:rPr>
      </w:pPr>
      <w:r>
        <w:rPr>
          <w:w w:val="105"/>
          <w:sz w:val="16"/>
        </w:rPr>
        <w:t>Apologize</w:t>
      </w:r>
    </w:p>
    <w:p>
      <w:pPr>
        <w:pStyle w:val="ListParagraph"/>
        <w:numPr>
          <w:ilvl w:val="0"/>
          <w:numId w:val="33"/>
        </w:numPr>
        <w:tabs>
          <w:tab w:pos="824" w:val="left" w:leader="none"/>
          <w:tab w:pos="825" w:val="left" w:leader="none"/>
          <w:tab w:pos="2240" w:val="left" w:leader="none"/>
        </w:tabs>
        <w:spacing w:line="240" w:lineRule="auto" w:before="8" w:after="0"/>
        <w:ind w:left="824" w:right="0" w:hanging="705"/>
        <w:jc w:val="left"/>
        <w:rPr>
          <w:sz w:val="16"/>
        </w:rPr>
      </w:pPr>
      <w:r>
        <w:rPr>
          <w:w w:val="105"/>
          <w:sz w:val="16"/>
        </w:rPr>
        <w:t>Barrel</w:t>
        <w:tab/>
      </w:r>
      <w:r>
        <w:rPr>
          <w:spacing w:val="2"/>
          <w:w w:val="105"/>
          <w:sz w:val="16"/>
        </w:rPr>
        <w:t>___    </w:t>
      </w:r>
      <w:r>
        <w:rPr>
          <w:w w:val="105"/>
          <w:sz w:val="16"/>
        </w:rPr>
        <w:t>_  a round wooden, metal or plastic container used for storing</w:t>
      </w:r>
      <w:r>
        <w:rPr>
          <w:spacing w:val="15"/>
          <w:w w:val="105"/>
          <w:sz w:val="16"/>
        </w:rPr>
        <w:t> </w:t>
      </w:r>
      <w:r>
        <w:rPr>
          <w:w w:val="105"/>
          <w:sz w:val="16"/>
        </w:rPr>
        <w:t>liquids.</w:t>
      </w:r>
    </w:p>
    <w:p>
      <w:pPr>
        <w:pStyle w:val="ListParagraph"/>
        <w:numPr>
          <w:ilvl w:val="0"/>
          <w:numId w:val="33"/>
        </w:numPr>
        <w:tabs>
          <w:tab w:pos="824" w:val="left" w:leader="none"/>
          <w:tab w:pos="825" w:val="left" w:leader="none"/>
          <w:tab w:pos="2240" w:val="left" w:leader="none"/>
        </w:tabs>
        <w:spacing w:line="240" w:lineRule="auto" w:before="13" w:after="0"/>
        <w:ind w:left="824" w:right="0" w:hanging="705"/>
        <w:jc w:val="left"/>
        <w:rPr>
          <w:sz w:val="16"/>
        </w:rPr>
      </w:pPr>
      <w:r>
        <w:rPr>
          <w:w w:val="105"/>
          <w:sz w:val="16"/>
        </w:rPr>
        <w:t>Comparable</w:t>
        <w:tab/>
      </w:r>
      <w:r>
        <w:rPr>
          <w:spacing w:val="2"/>
          <w:w w:val="105"/>
          <w:sz w:val="16"/>
        </w:rPr>
        <w:t>___    </w:t>
      </w:r>
      <w:r>
        <w:rPr>
          <w:w w:val="105"/>
          <w:sz w:val="16"/>
        </w:rPr>
        <w:t>_  very similar to another thing</w:t>
      </w:r>
    </w:p>
    <w:p>
      <w:pPr>
        <w:pStyle w:val="ListParagraph"/>
        <w:numPr>
          <w:ilvl w:val="0"/>
          <w:numId w:val="33"/>
        </w:numPr>
        <w:tabs>
          <w:tab w:pos="824" w:val="left" w:leader="none"/>
          <w:tab w:pos="825" w:val="left" w:leader="none"/>
          <w:tab w:pos="2240" w:val="left" w:leader="none"/>
        </w:tabs>
        <w:spacing w:line="240" w:lineRule="auto" w:before="13" w:after="0"/>
        <w:ind w:left="824" w:right="0" w:hanging="705"/>
        <w:jc w:val="left"/>
        <w:rPr>
          <w:sz w:val="16"/>
        </w:rPr>
      </w:pPr>
      <w:r>
        <w:rPr>
          <w:w w:val="105"/>
          <w:sz w:val="16"/>
        </w:rPr>
        <w:t>Excuse</w:t>
        <w:tab/>
      </w:r>
      <w:r>
        <w:rPr>
          <w:spacing w:val="2"/>
          <w:w w:val="105"/>
          <w:sz w:val="16"/>
        </w:rPr>
        <w:t>___    </w:t>
      </w:r>
      <w:r>
        <w:rPr>
          <w:w w:val="105"/>
          <w:sz w:val="16"/>
        </w:rPr>
        <w:t>_  to say sorry for</w:t>
      </w:r>
      <w:r>
        <w:rPr>
          <w:spacing w:val="1"/>
          <w:w w:val="105"/>
          <w:sz w:val="16"/>
        </w:rPr>
        <w:t> </w:t>
      </w:r>
      <w:r>
        <w:rPr>
          <w:w w:val="105"/>
          <w:sz w:val="16"/>
        </w:rPr>
        <w:t>something</w:t>
      </w:r>
    </w:p>
    <w:p>
      <w:pPr>
        <w:pStyle w:val="ListParagraph"/>
        <w:numPr>
          <w:ilvl w:val="0"/>
          <w:numId w:val="33"/>
        </w:numPr>
        <w:tabs>
          <w:tab w:pos="824" w:val="left" w:leader="none"/>
          <w:tab w:pos="825" w:val="left" w:leader="none"/>
        </w:tabs>
        <w:spacing w:line="240" w:lineRule="auto" w:before="8" w:after="0"/>
        <w:ind w:left="824" w:right="0" w:hanging="705"/>
        <w:jc w:val="left"/>
        <w:rPr>
          <w:sz w:val="16"/>
        </w:rPr>
      </w:pPr>
      <w:r>
        <w:rPr>
          <w:w w:val="105"/>
          <w:sz w:val="16"/>
        </w:rPr>
        <w:t>Like</w:t>
      </w:r>
    </w:p>
    <w:p>
      <w:pPr>
        <w:pStyle w:val="ListParagraph"/>
        <w:numPr>
          <w:ilvl w:val="0"/>
          <w:numId w:val="33"/>
        </w:numPr>
        <w:tabs>
          <w:tab w:pos="824" w:val="left" w:leader="none"/>
          <w:tab w:pos="825" w:val="left" w:leader="none"/>
        </w:tabs>
        <w:spacing w:line="240" w:lineRule="auto" w:before="13" w:after="0"/>
        <w:ind w:left="824" w:right="0" w:hanging="705"/>
        <w:jc w:val="left"/>
        <w:rPr>
          <w:sz w:val="16"/>
        </w:rPr>
      </w:pPr>
      <w:r>
        <w:rPr>
          <w:w w:val="105"/>
          <w:sz w:val="16"/>
        </w:rPr>
        <w:t>Box</w:t>
      </w:r>
    </w:p>
    <w:p>
      <w:pPr>
        <w:pStyle w:val="BodyText"/>
        <w:rPr>
          <w:sz w:val="16"/>
        </w:rPr>
      </w:pPr>
    </w:p>
    <w:p>
      <w:pPr>
        <w:pStyle w:val="BodyText"/>
        <w:spacing w:before="1"/>
        <w:rPr>
          <w:sz w:val="18"/>
        </w:rPr>
      </w:pPr>
    </w:p>
    <w:p>
      <w:pPr>
        <w:spacing w:before="0"/>
        <w:ind w:left="119" w:right="0" w:firstLine="0"/>
        <w:jc w:val="left"/>
        <w:rPr>
          <w:sz w:val="17"/>
        </w:rPr>
      </w:pPr>
      <w:r>
        <w:rPr>
          <w:sz w:val="17"/>
        </w:rPr>
        <w:t>6.</w:t>
      </w:r>
    </w:p>
    <w:p>
      <w:pPr>
        <w:pStyle w:val="BodyText"/>
        <w:rPr>
          <w:sz w:val="18"/>
        </w:rPr>
      </w:pPr>
    </w:p>
    <w:p>
      <w:pPr>
        <w:pStyle w:val="ListParagraph"/>
        <w:numPr>
          <w:ilvl w:val="0"/>
          <w:numId w:val="34"/>
        </w:numPr>
        <w:tabs>
          <w:tab w:pos="824" w:val="left" w:leader="none"/>
          <w:tab w:pos="825" w:val="left" w:leader="none"/>
        </w:tabs>
        <w:spacing w:line="240" w:lineRule="auto" w:before="0" w:after="0"/>
        <w:ind w:left="824" w:right="0" w:hanging="705"/>
        <w:jc w:val="left"/>
        <w:rPr>
          <w:sz w:val="16"/>
        </w:rPr>
      </w:pPr>
      <w:r>
        <w:rPr>
          <w:w w:val="105"/>
          <w:sz w:val="16"/>
        </w:rPr>
        <w:t>Angry</w:t>
      </w:r>
    </w:p>
    <w:p>
      <w:pPr>
        <w:pStyle w:val="ListParagraph"/>
        <w:numPr>
          <w:ilvl w:val="0"/>
          <w:numId w:val="34"/>
        </w:numPr>
        <w:tabs>
          <w:tab w:pos="824" w:val="left" w:leader="none"/>
          <w:tab w:pos="825" w:val="left" w:leader="none"/>
          <w:tab w:pos="2240" w:val="left" w:leader="none"/>
        </w:tabs>
        <w:spacing w:line="240" w:lineRule="auto" w:before="3" w:after="0"/>
        <w:ind w:left="824" w:right="0" w:hanging="705"/>
        <w:jc w:val="left"/>
        <w:rPr>
          <w:sz w:val="17"/>
        </w:rPr>
      </w:pPr>
      <w:r>
        <w:rPr>
          <w:sz w:val="17"/>
        </w:rPr>
        <w:t>Better</w:t>
        <w:tab/>
      </w:r>
      <w:r>
        <w:rPr>
          <w:spacing w:val="2"/>
          <w:sz w:val="17"/>
        </w:rPr>
        <w:t>___   </w:t>
      </w:r>
      <w:r>
        <w:rPr>
          <w:sz w:val="17"/>
        </w:rPr>
        <w:t>_  to improve something or make it more</w:t>
      </w:r>
      <w:r>
        <w:rPr>
          <w:spacing w:val="7"/>
          <w:sz w:val="17"/>
        </w:rPr>
        <w:t> </w:t>
      </w:r>
      <w:r>
        <w:rPr>
          <w:sz w:val="17"/>
        </w:rPr>
        <w:t>attractive.</w:t>
      </w:r>
    </w:p>
    <w:p>
      <w:pPr>
        <w:pStyle w:val="ListParagraph"/>
        <w:numPr>
          <w:ilvl w:val="0"/>
          <w:numId w:val="34"/>
        </w:numPr>
        <w:tabs>
          <w:tab w:pos="824" w:val="left" w:leader="none"/>
          <w:tab w:pos="825" w:val="left" w:leader="none"/>
          <w:tab w:pos="2240" w:val="left" w:leader="none"/>
        </w:tabs>
        <w:spacing w:line="240" w:lineRule="auto" w:before="6" w:after="0"/>
        <w:ind w:left="824" w:right="0" w:hanging="705"/>
        <w:jc w:val="left"/>
        <w:rPr>
          <w:sz w:val="16"/>
        </w:rPr>
      </w:pPr>
      <w:r>
        <w:rPr>
          <w:w w:val="105"/>
          <w:sz w:val="16"/>
        </w:rPr>
        <w:t>Enhance</w:t>
        <w:tab/>
      </w:r>
      <w:r>
        <w:rPr>
          <w:spacing w:val="2"/>
          <w:w w:val="105"/>
          <w:sz w:val="16"/>
        </w:rPr>
        <w:t>___    </w:t>
      </w:r>
      <w:r>
        <w:rPr>
          <w:w w:val="105"/>
          <w:sz w:val="16"/>
        </w:rPr>
        <w:t>_  adored or worthy of complete devotion in a religion</w:t>
      </w:r>
    </w:p>
    <w:p>
      <w:pPr>
        <w:pStyle w:val="ListParagraph"/>
        <w:numPr>
          <w:ilvl w:val="0"/>
          <w:numId w:val="34"/>
        </w:numPr>
        <w:tabs>
          <w:tab w:pos="824" w:val="left" w:leader="none"/>
          <w:tab w:pos="825" w:val="left" w:leader="none"/>
          <w:tab w:pos="2240" w:val="left" w:leader="none"/>
        </w:tabs>
        <w:spacing w:line="240" w:lineRule="auto" w:before="13" w:after="0"/>
        <w:ind w:left="824" w:right="0" w:hanging="705"/>
        <w:jc w:val="left"/>
        <w:rPr>
          <w:sz w:val="16"/>
        </w:rPr>
      </w:pPr>
      <w:r>
        <w:rPr>
          <w:w w:val="105"/>
          <w:sz w:val="16"/>
        </w:rPr>
        <w:t>Holy</w:t>
        <w:tab/>
      </w:r>
      <w:r>
        <w:rPr>
          <w:spacing w:val="2"/>
          <w:w w:val="105"/>
          <w:sz w:val="16"/>
        </w:rPr>
        <w:t>___    </w:t>
      </w:r>
      <w:r>
        <w:rPr>
          <w:w w:val="105"/>
          <w:sz w:val="16"/>
        </w:rPr>
        <w:t>_  to feel annoyed, upset, or unhappy about</w:t>
      </w:r>
      <w:r>
        <w:rPr>
          <w:spacing w:val="8"/>
          <w:w w:val="105"/>
          <w:sz w:val="16"/>
        </w:rPr>
        <w:t> </w:t>
      </w:r>
      <w:r>
        <w:rPr>
          <w:w w:val="105"/>
          <w:sz w:val="16"/>
        </w:rPr>
        <w:t>something</w:t>
      </w:r>
    </w:p>
    <w:p>
      <w:pPr>
        <w:pStyle w:val="ListParagraph"/>
        <w:numPr>
          <w:ilvl w:val="0"/>
          <w:numId w:val="34"/>
        </w:numPr>
        <w:tabs>
          <w:tab w:pos="824" w:val="left" w:leader="none"/>
          <w:tab w:pos="825" w:val="left" w:leader="none"/>
        </w:tabs>
        <w:spacing w:line="240" w:lineRule="auto" w:before="3" w:after="0"/>
        <w:ind w:left="824" w:right="0" w:hanging="705"/>
        <w:jc w:val="left"/>
        <w:rPr>
          <w:sz w:val="17"/>
        </w:rPr>
      </w:pPr>
      <w:r>
        <w:rPr>
          <w:sz w:val="17"/>
        </w:rPr>
        <w:t>Mind</w:t>
      </w:r>
    </w:p>
    <w:p>
      <w:pPr>
        <w:pStyle w:val="ListParagraph"/>
        <w:numPr>
          <w:ilvl w:val="0"/>
          <w:numId w:val="34"/>
        </w:numPr>
        <w:tabs>
          <w:tab w:pos="824" w:val="left" w:leader="none"/>
          <w:tab w:pos="825" w:val="left" w:leader="none"/>
        </w:tabs>
        <w:spacing w:line="240" w:lineRule="auto" w:before="6" w:after="0"/>
        <w:ind w:left="824" w:right="0" w:hanging="705"/>
        <w:jc w:val="left"/>
        <w:rPr>
          <w:sz w:val="16"/>
        </w:rPr>
      </w:pPr>
      <w:r>
        <w:rPr>
          <w:w w:val="105"/>
          <w:sz w:val="16"/>
        </w:rPr>
        <w:t>Lovely</w:t>
      </w:r>
    </w:p>
    <w:p>
      <w:pPr>
        <w:spacing w:after="0" w:line="240" w:lineRule="auto"/>
        <w:jc w:val="left"/>
        <w:rPr>
          <w:sz w:val="16"/>
        </w:rPr>
        <w:sectPr>
          <w:pgSz w:w="11910" w:h="16840"/>
          <w:pgMar w:header="732" w:footer="0" w:top="1160" w:bottom="280" w:left="1580" w:right="1020"/>
        </w:sectPr>
      </w:pPr>
    </w:p>
    <w:p>
      <w:pPr>
        <w:pStyle w:val="BodyText"/>
        <w:spacing w:before="11"/>
        <w:rPr>
          <w:sz w:val="14"/>
        </w:rPr>
      </w:pPr>
    </w:p>
    <w:p>
      <w:pPr>
        <w:spacing w:before="76"/>
        <w:ind w:left="119" w:right="0" w:firstLine="0"/>
        <w:jc w:val="left"/>
        <w:rPr>
          <w:b/>
          <w:sz w:val="20"/>
        </w:rPr>
      </w:pPr>
      <w:r>
        <w:rPr>
          <w:b/>
          <w:sz w:val="20"/>
        </w:rPr>
        <w:t>THIRD SECTION</w:t>
      </w:r>
    </w:p>
    <w:p>
      <w:pPr>
        <w:pStyle w:val="BodyText"/>
        <w:spacing w:before="3"/>
        <w:rPr>
          <w:b/>
          <w:sz w:val="18"/>
        </w:rPr>
      </w:pPr>
    </w:p>
    <w:p>
      <w:pPr>
        <w:spacing w:before="0"/>
        <w:ind w:left="119" w:right="0" w:firstLine="0"/>
        <w:jc w:val="left"/>
        <w:rPr>
          <w:sz w:val="16"/>
        </w:rPr>
      </w:pPr>
      <w:r>
        <w:rPr>
          <w:w w:val="105"/>
          <w:sz w:val="16"/>
        </w:rPr>
        <w:t>1.</w:t>
      </w:r>
    </w:p>
    <w:p>
      <w:pPr>
        <w:pStyle w:val="BodyText"/>
        <w:spacing w:before="4"/>
        <w:rPr>
          <w:sz w:val="17"/>
        </w:rPr>
      </w:pPr>
    </w:p>
    <w:p>
      <w:pPr>
        <w:pStyle w:val="ListParagraph"/>
        <w:numPr>
          <w:ilvl w:val="0"/>
          <w:numId w:val="35"/>
        </w:numPr>
        <w:tabs>
          <w:tab w:pos="824" w:val="left" w:leader="none"/>
          <w:tab w:pos="825" w:val="left" w:leader="none"/>
        </w:tabs>
        <w:spacing w:line="194" w:lineRule="exact" w:before="0" w:after="0"/>
        <w:ind w:left="824" w:right="0" w:hanging="705"/>
        <w:jc w:val="left"/>
        <w:rPr>
          <w:sz w:val="17"/>
        </w:rPr>
      </w:pPr>
      <w:r>
        <w:rPr>
          <w:sz w:val="17"/>
        </w:rPr>
        <w:t>Antique</w:t>
      </w:r>
    </w:p>
    <w:p>
      <w:pPr>
        <w:pStyle w:val="ListParagraph"/>
        <w:numPr>
          <w:ilvl w:val="0"/>
          <w:numId w:val="35"/>
        </w:numPr>
        <w:tabs>
          <w:tab w:pos="824" w:val="left" w:leader="none"/>
          <w:tab w:pos="825" w:val="left" w:leader="none"/>
          <w:tab w:pos="2240" w:val="left" w:leader="none"/>
        </w:tabs>
        <w:spacing w:line="194" w:lineRule="exact" w:before="0" w:after="0"/>
        <w:ind w:left="824" w:right="0" w:hanging="705"/>
        <w:jc w:val="left"/>
        <w:rPr>
          <w:sz w:val="17"/>
        </w:rPr>
      </w:pPr>
      <w:r>
        <w:rPr>
          <w:sz w:val="17"/>
        </w:rPr>
        <w:t>Compass</w:t>
        <w:tab/>
      </w:r>
      <w:r>
        <w:rPr>
          <w:spacing w:val="2"/>
          <w:sz w:val="17"/>
        </w:rPr>
        <w:t>___   </w:t>
      </w:r>
      <w:r>
        <w:rPr>
          <w:sz w:val="17"/>
        </w:rPr>
        <w:t>_  </w:t>
      </w:r>
      <w:r>
        <w:rPr>
          <w:spacing w:val="-4"/>
          <w:sz w:val="17"/>
        </w:rPr>
        <w:t>an </w:t>
      </w:r>
      <w:r>
        <w:rPr>
          <w:sz w:val="17"/>
        </w:rPr>
        <w:t>old object that is valuable because it is rare, beautiful, or well</w:t>
      </w:r>
      <w:r>
        <w:rPr>
          <w:spacing w:val="8"/>
          <w:sz w:val="17"/>
        </w:rPr>
        <w:t> </w:t>
      </w:r>
      <w:r>
        <w:rPr>
          <w:sz w:val="17"/>
        </w:rPr>
        <w:t>made</w:t>
      </w:r>
    </w:p>
    <w:p>
      <w:pPr>
        <w:pStyle w:val="ListParagraph"/>
        <w:numPr>
          <w:ilvl w:val="0"/>
          <w:numId w:val="35"/>
        </w:numPr>
        <w:tabs>
          <w:tab w:pos="824" w:val="left" w:leader="none"/>
          <w:tab w:pos="825" w:val="left" w:leader="none"/>
          <w:tab w:pos="2240" w:val="left" w:leader="none"/>
        </w:tabs>
        <w:spacing w:line="240" w:lineRule="auto" w:before="1" w:after="0"/>
        <w:ind w:left="824" w:right="0" w:hanging="705"/>
        <w:jc w:val="left"/>
        <w:rPr>
          <w:sz w:val="17"/>
        </w:rPr>
      </w:pPr>
      <w:r>
        <w:rPr>
          <w:sz w:val="17"/>
        </w:rPr>
        <w:t>Energetic</w:t>
        <w:tab/>
      </w:r>
      <w:r>
        <w:rPr>
          <w:spacing w:val="2"/>
          <w:sz w:val="17"/>
        </w:rPr>
        <w:t>___    </w:t>
      </w:r>
      <w:r>
        <w:rPr>
          <w:sz w:val="17"/>
        </w:rPr>
        <w:t>_  someone who has a lot </w:t>
      </w:r>
      <w:r>
        <w:rPr>
          <w:spacing w:val="-4"/>
          <w:sz w:val="17"/>
        </w:rPr>
        <w:t>of </w:t>
      </w:r>
      <w:r>
        <w:rPr>
          <w:sz w:val="17"/>
        </w:rPr>
        <w:t>energy and is very</w:t>
      </w:r>
      <w:r>
        <w:rPr>
          <w:spacing w:val="-31"/>
          <w:sz w:val="17"/>
        </w:rPr>
        <w:t> </w:t>
      </w:r>
      <w:r>
        <w:rPr>
          <w:sz w:val="17"/>
        </w:rPr>
        <w:t>active</w:t>
      </w:r>
    </w:p>
    <w:p>
      <w:pPr>
        <w:pStyle w:val="ListParagraph"/>
        <w:numPr>
          <w:ilvl w:val="0"/>
          <w:numId w:val="35"/>
        </w:numPr>
        <w:tabs>
          <w:tab w:pos="824" w:val="left" w:leader="none"/>
          <w:tab w:pos="825" w:val="left" w:leader="none"/>
          <w:tab w:pos="2240" w:val="left" w:leader="none"/>
        </w:tabs>
        <w:spacing w:line="240" w:lineRule="auto" w:before="10" w:after="0"/>
        <w:ind w:left="824" w:right="0" w:hanging="705"/>
        <w:jc w:val="left"/>
        <w:rPr>
          <w:sz w:val="16"/>
        </w:rPr>
      </w:pPr>
      <w:r>
        <w:rPr>
          <w:w w:val="105"/>
          <w:sz w:val="16"/>
        </w:rPr>
        <w:t>Old-fashioned</w:t>
        <w:tab/>
      </w:r>
      <w:r>
        <w:rPr>
          <w:spacing w:val="2"/>
          <w:w w:val="105"/>
          <w:sz w:val="16"/>
        </w:rPr>
        <w:t>___    </w:t>
      </w:r>
      <w:r>
        <w:rPr>
          <w:w w:val="105"/>
          <w:sz w:val="16"/>
        </w:rPr>
        <w:t>_  a piece </w:t>
      </w:r>
      <w:r>
        <w:rPr>
          <w:spacing w:val="-4"/>
          <w:w w:val="105"/>
          <w:sz w:val="16"/>
        </w:rPr>
        <w:t>of </w:t>
      </w:r>
      <w:r>
        <w:rPr>
          <w:w w:val="105"/>
          <w:sz w:val="16"/>
        </w:rPr>
        <w:t>equipment with a needle that always points</w:t>
      </w:r>
      <w:r>
        <w:rPr>
          <w:spacing w:val="20"/>
          <w:w w:val="105"/>
          <w:sz w:val="16"/>
        </w:rPr>
        <w:t> </w:t>
      </w:r>
      <w:r>
        <w:rPr>
          <w:w w:val="105"/>
          <w:sz w:val="16"/>
        </w:rPr>
        <w:t>north</w:t>
      </w:r>
    </w:p>
    <w:p>
      <w:pPr>
        <w:pStyle w:val="ListParagraph"/>
        <w:numPr>
          <w:ilvl w:val="0"/>
          <w:numId w:val="35"/>
        </w:numPr>
        <w:tabs>
          <w:tab w:pos="824" w:val="left" w:leader="none"/>
          <w:tab w:pos="825" w:val="left" w:leader="none"/>
        </w:tabs>
        <w:spacing w:line="240" w:lineRule="auto" w:before="8" w:after="0"/>
        <w:ind w:left="824" w:right="0" w:hanging="705"/>
        <w:jc w:val="left"/>
        <w:rPr>
          <w:sz w:val="16"/>
        </w:rPr>
      </w:pPr>
      <w:r>
        <w:rPr>
          <w:w w:val="105"/>
          <w:sz w:val="16"/>
        </w:rPr>
        <w:t>Powerful</w:t>
      </w:r>
    </w:p>
    <w:p>
      <w:pPr>
        <w:pStyle w:val="ListParagraph"/>
        <w:numPr>
          <w:ilvl w:val="0"/>
          <w:numId w:val="35"/>
        </w:numPr>
        <w:tabs>
          <w:tab w:pos="824" w:val="left" w:leader="none"/>
          <w:tab w:pos="825" w:val="left" w:leader="none"/>
        </w:tabs>
        <w:spacing w:line="240" w:lineRule="auto" w:before="13" w:after="0"/>
        <w:ind w:left="824" w:right="0" w:hanging="705"/>
        <w:jc w:val="left"/>
        <w:rPr>
          <w:sz w:val="16"/>
        </w:rPr>
      </w:pPr>
      <w:r>
        <w:rPr>
          <w:w w:val="105"/>
          <w:sz w:val="16"/>
        </w:rPr>
        <w:t>Radar</w:t>
      </w:r>
    </w:p>
    <w:p>
      <w:pPr>
        <w:pStyle w:val="BodyText"/>
        <w:rPr>
          <w:sz w:val="16"/>
        </w:rPr>
      </w:pPr>
    </w:p>
    <w:p>
      <w:pPr>
        <w:pStyle w:val="BodyText"/>
        <w:spacing w:before="1"/>
        <w:rPr>
          <w:sz w:val="18"/>
        </w:rPr>
      </w:pPr>
    </w:p>
    <w:p>
      <w:pPr>
        <w:spacing w:before="0"/>
        <w:ind w:left="119" w:right="0" w:firstLine="0"/>
        <w:jc w:val="left"/>
        <w:rPr>
          <w:sz w:val="17"/>
        </w:rPr>
      </w:pPr>
      <w:r>
        <w:rPr>
          <w:sz w:val="17"/>
        </w:rPr>
        <w:t>2.</w:t>
      </w:r>
    </w:p>
    <w:p>
      <w:pPr>
        <w:pStyle w:val="BodyText"/>
        <w:spacing w:before="2"/>
        <w:rPr>
          <w:sz w:val="17"/>
        </w:rPr>
      </w:pPr>
    </w:p>
    <w:p>
      <w:pPr>
        <w:pStyle w:val="ListParagraph"/>
        <w:numPr>
          <w:ilvl w:val="0"/>
          <w:numId w:val="36"/>
        </w:numPr>
        <w:tabs>
          <w:tab w:pos="824" w:val="left" w:leader="none"/>
          <w:tab w:pos="825" w:val="left" w:leader="none"/>
        </w:tabs>
        <w:spacing w:line="240" w:lineRule="auto" w:before="0" w:after="0"/>
        <w:ind w:left="824" w:right="0" w:hanging="705"/>
        <w:jc w:val="left"/>
        <w:rPr>
          <w:sz w:val="17"/>
        </w:rPr>
      </w:pPr>
      <w:r>
        <w:rPr>
          <w:sz w:val="17"/>
        </w:rPr>
        <w:t>Abolish</w:t>
      </w:r>
    </w:p>
    <w:p>
      <w:pPr>
        <w:pStyle w:val="ListParagraph"/>
        <w:numPr>
          <w:ilvl w:val="0"/>
          <w:numId w:val="36"/>
        </w:numPr>
        <w:tabs>
          <w:tab w:pos="824" w:val="left" w:leader="none"/>
          <w:tab w:pos="825" w:val="left" w:leader="none"/>
          <w:tab w:pos="2240" w:val="left" w:leader="none"/>
        </w:tabs>
        <w:spacing w:line="240" w:lineRule="auto" w:before="6" w:after="0"/>
        <w:ind w:left="824" w:right="0" w:hanging="705"/>
        <w:jc w:val="left"/>
        <w:rPr>
          <w:sz w:val="16"/>
        </w:rPr>
      </w:pPr>
      <w:r>
        <w:rPr>
          <w:w w:val="105"/>
          <w:sz w:val="16"/>
        </w:rPr>
        <w:t>Bump</w:t>
        <w:tab/>
      </w:r>
      <w:r>
        <w:rPr>
          <w:spacing w:val="2"/>
          <w:w w:val="105"/>
          <w:sz w:val="16"/>
        </w:rPr>
        <w:t>___    </w:t>
      </w:r>
      <w:r>
        <w:rPr>
          <w:w w:val="105"/>
          <w:sz w:val="16"/>
        </w:rPr>
        <w:t>_  to accidentally hit part of your body against</w:t>
      </w:r>
      <w:r>
        <w:rPr>
          <w:spacing w:val="11"/>
          <w:w w:val="105"/>
          <w:sz w:val="16"/>
        </w:rPr>
        <w:t> </w:t>
      </w:r>
      <w:r>
        <w:rPr>
          <w:w w:val="105"/>
          <w:sz w:val="16"/>
        </w:rPr>
        <w:t>something</w:t>
      </w:r>
    </w:p>
    <w:p>
      <w:pPr>
        <w:pStyle w:val="ListParagraph"/>
        <w:numPr>
          <w:ilvl w:val="0"/>
          <w:numId w:val="36"/>
        </w:numPr>
        <w:tabs>
          <w:tab w:pos="824" w:val="left" w:leader="none"/>
          <w:tab w:pos="825" w:val="left" w:leader="none"/>
          <w:tab w:pos="2240" w:val="left" w:leader="none"/>
        </w:tabs>
        <w:spacing w:line="240" w:lineRule="auto" w:before="3" w:after="0"/>
        <w:ind w:left="824" w:right="0" w:hanging="705"/>
        <w:jc w:val="left"/>
        <w:rPr>
          <w:sz w:val="17"/>
        </w:rPr>
      </w:pPr>
      <w:r>
        <w:rPr>
          <w:sz w:val="17"/>
        </w:rPr>
        <w:t>Heated</w:t>
        <w:tab/>
      </w:r>
      <w:r>
        <w:rPr>
          <w:spacing w:val="2"/>
          <w:sz w:val="17"/>
        </w:rPr>
        <w:t>___   </w:t>
      </w:r>
      <w:r>
        <w:rPr>
          <w:sz w:val="17"/>
        </w:rPr>
        <w:t>_  to officially get rid of a law, system, practice,</w:t>
      </w:r>
      <w:r>
        <w:rPr>
          <w:spacing w:val="5"/>
          <w:sz w:val="17"/>
        </w:rPr>
        <w:t> </w:t>
      </w:r>
      <w:r>
        <w:rPr>
          <w:sz w:val="17"/>
        </w:rPr>
        <w:t>etc.</w:t>
      </w:r>
    </w:p>
    <w:p>
      <w:pPr>
        <w:pStyle w:val="ListParagraph"/>
        <w:numPr>
          <w:ilvl w:val="0"/>
          <w:numId w:val="36"/>
        </w:numPr>
        <w:tabs>
          <w:tab w:pos="824" w:val="left" w:leader="none"/>
          <w:tab w:pos="825" w:val="left" w:leader="none"/>
          <w:tab w:pos="2240" w:val="left" w:leader="none"/>
        </w:tabs>
        <w:spacing w:line="240" w:lineRule="auto" w:before="10" w:after="0"/>
        <w:ind w:left="824" w:right="0" w:hanging="705"/>
        <w:jc w:val="left"/>
        <w:rPr>
          <w:sz w:val="16"/>
        </w:rPr>
      </w:pPr>
      <w:r>
        <w:rPr>
          <w:w w:val="105"/>
          <w:sz w:val="16"/>
        </w:rPr>
        <w:t>Hit off</w:t>
        <w:tab/>
      </w:r>
      <w:r>
        <w:rPr>
          <w:spacing w:val="2"/>
          <w:w w:val="105"/>
          <w:sz w:val="16"/>
        </w:rPr>
        <w:t>___    </w:t>
      </w:r>
      <w:r>
        <w:rPr>
          <w:w w:val="105"/>
          <w:sz w:val="16"/>
        </w:rPr>
        <w:t>_  intense (used for</w:t>
      </w:r>
      <w:r>
        <w:rPr>
          <w:spacing w:val="3"/>
          <w:w w:val="105"/>
          <w:sz w:val="16"/>
        </w:rPr>
        <w:t> </w:t>
      </w:r>
      <w:r>
        <w:rPr>
          <w:w w:val="105"/>
          <w:sz w:val="16"/>
        </w:rPr>
        <w:t>arguments)</w:t>
      </w:r>
    </w:p>
    <w:p>
      <w:pPr>
        <w:pStyle w:val="ListParagraph"/>
        <w:numPr>
          <w:ilvl w:val="0"/>
          <w:numId w:val="36"/>
        </w:numPr>
        <w:tabs>
          <w:tab w:pos="824" w:val="left" w:leader="none"/>
          <w:tab w:pos="825" w:val="left" w:leader="none"/>
        </w:tabs>
        <w:spacing w:line="240" w:lineRule="auto" w:before="3" w:after="0"/>
        <w:ind w:left="824" w:right="0" w:hanging="705"/>
        <w:jc w:val="left"/>
        <w:rPr>
          <w:sz w:val="17"/>
        </w:rPr>
      </w:pPr>
      <w:r>
        <w:rPr>
          <w:sz w:val="17"/>
        </w:rPr>
        <w:t>Legislate</w:t>
      </w:r>
    </w:p>
    <w:p>
      <w:pPr>
        <w:pStyle w:val="ListParagraph"/>
        <w:numPr>
          <w:ilvl w:val="0"/>
          <w:numId w:val="36"/>
        </w:numPr>
        <w:tabs>
          <w:tab w:pos="824" w:val="left" w:leader="none"/>
          <w:tab w:pos="825" w:val="left" w:leader="none"/>
        </w:tabs>
        <w:spacing w:line="240" w:lineRule="auto" w:before="6" w:after="0"/>
        <w:ind w:left="824" w:right="0" w:hanging="705"/>
        <w:jc w:val="left"/>
        <w:rPr>
          <w:sz w:val="16"/>
        </w:rPr>
      </w:pPr>
      <w:r>
        <w:rPr>
          <w:w w:val="105"/>
          <w:sz w:val="16"/>
        </w:rPr>
        <w:t>Strong</w:t>
      </w:r>
    </w:p>
    <w:p>
      <w:pPr>
        <w:pStyle w:val="BodyText"/>
        <w:rPr>
          <w:sz w:val="16"/>
        </w:rPr>
      </w:pPr>
    </w:p>
    <w:p>
      <w:pPr>
        <w:pStyle w:val="BodyText"/>
        <w:spacing w:before="6"/>
        <w:rPr>
          <w:sz w:val="18"/>
        </w:rPr>
      </w:pPr>
    </w:p>
    <w:p>
      <w:pPr>
        <w:spacing w:before="0"/>
        <w:ind w:left="119" w:right="0" w:firstLine="0"/>
        <w:jc w:val="left"/>
        <w:rPr>
          <w:sz w:val="17"/>
        </w:rPr>
      </w:pPr>
      <w:r>
        <w:rPr>
          <w:sz w:val="17"/>
        </w:rPr>
        <w:t>3.</w:t>
      </w:r>
    </w:p>
    <w:p>
      <w:pPr>
        <w:pStyle w:val="BodyText"/>
        <w:spacing w:before="9"/>
        <w:rPr>
          <w:sz w:val="16"/>
        </w:rPr>
      </w:pPr>
    </w:p>
    <w:p>
      <w:pPr>
        <w:pStyle w:val="ListParagraph"/>
        <w:numPr>
          <w:ilvl w:val="0"/>
          <w:numId w:val="37"/>
        </w:numPr>
        <w:tabs>
          <w:tab w:pos="824" w:val="left" w:leader="none"/>
          <w:tab w:pos="825" w:val="left" w:leader="none"/>
        </w:tabs>
        <w:spacing w:line="240" w:lineRule="auto" w:before="0" w:after="0"/>
        <w:ind w:left="824" w:right="0" w:hanging="705"/>
        <w:jc w:val="left"/>
        <w:rPr>
          <w:sz w:val="17"/>
        </w:rPr>
      </w:pPr>
      <w:r>
        <w:rPr>
          <w:sz w:val="17"/>
        </w:rPr>
        <w:t>Battle</w:t>
      </w:r>
    </w:p>
    <w:p>
      <w:pPr>
        <w:pStyle w:val="ListParagraph"/>
        <w:numPr>
          <w:ilvl w:val="0"/>
          <w:numId w:val="37"/>
        </w:numPr>
        <w:tabs>
          <w:tab w:pos="824" w:val="left" w:leader="none"/>
          <w:tab w:pos="825" w:val="left" w:leader="none"/>
          <w:tab w:pos="2240" w:val="left" w:leader="none"/>
        </w:tabs>
        <w:spacing w:line="183" w:lineRule="exact" w:before="10" w:after="0"/>
        <w:ind w:left="824" w:right="0" w:hanging="705"/>
        <w:jc w:val="left"/>
        <w:rPr>
          <w:sz w:val="16"/>
        </w:rPr>
      </w:pPr>
      <w:r>
        <w:rPr>
          <w:w w:val="105"/>
          <w:sz w:val="16"/>
        </w:rPr>
        <w:t>Competent</w:t>
        <w:tab/>
      </w:r>
      <w:r>
        <w:rPr>
          <w:spacing w:val="2"/>
          <w:w w:val="105"/>
          <w:sz w:val="16"/>
        </w:rPr>
        <w:t>___    </w:t>
      </w:r>
      <w:r>
        <w:rPr>
          <w:w w:val="105"/>
          <w:sz w:val="16"/>
        </w:rPr>
        <w:t>_  to try very hard to deal with a difficult</w:t>
      </w:r>
      <w:r>
        <w:rPr>
          <w:spacing w:val="1"/>
          <w:w w:val="105"/>
          <w:sz w:val="16"/>
        </w:rPr>
        <w:t> </w:t>
      </w:r>
      <w:r>
        <w:rPr>
          <w:w w:val="105"/>
          <w:sz w:val="16"/>
        </w:rPr>
        <w:t>situation</w:t>
      </w:r>
    </w:p>
    <w:p>
      <w:pPr>
        <w:pStyle w:val="ListParagraph"/>
        <w:numPr>
          <w:ilvl w:val="0"/>
          <w:numId w:val="37"/>
        </w:numPr>
        <w:tabs>
          <w:tab w:pos="824" w:val="left" w:leader="none"/>
          <w:tab w:pos="825" w:val="left" w:leader="none"/>
          <w:tab w:pos="2240" w:val="left" w:leader="none"/>
        </w:tabs>
        <w:spacing w:line="195" w:lineRule="exact" w:before="0" w:after="0"/>
        <w:ind w:left="824" w:right="0" w:hanging="705"/>
        <w:jc w:val="left"/>
        <w:rPr>
          <w:sz w:val="17"/>
        </w:rPr>
      </w:pPr>
      <w:r>
        <w:rPr>
          <w:sz w:val="17"/>
        </w:rPr>
        <w:t>Crane</w:t>
        <w:tab/>
      </w:r>
      <w:r>
        <w:rPr>
          <w:spacing w:val="2"/>
          <w:sz w:val="17"/>
        </w:rPr>
        <w:t>___   </w:t>
      </w:r>
      <w:r>
        <w:rPr>
          <w:sz w:val="17"/>
        </w:rPr>
        <w:t>_  a machine used for lifting or moving heavy</w:t>
      </w:r>
      <w:r>
        <w:rPr>
          <w:spacing w:val="6"/>
          <w:sz w:val="17"/>
        </w:rPr>
        <w:t> </w:t>
      </w:r>
      <w:r>
        <w:rPr>
          <w:sz w:val="17"/>
        </w:rPr>
        <w:t>objects</w:t>
      </w:r>
    </w:p>
    <w:p>
      <w:pPr>
        <w:pStyle w:val="ListParagraph"/>
        <w:numPr>
          <w:ilvl w:val="0"/>
          <w:numId w:val="37"/>
        </w:numPr>
        <w:tabs>
          <w:tab w:pos="824" w:val="left" w:leader="none"/>
          <w:tab w:pos="825" w:val="left" w:leader="none"/>
          <w:tab w:pos="2240" w:val="left" w:leader="none"/>
        </w:tabs>
        <w:spacing w:line="240" w:lineRule="auto" w:before="1" w:after="0"/>
        <w:ind w:left="824" w:right="0" w:hanging="705"/>
        <w:jc w:val="left"/>
        <w:rPr>
          <w:sz w:val="17"/>
        </w:rPr>
      </w:pPr>
      <w:r>
        <w:rPr>
          <w:sz w:val="17"/>
        </w:rPr>
        <w:t>Grasp</w:t>
        <w:tab/>
      </w:r>
      <w:r>
        <w:rPr>
          <w:spacing w:val="2"/>
          <w:sz w:val="17"/>
        </w:rPr>
        <w:t>___    </w:t>
      </w:r>
      <w:r>
        <w:rPr>
          <w:sz w:val="17"/>
        </w:rPr>
        <w:t>_  capable of doing</w:t>
      </w:r>
      <w:r>
        <w:rPr>
          <w:spacing w:val="-30"/>
          <w:sz w:val="17"/>
        </w:rPr>
        <w:t> </w:t>
      </w:r>
      <w:r>
        <w:rPr>
          <w:sz w:val="17"/>
        </w:rPr>
        <w:t>something</w:t>
      </w:r>
    </w:p>
    <w:p>
      <w:pPr>
        <w:pStyle w:val="ListParagraph"/>
        <w:numPr>
          <w:ilvl w:val="0"/>
          <w:numId w:val="37"/>
        </w:numPr>
        <w:tabs>
          <w:tab w:pos="824" w:val="left" w:leader="none"/>
          <w:tab w:pos="825" w:val="left" w:leader="none"/>
        </w:tabs>
        <w:spacing w:line="240" w:lineRule="auto" w:before="1" w:after="0"/>
        <w:ind w:left="824" w:right="0" w:hanging="705"/>
        <w:jc w:val="left"/>
        <w:rPr>
          <w:sz w:val="17"/>
        </w:rPr>
      </w:pPr>
      <w:r>
        <w:rPr>
          <w:sz w:val="17"/>
        </w:rPr>
        <w:t>Sewing</w:t>
      </w:r>
    </w:p>
    <w:p>
      <w:pPr>
        <w:pStyle w:val="ListParagraph"/>
        <w:numPr>
          <w:ilvl w:val="0"/>
          <w:numId w:val="37"/>
        </w:numPr>
        <w:tabs>
          <w:tab w:pos="824" w:val="left" w:leader="none"/>
          <w:tab w:pos="825" w:val="left" w:leader="none"/>
        </w:tabs>
        <w:spacing w:line="240" w:lineRule="auto" w:before="1" w:after="0"/>
        <w:ind w:left="824" w:right="0" w:hanging="705"/>
        <w:jc w:val="left"/>
        <w:rPr>
          <w:sz w:val="17"/>
        </w:rPr>
      </w:pPr>
      <w:r>
        <w:rPr>
          <w:sz w:val="17"/>
        </w:rPr>
        <w:t>Stapler</w:t>
      </w:r>
    </w:p>
    <w:p>
      <w:pPr>
        <w:pStyle w:val="BodyText"/>
        <w:rPr>
          <w:sz w:val="16"/>
        </w:rPr>
      </w:pPr>
    </w:p>
    <w:p>
      <w:pPr>
        <w:pStyle w:val="BodyText"/>
        <w:spacing w:before="10"/>
        <w:rPr>
          <w:sz w:val="17"/>
        </w:rPr>
      </w:pPr>
    </w:p>
    <w:p>
      <w:pPr>
        <w:spacing w:before="0"/>
        <w:ind w:left="119" w:right="0" w:firstLine="0"/>
        <w:jc w:val="left"/>
        <w:rPr>
          <w:sz w:val="17"/>
        </w:rPr>
      </w:pPr>
      <w:r>
        <w:rPr>
          <w:sz w:val="17"/>
        </w:rPr>
        <w:t>4.</w:t>
      </w:r>
    </w:p>
    <w:p>
      <w:pPr>
        <w:pStyle w:val="BodyText"/>
        <w:spacing w:before="9"/>
        <w:rPr>
          <w:sz w:val="16"/>
        </w:rPr>
      </w:pPr>
    </w:p>
    <w:p>
      <w:pPr>
        <w:pStyle w:val="ListParagraph"/>
        <w:numPr>
          <w:ilvl w:val="0"/>
          <w:numId w:val="38"/>
        </w:numPr>
        <w:tabs>
          <w:tab w:pos="824" w:val="left" w:leader="none"/>
          <w:tab w:pos="825" w:val="left" w:leader="none"/>
        </w:tabs>
        <w:spacing w:line="240" w:lineRule="auto" w:before="0" w:after="0"/>
        <w:ind w:left="824" w:right="0" w:hanging="705"/>
        <w:jc w:val="left"/>
        <w:rPr>
          <w:sz w:val="17"/>
        </w:rPr>
      </w:pPr>
      <w:r>
        <w:rPr>
          <w:sz w:val="17"/>
        </w:rPr>
        <w:t>Inspire</w:t>
      </w:r>
    </w:p>
    <w:p>
      <w:pPr>
        <w:pStyle w:val="ListParagraph"/>
        <w:numPr>
          <w:ilvl w:val="0"/>
          <w:numId w:val="38"/>
        </w:numPr>
        <w:tabs>
          <w:tab w:pos="824" w:val="left" w:leader="none"/>
          <w:tab w:pos="825" w:val="left" w:leader="none"/>
          <w:tab w:pos="2240" w:val="left" w:leader="none"/>
        </w:tabs>
        <w:spacing w:line="240" w:lineRule="auto" w:before="1" w:after="0"/>
        <w:ind w:left="824" w:right="0" w:hanging="705"/>
        <w:jc w:val="left"/>
        <w:rPr>
          <w:sz w:val="17"/>
        </w:rPr>
      </w:pPr>
      <w:r>
        <w:rPr>
          <w:sz w:val="17"/>
        </w:rPr>
        <w:t>Claw</w:t>
        <w:tab/>
      </w:r>
      <w:r>
        <w:rPr>
          <w:spacing w:val="2"/>
          <w:sz w:val="17"/>
        </w:rPr>
        <w:t>___   </w:t>
      </w:r>
      <w:r>
        <w:rPr>
          <w:sz w:val="17"/>
        </w:rPr>
        <w:t>_  a way of speaking a language that is used only in a particular area or group</w:t>
      </w:r>
    </w:p>
    <w:p>
      <w:pPr>
        <w:pStyle w:val="ListParagraph"/>
        <w:numPr>
          <w:ilvl w:val="0"/>
          <w:numId w:val="38"/>
        </w:numPr>
        <w:tabs>
          <w:tab w:pos="824" w:val="left" w:leader="none"/>
          <w:tab w:pos="825" w:val="left" w:leader="none"/>
          <w:tab w:pos="2240" w:val="left" w:leader="none"/>
        </w:tabs>
        <w:spacing w:line="183" w:lineRule="exact" w:before="10" w:after="0"/>
        <w:ind w:left="824" w:right="0" w:hanging="705"/>
        <w:jc w:val="left"/>
        <w:rPr>
          <w:sz w:val="16"/>
        </w:rPr>
      </w:pPr>
      <w:r>
        <w:rPr>
          <w:w w:val="105"/>
          <w:sz w:val="16"/>
        </w:rPr>
        <w:t>Dialect</w:t>
        <w:tab/>
      </w:r>
      <w:r>
        <w:rPr>
          <w:spacing w:val="2"/>
          <w:w w:val="105"/>
          <w:sz w:val="16"/>
        </w:rPr>
        <w:t>___    </w:t>
      </w:r>
      <w:r>
        <w:rPr>
          <w:w w:val="105"/>
          <w:sz w:val="16"/>
        </w:rPr>
        <w:t>_  the foot </w:t>
      </w:r>
      <w:r>
        <w:rPr>
          <w:spacing w:val="-4"/>
          <w:w w:val="105"/>
          <w:sz w:val="16"/>
        </w:rPr>
        <w:t>of </w:t>
      </w:r>
      <w:r>
        <w:rPr>
          <w:w w:val="105"/>
          <w:sz w:val="16"/>
        </w:rPr>
        <w:t>some animals such as cats, dogs and</w:t>
      </w:r>
      <w:r>
        <w:rPr>
          <w:spacing w:val="21"/>
          <w:w w:val="105"/>
          <w:sz w:val="16"/>
        </w:rPr>
        <w:t> </w:t>
      </w:r>
      <w:r>
        <w:rPr>
          <w:w w:val="105"/>
          <w:sz w:val="16"/>
        </w:rPr>
        <w:t>bears</w:t>
      </w:r>
    </w:p>
    <w:p>
      <w:pPr>
        <w:pStyle w:val="ListParagraph"/>
        <w:numPr>
          <w:ilvl w:val="0"/>
          <w:numId w:val="38"/>
        </w:numPr>
        <w:tabs>
          <w:tab w:pos="824" w:val="left" w:leader="none"/>
          <w:tab w:pos="825" w:val="left" w:leader="none"/>
          <w:tab w:pos="2240" w:val="left" w:leader="none"/>
        </w:tabs>
        <w:spacing w:line="195" w:lineRule="exact" w:before="0" w:after="0"/>
        <w:ind w:left="824" w:right="0" w:hanging="705"/>
        <w:jc w:val="left"/>
        <w:rPr>
          <w:sz w:val="17"/>
        </w:rPr>
      </w:pPr>
      <w:r>
        <w:rPr>
          <w:sz w:val="17"/>
        </w:rPr>
        <w:t>Gasp</w:t>
        <w:tab/>
      </w:r>
      <w:r>
        <w:rPr>
          <w:spacing w:val="2"/>
          <w:sz w:val="17"/>
        </w:rPr>
        <w:t>___   </w:t>
      </w:r>
      <w:r>
        <w:rPr>
          <w:sz w:val="17"/>
        </w:rPr>
        <w:t>_  to breathe in suddenly, because you are surprised, shocked, or in</w:t>
      </w:r>
      <w:r>
        <w:rPr>
          <w:spacing w:val="-9"/>
          <w:sz w:val="17"/>
        </w:rPr>
        <w:t> </w:t>
      </w:r>
      <w:r>
        <w:rPr>
          <w:sz w:val="17"/>
        </w:rPr>
        <w:t>pain</w:t>
      </w:r>
    </w:p>
    <w:p>
      <w:pPr>
        <w:pStyle w:val="ListParagraph"/>
        <w:numPr>
          <w:ilvl w:val="0"/>
          <w:numId w:val="38"/>
        </w:numPr>
        <w:tabs>
          <w:tab w:pos="824" w:val="left" w:leader="none"/>
          <w:tab w:pos="825" w:val="left" w:leader="none"/>
        </w:tabs>
        <w:spacing w:line="240" w:lineRule="auto" w:before="10" w:after="0"/>
        <w:ind w:left="824" w:right="0" w:hanging="705"/>
        <w:jc w:val="left"/>
        <w:rPr>
          <w:sz w:val="16"/>
        </w:rPr>
      </w:pPr>
      <w:r>
        <w:rPr>
          <w:w w:val="105"/>
          <w:sz w:val="16"/>
        </w:rPr>
        <w:t>Idiom</w:t>
      </w:r>
    </w:p>
    <w:p>
      <w:pPr>
        <w:pStyle w:val="ListParagraph"/>
        <w:numPr>
          <w:ilvl w:val="0"/>
          <w:numId w:val="38"/>
        </w:numPr>
        <w:tabs>
          <w:tab w:pos="824" w:val="left" w:leader="none"/>
          <w:tab w:pos="825" w:val="left" w:leader="none"/>
        </w:tabs>
        <w:spacing w:line="240" w:lineRule="auto" w:before="13" w:after="0"/>
        <w:ind w:left="824" w:right="0" w:hanging="705"/>
        <w:jc w:val="left"/>
        <w:rPr>
          <w:sz w:val="16"/>
        </w:rPr>
      </w:pPr>
      <w:r>
        <w:rPr>
          <w:w w:val="105"/>
          <w:sz w:val="16"/>
        </w:rPr>
        <w:t>Paw</w:t>
      </w:r>
    </w:p>
    <w:p>
      <w:pPr>
        <w:pStyle w:val="BodyText"/>
        <w:rPr>
          <w:sz w:val="16"/>
        </w:rPr>
      </w:pPr>
    </w:p>
    <w:p>
      <w:pPr>
        <w:pStyle w:val="BodyText"/>
        <w:spacing w:before="10"/>
        <w:rPr>
          <w:sz w:val="18"/>
        </w:rPr>
      </w:pPr>
    </w:p>
    <w:p>
      <w:pPr>
        <w:spacing w:before="0"/>
        <w:ind w:left="119" w:right="0" w:firstLine="0"/>
        <w:jc w:val="left"/>
        <w:rPr>
          <w:sz w:val="16"/>
        </w:rPr>
      </w:pPr>
      <w:r>
        <w:rPr>
          <w:w w:val="105"/>
          <w:sz w:val="16"/>
        </w:rPr>
        <w:t>5.</w:t>
      </w:r>
    </w:p>
    <w:p>
      <w:pPr>
        <w:pStyle w:val="BodyText"/>
        <w:spacing w:before="2"/>
        <w:rPr>
          <w:sz w:val="18"/>
        </w:rPr>
      </w:pPr>
    </w:p>
    <w:p>
      <w:pPr>
        <w:pStyle w:val="ListParagraph"/>
        <w:numPr>
          <w:ilvl w:val="0"/>
          <w:numId w:val="39"/>
        </w:numPr>
        <w:tabs>
          <w:tab w:pos="824" w:val="left" w:leader="none"/>
          <w:tab w:pos="825" w:val="left" w:leader="none"/>
        </w:tabs>
        <w:spacing w:line="240" w:lineRule="auto" w:before="0" w:after="0"/>
        <w:ind w:left="824" w:right="0" w:hanging="705"/>
        <w:jc w:val="left"/>
        <w:rPr>
          <w:sz w:val="16"/>
        </w:rPr>
      </w:pPr>
      <w:r>
        <w:rPr>
          <w:w w:val="105"/>
          <w:sz w:val="16"/>
        </w:rPr>
        <w:t>Ban</w:t>
      </w:r>
    </w:p>
    <w:p>
      <w:pPr>
        <w:pStyle w:val="ListParagraph"/>
        <w:numPr>
          <w:ilvl w:val="0"/>
          <w:numId w:val="39"/>
        </w:numPr>
        <w:tabs>
          <w:tab w:pos="824" w:val="left" w:leader="none"/>
          <w:tab w:pos="825" w:val="left" w:leader="none"/>
          <w:tab w:pos="2240" w:val="left" w:leader="none"/>
        </w:tabs>
        <w:spacing w:line="240" w:lineRule="auto" w:before="8" w:after="0"/>
        <w:ind w:left="824" w:right="0" w:hanging="705"/>
        <w:jc w:val="left"/>
        <w:rPr>
          <w:sz w:val="16"/>
        </w:rPr>
      </w:pPr>
      <w:r>
        <w:rPr>
          <w:w w:val="105"/>
          <w:sz w:val="16"/>
        </w:rPr>
        <w:t>Banish</w:t>
        <w:tab/>
      </w:r>
      <w:r>
        <w:rPr>
          <w:spacing w:val="2"/>
          <w:w w:val="105"/>
          <w:sz w:val="16"/>
        </w:rPr>
        <w:t>___    </w:t>
      </w:r>
      <w:r>
        <w:rPr>
          <w:w w:val="105"/>
          <w:sz w:val="16"/>
        </w:rPr>
        <w:t>_  someone who moves in a way that is not careful, and breaks things or hits</w:t>
      </w:r>
      <w:r>
        <w:rPr>
          <w:spacing w:val="19"/>
          <w:w w:val="105"/>
          <w:sz w:val="16"/>
        </w:rPr>
        <w:t> </w:t>
      </w:r>
      <w:r>
        <w:rPr>
          <w:w w:val="105"/>
          <w:sz w:val="16"/>
        </w:rPr>
        <w:t>them</w:t>
      </w:r>
    </w:p>
    <w:p>
      <w:pPr>
        <w:pStyle w:val="ListParagraph"/>
        <w:numPr>
          <w:ilvl w:val="0"/>
          <w:numId w:val="39"/>
        </w:numPr>
        <w:tabs>
          <w:tab w:pos="824" w:val="left" w:leader="none"/>
          <w:tab w:pos="825" w:val="left" w:leader="none"/>
          <w:tab w:pos="2240" w:val="left" w:leader="none"/>
        </w:tabs>
        <w:spacing w:line="240" w:lineRule="auto" w:before="13" w:after="0"/>
        <w:ind w:left="824" w:right="0" w:hanging="705"/>
        <w:jc w:val="left"/>
        <w:rPr>
          <w:sz w:val="16"/>
        </w:rPr>
      </w:pPr>
      <w:r>
        <w:rPr>
          <w:w w:val="105"/>
          <w:sz w:val="16"/>
        </w:rPr>
        <w:t>Clumsy</w:t>
        <w:tab/>
      </w:r>
      <w:r>
        <w:rPr>
          <w:spacing w:val="2"/>
          <w:w w:val="105"/>
          <w:sz w:val="16"/>
        </w:rPr>
        <w:t>___    </w:t>
      </w:r>
      <w:r>
        <w:rPr>
          <w:w w:val="105"/>
          <w:sz w:val="16"/>
        </w:rPr>
        <w:t>_  to officially order to someone to leave a country or region as</w:t>
      </w:r>
      <w:r>
        <w:rPr>
          <w:spacing w:val="21"/>
          <w:w w:val="105"/>
          <w:sz w:val="16"/>
        </w:rPr>
        <w:t> </w:t>
      </w:r>
      <w:r>
        <w:rPr>
          <w:w w:val="105"/>
          <w:sz w:val="16"/>
        </w:rPr>
        <w:t>punishment</w:t>
      </w:r>
    </w:p>
    <w:p>
      <w:pPr>
        <w:pStyle w:val="ListParagraph"/>
        <w:numPr>
          <w:ilvl w:val="0"/>
          <w:numId w:val="39"/>
        </w:numPr>
        <w:tabs>
          <w:tab w:pos="824" w:val="left" w:leader="none"/>
          <w:tab w:pos="825" w:val="left" w:leader="none"/>
          <w:tab w:pos="2240" w:val="left" w:leader="none"/>
        </w:tabs>
        <w:spacing w:line="240" w:lineRule="auto" w:before="13" w:after="0"/>
        <w:ind w:left="824" w:right="0" w:hanging="705"/>
        <w:jc w:val="left"/>
        <w:rPr>
          <w:sz w:val="16"/>
        </w:rPr>
      </w:pPr>
      <w:r>
        <w:rPr>
          <w:w w:val="105"/>
          <w:sz w:val="16"/>
        </w:rPr>
        <w:t>Dwelling</w:t>
        <w:tab/>
      </w:r>
      <w:r>
        <w:rPr>
          <w:spacing w:val="2"/>
          <w:w w:val="105"/>
          <w:sz w:val="16"/>
        </w:rPr>
        <w:t>___    </w:t>
      </w:r>
      <w:r>
        <w:rPr>
          <w:w w:val="105"/>
          <w:sz w:val="16"/>
        </w:rPr>
        <w:t>_  a house, apartment, or other shelter in which someone</w:t>
      </w:r>
      <w:r>
        <w:rPr>
          <w:spacing w:val="14"/>
          <w:w w:val="105"/>
          <w:sz w:val="16"/>
        </w:rPr>
        <w:t> </w:t>
      </w:r>
      <w:r>
        <w:rPr>
          <w:w w:val="105"/>
          <w:sz w:val="16"/>
        </w:rPr>
        <w:t>lives</w:t>
      </w:r>
    </w:p>
    <w:p>
      <w:pPr>
        <w:pStyle w:val="ListParagraph"/>
        <w:numPr>
          <w:ilvl w:val="0"/>
          <w:numId w:val="39"/>
        </w:numPr>
        <w:tabs>
          <w:tab w:pos="824" w:val="left" w:leader="none"/>
          <w:tab w:pos="825" w:val="left" w:leader="none"/>
        </w:tabs>
        <w:spacing w:line="240" w:lineRule="auto" w:before="8" w:after="0"/>
        <w:ind w:left="824" w:right="0" w:hanging="705"/>
        <w:jc w:val="left"/>
        <w:rPr>
          <w:sz w:val="16"/>
        </w:rPr>
      </w:pPr>
      <w:r>
        <w:rPr>
          <w:w w:val="105"/>
          <w:sz w:val="16"/>
        </w:rPr>
        <w:t>Foolish</w:t>
      </w:r>
    </w:p>
    <w:p>
      <w:pPr>
        <w:pStyle w:val="ListParagraph"/>
        <w:numPr>
          <w:ilvl w:val="0"/>
          <w:numId w:val="39"/>
        </w:numPr>
        <w:tabs>
          <w:tab w:pos="824" w:val="left" w:leader="none"/>
          <w:tab w:pos="825" w:val="left" w:leader="none"/>
        </w:tabs>
        <w:spacing w:line="240" w:lineRule="auto" w:before="13" w:after="0"/>
        <w:ind w:left="824" w:right="0" w:hanging="705"/>
        <w:jc w:val="left"/>
        <w:rPr>
          <w:sz w:val="16"/>
        </w:rPr>
      </w:pPr>
      <w:r>
        <w:rPr>
          <w:w w:val="105"/>
          <w:sz w:val="16"/>
        </w:rPr>
        <w:t>Hut</w:t>
      </w:r>
    </w:p>
    <w:p>
      <w:pPr>
        <w:pStyle w:val="BodyText"/>
        <w:rPr>
          <w:sz w:val="16"/>
        </w:rPr>
      </w:pPr>
    </w:p>
    <w:p>
      <w:pPr>
        <w:pStyle w:val="BodyText"/>
        <w:spacing w:before="1"/>
        <w:rPr>
          <w:sz w:val="18"/>
        </w:rPr>
      </w:pPr>
    </w:p>
    <w:p>
      <w:pPr>
        <w:spacing w:before="0"/>
        <w:ind w:left="119" w:right="0" w:firstLine="0"/>
        <w:jc w:val="left"/>
        <w:rPr>
          <w:sz w:val="17"/>
        </w:rPr>
      </w:pPr>
      <w:r>
        <w:rPr>
          <w:sz w:val="17"/>
        </w:rPr>
        <w:t>6.</w:t>
      </w:r>
    </w:p>
    <w:p>
      <w:pPr>
        <w:pStyle w:val="BodyText"/>
        <w:rPr>
          <w:sz w:val="18"/>
        </w:rPr>
      </w:pPr>
    </w:p>
    <w:p>
      <w:pPr>
        <w:pStyle w:val="ListParagraph"/>
        <w:numPr>
          <w:ilvl w:val="0"/>
          <w:numId w:val="40"/>
        </w:numPr>
        <w:tabs>
          <w:tab w:pos="824" w:val="left" w:leader="none"/>
          <w:tab w:pos="825" w:val="left" w:leader="none"/>
        </w:tabs>
        <w:spacing w:line="240" w:lineRule="auto" w:before="0" w:after="0"/>
        <w:ind w:left="824" w:right="0" w:hanging="705"/>
        <w:jc w:val="left"/>
        <w:rPr>
          <w:sz w:val="16"/>
        </w:rPr>
      </w:pPr>
      <w:r>
        <w:rPr>
          <w:w w:val="105"/>
          <w:sz w:val="16"/>
        </w:rPr>
        <w:t>Booklet</w:t>
      </w:r>
    </w:p>
    <w:p>
      <w:pPr>
        <w:pStyle w:val="ListParagraph"/>
        <w:numPr>
          <w:ilvl w:val="0"/>
          <w:numId w:val="40"/>
        </w:numPr>
        <w:tabs>
          <w:tab w:pos="824" w:val="left" w:leader="none"/>
          <w:tab w:pos="825" w:val="left" w:leader="none"/>
          <w:tab w:pos="2240" w:val="left" w:leader="none"/>
        </w:tabs>
        <w:spacing w:line="240" w:lineRule="auto" w:before="3" w:after="0"/>
        <w:ind w:left="824" w:right="0" w:hanging="705"/>
        <w:jc w:val="left"/>
        <w:rPr>
          <w:sz w:val="17"/>
        </w:rPr>
      </w:pPr>
      <w:r>
        <w:rPr>
          <w:sz w:val="17"/>
        </w:rPr>
        <w:t>Bulb</w:t>
        <w:tab/>
      </w:r>
      <w:r>
        <w:rPr>
          <w:spacing w:val="2"/>
          <w:sz w:val="17"/>
        </w:rPr>
        <w:t>___    </w:t>
      </w:r>
      <w:r>
        <w:rPr>
          <w:sz w:val="17"/>
        </w:rPr>
        <w:t>_  part of a</w:t>
      </w:r>
      <w:r>
        <w:rPr>
          <w:spacing w:val="-30"/>
          <w:sz w:val="17"/>
        </w:rPr>
        <w:t> </w:t>
      </w:r>
      <w:r>
        <w:rPr>
          <w:sz w:val="17"/>
        </w:rPr>
        <w:t>plant</w:t>
      </w:r>
    </w:p>
    <w:p>
      <w:pPr>
        <w:pStyle w:val="ListParagraph"/>
        <w:numPr>
          <w:ilvl w:val="0"/>
          <w:numId w:val="40"/>
        </w:numPr>
        <w:tabs>
          <w:tab w:pos="824" w:val="left" w:leader="none"/>
          <w:tab w:pos="825" w:val="left" w:leader="none"/>
          <w:tab w:pos="2240" w:val="left" w:leader="none"/>
        </w:tabs>
        <w:spacing w:line="240" w:lineRule="auto" w:before="6" w:after="0"/>
        <w:ind w:left="824" w:right="0" w:hanging="705"/>
        <w:jc w:val="left"/>
        <w:rPr>
          <w:sz w:val="16"/>
        </w:rPr>
      </w:pPr>
      <w:r>
        <w:rPr>
          <w:w w:val="105"/>
          <w:sz w:val="16"/>
        </w:rPr>
        <w:t>Button</w:t>
        <w:tab/>
      </w:r>
      <w:r>
        <w:rPr>
          <w:spacing w:val="2"/>
          <w:w w:val="105"/>
          <w:sz w:val="16"/>
        </w:rPr>
        <w:t>___    </w:t>
      </w:r>
      <w:r>
        <w:rPr>
          <w:w w:val="105"/>
          <w:sz w:val="16"/>
        </w:rPr>
        <w:t>_  military</w:t>
      </w:r>
      <w:r>
        <w:rPr>
          <w:spacing w:val="-8"/>
          <w:w w:val="105"/>
          <w:sz w:val="16"/>
        </w:rPr>
        <w:t> </w:t>
      </w:r>
      <w:r>
        <w:rPr>
          <w:w w:val="105"/>
          <w:sz w:val="16"/>
        </w:rPr>
        <w:t>rank</w:t>
      </w:r>
    </w:p>
    <w:p>
      <w:pPr>
        <w:pStyle w:val="ListParagraph"/>
        <w:numPr>
          <w:ilvl w:val="0"/>
          <w:numId w:val="40"/>
        </w:numPr>
        <w:tabs>
          <w:tab w:pos="824" w:val="left" w:leader="none"/>
          <w:tab w:pos="825" w:val="left" w:leader="none"/>
          <w:tab w:pos="2240" w:val="left" w:leader="none"/>
        </w:tabs>
        <w:spacing w:line="240" w:lineRule="auto" w:before="13" w:after="0"/>
        <w:ind w:left="824" w:right="0" w:hanging="705"/>
        <w:jc w:val="left"/>
        <w:rPr>
          <w:sz w:val="16"/>
        </w:rPr>
      </w:pPr>
      <w:r>
        <w:rPr>
          <w:w w:val="105"/>
          <w:sz w:val="16"/>
        </w:rPr>
        <w:t>Chief</w:t>
        <w:tab/>
      </w:r>
      <w:r>
        <w:rPr>
          <w:spacing w:val="2"/>
          <w:w w:val="105"/>
          <w:sz w:val="16"/>
        </w:rPr>
        <w:t>___    </w:t>
      </w:r>
      <w:r>
        <w:rPr>
          <w:w w:val="105"/>
          <w:sz w:val="16"/>
        </w:rPr>
        <w:t>_  a book for tourists that provides information about a</w:t>
      </w:r>
      <w:r>
        <w:rPr>
          <w:spacing w:val="10"/>
          <w:w w:val="105"/>
          <w:sz w:val="16"/>
        </w:rPr>
        <w:t> </w:t>
      </w:r>
      <w:r>
        <w:rPr>
          <w:w w:val="105"/>
          <w:sz w:val="16"/>
        </w:rPr>
        <w:t>place</w:t>
      </w:r>
    </w:p>
    <w:p>
      <w:pPr>
        <w:pStyle w:val="ListParagraph"/>
        <w:numPr>
          <w:ilvl w:val="0"/>
          <w:numId w:val="40"/>
        </w:numPr>
        <w:tabs>
          <w:tab w:pos="824" w:val="left" w:leader="none"/>
          <w:tab w:pos="825" w:val="left" w:leader="none"/>
        </w:tabs>
        <w:spacing w:line="240" w:lineRule="auto" w:before="3" w:after="0"/>
        <w:ind w:left="824" w:right="0" w:hanging="705"/>
        <w:jc w:val="left"/>
        <w:rPr>
          <w:sz w:val="17"/>
        </w:rPr>
      </w:pPr>
      <w:r>
        <w:rPr>
          <w:sz w:val="17"/>
        </w:rPr>
        <w:t>Guidebook</w:t>
      </w:r>
    </w:p>
    <w:p>
      <w:pPr>
        <w:pStyle w:val="ListParagraph"/>
        <w:numPr>
          <w:ilvl w:val="0"/>
          <w:numId w:val="40"/>
        </w:numPr>
        <w:tabs>
          <w:tab w:pos="824" w:val="left" w:leader="none"/>
          <w:tab w:pos="825" w:val="left" w:leader="none"/>
        </w:tabs>
        <w:spacing w:line="240" w:lineRule="auto" w:before="6" w:after="0"/>
        <w:ind w:left="824" w:right="0" w:hanging="705"/>
        <w:jc w:val="left"/>
        <w:rPr>
          <w:sz w:val="16"/>
        </w:rPr>
      </w:pPr>
      <w:r>
        <w:rPr>
          <w:w w:val="105"/>
          <w:sz w:val="16"/>
        </w:rPr>
        <w:t>Major</w:t>
      </w:r>
    </w:p>
    <w:p>
      <w:pPr>
        <w:spacing w:after="0" w:line="240" w:lineRule="auto"/>
        <w:jc w:val="left"/>
        <w:rPr>
          <w:sz w:val="16"/>
        </w:rPr>
        <w:sectPr>
          <w:pgSz w:w="11910" w:h="16840"/>
          <w:pgMar w:header="732" w:footer="0" w:top="1160" w:bottom="280" w:left="1580" w:right="1020"/>
        </w:sectPr>
      </w:pPr>
    </w:p>
    <w:p>
      <w:pPr>
        <w:pStyle w:val="BodyText"/>
        <w:spacing w:before="11"/>
        <w:rPr>
          <w:sz w:val="14"/>
        </w:rPr>
      </w:pPr>
    </w:p>
    <w:p>
      <w:pPr>
        <w:spacing w:before="76"/>
        <w:ind w:left="119" w:right="0" w:firstLine="0"/>
        <w:jc w:val="left"/>
        <w:rPr>
          <w:b/>
          <w:sz w:val="20"/>
        </w:rPr>
      </w:pPr>
      <w:r>
        <w:rPr>
          <w:b/>
          <w:sz w:val="20"/>
        </w:rPr>
        <w:t>FOURTH SECTION</w:t>
      </w:r>
    </w:p>
    <w:p>
      <w:pPr>
        <w:pStyle w:val="BodyText"/>
        <w:spacing w:before="3"/>
        <w:rPr>
          <w:b/>
          <w:sz w:val="18"/>
        </w:rPr>
      </w:pPr>
    </w:p>
    <w:p>
      <w:pPr>
        <w:spacing w:before="0"/>
        <w:ind w:left="119" w:right="0" w:firstLine="0"/>
        <w:jc w:val="left"/>
        <w:rPr>
          <w:sz w:val="16"/>
        </w:rPr>
      </w:pPr>
      <w:r>
        <w:rPr>
          <w:w w:val="105"/>
          <w:sz w:val="16"/>
        </w:rPr>
        <w:t>1.</w:t>
      </w:r>
    </w:p>
    <w:p>
      <w:pPr>
        <w:pStyle w:val="BodyText"/>
        <w:spacing w:before="4"/>
        <w:rPr>
          <w:sz w:val="17"/>
        </w:rPr>
      </w:pPr>
    </w:p>
    <w:p>
      <w:pPr>
        <w:pStyle w:val="ListParagraph"/>
        <w:numPr>
          <w:ilvl w:val="0"/>
          <w:numId w:val="41"/>
        </w:numPr>
        <w:tabs>
          <w:tab w:pos="839" w:val="left" w:leader="none"/>
          <w:tab w:pos="840" w:val="left" w:leader="none"/>
        </w:tabs>
        <w:spacing w:line="194" w:lineRule="exact" w:before="0" w:after="0"/>
        <w:ind w:left="839" w:right="0" w:hanging="720"/>
        <w:jc w:val="left"/>
        <w:rPr>
          <w:sz w:val="17"/>
        </w:rPr>
      </w:pPr>
      <w:r>
        <w:rPr>
          <w:sz w:val="17"/>
        </w:rPr>
        <w:t>Bouncer</w:t>
      </w:r>
    </w:p>
    <w:p>
      <w:pPr>
        <w:pStyle w:val="ListParagraph"/>
        <w:numPr>
          <w:ilvl w:val="0"/>
          <w:numId w:val="41"/>
        </w:numPr>
        <w:tabs>
          <w:tab w:pos="839" w:val="left" w:leader="none"/>
          <w:tab w:pos="840" w:val="left" w:leader="none"/>
          <w:tab w:pos="2240" w:val="left" w:leader="none"/>
        </w:tabs>
        <w:spacing w:line="194" w:lineRule="exact" w:before="0" w:after="0"/>
        <w:ind w:left="839" w:right="0" w:hanging="720"/>
        <w:jc w:val="left"/>
        <w:rPr>
          <w:sz w:val="17"/>
        </w:rPr>
      </w:pPr>
      <w:r>
        <w:rPr>
          <w:sz w:val="17"/>
        </w:rPr>
        <w:t>Assault</w:t>
        <w:tab/>
      </w:r>
      <w:r>
        <w:rPr>
          <w:spacing w:val="2"/>
          <w:sz w:val="17"/>
        </w:rPr>
        <w:t>___   </w:t>
      </w:r>
      <w:r>
        <w:rPr>
          <w:sz w:val="17"/>
        </w:rPr>
        <w:t>_  to travel regularly to and from</w:t>
      </w:r>
      <w:r>
        <w:rPr>
          <w:spacing w:val="5"/>
          <w:sz w:val="17"/>
        </w:rPr>
        <w:t> </w:t>
      </w:r>
      <w:r>
        <w:rPr>
          <w:sz w:val="17"/>
        </w:rPr>
        <w:t>work</w:t>
      </w:r>
    </w:p>
    <w:p>
      <w:pPr>
        <w:pStyle w:val="ListParagraph"/>
        <w:numPr>
          <w:ilvl w:val="0"/>
          <w:numId w:val="41"/>
        </w:numPr>
        <w:tabs>
          <w:tab w:pos="839" w:val="left" w:leader="none"/>
          <w:tab w:pos="840" w:val="left" w:leader="none"/>
          <w:tab w:pos="2240" w:val="left" w:leader="none"/>
        </w:tabs>
        <w:spacing w:line="240" w:lineRule="auto" w:before="1" w:after="0"/>
        <w:ind w:left="839" w:right="0" w:hanging="720"/>
        <w:jc w:val="left"/>
        <w:rPr>
          <w:sz w:val="17"/>
        </w:rPr>
      </w:pPr>
      <w:r>
        <w:rPr>
          <w:sz w:val="17"/>
        </w:rPr>
        <w:t>Commute</w:t>
        <w:tab/>
      </w:r>
      <w:r>
        <w:rPr>
          <w:spacing w:val="2"/>
          <w:sz w:val="17"/>
        </w:rPr>
        <w:t>___   </w:t>
      </w:r>
      <w:r>
        <w:rPr>
          <w:sz w:val="17"/>
        </w:rPr>
        <w:t>_  someone whose job is to avoid that people cause trouble in a</w:t>
      </w:r>
      <w:r>
        <w:rPr>
          <w:spacing w:val="-2"/>
          <w:sz w:val="17"/>
        </w:rPr>
        <w:t> </w:t>
      </w:r>
      <w:r>
        <w:rPr>
          <w:sz w:val="17"/>
        </w:rPr>
        <w:t>bar</w:t>
      </w:r>
    </w:p>
    <w:p>
      <w:pPr>
        <w:pStyle w:val="ListParagraph"/>
        <w:numPr>
          <w:ilvl w:val="0"/>
          <w:numId w:val="41"/>
        </w:numPr>
        <w:tabs>
          <w:tab w:pos="839" w:val="left" w:leader="none"/>
          <w:tab w:pos="840" w:val="left" w:leader="none"/>
          <w:tab w:pos="2240" w:val="left" w:leader="none"/>
        </w:tabs>
        <w:spacing w:line="240" w:lineRule="auto" w:before="10" w:after="0"/>
        <w:ind w:left="839" w:right="0" w:hanging="720"/>
        <w:jc w:val="left"/>
        <w:rPr>
          <w:sz w:val="16"/>
        </w:rPr>
      </w:pPr>
      <w:r>
        <w:rPr>
          <w:w w:val="105"/>
          <w:sz w:val="16"/>
        </w:rPr>
        <w:t>Locksmith</w:t>
        <w:tab/>
      </w:r>
      <w:r>
        <w:rPr>
          <w:spacing w:val="2"/>
          <w:w w:val="105"/>
          <w:sz w:val="16"/>
        </w:rPr>
        <w:t>___    </w:t>
      </w:r>
      <w:r>
        <w:rPr>
          <w:w w:val="105"/>
          <w:sz w:val="16"/>
        </w:rPr>
        <w:t>_  to steal things from a place using force, especially during a</w:t>
      </w:r>
      <w:r>
        <w:rPr>
          <w:spacing w:val="9"/>
          <w:w w:val="105"/>
          <w:sz w:val="16"/>
        </w:rPr>
        <w:t> </w:t>
      </w:r>
      <w:r>
        <w:rPr>
          <w:w w:val="105"/>
          <w:sz w:val="16"/>
        </w:rPr>
        <w:t>war</w:t>
      </w:r>
    </w:p>
    <w:p>
      <w:pPr>
        <w:pStyle w:val="ListParagraph"/>
        <w:numPr>
          <w:ilvl w:val="0"/>
          <w:numId w:val="41"/>
        </w:numPr>
        <w:tabs>
          <w:tab w:pos="839" w:val="left" w:leader="none"/>
          <w:tab w:pos="840" w:val="left" w:leader="none"/>
        </w:tabs>
        <w:spacing w:line="240" w:lineRule="auto" w:before="8" w:after="0"/>
        <w:ind w:left="839" w:right="0" w:hanging="720"/>
        <w:jc w:val="left"/>
        <w:rPr>
          <w:sz w:val="16"/>
        </w:rPr>
      </w:pPr>
      <w:r>
        <w:rPr>
          <w:w w:val="105"/>
          <w:sz w:val="16"/>
        </w:rPr>
        <w:t>Pillage</w:t>
      </w:r>
    </w:p>
    <w:p>
      <w:pPr>
        <w:pStyle w:val="ListParagraph"/>
        <w:numPr>
          <w:ilvl w:val="0"/>
          <w:numId w:val="41"/>
        </w:numPr>
        <w:tabs>
          <w:tab w:pos="839" w:val="left" w:leader="none"/>
          <w:tab w:pos="840" w:val="left" w:leader="none"/>
        </w:tabs>
        <w:spacing w:line="240" w:lineRule="auto" w:before="13" w:after="0"/>
        <w:ind w:left="839" w:right="0" w:hanging="720"/>
        <w:jc w:val="left"/>
        <w:rPr>
          <w:sz w:val="16"/>
        </w:rPr>
      </w:pPr>
      <w:r>
        <w:rPr>
          <w:w w:val="105"/>
          <w:sz w:val="16"/>
        </w:rPr>
        <w:t>Stumble</w:t>
      </w:r>
    </w:p>
    <w:p>
      <w:pPr>
        <w:pStyle w:val="BodyText"/>
        <w:rPr>
          <w:sz w:val="16"/>
        </w:rPr>
      </w:pPr>
    </w:p>
    <w:p>
      <w:pPr>
        <w:pStyle w:val="BodyText"/>
        <w:spacing w:before="1"/>
        <w:rPr>
          <w:sz w:val="18"/>
        </w:rPr>
      </w:pPr>
    </w:p>
    <w:p>
      <w:pPr>
        <w:spacing w:before="0"/>
        <w:ind w:left="119" w:right="0" w:firstLine="0"/>
        <w:jc w:val="left"/>
        <w:rPr>
          <w:sz w:val="17"/>
        </w:rPr>
      </w:pPr>
      <w:r>
        <w:rPr>
          <w:sz w:val="17"/>
        </w:rPr>
        <w:t>2.</w:t>
      </w:r>
    </w:p>
    <w:p>
      <w:pPr>
        <w:pStyle w:val="BodyText"/>
        <w:spacing w:before="2"/>
        <w:rPr>
          <w:sz w:val="17"/>
        </w:rPr>
      </w:pPr>
    </w:p>
    <w:p>
      <w:pPr>
        <w:pStyle w:val="ListParagraph"/>
        <w:numPr>
          <w:ilvl w:val="0"/>
          <w:numId w:val="42"/>
        </w:numPr>
        <w:tabs>
          <w:tab w:pos="839" w:val="left" w:leader="none"/>
          <w:tab w:pos="840" w:val="left" w:leader="none"/>
        </w:tabs>
        <w:spacing w:line="240" w:lineRule="auto" w:before="0" w:after="0"/>
        <w:ind w:left="839" w:right="0" w:hanging="720"/>
        <w:jc w:val="left"/>
        <w:rPr>
          <w:sz w:val="17"/>
        </w:rPr>
      </w:pPr>
      <w:r>
        <w:rPr>
          <w:sz w:val="17"/>
        </w:rPr>
        <w:t>Deafen</w:t>
      </w:r>
    </w:p>
    <w:p>
      <w:pPr>
        <w:pStyle w:val="ListParagraph"/>
        <w:numPr>
          <w:ilvl w:val="0"/>
          <w:numId w:val="42"/>
        </w:numPr>
        <w:tabs>
          <w:tab w:pos="839" w:val="left" w:leader="none"/>
          <w:tab w:pos="840" w:val="left" w:leader="none"/>
          <w:tab w:pos="2240" w:val="left" w:leader="none"/>
        </w:tabs>
        <w:spacing w:line="240" w:lineRule="auto" w:before="6" w:after="0"/>
        <w:ind w:left="839" w:right="0" w:hanging="720"/>
        <w:jc w:val="left"/>
        <w:rPr>
          <w:sz w:val="16"/>
        </w:rPr>
      </w:pPr>
      <w:r>
        <w:rPr>
          <w:w w:val="105"/>
          <w:sz w:val="16"/>
        </w:rPr>
        <w:t>Fathom</w:t>
        <w:tab/>
      </w:r>
      <w:r>
        <w:rPr>
          <w:spacing w:val="2"/>
          <w:w w:val="105"/>
          <w:sz w:val="16"/>
        </w:rPr>
        <w:t>___    </w:t>
      </w:r>
      <w:r>
        <w:rPr>
          <w:w w:val="105"/>
          <w:sz w:val="16"/>
        </w:rPr>
        <w:t>_  to understand</w:t>
      </w:r>
      <w:r>
        <w:rPr>
          <w:spacing w:val="-2"/>
          <w:w w:val="105"/>
          <w:sz w:val="16"/>
        </w:rPr>
        <w:t> </w:t>
      </w:r>
      <w:r>
        <w:rPr>
          <w:w w:val="105"/>
          <w:sz w:val="16"/>
        </w:rPr>
        <w:t>something</w:t>
      </w:r>
    </w:p>
    <w:p>
      <w:pPr>
        <w:pStyle w:val="ListParagraph"/>
        <w:numPr>
          <w:ilvl w:val="0"/>
          <w:numId w:val="42"/>
        </w:numPr>
        <w:tabs>
          <w:tab w:pos="839" w:val="left" w:leader="none"/>
          <w:tab w:pos="840" w:val="left" w:leader="none"/>
          <w:tab w:pos="2240" w:val="left" w:leader="none"/>
        </w:tabs>
        <w:spacing w:line="240" w:lineRule="auto" w:before="3" w:after="0"/>
        <w:ind w:left="839" w:right="0" w:hanging="720"/>
        <w:jc w:val="left"/>
        <w:rPr>
          <w:sz w:val="17"/>
        </w:rPr>
      </w:pPr>
      <w:r>
        <w:rPr>
          <w:sz w:val="17"/>
        </w:rPr>
        <w:t>Feverish</w:t>
        <w:tab/>
      </w:r>
      <w:r>
        <w:rPr>
          <w:spacing w:val="2"/>
          <w:sz w:val="17"/>
        </w:rPr>
        <w:t>___   </w:t>
      </w:r>
      <w:r>
        <w:rPr>
          <w:sz w:val="17"/>
        </w:rPr>
        <w:t>_  weak because of old age or</w:t>
      </w:r>
      <w:r>
        <w:rPr>
          <w:spacing w:val="11"/>
          <w:sz w:val="17"/>
        </w:rPr>
        <w:t> </w:t>
      </w:r>
      <w:r>
        <w:rPr>
          <w:sz w:val="17"/>
        </w:rPr>
        <w:t>illness</w:t>
      </w:r>
    </w:p>
    <w:p>
      <w:pPr>
        <w:pStyle w:val="ListParagraph"/>
        <w:numPr>
          <w:ilvl w:val="0"/>
          <w:numId w:val="42"/>
        </w:numPr>
        <w:tabs>
          <w:tab w:pos="839" w:val="left" w:leader="none"/>
          <w:tab w:pos="840" w:val="left" w:leader="none"/>
          <w:tab w:pos="2240" w:val="left" w:leader="none"/>
        </w:tabs>
        <w:spacing w:line="240" w:lineRule="auto" w:before="10" w:after="0"/>
        <w:ind w:left="839" w:right="0" w:hanging="720"/>
        <w:jc w:val="left"/>
        <w:rPr>
          <w:sz w:val="16"/>
        </w:rPr>
      </w:pPr>
      <w:r>
        <w:rPr>
          <w:w w:val="105"/>
          <w:sz w:val="16"/>
        </w:rPr>
        <w:t>Handicap</w:t>
        <w:tab/>
      </w:r>
      <w:r>
        <w:rPr>
          <w:spacing w:val="2"/>
          <w:w w:val="105"/>
          <w:sz w:val="16"/>
        </w:rPr>
        <w:t>___    </w:t>
      </w:r>
      <w:r>
        <w:rPr>
          <w:w w:val="105"/>
          <w:sz w:val="16"/>
        </w:rPr>
        <w:t>_  to cause an inability to</w:t>
      </w:r>
      <w:r>
        <w:rPr>
          <w:spacing w:val="-6"/>
          <w:w w:val="105"/>
          <w:sz w:val="16"/>
        </w:rPr>
        <w:t> </w:t>
      </w:r>
      <w:r>
        <w:rPr>
          <w:w w:val="105"/>
          <w:sz w:val="16"/>
        </w:rPr>
        <w:t>hear</w:t>
      </w:r>
    </w:p>
    <w:p>
      <w:pPr>
        <w:pStyle w:val="ListParagraph"/>
        <w:numPr>
          <w:ilvl w:val="0"/>
          <w:numId w:val="42"/>
        </w:numPr>
        <w:tabs>
          <w:tab w:pos="839" w:val="left" w:leader="none"/>
          <w:tab w:pos="840" w:val="left" w:leader="none"/>
        </w:tabs>
        <w:spacing w:line="240" w:lineRule="auto" w:before="3" w:after="0"/>
        <w:ind w:left="839" w:right="0" w:hanging="720"/>
        <w:jc w:val="left"/>
        <w:rPr>
          <w:sz w:val="17"/>
        </w:rPr>
      </w:pPr>
      <w:r>
        <w:rPr>
          <w:sz w:val="17"/>
        </w:rPr>
        <w:t>Infirm</w:t>
      </w:r>
    </w:p>
    <w:p>
      <w:pPr>
        <w:pStyle w:val="ListParagraph"/>
        <w:numPr>
          <w:ilvl w:val="0"/>
          <w:numId w:val="42"/>
        </w:numPr>
        <w:tabs>
          <w:tab w:pos="839" w:val="left" w:leader="none"/>
          <w:tab w:pos="840" w:val="left" w:leader="none"/>
        </w:tabs>
        <w:spacing w:line="240" w:lineRule="auto" w:before="6" w:after="0"/>
        <w:ind w:left="839" w:right="0" w:hanging="720"/>
        <w:jc w:val="left"/>
        <w:rPr>
          <w:sz w:val="16"/>
        </w:rPr>
      </w:pPr>
      <w:r>
        <w:rPr>
          <w:w w:val="105"/>
          <w:sz w:val="16"/>
        </w:rPr>
        <w:t>Presume</w:t>
      </w:r>
    </w:p>
    <w:p>
      <w:pPr>
        <w:pStyle w:val="BodyText"/>
        <w:rPr>
          <w:sz w:val="16"/>
        </w:rPr>
      </w:pPr>
    </w:p>
    <w:p>
      <w:pPr>
        <w:pStyle w:val="BodyText"/>
        <w:spacing w:before="6"/>
        <w:rPr>
          <w:sz w:val="18"/>
        </w:rPr>
      </w:pPr>
    </w:p>
    <w:p>
      <w:pPr>
        <w:spacing w:before="0"/>
        <w:ind w:left="119" w:right="0" w:firstLine="0"/>
        <w:jc w:val="left"/>
        <w:rPr>
          <w:sz w:val="17"/>
        </w:rPr>
      </w:pPr>
      <w:r>
        <w:rPr>
          <w:sz w:val="17"/>
        </w:rPr>
        <w:t>3.</w:t>
      </w:r>
    </w:p>
    <w:p>
      <w:pPr>
        <w:pStyle w:val="BodyText"/>
        <w:spacing w:before="9"/>
        <w:rPr>
          <w:sz w:val="16"/>
        </w:rPr>
      </w:pPr>
    </w:p>
    <w:p>
      <w:pPr>
        <w:pStyle w:val="ListParagraph"/>
        <w:numPr>
          <w:ilvl w:val="0"/>
          <w:numId w:val="43"/>
        </w:numPr>
        <w:tabs>
          <w:tab w:pos="839" w:val="left" w:leader="none"/>
          <w:tab w:pos="840" w:val="left" w:leader="none"/>
        </w:tabs>
        <w:spacing w:line="240" w:lineRule="auto" w:before="0" w:after="0"/>
        <w:ind w:left="839" w:right="0" w:hanging="720"/>
        <w:jc w:val="left"/>
        <w:rPr>
          <w:sz w:val="17"/>
        </w:rPr>
      </w:pPr>
      <w:r>
        <w:rPr>
          <w:sz w:val="17"/>
        </w:rPr>
        <w:t>Afford</w:t>
      </w:r>
    </w:p>
    <w:p>
      <w:pPr>
        <w:pStyle w:val="ListParagraph"/>
        <w:numPr>
          <w:ilvl w:val="0"/>
          <w:numId w:val="43"/>
        </w:numPr>
        <w:tabs>
          <w:tab w:pos="839" w:val="left" w:leader="none"/>
          <w:tab w:pos="840" w:val="left" w:leader="none"/>
          <w:tab w:pos="2240" w:val="left" w:leader="none"/>
        </w:tabs>
        <w:spacing w:line="183" w:lineRule="exact" w:before="10" w:after="0"/>
        <w:ind w:left="839" w:right="0" w:hanging="720"/>
        <w:jc w:val="left"/>
        <w:rPr>
          <w:sz w:val="16"/>
        </w:rPr>
      </w:pPr>
      <w:r>
        <w:rPr>
          <w:w w:val="105"/>
          <w:sz w:val="16"/>
        </w:rPr>
        <w:t>Bankroll</w:t>
        <w:tab/>
      </w:r>
      <w:r>
        <w:rPr>
          <w:spacing w:val="2"/>
          <w:w w:val="105"/>
          <w:sz w:val="16"/>
        </w:rPr>
        <w:t>___    </w:t>
      </w:r>
      <w:r>
        <w:rPr>
          <w:w w:val="105"/>
          <w:sz w:val="16"/>
        </w:rPr>
        <w:t>_  to provide </w:t>
      </w:r>
      <w:r>
        <w:rPr>
          <w:spacing w:val="2"/>
          <w:w w:val="105"/>
          <w:sz w:val="16"/>
        </w:rPr>
        <w:t>the </w:t>
      </w:r>
      <w:r>
        <w:rPr>
          <w:w w:val="105"/>
          <w:sz w:val="16"/>
        </w:rPr>
        <w:t>money for</w:t>
      </w:r>
      <w:r>
        <w:rPr>
          <w:spacing w:val="-4"/>
          <w:w w:val="105"/>
          <w:sz w:val="16"/>
        </w:rPr>
        <w:t> </w:t>
      </w:r>
      <w:r>
        <w:rPr>
          <w:w w:val="105"/>
          <w:sz w:val="16"/>
        </w:rPr>
        <w:t>something.</w:t>
      </w:r>
    </w:p>
    <w:p>
      <w:pPr>
        <w:pStyle w:val="ListParagraph"/>
        <w:numPr>
          <w:ilvl w:val="0"/>
          <w:numId w:val="43"/>
        </w:numPr>
        <w:tabs>
          <w:tab w:pos="839" w:val="left" w:leader="none"/>
          <w:tab w:pos="840" w:val="left" w:leader="none"/>
          <w:tab w:pos="2240" w:val="left" w:leader="none"/>
        </w:tabs>
        <w:spacing w:line="195" w:lineRule="exact" w:before="0" w:after="0"/>
        <w:ind w:left="839" w:right="0" w:hanging="720"/>
        <w:jc w:val="left"/>
        <w:rPr>
          <w:sz w:val="17"/>
        </w:rPr>
      </w:pPr>
      <w:r>
        <w:rPr>
          <w:sz w:val="17"/>
        </w:rPr>
        <w:t>Coalesce</w:t>
        <w:tab/>
      </w:r>
      <w:r>
        <w:rPr>
          <w:spacing w:val="2"/>
          <w:sz w:val="17"/>
        </w:rPr>
        <w:t>___   </w:t>
      </w:r>
      <w:r>
        <w:rPr>
          <w:sz w:val="17"/>
        </w:rPr>
        <w:t>_  to come together and form a group or a single</w:t>
      </w:r>
      <w:r>
        <w:rPr>
          <w:spacing w:val="7"/>
          <w:sz w:val="17"/>
        </w:rPr>
        <w:t> </w:t>
      </w:r>
      <w:r>
        <w:rPr>
          <w:sz w:val="17"/>
        </w:rPr>
        <w:t>unit</w:t>
      </w:r>
    </w:p>
    <w:p>
      <w:pPr>
        <w:pStyle w:val="ListParagraph"/>
        <w:numPr>
          <w:ilvl w:val="0"/>
          <w:numId w:val="43"/>
        </w:numPr>
        <w:tabs>
          <w:tab w:pos="839" w:val="left" w:leader="none"/>
          <w:tab w:pos="840" w:val="left" w:leader="none"/>
          <w:tab w:pos="2240" w:val="left" w:leader="none"/>
        </w:tabs>
        <w:spacing w:line="240" w:lineRule="auto" w:before="1" w:after="0"/>
        <w:ind w:left="839" w:right="0" w:hanging="720"/>
        <w:jc w:val="left"/>
        <w:rPr>
          <w:sz w:val="17"/>
        </w:rPr>
      </w:pPr>
      <w:r>
        <w:rPr>
          <w:sz w:val="17"/>
        </w:rPr>
        <w:t>Cramp</w:t>
        <w:tab/>
      </w:r>
      <w:r>
        <w:rPr>
          <w:spacing w:val="2"/>
          <w:sz w:val="17"/>
        </w:rPr>
        <w:t>___   </w:t>
      </w:r>
      <w:r>
        <w:rPr>
          <w:sz w:val="17"/>
        </w:rPr>
        <w:t>_  a sudden severe pain in a tired muscle that becomes very</w:t>
      </w:r>
      <w:r>
        <w:rPr>
          <w:spacing w:val="2"/>
          <w:sz w:val="17"/>
        </w:rPr>
        <w:t> </w:t>
      </w:r>
      <w:r>
        <w:rPr>
          <w:sz w:val="17"/>
        </w:rPr>
        <w:t>tight</w:t>
      </w:r>
    </w:p>
    <w:p>
      <w:pPr>
        <w:pStyle w:val="ListParagraph"/>
        <w:numPr>
          <w:ilvl w:val="0"/>
          <w:numId w:val="43"/>
        </w:numPr>
        <w:tabs>
          <w:tab w:pos="839" w:val="left" w:leader="none"/>
          <w:tab w:pos="840" w:val="left" w:leader="none"/>
        </w:tabs>
        <w:spacing w:line="240" w:lineRule="auto" w:before="1" w:after="0"/>
        <w:ind w:left="839" w:right="0" w:hanging="720"/>
        <w:jc w:val="left"/>
        <w:rPr>
          <w:sz w:val="17"/>
        </w:rPr>
      </w:pPr>
      <w:r>
        <w:rPr>
          <w:sz w:val="17"/>
        </w:rPr>
        <w:t>Crutch</w:t>
      </w:r>
    </w:p>
    <w:p>
      <w:pPr>
        <w:pStyle w:val="ListParagraph"/>
        <w:numPr>
          <w:ilvl w:val="0"/>
          <w:numId w:val="43"/>
        </w:numPr>
        <w:tabs>
          <w:tab w:pos="839" w:val="left" w:leader="none"/>
          <w:tab w:pos="840" w:val="left" w:leader="none"/>
        </w:tabs>
        <w:spacing w:line="240" w:lineRule="auto" w:before="1" w:after="0"/>
        <w:ind w:left="839" w:right="0" w:hanging="720"/>
        <w:jc w:val="left"/>
        <w:rPr>
          <w:sz w:val="17"/>
        </w:rPr>
      </w:pPr>
      <w:r>
        <w:rPr>
          <w:sz w:val="17"/>
        </w:rPr>
        <w:t>Summon</w:t>
      </w:r>
    </w:p>
    <w:p>
      <w:pPr>
        <w:pStyle w:val="BodyText"/>
        <w:rPr>
          <w:sz w:val="16"/>
        </w:rPr>
      </w:pPr>
    </w:p>
    <w:p>
      <w:pPr>
        <w:pStyle w:val="BodyText"/>
        <w:spacing w:before="10"/>
        <w:rPr>
          <w:sz w:val="17"/>
        </w:rPr>
      </w:pPr>
    </w:p>
    <w:p>
      <w:pPr>
        <w:spacing w:before="0"/>
        <w:ind w:left="119" w:right="0" w:firstLine="0"/>
        <w:jc w:val="left"/>
        <w:rPr>
          <w:sz w:val="17"/>
        </w:rPr>
      </w:pPr>
      <w:r>
        <w:rPr>
          <w:sz w:val="17"/>
        </w:rPr>
        <w:t>4.</w:t>
      </w:r>
    </w:p>
    <w:p>
      <w:pPr>
        <w:pStyle w:val="BodyText"/>
        <w:spacing w:before="9"/>
        <w:rPr>
          <w:sz w:val="16"/>
        </w:rPr>
      </w:pPr>
    </w:p>
    <w:p>
      <w:pPr>
        <w:pStyle w:val="ListParagraph"/>
        <w:numPr>
          <w:ilvl w:val="0"/>
          <w:numId w:val="44"/>
        </w:numPr>
        <w:tabs>
          <w:tab w:pos="839" w:val="left" w:leader="none"/>
          <w:tab w:pos="840" w:val="left" w:leader="none"/>
        </w:tabs>
        <w:spacing w:line="240" w:lineRule="auto" w:before="0" w:after="0"/>
        <w:ind w:left="839" w:right="0" w:hanging="720"/>
        <w:jc w:val="left"/>
        <w:rPr>
          <w:sz w:val="17"/>
        </w:rPr>
      </w:pPr>
      <w:r>
        <w:rPr>
          <w:sz w:val="17"/>
        </w:rPr>
        <w:t>Break</w:t>
      </w:r>
      <w:r>
        <w:rPr>
          <w:spacing w:val="-13"/>
          <w:sz w:val="17"/>
        </w:rPr>
        <w:t> </w:t>
      </w:r>
      <w:r>
        <w:rPr>
          <w:sz w:val="17"/>
        </w:rPr>
        <w:t>down</w:t>
      </w:r>
    </w:p>
    <w:p>
      <w:pPr>
        <w:pStyle w:val="ListParagraph"/>
        <w:numPr>
          <w:ilvl w:val="0"/>
          <w:numId w:val="44"/>
        </w:numPr>
        <w:tabs>
          <w:tab w:pos="839" w:val="left" w:leader="none"/>
          <w:tab w:pos="840" w:val="left" w:leader="none"/>
          <w:tab w:pos="2240" w:val="left" w:leader="none"/>
        </w:tabs>
        <w:spacing w:line="240" w:lineRule="auto" w:before="1" w:after="0"/>
        <w:ind w:left="839" w:right="0" w:hanging="720"/>
        <w:jc w:val="left"/>
        <w:rPr>
          <w:sz w:val="17"/>
        </w:rPr>
      </w:pPr>
      <w:r>
        <w:rPr>
          <w:sz w:val="17"/>
        </w:rPr>
        <w:t>Distressed</w:t>
        <w:tab/>
      </w:r>
      <w:r>
        <w:rPr>
          <w:spacing w:val="2"/>
          <w:sz w:val="17"/>
        </w:rPr>
        <w:t>___   </w:t>
      </w:r>
      <w:r>
        <w:rPr>
          <w:sz w:val="17"/>
        </w:rPr>
        <w:t>_  unlikely to</w:t>
      </w:r>
      <w:r>
        <w:rPr>
          <w:spacing w:val="14"/>
          <w:sz w:val="17"/>
        </w:rPr>
        <w:t> </w:t>
      </w:r>
      <w:r>
        <w:rPr>
          <w:sz w:val="17"/>
        </w:rPr>
        <w:t>happen</w:t>
      </w:r>
    </w:p>
    <w:p>
      <w:pPr>
        <w:pStyle w:val="ListParagraph"/>
        <w:numPr>
          <w:ilvl w:val="0"/>
          <w:numId w:val="44"/>
        </w:numPr>
        <w:tabs>
          <w:tab w:pos="839" w:val="left" w:leader="none"/>
          <w:tab w:pos="840" w:val="left" w:leader="none"/>
          <w:tab w:pos="2240" w:val="left" w:leader="none"/>
        </w:tabs>
        <w:spacing w:line="183" w:lineRule="exact" w:before="10" w:after="0"/>
        <w:ind w:left="839" w:right="0" w:hanging="720"/>
        <w:jc w:val="left"/>
        <w:rPr>
          <w:sz w:val="16"/>
        </w:rPr>
      </w:pPr>
      <w:r>
        <w:rPr>
          <w:w w:val="105"/>
          <w:sz w:val="16"/>
        </w:rPr>
        <w:t>Enfold</w:t>
        <w:tab/>
      </w:r>
      <w:r>
        <w:rPr>
          <w:spacing w:val="2"/>
          <w:w w:val="105"/>
          <w:sz w:val="16"/>
        </w:rPr>
        <w:t>___    </w:t>
      </w:r>
      <w:r>
        <w:rPr>
          <w:w w:val="105"/>
          <w:sz w:val="16"/>
        </w:rPr>
        <w:t>_  to surround someone or</w:t>
      </w:r>
      <w:r>
        <w:rPr>
          <w:spacing w:val="6"/>
          <w:w w:val="105"/>
          <w:sz w:val="16"/>
        </w:rPr>
        <w:t> </w:t>
      </w:r>
      <w:r>
        <w:rPr>
          <w:w w:val="105"/>
          <w:sz w:val="16"/>
        </w:rPr>
        <w:t>something</w:t>
      </w:r>
    </w:p>
    <w:p>
      <w:pPr>
        <w:pStyle w:val="ListParagraph"/>
        <w:numPr>
          <w:ilvl w:val="0"/>
          <w:numId w:val="44"/>
        </w:numPr>
        <w:tabs>
          <w:tab w:pos="839" w:val="left" w:leader="none"/>
          <w:tab w:pos="840" w:val="left" w:leader="none"/>
          <w:tab w:pos="2240" w:val="left" w:leader="none"/>
        </w:tabs>
        <w:spacing w:line="195" w:lineRule="exact" w:before="0" w:after="0"/>
        <w:ind w:left="839" w:right="0" w:hanging="720"/>
        <w:jc w:val="left"/>
        <w:rPr>
          <w:sz w:val="17"/>
        </w:rPr>
      </w:pPr>
      <w:r>
        <w:rPr>
          <w:sz w:val="17"/>
        </w:rPr>
        <w:t>Enclose</w:t>
        <w:tab/>
      </w:r>
      <w:r>
        <w:rPr>
          <w:spacing w:val="2"/>
          <w:sz w:val="17"/>
        </w:rPr>
        <w:t>___   </w:t>
      </w:r>
      <w:r>
        <w:rPr>
          <w:sz w:val="17"/>
        </w:rPr>
        <w:t>_  very unhappy, worried or</w:t>
      </w:r>
      <w:r>
        <w:rPr>
          <w:spacing w:val="8"/>
          <w:sz w:val="17"/>
        </w:rPr>
        <w:t> </w:t>
      </w:r>
      <w:r>
        <w:rPr>
          <w:sz w:val="17"/>
        </w:rPr>
        <w:t>upset.</w:t>
      </w:r>
    </w:p>
    <w:p>
      <w:pPr>
        <w:pStyle w:val="ListParagraph"/>
        <w:numPr>
          <w:ilvl w:val="0"/>
          <w:numId w:val="44"/>
        </w:numPr>
        <w:tabs>
          <w:tab w:pos="839" w:val="left" w:leader="none"/>
          <w:tab w:pos="840" w:val="left" w:leader="none"/>
        </w:tabs>
        <w:spacing w:line="240" w:lineRule="auto" w:before="10" w:after="0"/>
        <w:ind w:left="839" w:right="0" w:hanging="720"/>
        <w:jc w:val="left"/>
        <w:rPr>
          <w:sz w:val="16"/>
        </w:rPr>
      </w:pPr>
      <w:r>
        <w:rPr>
          <w:w w:val="105"/>
          <w:sz w:val="16"/>
        </w:rPr>
        <w:t>Iffy</w:t>
      </w:r>
    </w:p>
    <w:p>
      <w:pPr>
        <w:pStyle w:val="ListParagraph"/>
        <w:numPr>
          <w:ilvl w:val="0"/>
          <w:numId w:val="44"/>
        </w:numPr>
        <w:tabs>
          <w:tab w:pos="839" w:val="left" w:leader="none"/>
          <w:tab w:pos="840" w:val="left" w:leader="none"/>
        </w:tabs>
        <w:spacing w:line="240" w:lineRule="auto" w:before="13" w:after="0"/>
        <w:ind w:left="839" w:right="0" w:hanging="720"/>
        <w:jc w:val="left"/>
        <w:rPr>
          <w:sz w:val="16"/>
        </w:rPr>
      </w:pPr>
      <w:r>
        <w:rPr>
          <w:w w:val="105"/>
          <w:sz w:val="16"/>
        </w:rPr>
        <w:t>Weird</w:t>
      </w:r>
    </w:p>
    <w:p>
      <w:pPr>
        <w:pStyle w:val="BodyText"/>
        <w:rPr>
          <w:sz w:val="16"/>
        </w:rPr>
      </w:pPr>
    </w:p>
    <w:p>
      <w:pPr>
        <w:pStyle w:val="BodyText"/>
        <w:spacing w:before="10"/>
        <w:rPr>
          <w:sz w:val="18"/>
        </w:rPr>
      </w:pPr>
    </w:p>
    <w:p>
      <w:pPr>
        <w:spacing w:before="0"/>
        <w:ind w:left="119" w:right="0" w:firstLine="0"/>
        <w:jc w:val="left"/>
        <w:rPr>
          <w:sz w:val="16"/>
        </w:rPr>
      </w:pPr>
      <w:r>
        <w:rPr>
          <w:w w:val="105"/>
          <w:sz w:val="16"/>
        </w:rPr>
        <w:t>5.</w:t>
      </w:r>
    </w:p>
    <w:p>
      <w:pPr>
        <w:pStyle w:val="BodyText"/>
        <w:spacing w:before="2"/>
        <w:rPr>
          <w:sz w:val="18"/>
        </w:rPr>
      </w:pPr>
    </w:p>
    <w:p>
      <w:pPr>
        <w:pStyle w:val="ListParagraph"/>
        <w:numPr>
          <w:ilvl w:val="0"/>
          <w:numId w:val="45"/>
        </w:numPr>
        <w:tabs>
          <w:tab w:pos="839" w:val="left" w:leader="none"/>
          <w:tab w:pos="840" w:val="left" w:leader="none"/>
        </w:tabs>
        <w:spacing w:line="240" w:lineRule="auto" w:before="0" w:after="0"/>
        <w:ind w:left="839" w:right="0" w:hanging="720"/>
        <w:jc w:val="left"/>
        <w:rPr>
          <w:sz w:val="16"/>
        </w:rPr>
      </w:pPr>
      <w:r>
        <w:rPr>
          <w:w w:val="105"/>
          <w:sz w:val="16"/>
        </w:rPr>
        <w:t>Enormous</w:t>
      </w:r>
    </w:p>
    <w:p>
      <w:pPr>
        <w:pStyle w:val="ListParagraph"/>
        <w:numPr>
          <w:ilvl w:val="0"/>
          <w:numId w:val="45"/>
        </w:numPr>
        <w:tabs>
          <w:tab w:pos="839" w:val="left" w:leader="none"/>
          <w:tab w:pos="840" w:val="left" w:leader="none"/>
          <w:tab w:pos="2240" w:val="left" w:leader="none"/>
        </w:tabs>
        <w:spacing w:line="240" w:lineRule="auto" w:before="8" w:after="0"/>
        <w:ind w:left="839" w:right="0" w:hanging="720"/>
        <w:jc w:val="left"/>
        <w:rPr>
          <w:sz w:val="16"/>
        </w:rPr>
      </w:pPr>
      <w:r>
        <w:rPr>
          <w:w w:val="105"/>
          <w:sz w:val="16"/>
        </w:rPr>
        <w:t>Filthy</w:t>
        <w:tab/>
      </w:r>
      <w:r>
        <w:rPr>
          <w:spacing w:val="2"/>
          <w:w w:val="105"/>
          <w:sz w:val="16"/>
        </w:rPr>
        <w:t>___    </w:t>
      </w:r>
      <w:r>
        <w:rPr>
          <w:w w:val="105"/>
          <w:sz w:val="16"/>
        </w:rPr>
        <w:t>_  the process of getting something back</w:t>
      </w:r>
    </w:p>
    <w:p>
      <w:pPr>
        <w:pStyle w:val="ListParagraph"/>
        <w:numPr>
          <w:ilvl w:val="0"/>
          <w:numId w:val="45"/>
        </w:numPr>
        <w:tabs>
          <w:tab w:pos="839" w:val="left" w:leader="none"/>
          <w:tab w:pos="840" w:val="left" w:leader="none"/>
          <w:tab w:pos="2240" w:val="left" w:leader="none"/>
        </w:tabs>
        <w:spacing w:line="240" w:lineRule="auto" w:before="13" w:after="0"/>
        <w:ind w:left="839" w:right="0" w:hanging="720"/>
        <w:jc w:val="left"/>
        <w:rPr>
          <w:sz w:val="16"/>
        </w:rPr>
      </w:pPr>
      <w:r>
        <w:rPr>
          <w:w w:val="105"/>
          <w:sz w:val="16"/>
        </w:rPr>
        <w:t>Pristine</w:t>
        <w:tab/>
      </w:r>
      <w:r>
        <w:rPr>
          <w:spacing w:val="2"/>
          <w:w w:val="105"/>
          <w:sz w:val="16"/>
        </w:rPr>
        <w:t>___    </w:t>
      </w:r>
      <w:r>
        <w:rPr>
          <w:w w:val="105"/>
          <w:sz w:val="16"/>
        </w:rPr>
        <w:t>_  something that looks very clean, neat or</w:t>
      </w:r>
      <w:r>
        <w:rPr>
          <w:spacing w:val="-4"/>
          <w:w w:val="105"/>
          <w:sz w:val="16"/>
        </w:rPr>
        <w:t> </w:t>
      </w:r>
      <w:r>
        <w:rPr>
          <w:spacing w:val="3"/>
          <w:w w:val="105"/>
          <w:sz w:val="16"/>
        </w:rPr>
        <w:t>new</w:t>
      </w:r>
    </w:p>
    <w:p>
      <w:pPr>
        <w:pStyle w:val="ListParagraph"/>
        <w:numPr>
          <w:ilvl w:val="0"/>
          <w:numId w:val="45"/>
        </w:numPr>
        <w:tabs>
          <w:tab w:pos="839" w:val="left" w:leader="none"/>
          <w:tab w:pos="840" w:val="left" w:leader="none"/>
          <w:tab w:pos="2240" w:val="left" w:leader="none"/>
        </w:tabs>
        <w:spacing w:line="240" w:lineRule="auto" w:before="13" w:after="0"/>
        <w:ind w:left="839" w:right="0" w:hanging="720"/>
        <w:jc w:val="left"/>
        <w:rPr>
          <w:sz w:val="16"/>
        </w:rPr>
      </w:pPr>
      <w:r>
        <w:rPr>
          <w:w w:val="105"/>
          <w:sz w:val="16"/>
        </w:rPr>
        <w:t>Retrieval</w:t>
        <w:tab/>
      </w:r>
      <w:r>
        <w:rPr>
          <w:spacing w:val="2"/>
          <w:w w:val="105"/>
          <w:sz w:val="16"/>
        </w:rPr>
        <w:t>___    </w:t>
      </w:r>
      <w:r>
        <w:rPr>
          <w:w w:val="105"/>
          <w:sz w:val="16"/>
        </w:rPr>
        <w:t>_  to a great</w:t>
      </w:r>
      <w:r>
        <w:rPr>
          <w:spacing w:val="-6"/>
          <w:w w:val="105"/>
          <w:sz w:val="16"/>
        </w:rPr>
        <w:t> </w:t>
      </w:r>
      <w:r>
        <w:rPr>
          <w:w w:val="105"/>
          <w:sz w:val="16"/>
        </w:rPr>
        <w:t>degree</w:t>
      </w:r>
    </w:p>
    <w:p>
      <w:pPr>
        <w:pStyle w:val="ListParagraph"/>
        <w:numPr>
          <w:ilvl w:val="0"/>
          <w:numId w:val="45"/>
        </w:numPr>
        <w:tabs>
          <w:tab w:pos="839" w:val="left" w:leader="none"/>
          <w:tab w:pos="840" w:val="left" w:leader="none"/>
        </w:tabs>
        <w:spacing w:line="240" w:lineRule="auto" w:before="8" w:after="0"/>
        <w:ind w:left="839" w:right="0" w:hanging="720"/>
        <w:jc w:val="left"/>
        <w:rPr>
          <w:sz w:val="16"/>
        </w:rPr>
      </w:pPr>
      <w:r>
        <w:rPr>
          <w:w w:val="105"/>
          <w:sz w:val="16"/>
        </w:rPr>
        <w:t>Revocable</w:t>
      </w:r>
    </w:p>
    <w:p>
      <w:pPr>
        <w:pStyle w:val="ListParagraph"/>
        <w:numPr>
          <w:ilvl w:val="0"/>
          <w:numId w:val="45"/>
        </w:numPr>
        <w:tabs>
          <w:tab w:pos="839" w:val="left" w:leader="none"/>
          <w:tab w:pos="840" w:val="left" w:leader="none"/>
        </w:tabs>
        <w:spacing w:line="240" w:lineRule="auto" w:before="13" w:after="0"/>
        <w:ind w:left="839" w:right="0" w:hanging="720"/>
        <w:jc w:val="left"/>
        <w:rPr>
          <w:sz w:val="16"/>
        </w:rPr>
      </w:pPr>
      <w:r>
        <w:rPr>
          <w:w w:val="105"/>
          <w:sz w:val="16"/>
        </w:rPr>
        <w:t>Vastly</w:t>
      </w:r>
    </w:p>
    <w:p>
      <w:pPr>
        <w:pStyle w:val="BodyText"/>
        <w:rPr>
          <w:sz w:val="16"/>
        </w:rPr>
      </w:pPr>
    </w:p>
    <w:p>
      <w:pPr>
        <w:pStyle w:val="BodyText"/>
        <w:spacing w:before="1"/>
        <w:rPr>
          <w:sz w:val="18"/>
        </w:rPr>
      </w:pPr>
    </w:p>
    <w:p>
      <w:pPr>
        <w:spacing w:before="0"/>
        <w:ind w:left="119" w:right="0" w:firstLine="0"/>
        <w:jc w:val="left"/>
        <w:rPr>
          <w:sz w:val="17"/>
        </w:rPr>
      </w:pPr>
      <w:r>
        <w:rPr>
          <w:sz w:val="17"/>
        </w:rPr>
        <w:t>6.</w:t>
      </w:r>
    </w:p>
    <w:p>
      <w:pPr>
        <w:pStyle w:val="BodyText"/>
        <w:rPr>
          <w:sz w:val="18"/>
        </w:rPr>
      </w:pPr>
    </w:p>
    <w:p>
      <w:pPr>
        <w:pStyle w:val="ListParagraph"/>
        <w:numPr>
          <w:ilvl w:val="0"/>
          <w:numId w:val="46"/>
        </w:numPr>
        <w:tabs>
          <w:tab w:pos="839" w:val="left" w:leader="none"/>
          <w:tab w:pos="840" w:val="left" w:leader="none"/>
        </w:tabs>
        <w:spacing w:line="240" w:lineRule="auto" w:before="0" w:after="0"/>
        <w:ind w:left="839" w:right="0" w:hanging="720"/>
        <w:jc w:val="left"/>
        <w:rPr>
          <w:sz w:val="16"/>
        </w:rPr>
      </w:pPr>
      <w:r>
        <w:rPr>
          <w:w w:val="105"/>
          <w:sz w:val="16"/>
        </w:rPr>
        <w:t>Carnation</w:t>
      </w:r>
    </w:p>
    <w:p>
      <w:pPr>
        <w:pStyle w:val="ListParagraph"/>
        <w:numPr>
          <w:ilvl w:val="0"/>
          <w:numId w:val="46"/>
        </w:numPr>
        <w:tabs>
          <w:tab w:pos="839" w:val="left" w:leader="none"/>
          <w:tab w:pos="840" w:val="left" w:leader="none"/>
          <w:tab w:pos="2240" w:val="left" w:leader="none"/>
        </w:tabs>
        <w:spacing w:line="240" w:lineRule="auto" w:before="3" w:after="0"/>
        <w:ind w:left="839" w:right="0" w:hanging="720"/>
        <w:jc w:val="left"/>
        <w:rPr>
          <w:sz w:val="17"/>
        </w:rPr>
      </w:pPr>
      <w:r>
        <w:rPr>
          <w:sz w:val="17"/>
        </w:rPr>
        <w:t>Deadline</w:t>
        <w:tab/>
      </w:r>
      <w:r>
        <w:rPr>
          <w:spacing w:val="2"/>
          <w:sz w:val="17"/>
        </w:rPr>
        <w:t>___   </w:t>
      </w:r>
      <w:r>
        <w:rPr>
          <w:sz w:val="17"/>
        </w:rPr>
        <w:t>_  small tree that produces</w:t>
      </w:r>
      <w:r>
        <w:rPr>
          <w:spacing w:val="9"/>
          <w:sz w:val="17"/>
        </w:rPr>
        <w:t> </w:t>
      </w:r>
      <w:r>
        <w:rPr>
          <w:spacing w:val="2"/>
          <w:sz w:val="17"/>
        </w:rPr>
        <w:t>nuts</w:t>
      </w:r>
    </w:p>
    <w:p>
      <w:pPr>
        <w:pStyle w:val="ListParagraph"/>
        <w:numPr>
          <w:ilvl w:val="0"/>
          <w:numId w:val="46"/>
        </w:numPr>
        <w:tabs>
          <w:tab w:pos="839" w:val="left" w:leader="none"/>
          <w:tab w:pos="840" w:val="left" w:leader="none"/>
          <w:tab w:pos="2240" w:val="left" w:leader="none"/>
        </w:tabs>
        <w:spacing w:line="240" w:lineRule="auto" w:before="6" w:after="0"/>
        <w:ind w:left="839" w:right="0" w:hanging="720"/>
        <w:jc w:val="left"/>
        <w:rPr>
          <w:sz w:val="16"/>
        </w:rPr>
      </w:pPr>
      <w:r>
        <w:rPr>
          <w:w w:val="105"/>
          <w:sz w:val="16"/>
        </w:rPr>
        <w:t>Harass</w:t>
        <w:tab/>
      </w:r>
      <w:r>
        <w:rPr>
          <w:spacing w:val="2"/>
          <w:w w:val="105"/>
          <w:sz w:val="16"/>
        </w:rPr>
        <w:t>___    </w:t>
      </w:r>
      <w:r>
        <w:rPr>
          <w:w w:val="105"/>
          <w:sz w:val="16"/>
        </w:rPr>
        <w:t>_  to annoy or upset someone</w:t>
      </w:r>
      <w:r>
        <w:rPr>
          <w:spacing w:val="1"/>
          <w:w w:val="105"/>
          <w:sz w:val="16"/>
        </w:rPr>
        <w:t> </w:t>
      </w:r>
      <w:r>
        <w:rPr>
          <w:w w:val="105"/>
          <w:sz w:val="16"/>
        </w:rPr>
        <w:t>repeatedly</w:t>
      </w:r>
    </w:p>
    <w:p>
      <w:pPr>
        <w:pStyle w:val="ListParagraph"/>
        <w:numPr>
          <w:ilvl w:val="0"/>
          <w:numId w:val="46"/>
        </w:numPr>
        <w:tabs>
          <w:tab w:pos="839" w:val="left" w:leader="none"/>
          <w:tab w:pos="840" w:val="left" w:leader="none"/>
          <w:tab w:pos="2240" w:val="left" w:leader="none"/>
        </w:tabs>
        <w:spacing w:line="240" w:lineRule="auto" w:before="13" w:after="0"/>
        <w:ind w:left="839" w:right="0" w:hanging="720"/>
        <w:jc w:val="left"/>
        <w:rPr>
          <w:sz w:val="16"/>
        </w:rPr>
      </w:pPr>
      <w:r>
        <w:rPr>
          <w:w w:val="105"/>
          <w:sz w:val="16"/>
        </w:rPr>
        <w:t>Hazel</w:t>
        <w:tab/>
      </w:r>
      <w:r>
        <w:rPr>
          <w:spacing w:val="2"/>
          <w:w w:val="105"/>
          <w:sz w:val="16"/>
        </w:rPr>
        <w:t>___    </w:t>
      </w:r>
      <w:r>
        <w:rPr>
          <w:w w:val="105"/>
          <w:sz w:val="16"/>
        </w:rPr>
        <w:t>_  the period of time during which someone has an important</w:t>
      </w:r>
      <w:r>
        <w:rPr>
          <w:spacing w:val="16"/>
          <w:w w:val="105"/>
          <w:sz w:val="16"/>
        </w:rPr>
        <w:t> </w:t>
      </w:r>
      <w:r>
        <w:rPr>
          <w:w w:val="105"/>
          <w:sz w:val="16"/>
        </w:rPr>
        <w:t>job</w:t>
      </w:r>
    </w:p>
    <w:p>
      <w:pPr>
        <w:pStyle w:val="ListParagraph"/>
        <w:numPr>
          <w:ilvl w:val="0"/>
          <w:numId w:val="46"/>
        </w:numPr>
        <w:tabs>
          <w:tab w:pos="839" w:val="left" w:leader="none"/>
          <w:tab w:pos="840" w:val="left" w:leader="none"/>
        </w:tabs>
        <w:spacing w:line="240" w:lineRule="auto" w:before="3" w:after="0"/>
        <w:ind w:left="839" w:right="0" w:hanging="720"/>
        <w:jc w:val="left"/>
        <w:rPr>
          <w:sz w:val="17"/>
        </w:rPr>
      </w:pPr>
      <w:r>
        <w:rPr>
          <w:sz w:val="17"/>
        </w:rPr>
        <w:t>Tenure</w:t>
      </w:r>
    </w:p>
    <w:p>
      <w:pPr>
        <w:pStyle w:val="ListParagraph"/>
        <w:numPr>
          <w:ilvl w:val="0"/>
          <w:numId w:val="46"/>
        </w:numPr>
        <w:tabs>
          <w:tab w:pos="839" w:val="left" w:leader="none"/>
          <w:tab w:pos="840" w:val="left" w:leader="none"/>
        </w:tabs>
        <w:spacing w:line="240" w:lineRule="auto" w:before="6" w:after="0"/>
        <w:ind w:left="839" w:right="0" w:hanging="720"/>
        <w:jc w:val="left"/>
        <w:rPr>
          <w:sz w:val="16"/>
        </w:rPr>
      </w:pPr>
      <w:r>
        <w:rPr>
          <w:w w:val="105"/>
          <w:sz w:val="16"/>
        </w:rPr>
        <w:t>Scold</w:t>
      </w:r>
    </w:p>
    <w:p>
      <w:pPr>
        <w:spacing w:after="0" w:line="240" w:lineRule="auto"/>
        <w:jc w:val="left"/>
        <w:rPr>
          <w:sz w:val="16"/>
        </w:rPr>
        <w:sectPr>
          <w:pgSz w:w="11910" w:h="16840"/>
          <w:pgMar w:header="732" w:footer="0" w:top="1160" w:bottom="280" w:left="1580" w:right="1020"/>
        </w:sectPr>
      </w:pPr>
    </w:p>
    <w:p>
      <w:pPr>
        <w:pStyle w:val="BodyText"/>
        <w:spacing w:before="2"/>
        <w:rPr>
          <w:sz w:val="15"/>
        </w:rPr>
      </w:pPr>
    </w:p>
    <w:p>
      <w:pPr>
        <w:pStyle w:val="Heading2"/>
        <w:spacing w:line="242" w:lineRule="auto" w:before="69"/>
        <w:ind w:left="219"/>
        <w:rPr>
          <w:u w:val="none"/>
        </w:rPr>
      </w:pPr>
      <w:r>
        <w:rPr>
          <w:u w:val="none"/>
        </w:rPr>
        <w:t>CLAVE DE INSTRUMENTO DE EVALUACIÓN DE COMPETENCIA LINGÜÍSTICA. SECCIÓN DE VOCABULARIO.</w:t>
      </w:r>
    </w:p>
    <w:p>
      <w:pPr>
        <w:pStyle w:val="BodyText"/>
        <w:rPr>
          <w:sz w:val="20"/>
        </w:rPr>
      </w:pPr>
    </w:p>
    <w:p>
      <w:pPr>
        <w:pStyle w:val="BodyText"/>
        <w:spacing w:before="4"/>
        <w:rPr>
          <w:sz w:val="28"/>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9"/>
        <w:gridCol w:w="1765"/>
        <w:gridCol w:w="544"/>
        <w:gridCol w:w="1765"/>
        <w:gridCol w:w="549"/>
        <w:gridCol w:w="1760"/>
        <w:gridCol w:w="549"/>
        <w:gridCol w:w="1760"/>
      </w:tblGrid>
      <w:tr>
        <w:trPr>
          <w:trHeight w:val="470" w:hRule="exact"/>
        </w:trPr>
        <w:tc>
          <w:tcPr>
            <w:tcW w:w="2314" w:type="dxa"/>
            <w:gridSpan w:val="2"/>
          </w:tcPr>
          <w:p>
            <w:pPr>
              <w:pStyle w:val="TableParagraph"/>
              <w:spacing w:line="225" w:lineRule="exact"/>
              <w:ind w:left="431"/>
              <w:jc w:val="left"/>
              <w:rPr>
                <w:sz w:val="20"/>
              </w:rPr>
            </w:pPr>
            <w:r>
              <w:rPr>
                <w:sz w:val="20"/>
              </w:rPr>
              <w:t>FIRST SECTION</w:t>
            </w:r>
          </w:p>
        </w:tc>
        <w:tc>
          <w:tcPr>
            <w:tcW w:w="2309" w:type="dxa"/>
            <w:gridSpan w:val="2"/>
          </w:tcPr>
          <w:p>
            <w:pPr>
              <w:pStyle w:val="TableParagraph"/>
              <w:spacing w:line="225" w:lineRule="exact"/>
              <w:ind w:left="287"/>
              <w:jc w:val="left"/>
              <w:rPr>
                <w:sz w:val="20"/>
              </w:rPr>
            </w:pPr>
            <w:r>
              <w:rPr>
                <w:sz w:val="20"/>
              </w:rPr>
              <w:t>SECOND SECTION</w:t>
            </w:r>
          </w:p>
        </w:tc>
        <w:tc>
          <w:tcPr>
            <w:tcW w:w="2309" w:type="dxa"/>
            <w:gridSpan w:val="2"/>
          </w:tcPr>
          <w:p>
            <w:pPr>
              <w:pStyle w:val="TableParagraph"/>
              <w:spacing w:line="225" w:lineRule="exact"/>
              <w:ind w:left="412"/>
              <w:jc w:val="left"/>
              <w:rPr>
                <w:sz w:val="20"/>
              </w:rPr>
            </w:pPr>
            <w:r>
              <w:rPr>
                <w:sz w:val="20"/>
              </w:rPr>
              <w:t>THIRD SECTION</w:t>
            </w:r>
          </w:p>
        </w:tc>
        <w:tc>
          <w:tcPr>
            <w:tcW w:w="2309" w:type="dxa"/>
            <w:gridSpan w:val="2"/>
          </w:tcPr>
          <w:p>
            <w:pPr>
              <w:pStyle w:val="TableParagraph"/>
              <w:spacing w:line="225" w:lineRule="exact"/>
              <w:ind w:left="302"/>
              <w:jc w:val="left"/>
              <w:rPr>
                <w:sz w:val="20"/>
              </w:rPr>
            </w:pPr>
            <w:r>
              <w:rPr>
                <w:sz w:val="20"/>
              </w:rPr>
              <w:t>FOURTH SECTION</w:t>
            </w:r>
          </w:p>
        </w:tc>
      </w:tr>
      <w:tr>
        <w:trPr>
          <w:trHeight w:val="470" w:hRule="exact"/>
        </w:trPr>
        <w:tc>
          <w:tcPr>
            <w:tcW w:w="549" w:type="dxa"/>
            <w:tcBorders>
              <w:bottom w:val="nil"/>
              <w:right w:val="nil"/>
            </w:tcBorders>
          </w:tcPr>
          <w:p>
            <w:pPr>
              <w:pStyle w:val="TableParagraph"/>
              <w:spacing w:before="6"/>
              <w:jc w:val="left"/>
              <w:rPr>
                <w:sz w:val="19"/>
              </w:rPr>
            </w:pPr>
          </w:p>
          <w:p>
            <w:pPr>
              <w:pStyle w:val="TableParagraph"/>
              <w:ind w:left="105"/>
              <w:jc w:val="left"/>
              <w:rPr>
                <w:sz w:val="20"/>
              </w:rPr>
            </w:pPr>
            <w:r>
              <w:rPr>
                <w:sz w:val="20"/>
              </w:rPr>
              <w:t>1.</w:t>
            </w:r>
          </w:p>
        </w:tc>
        <w:tc>
          <w:tcPr>
            <w:tcW w:w="1765" w:type="dxa"/>
            <w:tcBorders>
              <w:left w:val="nil"/>
              <w:bottom w:val="nil"/>
            </w:tcBorders>
          </w:tcPr>
          <w:p>
            <w:pPr>
              <w:pStyle w:val="TableParagraph"/>
              <w:spacing w:before="6"/>
              <w:jc w:val="left"/>
              <w:rPr>
                <w:sz w:val="19"/>
              </w:rPr>
            </w:pPr>
          </w:p>
          <w:p>
            <w:pPr>
              <w:pStyle w:val="TableParagraph"/>
              <w:ind w:left="267"/>
              <w:jc w:val="left"/>
              <w:rPr>
                <w:sz w:val="20"/>
              </w:rPr>
            </w:pPr>
            <w:r>
              <w:rPr>
                <w:w w:val="100"/>
                <w:sz w:val="20"/>
              </w:rPr>
              <w:t>C</w:t>
            </w:r>
          </w:p>
        </w:tc>
        <w:tc>
          <w:tcPr>
            <w:tcW w:w="544" w:type="dxa"/>
            <w:tcBorders>
              <w:bottom w:val="nil"/>
              <w:right w:val="nil"/>
            </w:tcBorders>
          </w:tcPr>
          <w:p>
            <w:pPr>
              <w:pStyle w:val="TableParagraph"/>
              <w:spacing w:before="6"/>
              <w:jc w:val="left"/>
              <w:rPr>
                <w:sz w:val="19"/>
              </w:rPr>
            </w:pPr>
          </w:p>
          <w:p>
            <w:pPr>
              <w:pStyle w:val="TableParagraph"/>
              <w:ind w:left="100"/>
              <w:jc w:val="left"/>
              <w:rPr>
                <w:sz w:val="20"/>
              </w:rPr>
            </w:pPr>
            <w:r>
              <w:rPr>
                <w:sz w:val="20"/>
              </w:rPr>
              <w:t>1.</w:t>
            </w:r>
          </w:p>
        </w:tc>
        <w:tc>
          <w:tcPr>
            <w:tcW w:w="1765" w:type="dxa"/>
            <w:tcBorders>
              <w:left w:val="nil"/>
              <w:bottom w:val="nil"/>
            </w:tcBorders>
          </w:tcPr>
          <w:p>
            <w:pPr>
              <w:pStyle w:val="TableParagraph"/>
              <w:spacing w:before="6"/>
              <w:jc w:val="left"/>
              <w:rPr>
                <w:sz w:val="19"/>
              </w:rPr>
            </w:pPr>
          </w:p>
          <w:p>
            <w:pPr>
              <w:pStyle w:val="TableParagraph"/>
              <w:ind w:left="267"/>
              <w:jc w:val="left"/>
              <w:rPr>
                <w:sz w:val="20"/>
              </w:rPr>
            </w:pPr>
            <w:r>
              <w:rPr>
                <w:w w:val="100"/>
                <w:sz w:val="20"/>
              </w:rPr>
              <w:t>B</w:t>
            </w:r>
          </w:p>
        </w:tc>
        <w:tc>
          <w:tcPr>
            <w:tcW w:w="549" w:type="dxa"/>
            <w:tcBorders>
              <w:bottom w:val="nil"/>
              <w:right w:val="nil"/>
            </w:tcBorders>
          </w:tcPr>
          <w:p>
            <w:pPr>
              <w:pStyle w:val="TableParagraph"/>
              <w:spacing w:before="6"/>
              <w:jc w:val="left"/>
              <w:rPr>
                <w:sz w:val="19"/>
              </w:rPr>
            </w:pPr>
          </w:p>
          <w:p>
            <w:pPr>
              <w:pStyle w:val="TableParagraph"/>
              <w:ind w:left="105"/>
              <w:jc w:val="left"/>
              <w:rPr>
                <w:sz w:val="20"/>
              </w:rPr>
            </w:pPr>
            <w:r>
              <w:rPr>
                <w:sz w:val="20"/>
              </w:rPr>
              <w:t>1.</w:t>
            </w:r>
          </w:p>
        </w:tc>
        <w:tc>
          <w:tcPr>
            <w:tcW w:w="1760" w:type="dxa"/>
            <w:tcBorders>
              <w:left w:val="nil"/>
              <w:bottom w:val="nil"/>
            </w:tcBorders>
          </w:tcPr>
          <w:p>
            <w:pPr>
              <w:pStyle w:val="TableParagraph"/>
              <w:spacing w:before="6"/>
              <w:jc w:val="left"/>
              <w:rPr>
                <w:sz w:val="19"/>
              </w:rPr>
            </w:pPr>
          </w:p>
          <w:p>
            <w:pPr>
              <w:pStyle w:val="TableParagraph"/>
              <w:ind w:left="267"/>
              <w:jc w:val="left"/>
              <w:rPr>
                <w:sz w:val="20"/>
              </w:rPr>
            </w:pPr>
            <w:r>
              <w:rPr>
                <w:w w:val="100"/>
                <w:sz w:val="20"/>
              </w:rPr>
              <w:t>A</w:t>
            </w:r>
          </w:p>
        </w:tc>
        <w:tc>
          <w:tcPr>
            <w:tcW w:w="549" w:type="dxa"/>
            <w:tcBorders>
              <w:bottom w:val="nil"/>
              <w:right w:val="nil"/>
            </w:tcBorders>
          </w:tcPr>
          <w:p>
            <w:pPr>
              <w:pStyle w:val="TableParagraph"/>
              <w:spacing w:before="6"/>
              <w:jc w:val="left"/>
              <w:rPr>
                <w:sz w:val="19"/>
              </w:rPr>
            </w:pPr>
          </w:p>
          <w:p>
            <w:pPr>
              <w:pStyle w:val="TableParagraph"/>
              <w:ind w:left="105"/>
              <w:jc w:val="left"/>
              <w:rPr>
                <w:sz w:val="20"/>
              </w:rPr>
            </w:pPr>
            <w:r>
              <w:rPr>
                <w:sz w:val="20"/>
              </w:rPr>
              <w:t>1.</w:t>
            </w:r>
          </w:p>
        </w:tc>
        <w:tc>
          <w:tcPr>
            <w:tcW w:w="1760" w:type="dxa"/>
            <w:tcBorders>
              <w:left w:val="nil"/>
              <w:bottom w:val="nil"/>
            </w:tcBorders>
          </w:tcPr>
          <w:p>
            <w:pPr>
              <w:pStyle w:val="TableParagraph"/>
              <w:spacing w:before="6"/>
              <w:jc w:val="left"/>
              <w:rPr>
                <w:sz w:val="19"/>
              </w:rPr>
            </w:pPr>
          </w:p>
          <w:p>
            <w:pPr>
              <w:pStyle w:val="TableParagraph"/>
              <w:ind w:left="267"/>
              <w:jc w:val="left"/>
              <w:rPr>
                <w:sz w:val="20"/>
              </w:rPr>
            </w:pPr>
            <w:r>
              <w:rPr>
                <w:w w:val="100"/>
                <w:sz w:val="20"/>
              </w:rPr>
              <w:t>C</w:t>
            </w:r>
          </w:p>
        </w:tc>
      </w:tr>
      <w:tr>
        <w:trPr>
          <w:trHeight w:val="230"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B</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A</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C</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A</w:t>
            </w:r>
          </w:p>
        </w:tc>
      </w:tr>
      <w:tr>
        <w:trPr>
          <w:trHeight w:val="346"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A</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C</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B</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E</w:t>
            </w:r>
          </w:p>
        </w:tc>
      </w:tr>
      <w:tr>
        <w:trPr>
          <w:trHeight w:val="346" w:hRule="exact"/>
        </w:trPr>
        <w:tc>
          <w:tcPr>
            <w:tcW w:w="549" w:type="dxa"/>
            <w:tcBorders>
              <w:top w:val="nil"/>
              <w:bottom w:val="nil"/>
              <w:right w:val="nil"/>
            </w:tcBorders>
          </w:tcPr>
          <w:p>
            <w:pPr>
              <w:pStyle w:val="TableParagraph"/>
              <w:spacing w:before="105"/>
              <w:ind w:left="105"/>
              <w:jc w:val="left"/>
              <w:rPr>
                <w:sz w:val="20"/>
              </w:rPr>
            </w:pPr>
            <w:r>
              <w:rPr>
                <w:sz w:val="20"/>
              </w:rPr>
              <w:t>2.</w:t>
            </w:r>
          </w:p>
        </w:tc>
        <w:tc>
          <w:tcPr>
            <w:tcW w:w="1765" w:type="dxa"/>
            <w:tcBorders>
              <w:top w:val="nil"/>
              <w:left w:val="nil"/>
              <w:bottom w:val="nil"/>
            </w:tcBorders>
          </w:tcPr>
          <w:p>
            <w:pPr>
              <w:pStyle w:val="TableParagraph"/>
              <w:spacing w:before="105"/>
              <w:ind w:left="267"/>
              <w:jc w:val="left"/>
              <w:rPr>
                <w:sz w:val="20"/>
              </w:rPr>
            </w:pPr>
            <w:r>
              <w:rPr>
                <w:w w:val="100"/>
                <w:sz w:val="20"/>
              </w:rPr>
              <w:t>B</w:t>
            </w:r>
          </w:p>
        </w:tc>
        <w:tc>
          <w:tcPr>
            <w:tcW w:w="544" w:type="dxa"/>
            <w:tcBorders>
              <w:top w:val="nil"/>
              <w:bottom w:val="nil"/>
              <w:right w:val="nil"/>
            </w:tcBorders>
          </w:tcPr>
          <w:p>
            <w:pPr>
              <w:pStyle w:val="TableParagraph"/>
              <w:spacing w:before="105"/>
              <w:ind w:left="100"/>
              <w:jc w:val="left"/>
              <w:rPr>
                <w:sz w:val="20"/>
              </w:rPr>
            </w:pPr>
            <w:r>
              <w:rPr>
                <w:sz w:val="20"/>
              </w:rPr>
              <w:t>2.</w:t>
            </w:r>
          </w:p>
        </w:tc>
        <w:tc>
          <w:tcPr>
            <w:tcW w:w="1765" w:type="dxa"/>
            <w:tcBorders>
              <w:top w:val="nil"/>
              <w:left w:val="nil"/>
              <w:bottom w:val="nil"/>
            </w:tcBorders>
          </w:tcPr>
          <w:p>
            <w:pPr>
              <w:pStyle w:val="TableParagraph"/>
              <w:spacing w:before="105"/>
              <w:ind w:left="267"/>
              <w:jc w:val="left"/>
              <w:rPr>
                <w:sz w:val="20"/>
              </w:rPr>
            </w:pPr>
            <w:r>
              <w:rPr>
                <w:w w:val="100"/>
                <w:sz w:val="20"/>
              </w:rPr>
              <w:t>B</w:t>
            </w:r>
          </w:p>
        </w:tc>
        <w:tc>
          <w:tcPr>
            <w:tcW w:w="549" w:type="dxa"/>
            <w:tcBorders>
              <w:top w:val="nil"/>
              <w:bottom w:val="nil"/>
              <w:right w:val="nil"/>
            </w:tcBorders>
          </w:tcPr>
          <w:p>
            <w:pPr>
              <w:pStyle w:val="TableParagraph"/>
              <w:spacing w:before="105"/>
              <w:ind w:left="105"/>
              <w:jc w:val="left"/>
              <w:rPr>
                <w:sz w:val="20"/>
              </w:rPr>
            </w:pPr>
            <w:r>
              <w:rPr>
                <w:sz w:val="20"/>
              </w:rPr>
              <w:t>2.</w:t>
            </w:r>
          </w:p>
        </w:tc>
        <w:tc>
          <w:tcPr>
            <w:tcW w:w="1760" w:type="dxa"/>
            <w:tcBorders>
              <w:top w:val="nil"/>
              <w:left w:val="nil"/>
              <w:bottom w:val="nil"/>
            </w:tcBorders>
          </w:tcPr>
          <w:p>
            <w:pPr>
              <w:pStyle w:val="TableParagraph"/>
              <w:spacing w:before="105"/>
              <w:ind w:left="267"/>
              <w:jc w:val="left"/>
              <w:rPr>
                <w:sz w:val="20"/>
              </w:rPr>
            </w:pPr>
            <w:r>
              <w:rPr>
                <w:w w:val="100"/>
                <w:sz w:val="20"/>
              </w:rPr>
              <w:t>B</w:t>
            </w:r>
          </w:p>
        </w:tc>
        <w:tc>
          <w:tcPr>
            <w:tcW w:w="549" w:type="dxa"/>
            <w:tcBorders>
              <w:top w:val="nil"/>
              <w:bottom w:val="nil"/>
              <w:right w:val="nil"/>
            </w:tcBorders>
          </w:tcPr>
          <w:p>
            <w:pPr>
              <w:pStyle w:val="TableParagraph"/>
              <w:spacing w:before="105"/>
              <w:ind w:left="105"/>
              <w:jc w:val="left"/>
              <w:rPr>
                <w:sz w:val="20"/>
              </w:rPr>
            </w:pPr>
            <w:r>
              <w:rPr>
                <w:sz w:val="20"/>
              </w:rPr>
              <w:t>2.</w:t>
            </w:r>
          </w:p>
        </w:tc>
        <w:tc>
          <w:tcPr>
            <w:tcW w:w="1760" w:type="dxa"/>
            <w:tcBorders>
              <w:top w:val="nil"/>
              <w:left w:val="nil"/>
              <w:bottom w:val="nil"/>
            </w:tcBorders>
          </w:tcPr>
          <w:p>
            <w:pPr>
              <w:pStyle w:val="TableParagraph"/>
              <w:spacing w:before="105"/>
              <w:ind w:left="267"/>
              <w:jc w:val="left"/>
              <w:rPr>
                <w:sz w:val="20"/>
              </w:rPr>
            </w:pPr>
            <w:r>
              <w:rPr>
                <w:w w:val="100"/>
                <w:sz w:val="20"/>
              </w:rPr>
              <w:t>B</w:t>
            </w:r>
          </w:p>
        </w:tc>
      </w:tr>
      <w:tr>
        <w:trPr>
          <w:trHeight w:val="230"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D</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C</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A</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E</w:t>
            </w:r>
          </w:p>
        </w:tc>
      </w:tr>
      <w:tr>
        <w:trPr>
          <w:trHeight w:val="346"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F</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F</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C</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A</w:t>
            </w:r>
          </w:p>
        </w:tc>
      </w:tr>
      <w:tr>
        <w:trPr>
          <w:trHeight w:val="346" w:hRule="exact"/>
        </w:trPr>
        <w:tc>
          <w:tcPr>
            <w:tcW w:w="549" w:type="dxa"/>
            <w:tcBorders>
              <w:top w:val="nil"/>
              <w:bottom w:val="nil"/>
              <w:right w:val="nil"/>
            </w:tcBorders>
          </w:tcPr>
          <w:p>
            <w:pPr>
              <w:pStyle w:val="TableParagraph"/>
              <w:spacing w:before="105"/>
              <w:ind w:left="105"/>
              <w:jc w:val="left"/>
              <w:rPr>
                <w:sz w:val="20"/>
              </w:rPr>
            </w:pPr>
            <w:r>
              <w:rPr>
                <w:sz w:val="20"/>
              </w:rPr>
              <w:t>3.</w:t>
            </w:r>
          </w:p>
        </w:tc>
        <w:tc>
          <w:tcPr>
            <w:tcW w:w="1765" w:type="dxa"/>
            <w:tcBorders>
              <w:top w:val="nil"/>
              <w:left w:val="nil"/>
              <w:bottom w:val="nil"/>
            </w:tcBorders>
          </w:tcPr>
          <w:p>
            <w:pPr>
              <w:pStyle w:val="TableParagraph"/>
              <w:spacing w:before="105"/>
              <w:ind w:left="267"/>
              <w:jc w:val="left"/>
              <w:rPr>
                <w:sz w:val="20"/>
              </w:rPr>
            </w:pPr>
            <w:r>
              <w:rPr>
                <w:w w:val="100"/>
                <w:sz w:val="20"/>
              </w:rPr>
              <w:t>D</w:t>
            </w:r>
          </w:p>
        </w:tc>
        <w:tc>
          <w:tcPr>
            <w:tcW w:w="544" w:type="dxa"/>
            <w:tcBorders>
              <w:top w:val="nil"/>
              <w:bottom w:val="nil"/>
              <w:right w:val="nil"/>
            </w:tcBorders>
          </w:tcPr>
          <w:p>
            <w:pPr>
              <w:pStyle w:val="TableParagraph"/>
              <w:spacing w:before="105"/>
              <w:ind w:left="100"/>
              <w:jc w:val="left"/>
              <w:rPr>
                <w:sz w:val="20"/>
              </w:rPr>
            </w:pPr>
            <w:r>
              <w:rPr>
                <w:sz w:val="20"/>
              </w:rPr>
              <w:t>3.</w:t>
            </w:r>
          </w:p>
        </w:tc>
        <w:tc>
          <w:tcPr>
            <w:tcW w:w="1765" w:type="dxa"/>
            <w:tcBorders>
              <w:top w:val="nil"/>
              <w:left w:val="nil"/>
              <w:bottom w:val="nil"/>
            </w:tcBorders>
          </w:tcPr>
          <w:p>
            <w:pPr>
              <w:pStyle w:val="TableParagraph"/>
              <w:spacing w:before="105"/>
              <w:ind w:left="267"/>
              <w:jc w:val="left"/>
              <w:rPr>
                <w:sz w:val="20"/>
              </w:rPr>
            </w:pPr>
            <w:r>
              <w:rPr>
                <w:w w:val="100"/>
                <w:sz w:val="20"/>
              </w:rPr>
              <w:t>A</w:t>
            </w:r>
          </w:p>
        </w:tc>
        <w:tc>
          <w:tcPr>
            <w:tcW w:w="549" w:type="dxa"/>
            <w:tcBorders>
              <w:top w:val="nil"/>
              <w:bottom w:val="nil"/>
              <w:right w:val="nil"/>
            </w:tcBorders>
          </w:tcPr>
          <w:p>
            <w:pPr>
              <w:pStyle w:val="TableParagraph"/>
              <w:spacing w:before="105"/>
              <w:ind w:left="105"/>
              <w:jc w:val="left"/>
              <w:rPr>
                <w:sz w:val="20"/>
              </w:rPr>
            </w:pPr>
            <w:r>
              <w:rPr>
                <w:sz w:val="20"/>
              </w:rPr>
              <w:t>3.</w:t>
            </w:r>
          </w:p>
        </w:tc>
        <w:tc>
          <w:tcPr>
            <w:tcW w:w="1760" w:type="dxa"/>
            <w:tcBorders>
              <w:top w:val="nil"/>
              <w:left w:val="nil"/>
              <w:bottom w:val="nil"/>
            </w:tcBorders>
          </w:tcPr>
          <w:p>
            <w:pPr>
              <w:pStyle w:val="TableParagraph"/>
              <w:spacing w:before="105"/>
              <w:ind w:left="267"/>
              <w:jc w:val="left"/>
              <w:rPr>
                <w:sz w:val="20"/>
              </w:rPr>
            </w:pPr>
            <w:r>
              <w:rPr>
                <w:w w:val="100"/>
                <w:sz w:val="20"/>
              </w:rPr>
              <w:t>A</w:t>
            </w:r>
          </w:p>
        </w:tc>
        <w:tc>
          <w:tcPr>
            <w:tcW w:w="549" w:type="dxa"/>
            <w:tcBorders>
              <w:top w:val="nil"/>
              <w:bottom w:val="nil"/>
              <w:right w:val="nil"/>
            </w:tcBorders>
          </w:tcPr>
          <w:p>
            <w:pPr>
              <w:pStyle w:val="TableParagraph"/>
              <w:spacing w:before="105"/>
              <w:ind w:left="105"/>
              <w:jc w:val="left"/>
              <w:rPr>
                <w:sz w:val="20"/>
              </w:rPr>
            </w:pPr>
            <w:r>
              <w:rPr>
                <w:sz w:val="20"/>
              </w:rPr>
              <w:t>3.</w:t>
            </w:r>
          </w:p>
        </w:tc>
        <w:tc>
          <w:tcPr>
            <w:tcW w:w="1760" w:type="dxa"/>
            <w:tcBorders>
              <w:top w:val="nil"/>
              <w:left w:val="nil"/>
              <w:bottom w:val="nil"/>
            </w:tcBorders>
          </w:tcPr>
          <w:p>
            <w:pPr>
              <w:pStyle w:val="TableParagraph"/>
              <w:spacing w:before="105"/>
              <w:ind w:left="267"/>
              <w:jc w:val="left"/>
              <w:rPr>
                <w:sz w:val="20"/>
              </w:rPr>
            </w:pPr>
            <w:r>
              <w:rPr>
                <w:w w:val="100"/>
                <w:sz w:val="20"/>
              </w:rPr>
              <w:t>B</w:t>
            </w:r>
          </w:p>
        </w:tc>
      </w:tr>
      <w:tr>
        <w:trPr>
          <w:trHeight w:val="228"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B</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D</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C</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C</w:t>
            </w:r>
          </w:p>
        </w:tc>
      </w:tr>
      <w:tr>
        <w:trPr>
          <w:trHeight w:val="343"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18" w:lineRule="exact"/>
              <w:ind w:left="267"/>
              <w:jc w:val="left"/>
              <w:rPr>
                <w:sz w:val="20"/>
              </w:rPr>
            </w:pPr>
            <w:r>
              <w:rPr>
                <w:w w:val="100"/>
                <w:sz w:val="20"/>
              </w:rPr>
              <w:t>A</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18" w:lineRule="exact"/>
              <w:ind w:left="267"/>
              <w:jc w:val="left"/>
              <w:rPr>
                <w:sz w:val="20"/>
              </w:rPr>
            </w:pPr>
            <w:r>
              <w:rPr>
                <w:w w:val="100"/>
                <w:sz w:val="20"/>
              </w:rPr>
              <w:t>B</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18" w:lineRule="exact"/>
              <w:ind w:left="267"/>
              <w:jc w:val="left"/>
              <w:rPr>
                <w:sz w:val="20"/>
              </w:rPr>
            </w:pPr>
            <w:r>
              <w:rPr>
                <w:w w:val="100"/>
                <w:sz w:val="20"/>
              </w:rPr>
              <w:t>B</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18" w:lineRule="exact"/>
              <w:ind w:left="267"/>
              <w:jc w:val="left"/>
              <w:rPr>
                <w:sz w:val="20"/>
              </w:rPr>
            </w:pPr>
            <w:r>
              <w:rPr>
                <w:w w:val="100"/>
                <w:sz w:val="20"/>
              </w:rPr>
              <w:t>D</w:t>
            </w:r>
          </w:p>
        </w:tc>
      </w:tr>
      <w:tr>
        <w:trPr>
          <w:trHeight w:val="346" w:hRule="exact"/>
        </w:trPr>
        <w:tc>
          <w:tcPr>
            <w:tcW w:w="549" w:type="dxa"/>
            <w:tcBorders>
              <w:top w:val="nil"/>
              <w:bottom w:val="nil"/>
              <w:right w:val="nil"/>
            </w:tcBorders>
          </w:tcPr>
          <w:p>
            <w:pPr>
              <w:pStyle w:val="TableParagraph"/>
              <w:spacing w:before="105"/>
              <w:ind w:left="105"/>
              <w:jc w:val="left"/>
              <w:rPr>
                <w:sz w:val="20"/>
              </w:rPr>
            </w:pPr>
            <w:r>
              <w:rPr>
                <w:sz w:val="20"/>
              </w:rPr>
              <w:t>4.</w:t>
            </w:r>
          </w:p>
        </w:tc>
        <w:tc>
          <w:tcPr>
            <w:tcW w:w="1765" w:type="dxa"/>
            <w:tcBorders>
              <w:top w:val="nil"/>
              <w:left w:val="nil"/>
              <w:bottom w:val="nil"/>
            </w:tcBorders>
          </w:tcPr>
          <w:p>
            <w:pPr>
              <w:pStyle w:val="TableParagraph"/>
              <w:spacing w:before="105"/>
              <w:ind w:left="267"/>
              <w:jc w:val="left"/>
              <w:rPr>
                <w:sz w:val="20"/>
              </w:rPr>
            </w:pPr>
            <w:r>
              <w:rPr>
                <w:w w:val="100"/>
                <w:sz w:val="20"/>
              </w:rPr>
              <w:t>D</w:t>
            </w:r>
          </w:p>
        </w:tc>
        <w:tc>
          <w:tcPr>
            <w:tcW w:w="544" w:type="dxa"/>
            <w:tcBorders>
              <w:top w:val="nil"/>
              <w:bottom w:val="nil"/>
              <w:right w:val="nil"/>
            </w:tcBorders>
          </w:tcPr>
          <w:p>
            <w:pPr>
              <w:pStyle w:val="TableParagraph"/>
              <w:spacing w:before="105"/>
              <w:ind w:left="100"/>
              <w:jc w:val="left"/>
              <w:rPr>
                <w:sz w:val="20"/>
              </w:rPr>
            </w:pPr>
            <w:r>
              <w:rPr>
                <w:sz w:val="20"/>
              </w:rPr>
              <w:t>4.</w:t>
            </w:r>
          </w:p>
        </w:tc>
        <w:tc>
          <w:tcPr>
            <w:tcW w:w="1765" w:type="dxa"/>
            <w:tcBorders>
              <w:top w:val="nil"/>
              <w:left w:val="nil"/>
              <w:bottom w:val="nil"/>
            </w:tcBorders>
          </w:tcPr>
          <w:p>
            <w:pPr>
              <w:pStyle w:val="TableParagraph"/>
              <w:spacing w:before="105"/>
              <w:ind w:left="267"/>
              <w:jc w:val="left"/>
              <w:rPr>
                <w:sz w:val="20"/>
              </w:rPr>
            </w:pPr>
            <w:r>
              <w:rPr>
                <w:w w:val="100"/>
                <w:sz w:val="20"/>
              </w:rPr>
              <w:t>D</w:t>
            </w:r>
          </w:p>
        </w:tc>
        <w:tc>
          <w:tcPr>
            <w:tcW w:w="549" w:type="dxa"/>
            <w:tcBorders>
              <w:top w:val="nil"/>
              <w:bottom w:val="nil"/>
              <w:right w:val="nil"/>
            </w:tcBorders>
          </w:tcPr>
          <w:p>
            <w:pPr>
              <w:pStyle w:val="TableParagraph"/>
              <w:spacing w:before="105"/>
              <w:ind w:left="105"/>
              <w:jc w:val="left"/>
              <w:rPr>
                <w:sz w:val="20"/>
              </w:rPr>
            </w:pPr>
            <w:r>
              <w:rPr>
                <w:sz w:val="20"/>
              </w:rPr>
              <w:t>4.</w:t>
            </w:r>
          </w:p>
        </w:tc>
        <w:tc>
          <w:tcPr>
            <w:tcW w:w="1760" w:type="dxa"/>
            <w:tcBorders>
              <w:top w:val="nil"/>
              <w:left w:val="nil"/>
              <w:bottom w:val="nil"/>
            </w:tcBorders>
          </w:tcPr>
          <w:p>
            <w:pPr>
              <w:pStyle w:val="TableParagraph"/>
              <w:spacing w:before="105"/>
              <w:ind w:left="267"/>
              <w:jc w:val="left"/>
              <w:rPr>
                <w:sz w:val="20"/>
              </w:rPr>
            </w:pPr>
            <w:r>
              <w:rPr>
                <w:w w:val="100"/>
                <w:sz w:val="20"/>
              </w:rPr>
              <w:t>C</w:t>
            </w:r>
          </w:p>
        </w:tc>
        <w:tc>
          <w:tcPr>
            <w:tcW w:w="549" w:type="dxa"/>
            <w:tcBorders>
              <w:top w:val="nil"/>
              <w:bottom w:val="nil"/>
              <w:right w:val="nil"/>
            </w:tcBorders>
          </w:tcPr>
          <w:p>
            <w:pPr>
              <w:pStyle w:val="TableParagraph"/>
              <w:spacing w:before="105"/>
              <w:ind w:left="105"/>
              <w:jc w:val="left"/>
              <w:rPr>
                <w:sz w:val="20"/>
              </w:rPr>
            </w:pPr>
            <w:r>
              <w:rPr>
                <w:sz w:val="20"/>
              </w:rPr>
              <w:t>4.</w:t>
            </w:r>
          </w:p>
        </w:tc>
        <w:tc>
          <w:tcPr>
            <w:tcW w:w="1760" w:type="dxa"/>
            <w:tcBorders>
              <w:top w:val="nil"/>
              <w:left w:val="nil"/>
              <w:bottom w:val="nil"/>
            </w:tcBorders>
          </w:tcPr>
          <w:p>
            <w:pPr>
              <w:pStyle w:val="TableParagraph"/>
              <w:spacing w:before="105"/>
              <w:ind w:left="267"/>
              <w:jc w:val="left"/>
              <w:rPr>
                <w:sz w:val="20"/>
              </w:rPr>
            </w:pPr>
            <w:r>
              <w:rPr>
                <w:w w:val="100"/>
                <w:sz w:val="20"/>
              </w:rPr>
              <w:t>E</w:t>
            </w:r>
          </w:p>
        </w:tc>
      </w:tr>
      <w:tr>
        <w:trPr>
          <w:trHeight w:val="230"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A</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B</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F</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D</w:t>
            </w:r>
          </w:p>
        </w:tc>
      </w:tr>
      <w:tr>
        <w:trPr>
          <w:trHeight w:val="346"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B</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F</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D</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B</w:t>
            </w:r>
          </w:p>
        </w:tc>
      </w:tr>
      <w:tr>
        <w:trPr>
          <w:trHeight w:val="346" w:hRule="exact"/>
        </w:trPr>
        <w:tc>
          <w:tcPr>
            <w:tcW w:w="549" w:type="dxa"/>
            <w:tcBorders>
              <w:top w:val="nil"/>
              <w:bottom w:val="nil"/>
              <w:right w:val="nil"/>
            </w:tcBorders>
          </w:tcPr>
          <w:p>
            <w:pPr>
              <w:pStyle w:val="TableParagraph"/>
              <w:spacing w:before="105"/>
              <w:ind w:left="105"/>
              <w:jc w:val="left"/>
              <w:rPr>
                <w:sz w:val="20"/>
              </w:rPr>
            </w:pPr>
            <w:r>
              <w:rPr>
                <w:sz w:val="20"/>
              </w:rPr>
              <w:t>5.</w:t>
            </w:r>
          </w:p>
        </w:tc>
        <w:tc>
          <w:tcPr>
            <w:tcW w:w="1765" w:type="dxa"/>
            <w:tcBorders>
              <w:top w:val="nil"/>
              <w:left w:val="nil"/>
              <w:bottom w:val="nil"/>
            </w:tcBorders>
          </w:tcPr>
          <w:p>
            <w:pPr>
              <w:pStyle w:val="TableParagraph"/>
              <w:spacing w:before="105"/>
              <w:ind w:left="267"/>
              <w:jc w:val="left"/>
              <w:rPr>
                <w:sz w:val="20"/>
              </w:rPr>
            </w:pPr>
            <w:r>
              <w:rPr>
                <w:w w:val="100"/>
                <w:sz w:val="20"/>
              </w:rPr>
              <w:t>C</w:t>
            </w:r>
          </w:p>
        </w:tc>
        <w:tc>
          <w:tcPr>
            <w:tcW w:w="544" w:type="dxa"/>
            <w:tcBorders>
              <w:top w:val="nil"/>
              <w:bottom w:val="nil"/>
              <w:right w:val="nil"/>
            </w:tcBorders>
          </w:tcPr>
          <w:p>
            <w:pPr>
              <w:pStyle w:val="TableParagraph"/>
              <w:spacing w:before="105"/>
              <w:ind w:left="100"/>
              <w:jc w:val="left"/>
              <w:rPr>
                <w:sz w:val="20"/>
              </w:rPr>
            </w:pPr>
            <w:r>
              <w:rPr>
                <w:sz w:val="20"/>
              </w:rPr>
              <w:t>5.</w:t>
            </w:r>
          </w:p>
        </w:tc>
        <w:tc>
          <w:tcPr>
            <w:tcW w:w="1765" w:type="dxa"/>
            <w:tcBorders>
              <w:top w:val="nil"/>
              <w:left w:val="nil"/>
              <w:bottom w:val="nil"/>
            </w:tcBorders>
          </w:tcPr>
          <w:p>
            <w:pPr>
              <w:pStyle w:val="TableParagraph"/>
              <w:spacing w:before="105"/>
              <w:ind w:left="267"/>
              <w:jc w:val="left"/>
              <w:rPr>
                <w:sz w:val="20"/>
              </w:rPr>
            </w:pPr>
            <w:r>
              <w:rPr>
                <w:w w:val="100"/>
                <w:sz w:val="20"/>
              </w:rPr>
              <w:t>B</w:t>
            </w:r>
          </w:p>
        </w:tc>
        <w:tc>
          <w:tcPr>
            <w:tcW w:w="549" w:type="dxa"/>
            <w:tcBorders>
              <w:top w:val="nil"/>
              <w:bottom w:val="nil"/>
              <w:right w:val="nil"/>
            </w:tcBorders>
          </w:tcPr>
          <w:p>
            <w:pPr>
              <w:pStyle w:val="TableParagraph"/>
              <w:spacing w:before="105"/>
              <w:ind w:left="105"/>
              <w:jc w:val="left"/>
              <w:rPr>
                <w:sz w:val="20"/>
              </w:rPr>
            </w:pPr>
            <w:r>
              <w:rPr>
                <w:sz w:val="20"/>
              </w:rPr>
              <w:t>5.</w:t>
            </w:r>
          </w:p>
        </w:tc>
        <w:tc>
          <w:tcPr>
            <w:tcW w:w="1760" w:type="dxa"/>
            <w:tcBorders>
              <w:top w:val="nil"/>
              <w:left w:val="nil"/>
              <w:bottom w:val="nil"/>
            </w:tcBorders>
          </w:tcPr>
          <w:p>
            <w:pPr>
              <w:pStyle w:val="TableParagraph"/>
              <w:spacing w:before="105"/>
              <w:ind w:left="267"/>
              <w:jc w:val="left"/>
              <w:rPr>
                <w:sz w:val="20"/>
              </w:rPr>
            </w:pPr>
            <w:r>
              <w:rPr>
                <w:w w:val="100"/>
                <w:sz w:val="20"/>
              </w:rPr>
              <w:t>C</w:t>
            </w:r>
          </w:p>
        </w:tc>
        <w:tc>
          <w:tcPr>
            <w:tcW w:w="549" w:type="dxa"/>
            <w:tcBorders>
              <w:top w:val="nil"/>
              <w:bottom w:val="nil"/>
              <w:right w:val="nil"/>
            </w:tcBorders>
          </w:tcPr>
          <w:p>
            <w:pPr>
              <w:pStyle w:val="TableParagraph"/>
              <w:spacing w:before="105"/>
              <w:ind w:left="105"/>
              <w:jc w:val="left"/>
              <w:rPr>
                <w:sz w:val="20"/>
              </w:rPr>
            </w:pPr>
            <w:r>
              <w:rPr>
                <w:sz w:val="20"/>
              </w:rPr>
              <w:t>5.</w:t>
            </w:r>
          </w:p>
        </w:tc>
        <w:tc>
          <w:tcPr>
            <w:tcW w:w="1760" w:type="dxa"/>
            <w:tcBorders>
              <w:top w:val="nil"/>
              <w:left w:val="nil"/>
              <w:bottom w:val="nil"/>
            </w:tcBorders>
          </w:tcPr>
          <w:p>
            <w:pPr>
              <w:pStyle w:val="TableParagraph"/>
              <w:spacing w:before="105"/>
              <w:ind w:left="267"/>
              <w:jc w:val="left"/>
              <w:rPr>
                <w:sz w:val="20"/>
              </w:rPr>
            </w:pPr>
            <w:r>
              <w:rPr>
                <w:w w:val="100"/>
                <w:sz w:val="20"/>
              </w:rPr>
              <w:t>D</w:t>
            </w:r>
          </w:p>
        </w:tc>
      </w:tr>
      <w:tr>
        <w:trPr>
          <w:trHeight w:val="230"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D</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C</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A</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C</w:t>
            </w:r>
          </w:p>
        </w:tc>
      </w:tr>
      <w:tr>
        <w:trPr>
          <w:trHeight w:val="346"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A</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20" w:lineRule="exact"/>
              <w:ind w:left="267"/>
              <w:jc w:val="left"/>
              <w:rPr>
                <w:sz w:val="20"/>
              </w:rPr>
            </w:pPr>
            <w:r>
              <w:rPr>
                <w:w w:val="100"/>
                <w:sz w:val="20"/>
              </w:rPr>
              <w:t>A</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D</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20" w:lineRule="exact"/>
              <w:ind w:left="267"/>
              <w:jc w:val="left"/>
              <w:rPr>
                <w:sz w:val="20"/>
              </w:rPr>
            </w:pPr>
            <w:r>
              <w:rPr>
                <w:w w:val="100"/>
                <w:sz w:val="20"/>
              </w:rPr>
              <w:t>A</w:t>
            </w:r>
          </w:p>
        </w:tc>
      </w:tr>
      <w:tr>
        <w:trPr>
          <w:trHeight w:val="343" w:hRule="exact"/>
        </w:trPr>
        <w:tc>
          <w:tcPr>
            <w:tcW w:w="549" w:type="dxa"/>
            <w:tcBorders>
              <w:top w:val="nil"/>
              <w:bottom w:val="nil"/>
              <w:right w:val="nil"/>
            </w:tcBorders>
          </w:tcPr>
          <w:p>
            <w:pPr>
              <w:pStyle w:val="TableParagraph"/>
              <w:spacing w:before="105"/>
              <w:ind w:left="105"/>
              <w:jc w:val="left"/>
              <w:rPr>
                <w:sz w:val="20"/>
              </w:rPr>
            </w:pPr>
            <w:r>
              <w:rPr>
                <w:sz w:val="20"/>
              </w:rPr>
              <w:t>6.</w:t>
            </w:r>
          </w:p>
        </w:tc>
        <w:tc>
          <w:tcPr>
            <w:tcW w:w="1765" w:type="dxa"/>
            <w:tcBorders>
              <w:top w:val="nil"/>
              <w:left w:val="nil"/>
              <w:bottom w:val="nil"/>
            </w:tcBorders>
          </w:tcPr>
          <w:p>
            <w:pPr>
              <w:pStyle w:val="TableParagraph"/>
              <w:spacing w:before="105"/>
              <w:ind w:left="267"/>
              <w:jc w:val="left"/>
              <w:rPr>
                <w:sz w:val="20"/>
              </w:rPr>
            </w:pPr>
            <w:r>
              <w:rPr>
                <w:w w:val="100"/>
                <w:sz w:val="20"/>
              </w:rPr>
              <w:t>A</w:t>
            </w:r>
          </w:p>
        </w:tc>
        <w:tc>
          <w:tcPr>
            <w:tcW w:w="544" w:type="dxa"/>
            <w:tcBorders>
              <w:top w:val="nil"/>
              <w:bottom w:val="nil"/>
              <w:right w:val="nil"/>
            </w:tcBorders>
          </w:tcPr>
          <w:p>
            <w:pPr>
              <w:pStyle w:val="TableParagraph"/>
              <w:spacing w:before="105"/>
              <w:ind w:left="100"/>
              <w:jc w:val="left"/>
              <w:rPr>
                <w:sz w:val="20"/>
              </w:rPr>
            </w:pPr>
            <w:r>
              <w:rPr>
                <w:sz w:val="20"/>
              </w:rPr>
              <w:t>6.</w:t>
            </w:r>
          </w:p>
        </w:tc>
        <w:tc>
          <w:tcPr>
            <w:tcW w:w="1765" w:type="dxa"/>
            <w:tcBorders>
              <w:top w:val="nil"/>
              <w:left w:val="nil"/>
              <w:bottom w:val="nil"/>
            </w:tcBorders>
          </w:tcPr>
          <w:p>
            <w:pPr>
              <w:pStyle w:val="TableParagraph"/>
              <w:spacing w:before="105"/>
              <w:ind w:left="267"/>
              <w:jc w:val="left"/>
              <w:rPr>
                <w:sz w:val="20"/>
              </w:rPr>
            </w:pPr>
            <w:r>
              <w:rPr>
                <w:w w:val="100"/>
                <w:sz w:val="20"/>
              </w:rPr>
              <w:t>C</w:t>
            </w:r>
          </w:p>
        </w:tc>
        <w:tc>
          <w:tcPr>
            <w:tcW w:w="549" w:type="dxa"/>
            <w:tcBorders>
              <w:top w:val="nil"/>
              <w:bottom w:val="nil"/>
              <w:right w:val="nil"/>
            </w:tcBorders>
          </w:tcPr>
          <w:p>
            <w:pPr>
              <w:pStyle w:val="TableParagraph"/>
              <w:spacing w:before="105"/>
              <w:ind w:left="105"/>
              <w:jc w:val="left"/>
              <w:rPr>
                <w:sz w:val="20"/>
              </w:rPr>
            </w:pPr>
            <w:r>
              <w:rPr>
                <w:sz w:val="20"/>
              </w:rPr>
              <w:t>6.</w:t>
            </w:r>
          </w:p>
        </w:tc>
        <w:tc>
          <w:tcPr>
            <w:tcW w:w="1760" w:type="dxa"/>
            <w:tcBorders>
              <w:top w:val="nil"/>
              <w:left w:val="nil"/>
              <w:bottom w:val="nil"/>
            </w:tcBorders>
          </w:tcPr>
          <w:p>
            <w:pPr>
              <w:pStyle w:val="TableParagraph"/>
              <w:spacing w:before="105"/>
              <w:ind w:left="267"/>
              <w:jc w:val="left"/>
              <w:rPr>
                <w:sz w:val="20"/>
              </w:rPr>
            </w:pPr>
            <w:r>
              <w:rPr>
                <w:w w:val="100"/>
                <w:sz w:val="20"/>
              </w:rPr>
              <w:t>B</w:t>
            </w:r>
          </w:p>
        </w:tc>
        <w:tc>
          <w:tcPr>
            <w:tcW w:w="549" w:type="dxa"/>
            <w:tcBorders>
              <w:top w:val="nil"/>
              <w:bottom w:val="nil"/>
              <w:right w:val="nil"/>
            </w:tcBorders>
          </w:tcPr>
          <w:p>
            <w:pPr>
              <w:pStyle w:val="TableParagraph"/>
              <w:spacing w:before="105"/>
              <w:ind w:left="105"/>
              <w:jc w:val="left"/>
              <w:rPr>
                <w:sz w:val="20"/>
              </w:rPr>
            </w:pPr>
            <w:r>
              <w:rPr>
                <w:sz w:val="20"/>
              </w:rPr>
              <w:t>6.</w:t>
            </w:r>
          </w:p>
        </w:tc>
        <w:tc>
          <w:tcPr>
            <w:tcW w:w="1760" w:type="dxa"/>
            <w:tcBorders>
              <w:top w:val="nil"/>
              <w:left w:val="nil"/>
              <w:bottom w:val="nil"/>
            </w:tcBorders>
          </w:tcPr>
          <w:p>
            <w:pPr>
              <w:pStyle w:val="TableParagraph"/>
              <w:spacing w:before="105"/>
              <w:ind w:left="267"/>
              <w:jc w:val="left"/>
              <w:rPr>
                <w:sz w:val="20"/>
              </w:rPr>
            </w:pPr>
            <w:r>
              <w:rPr>
                <w:w w:val="100"/>
                <w:sz w:val="20"/>
              </w:rPr>
              <w:t>D</w:t>
            </w:r>
          </w:p>
        </w:tc>
      </w:tr>
      <w:tr>
        <w:trPr>
          <w:trHeight w:val="228" w:hRule="exact"/>
        </w:trPr>
        <w:tc>
          <w:tcPr>
            <w:tcW w:w="549" w:type="dxa"/>
            <w:tcBorders>
              <w:top w:val="nil"/>
              <w:bottom w:val="nil"/>
              <w:right w:val="nil"/>
            </w:tcBorders>
          </w:tcPr>
          <w:p>
            <w:pPr/>
          </w:p>
        </w:tc>
        <w:tc>
          <w:tcPr>
            <w:tcW w:w="1765" w:type="dxa"/>
            <w:tcBorders>
              <w:top w:val="nil"/>
              <w:left w:val="nil"/>
              <w:bottom w:val="nil"/>
            </w:tcBorders>
          </w:tcPr>
          <w:p>
            <w:pPr>
              <w:pStyle w:val="TableParagraph"/>
              <w:spacing w:line="218" w:lineRule="exact"/>
              <w:ind w:left="267"/>
              <w:jc w:val="left"/>
              <w:rPr>
                <w:sz w:val="20"/>
              </w:rPr>
            </w:pPr>
            <w:r>
              <w:rPr>
                <w:w w:val="100"/>
                <w:sz w:val="20"/>
              </w:rPr>
              <w:t>D</w:t>
            </w:r>
          </w:p>
        </w:tc>
        <w:tc>
          <w:tcPr>
            <w:tcW w:w="544" w:type="dxa"/>
            <w:tcBorders>
              <w:top w:val="nil"/>
              <w:bottom w:val="nil"/>
              <w:right w:val="nil"/>
            </w:tcBorders>
          </w:tcPr>
          <w:p>
            <w:pPr/>
          </w:p>
        </w:tc>
        <w:tc>
          <w:tcPr>
            <w:tcW w:w="1765" w:type="dxa"/>
            <w:tcBorders>
              <w:top w:val="nil"/>
              <w:left w:val="nil"/>
              <w:bottom w:val="nil"/>
            </w:tcBorders>
          </w:tcPr>
          <w:p>
            <w:pPr>
              <w:pStyle w:val="TableParagraph"/>
              <w:spacing w:line="218" w:lineRule="exact"/>
              <w:ind w:left="267"/>
              <w:jc w:val="left"/>
              <w:rPr>
                <w:sz w:val="20"/>
              </w:rPr>
            </w:pPr>
            <w:r>
              <w:rPr>
                <w:w w:val="100"/>
                <w:sz w:val="20"/>
              </w:rPr>
              <w:t>D</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18" w:lineRule="exact"/>
              <w:ind w:left="267"/>
              <w:jc w:val="left"/>
              <w:rPr>
                <w:sz w:val="20"/>
              </w:rPr>
            </w:pPr>
            <w:r>
              <w:rPr>
                <w:w w:val="100"/>
                <w:sz w:val="20"/>
              </w:rPr>
              <w:t>F</w:t>
            </w:r>
          </w:p>
        </w:tc>
        <w:tc>
          <w:tcPr>
            <w:tcW w:w="549" w:type="dxa"/>
            <w:tcBorders>
              <w:top w:val="nil"/>
              <w:bottom w:val="nil"/>
              <w:right w:val="nil"/>
            </w:tcBorders>
          </w:tcPr>
          <w:p>
            <w:pPr/>
          </w:p>
        </w:tc>
        <w:tc>
          <w:tcPr>
            <w:tcW w:w="1760" w:type="dxa"/>
            <w:tcBorders>
              <w:top w:val="nil"/>
              <w:left w:val="nil"/>
              <w:bottom w:val="nil"/>
            </w:tcBorders>
          </w:tcPr>
          <w:p>
            <w:pPr>
              <w:pStyle w:val="TableParagraph"/>
              <w:spacing w:line="218" w:lineRule="exact"/>
              <w:ind w:left="267"/>
              <w:jc w:val="left"/>
              <w:rPr>
                <w:sz w:val="20"/>
              </w:rPr>
            </w:pPr>
            <w:r>
              <w:rPr>
                <w:w w:val="100"/>
                <w:sz w:val="20"/>
              </w:rPr>
              <w:t>C</w:t>
            </w:r>
          </w:p>
        </w:tc>
      </w:tr>
      <w:tr>
        <w:trPr>
          <w:trHeight w:val="461" w:hRule="exact"/>
        </w:trPr>
        <w:tc>
          <w:tcPr>
            <w:tcW w:w="549" w:type="dxa"/>
            <w:tcBorders>
              <w:top w:val="nil"/>
              <w:right w:val="nil"/>
            </w:tcBorders>
          </w:tcPr>
          <w:p>
            <w:pPr/>
          </w:p>
        </w:tc>
        <w:tc>
          <w:tcPr>
            <w:tcW w:w="1765" w:type="dxa"/>
            <w:tcBorders>
              <w:top w:val="nil"/>
              <w:left w:val="nil"/>
            </w:tcBorders>
          </w:tcPr>
          <w:p>
            <w:pPr>
              <w:pStyle w:val="TableParagraph"/>
              <w:spacing w:line="220" w:lineRule="exact"/>
              <w:ind w:left="267"/>
              <w:jc w:val="left"/>
              <w:rPr>
                <w:sz w:val="20"/>
              </w:rPr>
            </w:pPr>
            <w:r>
              <w:rPr>
                <w:w w:val="100"/>
                <w:sz w:val="20"/>
              </w:rPr>
              <w:t>C</w:t>
            </w:r>
          </w:p>
        </w:tc>
        <w:tc>
          <w:tcPr>
            <w:tcW w:w="544" w:type="dxa"/>
            <w:tcBorders>
              <w:top w:val="nil"/>
              <w:right w:val="nil"/>
            </w:tcBorders>
          </w:tcPr>
          <w:p>
            <w:pPr/>
          </w:p>
        </w:tc>
        <w:tc>
          <w:tcPr>
            <w:tcW w:w="1765" w:type="dxa"/>
            <w:tcBorders>
              <w:top w:val="nil"/>
              <w:left w:val="nil"/>
            </w:tcBorders>
          </w:tcPr>
          <w:p>
            <w:pPr>
              <w:pStyle w:val="TableParagraph"/>
              <w:spacing w:line="220" w:lineRule="exact"/>
              <w:ind w:left="267"/>
              <w:jc w:val="left"/>
              <w:rPr>
                <w:sz w:val="20"/>
              </w:rPr>
            </w:pPr>
            <w:r>
              <w:rPr>
                <w:w w:val="100"/>
                <w:sz w:val="20"/>
              </w:rPr>
              <w:t>A</w:t>
            </w:r>
          </w:p>
        </w:tc>
        <w:tc>
          <w:tcPr>
            <w:tcW w:w="549" w:type="dxa"/>
            <w:tcBorders>
              <w:top w:val="nil"/>
              <w:right w:val="nil"/>
            </w:tcBorders>
          </w:tcPr>
          <w:p>
            <w:pPr/>
          </w:p>
        </w:tc>
        <w:tc>
          <w:tcPr>
            <w:tcW w:w="1760" w:type="dxa"/>
            <w:tcBorders>
              <w:top w:val="nil"/>
              <w:left w:val="nil"/>
            </w:tcBorders>
          </w:tcPr>
          <w:p>
            <w:pPr>
              <w:pStyle w:val="TableParagraph"/>
              <w:spacing w:line="220" w:lineRule="exact"/>
              <w:ind w:left="267"/>
              <w:jc w:val="left"/>
              <w:rPr>
                <w:sz w:val="20"/>
              </w:rPr>
            </w:pPr>
            <w:r>
              <w:rPr>
                <w:w w:val="100"/>
                <w:sz w:val="20"/>
              </w:rPr>
              <w:t>E</w:t>
            </w:r>
          </w:p>
        </w:tc>
        <w:tc>
          <w:tcPr>
            <w:tcW w:w="549" w:type="dxa"/>
            <w:tcBorders>
              <w:top w:val="nil"/>
              <w:right w:val="nil"/>
            </w:tcBorders>
          </w:tcPr>
          <w:p>
            <w:pPr/>
          </w:p>
        </w:tc>
        <w:tc>
          <w:tcPr>
            <w:tcW w:w="1760" w:type="dxa"/>
            <w:tcBorders>
              <w:top w:val="nil"/>
              <w:left w:val="nil"/>
            </w:tcBorders>
          </w:tcPr>
          <w:p>
            <w:pPr>
              <w:pStyle w:val="TableParagraph"/>
              <w:spacing w:line="220" w:lineRule="exact"/>
              <w:ind w:left="267"/>
              <w:jc w:val="left"/>
              <w:rPr>
                <w:sz w:val="20"/>
              </w:rPr>
            </w:pPr>
            <w:r>
              <w:rPr>
                <w:w w:val="100"/>
                <w:sz w:val="20"/>
              </w:rPr>
              <w:t>E</w:t>
            </w:r>
          </w:p>
        </w:tc>
      </w:tr>
    </w:tbl>
    <w:p>
      <w:pPr>
        <w:spacing w:after="0" w:line="220" w:lineRule="exact"/>
        <w:jc w:val="left"/>
        <w:rPr>
          <w:sz w:val="20"/>
        </w:rPr>
        <w:sectPr>
          <w:pgSz w:w="11910" w:h="16840"/>
          <w:pgMar w:header="732" w:footer="0" w:top="1160" w:bottom="280" w:left="14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spacing w:line="242" w:lineRule="auto" w:before="69"/>
        <w:ind w:left="3282" w:right="0" w:hanging="2957"/>
        <w:jc w:val="left"/>
        <w:rPr>
          <w:b/>
          <w:sz w:val="24"/>
        </w:rPr>
      </w:pPr>
      <w:bookmarkStart w:name="_bookmark47" w:id="73"/>
      <w:bookmarkEnd w:id="73"/>
      <w:r>
        <w:rPr/>
      </w:r>
      <w:r>
        <w:rPr>
          <w:b/>
          <w:sz w:val="24"/>
        </w:rPr>
        <w:t>ANEXO K. INSTRUMENTO DE COMPETENCIA LINGÜÍSTICA EN LA LENGUA INGLESA: CLOZE TEST.</w:t>
      </w:r>
    </w:p>
    <w:p>
      <w:pPr>
        <w:spacing w:after="0" w:line="242" w:lineRule="auto"/>
        <w:jc w:val="left"/>
        <w:rPr>
          <w:sz w:val="24"/>
        </w:rPr>
        <w:sectPr>
          <w:pgSz w:w="11910" w:h="16840"/>
          <w:pgMar w:header="732" w:footer="0" w:top="1160" w:bottom="280" w:left="1580" w:right="1020"/>
        </w:sectPr>
      </w:pPr>
    </w:p>
    <w:p>
      <w:pPr>
        <w:pStyle w:val="BodyText"/>
        <w:rPr>
          <w:b/>
          <w:sz w:val="20"/>
        </w:rPr>
      </w:pPr>
    </w:p>
    <w:p>
      <w:pPr>
        <w:pStyle w:val="BodyText"/>
        <w:rPr>
          <w:b/>
          <w:sz w:val="20"/>
        </w:rPr>
      </w:pPr>
    </w:p>
    <w:p>
      <w:pPr>
        <w:pStyle w:val="BodyText"/>
        <w:spacing w:before="3"/>
        <w:rPr>
          <w:b/>
          <w:sz w:val="20"/>
        </w:rPr>
      </w:pPr>
    </w:p>
    <w:p>
      <w:pPr>
        <w:spacing w:line="242" w:lineRule="auto" w:before="69"/>
        <w:ind w:left="3939" w:right="3934" w:firstLine="9"/>
        <w:jc w:val="center"/>
        <w:rPr>
          <w:b/>
          <w:sz w:val="24"/>
        </w:rPr>
      </w:pPr>
      <w:r>
        <w:rPr>
          <w:b/>
          <w:sz w:val="24"/>
        </w:rPr>
        <w:t>Cloze Test (15 minutos)</w:t>
      </w:r>
    </w:p>
    <w:p>
      <w:pPr>
        <w:pStyle w:val="BodyText"/>
        <w:spacing w:before="8"/>
        <w:rPr>
          <w:b/>
        </w:rPr>
      </w:pPr>
    </w:p>
    <w:p>
      <w:pPr>
        <w:spacing w:line="240" w:lineRule="auto" w:before="1"/>
        <w:ind w:left="119" w:right="111" w:firstLine="0"/>
        <w:jc w:val="both"/>
        <w:rPr>
          <w:i/>
          <w:sz w:val="24"/>
        </w:rPr>
      </w:pPr>
      <w:r>
        <w:rPr>
          <w:b/>
          <w:i/>
          <w:sz w:val="24"/>
        </w:rPr>
        <w:t>Instrucciones</w:t>
      </w:r>
      <w:r>
        <w:rPr>
          <w:i/>
          <w:sz w:val="24"/>
        </w:rPr>
        <w:t>: Lee el siguiente texto y piensa en la palabra que mejor complete el </w:t>
      </w:r>
      <w:r>
        <w:rPr>
          <w:i/>
          <w:sz w:val="24"/>
        </w:rPr>
        <w:t>texto en el espacio. Utiliza solo una palabra para cada espacio. Escribe la palabra en los espacios en la parte inferior.</w:t>
      </w:r>
    </w:p>
    <w:p>
      <w:pPr>
        <w:pStyle w:val="BodyText"/>
        <w:rPr>
          <w:i/>
          <w:sz w:val="24"/>
        </w:rPr>
      </w:pPr>
    </w:p>
    <w:p>
      <w:pPr>
        <w:pStyle w:val="BodyText"/>
        <w:spacing w:before="2"/>
        <w:rPr>
          <w:i/>
          <w:sz w:val="24"/>
        </w:rPr>
      </w:pPr>
    </w:p>
    <w:p>
      <w:pPr>
        <w:pStyle w:val="Heading2"/>
        <w:ind w:left="119"/>
        <w:jc w:val="both"/>
        <w:rPr>
          <w:u w:val="none"/>
        </w:rPr>
      </w:pPr>
      <w:r>
        <w:rPr>
          <w:u w:val="none"/>
        </w:rPr>
        <w:t>Edgar Allan Poe  (1809–1849) was an American poet, short-story writer,   </w:t>
      </w:r>
      <w:r>
        <w:rPr>
          <w:spacing w:val="53"/>
          <w:u w:val="none"/>
        </w:rPr>
        <w:t> </w:t>
      </w:r>
      <w:r>
        <w:rPr>
          <w:u w:val="none"/>
        </w:rPr>
        <w:t>editor and</w:t>
      </w:r>
    </w:p>
    <w:p>
      <w:pPr>
        <w:tabs>
          <w:tab w:pos="6338" w:val="left" w:leader="none"/>
        </w:tabs>
        <w:spacing w:line="274" w:lineRule="exact" w:before="0"/>
        <w:ind w:left="119" w:right="0" w:firstLine="0"/>
        <w:jc w:val="left"/>
        <w:rPr>
          <w:sz w:val="24"/>
        </w:rPr>
      </w:pPr>
      <w:r>
        <w:rPr>
          <w:sz w:val="24"/>
        </w:rPr>
        <w:t>literary  critic,  and  </w:t>
      </w:r>
      <w:r>
        <w:rPr>
          <w:spacing w:val="-3"/>
          <w:sz w:val="24"/>
        </w:rPr>
        <w:t>is   </w:t>
      </w:r>
      <w:r>
        <w:rPr>
          <w:sz w:val="24"/>
        </w:rPr>
        <w:t>considered  </w:t>
      </w:r>
      <w:r>
        <w:rPr>
          <w:spacing w:val="19"/>
          <w:sz w:val="24"/>
        </w:rPr>
        <w:t> </w:t>
      </w:r>
      <w:r>
        <w:rPr>
          <w:sz w:val="24"/>
        </w:rPr>
        <w:t>part </w:t>
      </w:r>
      <w:r>
        <w:rPr>
          <w:spacing w:val="33"/>
          <w:sz w:val="24"/>
        </w:rPr>
        <w:t> </w:t>
      </w:r>
      <w:r>
        <w:rPr>
          <w:sz w:val="24"/>
        </w:rPr>
        <w:t>(1)</w:t>
      </w:r>
      <w:r>
        <w:rPr>
          <w:sz w:val="24"/>
          <w:u w:val="single"/>
        </w:rPr>
        <w:tab/>
      </w:r>
      <w:r>
        <w:rPr>
          <w:sz w:val="24"/>
        </w:rPr>
        <w:t>the  American </w:t>
      </w:r>
      <w:r>
        <w:rPr>
          <w:spacing w:val="54"/>
          <w:sz w:val="24"/>
        </w:rPr>
        <w:t> </w:t>
      </w:r>
      <w:r>
        <w:rPr>
          <w:sz w:val="24"/>
        </w:rPr>
        <w:t>Romantic</w:t>
      </w:r>
    </w:p>
    <w:p>
      <w:pPr>
        <w:tabs>
          <w:tab w:pos="3660" w:val="left" w:leader="none"/>
        </w:tabs>
        <w:spacing w:before="2"/>
        <w:ind w:left="119" w:right="0" w:firstLine="0"/>
        <w:jc w:val="left"/>
        <w:rPr>
          <w:sz w:val="24"/>
        </w:rPr>
      </w:pPr>
      <w:r>
        <w:rPr>
          <w:sz w:val="24"/>
        </w:rPr>
        <w:t>Movement.</w:t>
      </w:r>
      <w:r>
        <w:rPr>
          <w:spacing w:val="9"/>
          <w:sz w:val="24"/>
        </w:rPr>
        <w:t> </w:t>
      </w:r>
      <w:r>
        <w:rPr>
          <w:sz w:val="24"/>
        </w:rPr>
        <w:t>Best</w:t>
      </w:r>
      <w:r>
        <w:rPr>
          <w:spacing w:val="14"/>
          <w:sz w:val="24"/>
        </w:rPr>
        <w:t> </w:t>
      </w:r>
      <w:r>
        <w:rPr>
          <w:sz w:val="24"/>
        </w:rPr>
        <w:t>(2)</w:t>
      </w:r>
      <w:r>
        <w:rPr>
          <w:sz w:val="24"/>
          <w:u w:val="single"/>
        </w:rPr>
        <w:tab/>
      </w:r>
      <w:r>
        <w:rPr>
          <w:sz w:val="24"/>
        </w:rPr>
        <w:t>for his tales of mystery and the macabre, Poe </w:t>
      </w:r>
      <w:r>
        <w:rPr>
          <w:spacing w:val="62"/>
          <w:sz w:val="24"/>
        </w:rPr>
        <w:t> </w:t>
      </w:r>
      <w:r>
        <w:rPr>
          <w:sz w:val="24"/>
        </w:rPr>
        <w:t>was</w:t>
      </w:r>
    </w:p>
    <w:p>
      <w:pPr>
        <w:tabs>
          <w:tab w:pos="1727" w:val="left" w:leader="none"/>
        </w:tabs>
        <w:spacing w:line="274" w:lineRule="exact" w:before="0"/>
        <w:ind w:left="119" w:right="0" w:firstLine="0"/>
        <w:jc w:val="left"/>
        <w:rPr>
          <w:sz w:val="24"/>
        </w:rPr>
      </w:pPr>
      <w:r>
        <w:rPr>
          <w:sz w:val="24"/>
        </w:rPr>
        <w:t>(3)</w:t>
      </w:r>
      <w:r>
        <w:rPr>
          <w:sz w:val="24"/>
          <w:u w:val="single"/>
        </w:rPr>
        <w:tab/>
      </w:r>
      <w:r>
        <w:rPr>
          <w:sz w:val="24"/>
        </w:rPr>
        <w:t>of  the  earliest  American  practitioners  of  the short story and  </w:t>
      </w:r>
      <w:r>
        <w:rPr>
          <w:spacing w:val="-3"/>
          <w:sz w:val="24"/>
        </w:rPr>
        <w:t>is</w:t>
      </w:r>
      <w:r>
        <w:rPr>
          <w:spacing w:val="55"/>
          <w:sz w:val="24"/>
        </w:rPr>
        <w:t> </w:t>
      </w:r>
      <w:r>
        <w:rPr>
          <w:sz w:val="24"/>
        </w:rPr>
        <w:t>(4)</w:t>
      </w:r>
    </w:p>
    <w:p>
      <w:pPr>
        <w:tabs>
          <w:tab w:pos="1456" w:val="left" w:leader="none"/>
        </w:tabs>
        <w:spacing w:before="2"/>
        <w:ind w:left="119" w:right="0" w:firstLine="0"/>
        <w:jc w:val="left"/>
        <w:rPr>
          <w:sz w:val="24"/>
        </w:rPr>
      </w:pPr>
      <w:r>
        <w:rPr>
          <w:w w:val="100"/>
          <w:sz w:val="24"/>
          <w:u w:val="single"/>
        </w:rPr>
        <w:t> </w:t>
      </w:r>
      <w:r>
        <w:rPr>
          <w:sz w:val="24"/>
          <w:u w:val="single"/>
        </w:rPr>
        <w:tab/>
      </w:r>
      <w:r>
        <w:rPr>
          <w:sz w:val="24"/>
        </w:rPr>
        <w:t> </w:t>
      </w:r>
      <w:r>
        <w:rPr>
          <w:spacing w:val="-22"/>
          <w:sz w:val="24"/>
        </w:rPr>
        <w:t> </w:t>
      </w:r>
      <w:r>
        <w:rPr>
          <w:sz w:val="24"/>
        </w:rPr>
        <w:t>the</w:t>
      </w:r>
      <w:r>
        <w:rPr>
          <w:spacing w:val="41"/>
          <w:sz w:val="24"/>
        </w:rPr>
        <w:t> </w:t>
      </w:r>
      <w:r>
        <w:rPr>
          <w:sz w:val="24"/>
        </w:rPr>
        <w:t>inventor</w:t>
      </w:r>
      <w:r>
        <w:rPr>
          <w:spacing w:val="39"/>
          <w:sz w:val="24"/>
        </w:rPr>
        <w:t> </w:t>
      </w:r>
      <w:r>
        <w:rPr>
          <w:sz w:val="24"/>
        </w:rPr>
        <w:t>of</w:t>
      </w:r>
      <w:r>
        <w:rPr>
          <w:spacing w:val="41"/>
          <w:sz w:val="24"/>
        </w:rPr>
        <w:t> </w:t>
      </w:r>
      <w:r>
        <w:rPr>
          <w:sz w:val="24"/>
        </w:rPr>
        <w:t>the</w:t>
      </w:r>
      <w:r>
        <w:rPr>
          <w:spacing w:val="41"/>
          <w:sz w:val="24"/>
        </w:rPr>
        <w:t> </w:t>
      </w:r>
      <w:r>
        <w:rPr>
          <w:sz w:val="24"/>
        </w:rPr>
        <w:t>detective-fiction</w:t>
      </w:r>
      <w:r>
        <w:rPr>
          <w:spacing w:val="42"/>
          <w:sz w:val="24"/>
        </w:rPr>
        <w:t> </w:t>
      </w:r>
      <w:r>
        <w:rPr>
          <w:sz w:val="24"/>
        </w:rPr>
        <w:t>genre.</w:t>
      </w:r>
      <w:r>
        <w:rPr>
          <w:spacing w:val="41"/>
          <w:sz w:val="24"/>
        </w:rPr>
        <w:t> </w:t>
      </w:r>
      <w:r>
        <w:rPr>
          <w:sz w:val="24"/>
        </w:rPr>
        <w:t>He</w:t>
      </w:r>
      <w:r>
        <w:rPr>
          <w:spacing w:val="40"/>
          <w:sz w:val="24"/>
        </w:rPr>
        <w:t> </w:t>
      </w:r>
      <w:r>
        <w:rPr>
          <w:spacing w:val="-3"/>
          <w:sz w:val="24"/>
        </w:rPr>
        <w:t>is</w:t>
      </w:r>
      <w:r>
        <w:rPr>
          <w:spacing w:val="44"/>
          <w:sz w:val="24"/>
        </w:rPr>
        <w:t> </w:t>
      </w:r>
      <w:r>
        <w:rPr>
          <w:sz w:val="24"/>
        </w:rPr>
        <w:t>further</w:t>
      </w:r>
      <w:r>
        <w:rPr>
          <w:spacing w:val="39"/>
          <w:sz w:val="24"/>
        </w:rPr>
        <w:t> </w:t>
      </w:r>
      <w:r>
        <w:rPr>
          <w:sz w:val="24"/>
        </w:rPr>
        <w:t>credited</w:t>
      </w:r>
      <w:r>
        <w:rPr>
          <w:spacing w:val="42"/>
          <w:sz w:val="24"/>
        </w:rPr>
        <w:t> </w:t>
      </w:r>
      <w:r>
        <w:rPr>
          <w:sz w:val="24"/>
        </w:rPr>
        <w:t>with</w:t>
      </w:r>
    </w:p>
    <w:p>
      <w:pPr>
        <w:tabs>
          <w:tab w:pos="1607" w:val="left" w:leader="none"/>
          <w:tab w:pos="2144" w:val="left" w:leader="none"/>
          <w:tab w:pos="3483" w:val="left" w:leader="none"/>
          <w:tab w:pos="3738" w:val="left" w:leader="none"/>
          <w:tab w:pos="4319" w:val="left" w:leader="none"/>
          <w:tab w:pos="5562" w:val="left" w:leader="none"/>
          <w:tab w:pos="6426" w:val="left" w:leader="none"/>
          <w:tab w:pos="6877" w:val="left" w:leader="none"/>
          <w:tab w:pos="7943" w:val="left" w:leader="none"/>
          <w:tab w:pos="8883" w:val="left" w:leader="none"/>
        </w:tabs>
        <w:spacing w:line="274" w:lineRule="exact" w:before="0"/>
        <w:ind w:left="119" w:right="0" w:firstLine="0"/>
        <w:jc w:val="left"/>
        <w:rPr>
          <w:sz w:val="24"/>
        </w:rPr>
      </w:pPr>
      <w:r>
        <w:rPr>
          <w:sz w:val="24"/>
        </w:rPr>
        <w:t>contributing</w:t>
        <w:tab/>
        <w:t>(5)</w:t>
        <w:tab/>
      </w:r>
      <w:r>
        <w:rPr>
          <w:sz w:val="24"/>
          <w:u w:val="single"/>
        </w:rPr>
        <w:t> </w:t>
        <w:tab/>
      </w:r>
      <w:r>
        <w:rPr>
          <w:sz w:val="24"/>
        </w:rPr>
        <w:tab/>
        <w:t>the</w:t>
        <w:tab/>
        <w:t>emerging</w:t>
        <w:tab/>
        <w:t>genre</w:t>
        <w:tab/>
        <w:t>of</w:t>
        <w:tab/>
        <w:t>science</w:t>
        <w:tab/>
        <w:t>fiction.</w:t>
        <w:tab/>
        <w:t>He</w:t>
      </w:r>
    </w:p>
    <w:p>
      <w:pPr>
        <w:pStyle w:val="ListParagraph"/>
        <w:numPr>
          <w:ilvl w:val="0"/>
          <w:numId w:val="47"/>
        </w:numPr>
        <w:tabs>
          <w:tab w:pos="411" w:val="left" w:leader="none"/>
          <w:tab w:pos="1748" w:val="left" w:leader="none"/>
        </w:tabs>
        <w:spacing w:line="275" w:lineRule="exact" w:before="2" w:after="0"/>
        <w:ind w:left="410" w:right="0" w:hanging="291"/>
        <w:jc w:val="both"/>
        <w:rPr>
          <w:sz w:val="24"/>
        </w:rPr>
      </w:pPr>
      <w:r>
        <w:rPr>
          <w:w w:val="100"/>
          <w:sz w:val="24"/>
          <w:u w:val="single"/>
        </w:rPr>
        <w:t> </w:t>
      </w:r>
      <w:r>
        <w:rPr>
          <w:sz w:val="24"/>
          <w:u w:val="single"/>
        </w:rPr>
        <w:tab/>
      </w:r>
      <w:r>
        <w:rPr>
          <w:spacing w:val="13"/>
          <w:sz w:val="24"/>
        </w:rPr>
        <w:t> </w:t>
      </w:r>
      <w:r>
        <w:rPr>
          <w:sz w:val="24"/>
        </w:rPr>
        <w:t>the first well-known American writer to try to earn a living through </w:t>
      </w:r>
      <w:r>
        <w:rPr>
          <w:spacing w:val="33"/>
          <w:sz w:val="24"/>
        </w:rPr>
        <w:t> </w:t>
      </w:r>
      <w:r>
        <w:rPr>
          <w:sz w:val="24"/>
        </w:rPr>
        <w:t>(7)</w:t>
      </w:r>
    </w:p>
    <w:p>
      <w:pPr>
        <w:tabs>
          <w:tab w:pos="1456" w:val="left" w:leader="none"/>
          <w:tab w:pos="4988" w:val="left" w:leader="none"/>
        </w:tabs>
        <w:spacing w:line="242" w:lineRule="auto" w:before="0"/>
        <w:ind w:left="119" w:right="112" w:firstLine="0"/>
        <w:jc w:val="both"/>
        <w:rPr>
          <w:sz w:val="24"/>
        </w:rPr>
      </w:pPr>
      <w:r>
        <w:rPr>
          <w:w w:val="100"/>
          <w:sz w:val="24"/>
          <w:u w:val="single"/>
        </w:rPr>
        <w:t> </w:t>
      </w:r>
      <w:r>
        <w:rPr>
          <w:sz w:val="24"/>
          <w:u w:val="single"/>
        </w:rPr>
        <w:tab/>
      </w:r>
      <w:r>
        <w:rPr>
          <w:spacing w:val="21"/>
          <w:sz w:val="24"/>
        </w:rPr>
        <w:t> </w:t>
      </w:r>
      <w:r>
        <w:rPr>
          <w:sz w:val="24"/>
        </w:rPr>
        <w:t>alone,</w:t>
      </w:r>
      <w:r>
        <w:rPr>
          <w:spacing w:val="21"/>
          <w:sz w:val="24"/>
        </w:rPr>
        <w:t> </w:t>
      </w:r>
      <w:r>
        <w:rPr>
          <w:sz w:val="24"/>
        </w:rPr>
        <w:t>resulting</w:t>
      </w:r>
      <w:r>
        <w:rPr>
          <w:spacing w:val="20"/>
          <w:sz w:val="24"/>
        </w:rPr>
        <w:t> </w:t>
      </w:r>
      <w:r>
        <w:rPr>
          <w:sz w:val="24"/>
        </w:rPr>
        <w:t>(8)</w:t>
      </w:r>
      <w:r>
        <w:rPr>
          <w:sz w:val="24"/>
          <w:u w:val="single"/>
        </w:rPr>
        <w:tab/>
      </w:r>
      <w:r>
        <w:rPr>
          <w:sz w:val="24"/>
        </w:rPr>
        <w:t>a financially difficult life and </w:t>
      </w:r>
      <w:r>
        <w:rPr>
          <w:spacing w:val="29"/>
          <w:sz w:val="24"/>
        </w:rPr>
        <w:t> </w:t>
      </w:r>
      <w:r>
        <w:rPr>
          <w:sz w:val="24"/>
        </w:rPr>
        <w:t>career.</w:t>
      </w:r>
      <w:r>
        <w:rPr>
          <w:spacing w:val="19"/>
          <w:sz w:val="24"/>
        </w:rPr>
        <w:t> </w:t>
      </w:r>
      <w:r>
        <w:rPr>
          <w:sz w:val="24"/>
        </w:rPr>
        <w:t>In</w:t>
      </w:r>
      <w:r>
        <w:rPr>
          <w:w w:val="99"/>
          <w:sz w:val="24"/>
        </w:rPr>
        <w:t> </w:t>
      </w:r>
      <w:r>
        <w:rPr>
          <w:sz w:val="24"/>
        </w:rPr>
        <w:t>January 1845, Poe published his poem "The Raven" to instant success. His wife  </w:t>
      </w:r>
      <w:r>
        <w:rPr>
          <w:spacing w:val="45"/>
          <w:sz w:val="24"/>
        </w:rPr>
        <w:t> </w:t>
      </w:r>
      <w:r>
        <w:rPr>
          <w:sz w:val="24"/>
        </w:rPr>
        <w:t>(9)</w:t>
      </w:r>
    </w:p>
    <w:p>
      <w:pPr>
        <w:tabs>
          <w:tab w:pos="1456" w:val="left" w:leader="none"/>
          <w:tab w:pos="2824" w:val="left" w:leader="none"/>
          <w:tab w:pos="5828" w:val="left" w:leader="none"/>
          <w:tab w:pos="6314" w:val="left" w:leader="none"/>
          <w:tab w:pos="7506" w:val="left" w:leader="none"/>
          <w:tab w:pos="9186" w:val="left" w:leader="none"/>
        </w:tabs>
        <w:spacing w:line="240" w:lineRule="auto" w:before="0"/>
        <w:ind w:left="119" w:right="108" w:firstLine="0"/>
        <w:jc w:val="both"/>
        <w:rPr>
          <w:sz w:val="24"/>
        </w:rPr>
      </w:pPr>
      <w:r>
        <w:rPr>
          <w:w w:val="100"/>
          <w:sz w:val="24"/>
          <w:u w:val="single"/>
        </w:rPr>
        <w:t> </w:t>
      </w:r>
      <w:r>
        <w:rPr>
          <w:sz w:val="24"/>
          <w:u w:val="single"/>
        </w:rPr>
        <w:tab/>
      </w:r>
      <w:r>
        <w:rPr>
          <w:spacing w:val="-1"/>
          <w:sz w:val="24"/>
        </w:rPr>
        <w:t> </w:t>
      </w:r>
      <w:r>
        <w:rPr>
          <w:sz w:val="24"/>
        </w:rPr>
        <w:t>of tuberculosis two years later. </w:t>
      </w:r>
      <w:r>
        <w:rPr>
          <w:spacing w:val="3"/>
          <w:sz w:val="24"/>
        </w:rPr>
        <w:t>On </w:t>
      </w:r>
      <w:r>
        <w:rPr>
          <w:sz w:val="24"/>
        </w:rPr>
        <w:t>October 7, 1849, at age 40,</w:t>
      </w:r>
      <w:r>
        <w:rPr>
          <w:spacing w:val="-10"/>
          <w:sz w:val="24"/>
        </w:rPr>
        <w:t> </w:t>
      </w:r>
      <w:r>
        <w:rPr>
          <w:spacing w:val="6"/>
          <w:sz w:val="24"/>
        </w:rPr>
        <w:t>Poe</w:t>
      </w:r>
      <w:r>
        <w:rPr>
          <w:spacing w:val="-2"/>
          <w:sz w:val="24"/>
        </w:rPr>
        <w:t> </w:t>
      </w:r>
      <w:r>
        <w:rPr>
          <w:sz w:val="24"/>
        </w:rPr>
        <w:t>died</w:t>
      </w:r>
      <w:r>
        <w:rPr>
          <w:w w:val="99"/>
          <w:sz w:val="24"/>
        </w:rPr>
        <w:t> </w:t>
      </w:r>
      <w:r>
        <w:rPr>
          <w:spacing w:val="-3"/>
          <w:sz w:val="24"/>
        </w:rPr>
        <w:t>in </w:t>
      </w:r>
      <w:r>
        <w:rPr>
          <w:sz w:val="24"/>
        </w:rPr>
        <w:t>Baltimore; the cause of his death </w:t>
      </w:r>
      <w:r>
        <w:rPr>
          <w:spacing w:val="-3"/>
          <w:sz w:val="24"/>
        </w:rPr>
        <w:t>is </w:t>
      </w:r>
      <w:r>
        <w:rPr>
          <w:sz w:val="24"/>
        </w:rPr>
        <w:t>unknown </w:t>
      </w:r>
      <w:r>
        <w:rPr>
          <w:spacing w:val="2"/>
          <w:sz w:val="24"/>
        </w:rPr>
        <w:t> </w:t>
      </w:r>
      <w:r>
        <w:rPr>
          <w:sz w:val="24"/>
        </w:rPr>
        <w:t>and</w:t>
      </w:r>
      <w:r>
        <w:rPr>
          <w:spacing w:val="7"/>
          <w:sz w:val="24"/>
        </w:rPr>
        <w:t> </w:t>
      </w:r>
      <w:r>
        <w:rPr>
          <w:sz w:val="24"/>
        </w:rPr>
        <w:t>(10)</w:t>
      </w:r>
      <w:r>
        <w:rPr>
          <w:sz w:val="24"/>
          <w:u w:val="single"/>
        </w:rPr>
        <w:tab/>
        <w:tab/>
      </w:r>
      <w:r>
        <w:rPr>
          <w:sz w:val="24"/>
        </w:rPr>
        <w:t>been</w:t>
      </w:r>
      <w:r>
        <w:rPr>
          <w:spacing w:val="8"/>
          <w:sz w:val="24"/>
        </w:rPr>
        <w:t> </w:t>
      </w:r>
      <w:r>
        <w:rPr>
          <w:sz w:val="24"/>
        </w:rPr>
        <w:t>attributed</w:t>
      </w:r>
      <w:r>
        <w:rPr>
          <w:w w:val="99"/>
          <w:sz w:val="24"/>
        </w:rPr>
        <w:t> </w:t>
      </w:r>
      <w:r>
        <w:rPr>
          <w:sz w:val="24"/>
        </w:rPr>
        <w:t>to alcohol, brain congestion, cholera, drugs, heart disease, rabies, suicide, tuberculosis, and other agents. Poe</w:t>
      </w:r>
      <w:r>
        <w:rPr>
          <w:spacing w:val="23"/>
          <w:sz w:val="24"/>
        </w:rPr>
        <w:t> </w:t>
      </w:r>
      <w:r>
        <w:rPr>
          <w:sz w:val="24"/>
        </w:rPr>
        <w:t>and</w:t>
      </w:r>
      <w:r>
        <w:rPr>
          <w:spacing w:val="7"/>
          <w:sz w:val="24"/>
        </w:rPr>
        <w:t> </w:t>
      </w:r>
      <w:r>
        <w:rPr>
          <w:sz w:val="24"/>
        </w:rPr>
        <w:t>(11)</w:t>
      </w:r>
      <w:r>
        <w:rPr>
          <w:sz w:val="24"/>
          <w:u w:val="single"/>
        </w:rPr>
        <w:tab/>
        <w:tab/>
      </w:r>
      <w:r>
        <w:rPr>
          <w:sz w:val="24"/>
        </w:rPr>
        <w:t>works</w:t>
      </w:r>
      <w:r>
        <w:rPr>
          <w:spacing w:val="13"/>
          <w:sz w:val="24"/>
        </w:rPr>
        <w:t> </w:t>
      </w:r>
      <w:r>
        <w:rPr>
          <w:sz w:val="24"/>
        </w:rPr>
        <w:t>influenced</w:t>
      </w:r>
      <w:r>
        <w:rPr>
          <w:spacing w:val="6"/>
          <w:sz w:val="24"/>
        </w:rPr>
        <w:t> </w:t>
      </w:r>
      <w:r>
        <w:rPr>
          <w:sz w:val="24"/>
        </w:rPr>
        <w:t>literature</w:t>
      </w:r>
      <w:r>
        <w:rPr>
          <w:w w:val="99"/>
          <w:sz w:val="24"/>
        </w:rPr>
        <w:t> </w:t>
      </w:r>
      <w:r>
        <w:rPr>
          <w:spacing w:val="-3"/>
          <w:sz w:val="24"/>
        </w:rPr>
        <w:t>in </w:t>
      </w:r>
      <w:r>
        <w:rPr>
          <w:sz w:val="24"/>
        </w:rPr>
        <w:t>the United States and around</w:t>
      </w:r>
      <w:r>
        <w:rPr>
          <w:spacing w:val="34"/>
          <w:sz w:val="24"/>
        </w:rPr>
        <w:t> </w:t>
      </w:r>
      <w:r>
        <w:rPr>
          <w:sz w:val="24"/>
        </w:rPr>
        <w:t>the</w:t>
      </w:r>
      <w:r>
        <w:rPr>
          <w:spacing w:val="3"/>
          <w:sz w:val="24"/>
        </w:rPr>
        <w:t> </w:t>
      </w:r>
      <w:r>
        <w:rPr>
          <w:sz w:val="24"/>
        </w:rPr>
        <w:t>(12)</w:t>
      </w:r>
      <w:r>
        <w:rPr>
          <w:sz w:val="24"/>
          <w:u w:val="single"/>
        </w:rPr>
        <w:t> </w:t>
        <w:tab/>
      </w:r>
      <w:r>
        <w:rPr>
          <w:sz w:val="24"/>
        </w:rPr>
        <w:t>, as well as</w:t>
      </w:r>
      <w:r>
        <w:rPr>
          <w:spacing w:val="11"/>
          <w:sz w:val="24"/>
        </w:rPr>
        <w:t> </w:t>
      </w:r>
      <w:r>
        <w:rPr>
          <w:spacing w:val="-3"/>
          <w:sz w:val="24"/>
        </w:rPr>
        <w:t>in</w:t>
      </w:r>
      <w:r>
        <w:rPr>
          <w:spacing w:val="4"/>
          <w:sz w:val="24"/>
        </w:rPr>
        <w:t> </w:t>
      </w:r>
      <w:r>
        <w:rPr>
          <w:sz w:val="24"/>
        </w:rPr>
        <w:t>(13)</w:t>
      </w:r>
      <w:r>
        <w:rPr>
          <w:spacing w:val="3"/>
          <w:sz w:val="24"/>
        </w:rPr>
        <w:t> </w:t>
      </w:r>
      <w:r>
        <w:rPr>
          <w:w w:val="100"/>
          <w:sz w:val="24"/>
          <w:u w:val="single"/>
        </w:rPr>
        <w:t> </w:t>
      </w:r>
      <w:r>
        <w:rPr>
          <w:sz w:val="24"/>
          <w:u w:val="single"/>
        </w:rPr>
        <w:tab/>
      </w:r>
      <w:r>
        <w:rPr>
          <w:sz w:val="24"/>
        </w:rPr>
        <w:t> fields,</w:t>
      </w:r>
      <w:r>
        <w:rPr>
          <w:spacing w:val="22"/>
          <w:sz w:val="24"/>
        </w:rPr>
        <w:t> </w:t>
      </w:r>
      <w:r>
        <w:rPr>
          <w:sz w:val="24"/>
        </w:rPr>
        <w:t>(14)</w:t>
      </w:r>
      <w:r>
        <w:rPr>
          <w:sz w:val="24"/>
          <w:u w:val="single"/>
        </w:rPr>
        <w:t> </w:t>
        <w:tab/>
        <w:tab/>
      </w:r>
      <w:r>
        <w:rPr>
          <w:sz w:val="24"/>
        </w:rPr>
        <w:t>as cosmology and cryptography. Poe and his  </w:t>
      </w:r>
      <w:r>
        <w:rPr>
          <w:spacing w:val="24"/>
          <w:sz w:val="24"/>
        </w:rPr>
        <w:t> </w:t>
      </w:r>
      <w:r>
        <w:rPr>
          <w:sz w:val="24"/>
        </w:rPr>
        <w:t>work</w:t>
      </w:r>
      <w:r>
        <w:rPr>
          <w:spacing w:val="21"/>
          <w:sz w:val="24"/>
        </w:rPr>
        <w:t> </w:t>
      </w:r>
      <w:r>
        <w:rPr>
          <w:sz w:val="24"/>
        </w:rPr>
        <w:t>appear</w:t>
      </w:r>
      <w:r>
        <w:rPr>
          <w:w w:val="99"/>
          <w:sz w:val="24"/>
        </w:rPr>
        <w:t> </w:t>
      </w:r>
      <w:r>
        <w:rPr>
          <w:sz w:val="24"/>
        </w:rPr>
        <w:t>throughout   popular   culture   </w:t>
      </w:r>
      <w:r>
        <w:rPr>
          <w:spacing w:val="-3"/>
          <w:sz w:val="24"/>
        </w:rPr>
        <w:t>in   </w:t>
      </w:r>
      <w:r>
        <w:rPr>
          <w:sz w:val="24"/>
        </w:rPr>
        <w:t>literature,   music,   films,   and   television.   A</w:t>
      </w:r>
      <w:r>
        <w:rPr>
          <w:spacing w:val="35"/>
          <w:sz w:val="24"/>
        </w:rPr>
        <w:t> </w:t>
      </w:r>
      <w:r>
        <w:rPr>
          <w:sz w:val="24"/>
        </w:rPr>
        <w:t>(15)</w:t>
      </w:r>
    </w:p>
    <w:p>
      <w:pPr>
        <w:tabs>
          <w:tab w:pos="1456" w:val="left" w:leader="none"/>
        </w:tabs>
        <w:spacing w:before="2"/>
        <w:ind w:left="119" w:right="0" w:firstLine="0"/>
        <w:jc w:val="both"/>
        <w:rPr>
          <w:sz w:val="24"/>
        </w:rPr>
      </w:pPr>
      <w:r>
        <w:rPr>
          <w:w w:val="100"/>
          <w:sz w:val="24"/>
          <w:u w:val="single"/>
        </w:rPr>
        <w:t> </w:t>
      </w:r>
      <w:r>
        <w:rPr>
          <w:sz w:val="24"/>
          <w:u w:val="single"/>
        </w:rPr>
        <w:tab/>
      </w:r>
      <w:r>
        <w:rPr>
          <w:spacing w:val="-1"/>
          <w:sz w:val="24"/>
        </w:rPr>
        <w:t> </w:t>
      </w:r>
      <w:r>
        <w:rPr>
          <w:sz w:val="24"/>
        </w:rPr>
        <w:t>of his homes are dedicated museums</w:t>
      </w:r>
      <w:r>
        <w:rPr>
          <w:spacing w:val="-14"/>
          <w:sz w:val="24"/>
        </w:rPr>
        <w:t> </w:t>
      </w:r>
      <w:r>
        <w:rPr>
          <w:sz w:val="24"/>
        </w:rPr>
        <w:t>today.</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1910" w:h="16840"/>
          <w:pgMar w:header="732" w:footer="0" w:top="1160" w:bottom="280" w:left="1580" w:right="1020"/>
        </w:sectPr>
      </w:pPr>
    </w:p>
    <w:p>
      <w:pPr>
        <w:pStyle w:val="BodyText"/>
        <w:spacing w:before="4"/>
        <w:rPr>
          <w:sz w:val="20"/>
        </w:rPr>
      </w:pPr>
    </w:p>
    <w:p>
      <w:pPr>
        <w:tabs>
          <w:tab w:pos="2309" w:val="left" w:leader="none"/>
        </w:tabs>
        <w:spacing w:before="1"/>
        <w:ind w:left="479" w:right="0" w:firstLine="0"/>
        <w:jc w:val="left"/>
        <w:rPr>
          <w:sz w:val="24"/>
        </w:rPr>
      </w:pPr>
      <w:r>
        <w:rPr>
          <w:sz w:val="24"/>
        </w:rPr>
        <w:t>1. </w:t>
      </w:r>
      <w:r>
        <w:rPr>
          <w:spacing w:val="26"/>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2. </w:t>
      </w:r>
      <w:r>
        <w:rPr>
          <w:spacing w:val="26"/>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3. </w:t>
      </w:r>
      <w:r>
        <w:rPr>
          <w:spacing w:val="26"/>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4. </w:t>
      </w:r>
      <w:r>
        <w:rPr>
          <w:spacing w:val="26"/>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5. </w:t>
      </w:r>
      <w:r>
        <w:rPr>
          <w:spacing w:val="26"/>
          <w:sz w:val="24"/>
        </w:rPr>
        <w:t> </w:t>
      </w:r>
      <w:r>
        <w:rPr>
          <w:w w:val="100"/>
          <w:sz w:val="24"/>
          <w:u w:val="single"/>
        </w:rPr>
        <w:t> </w:t>
      </w:r>
      <w:r>
        <w:rPr>
          <w:sz w:val="24"/>
          <w:u w:val="single"/>
        </w:rPr>
        <w:tab/>
      </w:r>
    </w:p>
    <w:p>
      <w:pPr>
        <w:pStyle w:val="BodyText"/>
        <w:rPr>
          <w:sz w:val="24"/>
        </w:rPr>
      </w:pPr>
      <w:r>
        <w:rPr/>
        <w:br w:type="column"/>
      </w:r>
      <w:r>
        <w:rPr>
          <w:sz w:val="24"/>
        </w:rPr>
      </w:r>
    </w:p>
    <w:p>
      <w:pPr>
        <w:pStyle w:val="BodyText"/>
        <w:spacing w:before="8"/>
        <w:rPr>
          <w:sz w:val="32"/>
        </w:rPr>
      </w:pPr>
    </w:p>
    <w:p>
      <w:pPr>
        <w:tabs>
          <w:tab w:pos="2309" w:val="left" w:leader="none"/>
        </w:tabs>
        <w:spacing w:before="0"/>
        <w:ind w:left="479" w:right="0" w:firstLine="0"/>
        <w:jc w:val="left"/>
        <w:rPr>
          <w:sz w:val="24"/>
        </w:rPr>
      </w:pPr>
      <w:r>
        <w:rPr>
          <w:sz w:val="24"/>
        </w:rPr>
        <w:t>6. </w:t>
      </w:r>
      <w:r>
        <w:rPr>
          <w:spacing w:val="26"/>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7. </w:t>
      </w:r>
      <w:r>
        <w:rPr>
          <w:spacing w:val="26"/>
          <w:sz w:val="24"/>
        </w:rPr>
        <w:t> </w:t>
      </w:r>
      <w:r>
        <w:rPr>
          <w:w w:val="100"/>
          <w:sz w:val="24"/>
          <w:u w:val="single"/>
        </w:rPr>
        <w:t> </w:t>
      </w:r>
      <w:r>
        <w:rPr>
          <w:sz w:val="24"/>
          <w:u w:val="single"/>
        </w:rPr>
        <w:tab/>
      </w:r>
    </w:p>
    <w:p>
      <w:pPr>
        <w:pStyle w:val="BodyText"/>
        <w:rPr>
          <w:sz w:val="29"/>
        </w:rPr>
      </w:pPr>
    </w:p>
    <w:p>
      <w:pPr>
        <w:tabs>
          <w:tab w:pos="2309" w:val="left" w:leader="none"/>
        </w:tabs>
        <w:spacing w:before="0"/>
        <w:ind w:left="479" w:right="0" w:firstLine="0"/>
        <w:jc w:val="left"/>
        <w:rPr>
          <w:sz w:val="24"/>
        </w:rPr>
      </w:pPr>
      <w:r>
        <w:rPr>
          <w:sz w:val="24"/>
        </w:rPr>
        <w:t>8. </w:t>
      </w:r>
      <w:r>
        <w:rPr>
          <w:spacing w:val="26"/>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9. </w:t>
      </w:r>
      <w:r>
        <w:rPr>
          <w:spacing w:val="26"/>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10.</w:t>
      </w:r>
      <w:r>
        <w:rPr>
          <w:spacing w:val="-41"/>
          <w:sz w:val="24"/>
        </w:rPr>
        <w:t> </w:t>
      </w:r>
      <w:r>
        <w:rPr>
          <w:w w:val="100"/>
          <w:sz w:val="24"/>
          <w:u w:val="single"/>
        </w:rPr>
        <w:t> </w:t>
      </w:r>
      <w:r>
        <w:rPr>
          <w:sz w:val="24"/>
          <w:u w:val="single"/>
        </w:rPr>
        <w:tab/>
      </w:r>
    </w:p>
    <w:p>
      <w:pPr>
        <w:pStyle w:val="BodyText"/>
        <w:rPr>
          <w:sz w:val="24"/>
        </w:rPr>
      </w:pPr>
      <w:r>
        <w:rPr/>
        <w:br w:type="column"/>
      </w:r>
      <w:r>
        <w:rPr>
          <w:sz w:val="24"/>
        </w:rPr>
      </w:r>
    </w:p>
    <w:p>
      <w:pPr>
        <w:pStyle w:val="BodyText"/>
        <w:spacing w:before="8"/>
        <w:rPr>
          <w:sz w:val="32"/>
        </w:rPr>
      </w:pPr>
    </w:p>
    <w:p>
      <w:pPr>
        <w:tabs>
          <w:tab w:pos="2309" w:val="left" w:leader="none"/>
        </w:tabs>
        <w:spacing w:before="0"/>
        <w:ind w:left="479" w:right="0" w:firstLine="0"/>
        <w:jc w:val="left"/>
        <w:rPr>
          <w:sz w:val="24"/>
        </w:rPr>
      </w:pPr>
      <w:r>
        <w:rPr>
          <w:sz w:val="24"/>
        </w:rPr>
        <w:t>11.</w:t>
      </w:r>
      <w:r>
        <w:rPr>
          <w:spacing w:val="-41"/>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12.</w:t>
      </w:r>
      <w:r>
        <w:rPr>
          <w:spacing w:val="-41"/>
          <w:sz w:val="24"/>
        </w:rPr>
        <w:t> </w:t>
      </w:r>
      <w:r>
        <w:rPr>
          <w:w w:val="100"/>
          <w:sz w:val="24"/>
          <w:u w:val="single"/>
        </w:rPr>
        <w:t> </w:t>
      </w:r>
      <w:r>
        <w:rPr>
          <w:sz w:val="24"/>
          <w:u w:val="single"/>
        </w:rPr>
        <w:tab/>
      </w:r>
    </w:p>
    <w:p>
      <w:pPr>
        <w:pStyle w:val="BodyText"/>
        <w:rPr>
          <w:sz w:val="29"/>
        </w:rPr>
      </w:pPr>
    </w:p>
    <w:p>
      <w:pPr>
        <w:tabs>
          <w:tab w:pos="2309" w:val="left" w:leader="none"/>
        </w:tabs>
        <w:spacing w:before="0"/>
        <w:ind w:left="479" w:right="0" w:firstLine="0"/>
        <w:jc w:val="left"/>
        <w:rPr>
          <w:sz w:val="24"/>
        </w:rPr>
      </w:pPr>
      <w:r>
        <w:rPr>
          <w:sz w:val="24"/>
        </w:rPr>
        <w:t>13.</w:t>
      </w:r>
      <w:r>
        <w:rPr>
          <w:spacing w:val="-41"/>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14.</w:t>
      </w:r>
      <w:r>
        <w:rPr>
          <w:spacing w:val="-41"/>
          <w:sz w:val="24"/>
        </w:rPr>
        <w:t> </w:t>
      </w:r>
      <w:r>
        <w:rPr>
          <w:w w:val="100"/>
          <w:sz w:val="24"/>
          <w:u w:val="single"/>
        </w:rPr>
        <w:t> </w:t>
      </w:r>
      <w:r>
        <w:rPr>
          <w:sz w:val="24"/>
          <w:u w:val="single"/>
        </w:rPr>
        <w:tab/>
      </w:r>
    </w:p>
    <w:p>
      <w:pPr>
        <w:pStyle w:val="BodyText"/>
        <w:spacing w:before="4"/>
        <w:rPr>
          <w:sz w:val="29"/>
        </w:rPr>
      </w:pPr>
    </w:p>
    <w:p>
      <w:pPr>
        <w:tabs>
          <w:tab w:pos="2309" w:val="left" w:leader="none"/>
        </w:tabs>
        <w:spacing w:before="1"/>
        <w:ind w:left="479" w:right="0" w:firstLine="0"/>
        <w:jc w:val="left"/>
        <w:rPr>
          <w:sz w:val="24"/>
        </w:rPr>
      </w:pPr>
      <w:r>
        <w:rPr>
          <w:sz w:val="24"/>
        </w:rPr>
        <w:t>15.</w:t>
      </w:r>
      <w:r>
        <w:rPr>
          <w:spacing w:val="-41"/>
          <w:sz w:val="24"/>
        </w:rPr>
        <w:t> </w:t>
      </w:r>
      <w:r>
        <w:rPr>
          <w:w w:val="100"/>
          <w:sz w:val="24"/>
          <w:u w:val="single"/>
        </w:rPr>
        <w:t> </w:t>
      </w:r>
      <w:r>
        <w:rPr>
          <w:sz w:val="24"/>
          <w:u w:val="single"/>
        </w:rPr>
        <w:tab/>
      </w:r>
    </w:p>
    <w:p>
      <w:pPr>
        <w:spacing w:after="0"/>
        <w:jc w:val="left"/>
        <w:rPr>
          <w:sz w:val="24"/>
        </w:rPr>
        <w:sectPr>
          <w:type w:val="continuous"/>
          <w:pgSz w:w="11910" w:h="16840"/>
          <w:pgMar w:top="1580" w:bottom="280" w:left="1580" w:right="1020"/>
          <w:cols w:num="3" w:equalWidth="0">
            <w:col w:w="2310" w:space="949"/>
            <w:col w:w="2310" w:space="949"/>
            <w:col w:w="2792"/>
          </w:cols>
        </w:sectPr>
      </w:pPr>
    </w:p>
    <w:p>
      <w:pPr>
        <w:pStyle w:val="BodyText"/>
        <w:spacing w:before="2"/>
        <w:rPr>
          <w:sz w:val="15"/>
        </w:rPr>
      </w:pPr>
    </w:p>
    <w:p>
      <w:pPr>
        <w:spacing w:line="276" w:lineRule="auto" w:before="69"/>
        <w:ind w:left="119" w:right="0" w:firstLine="0"/>
        <w:jc w:val="left"/>
        <w:rPr>
          <w:sz w:val="24"/>
        </w:rPr>
      </w:pPr>
      <w:r>
        <w:rPr>
          <w:sz w:val="24"/>
        </w:rPr>
        <w:t>CLAVE DE INSTRUMENTO DE MEDICIÓN DE COMPETENCIA LINGÜÍSTICA EN LENGUA INGLESA: CLOZE TEST</w:t>
      </w:r>
    </w:p>
    <w:p>
      <w:pPr>
        <w:pStyle w:val="BodyText"/>
        <w:rPr>
          <w:sz w:val="24"/>
        </w:rPr>
      </w:pPr>
    </w:p>
    <w:p>
      <w:pPr>
        <w:pStyle w:val="BodyText"/>
        <w:rPr>
          <w:sz w:val="24"/>
        </w:rPr>
      </w:pPr>
    </w:p>
    <w:p>
      <w:pPr>
        <w:pStyle w:val="ListParagraph"/>
        <w:numPr>
          <w:ilvl w:val="1"/>
          <w:numId w:val="47"/>
        </w:numPr>
        <w:tabs>
          <w:tab w:pos="840" w:val="left" w:leader="none"/>
        </w:tabs>
        <w:spacing w:line="240" w:lineRule="auto" w:before="177" w:after="0"/>
        <w:ind w:left="839" w:right="0" w:hanging="360"/>
        <w:jc w:val="left"/>
        <w:rPr>
          <w:sz w:val="20"/>
        </w:rPr>
      </w:pPr>
      <w:r>
        <w:rPr>
          <w:sz w:val="20"/>
        </w:rPr>
        <w:t>OF</w:t>
      </w:r>
    </w:p>
    <w:p>
      <w:pPr>
        <w:pStyle w:val="ListParagraph"/>
        <w:numPr>
          <w:ilvl w:val="1"/>
          <w:numId w:val="47"/>
        </w:numPr>
        <w:tabs>
          <w:tab w:pos="840" w:val="left" w:leader="none"/>
        </w:tabs>
        <w:spacing w:line="240" w:lineRule="auto" w:before="34" w:after="0"/>
        <w:ind w:left="839" w:right="0" w:hanging="360"/>
        <w:jc w:val="left"/>
        <w:rPr>
          <w:sz w:val="20"/>
        </w:rPr>
      </w:pPr>
      <w:r>
        <w:rPr>
          <w:sz w:val="20"/>
        </w:rPr>
        <w:t>KNOWN</w:t>
      </w:r>
    </w:p>
    <w:p>
      <w:pPr>
        <w:pStyle w:val="ListParagraph"/>
        <w:numPr>
          <w:ilvl w:val="1"/>
          <w:numId w:val="47"/>
        </w:numPr>
        <w:tabs>
          <w:tab w:pos="840" w:val="left" w:leader="none"/>
        </w:tabs>
        <w:spacing w:line="240" w:lineRule="auto" w:before="34" w:after="0"/>
        <w:ind w:left="839" w:right="0" w:hanging="360"/>
        <w:jc w:val="left"/>
        <w:rPr>
          <w:sz w:val="20"/>
        </w:rPr>
      </w:pPr>
      <w:r>
        <w:rPr>
          <w:sz w:val="20"/>
        </w:rPr>
        <w:t>ONE</w:t>
      </w:r>
    </w:p>
    <w:p>
      <w:pPr>
        <w:pStyle w:val="ListParagraph"/>
        <w:numPr>
          <w:ilvl w:val="1"/>
          <w:numId w:val="47"/>
        </w:numPr>
        <w:tabs>
          <w:tab w:pos="840" w:val="left" w:leader="none"/>
        </w:tabs>
        <w:spacing w:line="240" w:lineRule="auto" w:before="34" w:after="0"/>
        <w:ind w:left="839" w:right="0" w:hanging="360"/>
        <w:jc w:val="left"/>
        <w:rPr>
          <w:sz w:val="20"/>
        </w:rPr>
      </w:pPr>
      <w:r>
        <w:rPr>
          <w:sz w:val="20"/>
        </w:rPr>
        <w:t>CONSIDERED</w:t>
      </w:r>
    </w:p>
    <w:p>
      <w:pPr>
        <w:pStyle w:val="ListParagraph"/>
        <w:numPr>
          <w:ilvl w:val="1"/>
          <w:numId w:val="47"/>
        </w:numPr>
        <w:tabs>
          <w:tab w:pos="840" w:val="left" w:leader="none"/>
        </w:tabs>
        <w:spacing w:line="240" w:lineRule="auto" w:before="39" w:after="0"/>
        <w:ind w:left="839" w:right="0" w:hanging="360"/>
        <w:jc w:val="left"/>
        <w:rPr>
          <w:sz w:val="20"/>
        </w:rPr>
      </w:pPr>
      <w:r>
        <w:rPr>
          <w:sz w:val="20"/>
        </w:rPr>
        <w:t>WITH</w:t>
      </w:r>
    </w:p>
    <w:p>
      <w:pPr>
        <w:pStyle w:val="ListParagraph"/>
        <w:numPr>
          <w:ilvl w:val="1"/>
          <w:numId w:val="47"/>
        </w:numPr>
        <w:tabs>
          <w:tab w:pos="840" w:val="left" w:leader="none"/>
        </w:tabs>
        <w:spacing w:line="240" w:lineRule="auto" w:before="34" w:after="0"/>
        <w:ind w:left="839" w:right="0" w:hanging="360"/>
        <w:jc w:val="left"/>
        <w:rPr>
          <w:sz w:val="20"/>
        </w:rPr>
      </w:pPr>
      <w:r>
        <w:rPr>
          <w:sz w:val="20"/>
        </w:rPr>
        <w:t>WAS</w:t>
      </w:r>
    </w:p>
    <w:p>
      <w:pPr>
        <w:pStyle w:val="ListParagraph"/>
        <w:numPr>
          <w:ilvl w:val="1"/>
          <w:numId w:val="47"/>
        </w:numPr>
        <w:tabs>
          <w:tab w:pos="840" w:val="left" w:leader="none"/>
        </w:tabs>
        <w:spacing w:line="240" w:lineRule="auto" w:before="34" w:after="0"/>
        <w:ind w:left="839" w:right="0" w:hanging="360"/>
        <w:jc w:val="left"/>
        <w:rPr>
          <w:sz w:val="20"/>
        </w:rPr>
      </w:pPr>
      <w:r>
        <w:rPr>
          <w:sz w:val="20"/>
        </w:rPr>
        <w:t>WRITING</w:t>
      </w:r>
    </w:p>
    <w:p>
      <w:pPr>
        <w:pStyle w:val="ListParagraph"/>
        <w:numPr>
          <w:ilvl w:val="1"/>
          <w:numId w:val="47"/>
        </w:numPr>
        <w:tabs>
          <w:tab w:pos="840" w:val="left" w:leader="none"/>
        </w:tabs>
        <w:spacing w:line="240" w:lineRule="auto" w:before="34" w:after="0"/>
        <w:ind w:left="839" w:right="0" w:hanging="360"/>
        <w:jc w:val="left"/>
        <w:rPr>
          <w:sz w:val="20"/>
        </w:rPr>
      </w:pPr>
      <w:r>
        <w:rPr>
          <w:spacing w:val="-5"/>
          <w:sz w:val="20"/>
        </w:rPr>
        <w:t>IN</w:t>
      </w:r>
    </w:p>
    <w:p>
      <w:pPr>
        <w:pStyle w:val="ListParagraph"/>
        <w:numPr>
          <w:ilvl w:val="1"/>
          <w:numId w:val="47"/>
        </w:numPr>
        <w:tabs>
          <w:tab w:pos="840" w:val="left" w:leader="none"/>
        </w:tabs>
        <w:spacing w:line="240" w:lineRule="auto" w:before="34" w:after="0"/>
        <w:ind w:left="839" w:right="0" w:hanging="360"/>
        <w:jc w:val="left"/>
        <w:rPr>
          <w:sz w:val="20"/>
        </w:rPr>
      </w:pPr>
      <w:r>
        <w:rPr>
          <w:sz w:val="20"/>
        </w:rPr>
        <w:t>DIED</w:t>
      </w:r>
    </w:p>
    <w:p>
      <w:pPr>
        <w:pStyle w:val="ListParagraph"/>
        <w:numPr>
          <w:ilvl w:val="1"/>
          <w:numId w:val="47"/>
        </w:numPr>
        <w:tabs>
          <w:tab w:pos="840" w:val="left" w:leader="none"/>
        </w:tabs>
        <w:spacing w:line="240" w:lineRule="auto" w:before="34" w:after="0"/>
        <w:ind w:left="839" w:right="0" w:hanging="360"/>
        <w:jc w:val="left"/>
        <w:rPr>
          <w:sz w:val="20"/>
        </w:rPr>
      </w:pPr>
      <w:r>
        <w:rPr>
          <w:sz w:val="20"/>
        </w:rPr>
        <w:t>HAS</w:t>
      </w:r>
    </w:p>
    <w:p>
      <w:pPr>
        <w:pStyle w:val="ListParagraph"/>
        <w:numPr>
          <w:ilvl w:val="1"/>
          <w:numId w:val="47"/>
        </w:numPr>
        <w:tabs>
          <w:tab w:pos="840" w:val="left" w:leader="none"/>
        </w:tabs>
        <w:spacing w:line="240" w:lineRule="auto" w:before="34" w:after="0"/>
        <w:ind w:left="839" w:right="0" w:hanging="360"/>
        <w:jc w:val="left"/>
        <w:rPr>
          <w:sz w:val="20"/>
        </w:rPr>
      </w:pPr>
      <w:r>
        <w:rPr>
          <w:spacing w:val="-2"/>
          <w:sz w:val="20"/>
        </w:rPr>
        <w:t>HIS</w:t>
      </w:r>
    </w:p>
    <w:p>
      <w:pPr>
        <w:pStyle w:val="ListParagraph"/>
        <w:numPr>
          <w:ilvl w:val="1"/>
          <w:numId w:val="47"/>
        </w:numPr>
        <w:tabs>
          <w:tab w:pos="840" w:val="left" w:leader="none"/>
        </w:tabs>
        <w:spacing w:line="240" w:lineRule="auto" w:before="34" w:after="0"/>
        <w:ind w:left="839" w:right="0" w:hanging="360"/>
        <w:jc w:val="left"/>
        <w:rPr>
          <w:sz w:val="20"/>
        </w:rPr>
      </w:pPr>
      <w:r>
        <w:rPr>
          <w:sz w:val="20"/>
        </w:rPr>
        <w:t>WORLD</w:t>
      </w:r>
    </w:p>
    <w:p>
      <w:pPr>
        <w:pStyle w:val="ListParagraph"/>
        <w:numPr>
          <w:ilvl w:val="1"/>
          <w:numId w:val="47"/>
        </w:numPr>
        <w:tabs>
          <w:tab w:pos="840" w:val="left" w:leader="none"/>
        </w:tabs>
        <w:spacing w:line="240" w:lineRule="auto" w:before="34" w:after="0"/>
        <w:ind w:left="839" w:right="0" w:hanging="360"/>
        <w:jc w:val="left"/>
        <w:rPr>
          <w:sz w:val="20"/>
        </w:rPr>
      </w:pPr>
      <w:r>
        <w:rPr>
          <w:sz w:val="20"/>
        </w:rPr>
        <w:t>OTHER</w:t>
      </w:r>
    </w:p>
    <w:p>
      <w:pPr>
        <w:pStyle w:val="ListParagraph"/>
        <w:numPr>
          <w:ilvl w:val="1"/>
          <w:numId w:val="47"/>
        </w:numPr>
        <w:tabs>
          <w:tab w:pos="840" w:val="left" w:leader="none"/>
        </w:tabs>
        <w:spacing w:line="240" w:lineRule="auto" w:before="34" w:after="0"/>
        <w:ind w:left="839" w:right="0" w:hanging="360"/>
        <w:jc w:val="left"/>
        <w:rPr>
          <w:sz w:val="20"/>
        </w:rPr>
      </w:pPr>
      <w:r>
        <w:rPr>
          <w:sz w:val="20"/>
        </w:rPr>
        <w:t>SUCH</w:t>
      </w:r>
    </w:p>
    <w:p>
      <w:pPr>
        <w:pStyle w:val="ListParagraph"/>
        <w:numPr>
          <w:ilvl w:val="1"/>
          <w:numId w:val="47"/>
        </w:numPr>
        <w:tabs>
          <w:tab w:pos="840" w:val="left" w:leader="none"/>
        </w:tabs>
        <w:spacing w:line="240" w:lineRule="auto" w:before="34" w:after="0"/>
        <w:ind w:left="839" w:right="0" w:hanging="360"/>
        <w:jc w:val="left"/>
        <w:rPr>
          <w:sz w:val="20"/>
        </w:rPr>
      </w:pPr>
      <w:r>
        <w:rPr>
          <w:sz w:val="20"/>
        </w:rPr>
        <w:t>NUMBER</w:t>
      </w:r>
    </w:p>
    <w:p>
      <w:pPr>
        <w:spacing w:after="0" w:line="240" w:lineRule="auto"/>
        <w:jc w:val="left"/>
        <w:rPr>
          <w:sz w:val="20"/>
        </w:rPr>
        <w:sectPr>
          <w:pgSz w:w="11910" w:h="16840"/>
          <w:pgMar w:header="732" w:footer="0" w:top="11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1"/>
        <w:spacing w:line="242" w:lineRule="auto"/>
        <w:ind w:left="3196"/>
      </w:pPr>
      <w:bookmarkStart w:name="_bookmark48" w:id="74"/>
      <w:bookmarkEnd w:id="74"/>
      <w:r>
        <w:rPr>
          <w:b w:val="0"/>
        </w:rPr>
      </w:r>
      <w:r>
        <w:rPr/>
        <w:t>ANEXO L. INSTRUMENTO DE EVALUACIÓN DE COMPRENSIÓN DE LECTURA EN LA LENGUA INGLESA</w:t>
      </w:r>
    </w:p>
    <w:p>
      <w:pPr>
        <w:spacing w:after="0" w:line="242" w:lineRule="auto"/>
        <w:sectPr>
          <w:pgSz w:w="11910" w:h="16840"/>
          <w:pgMar w:header="732" w:footer="0" w:top="1160" w:bottom="280" w:left="1580" w:right="1020"/>
        </w:sectPr>
      </w:pPr>
    </w:p>
    <w:p>
      <w:pPr>
        <w:pStyle w:val="BodyText"/>
        <w:rPr>
          <w:rFonts w:ascii="Times New Roman"/>
          <w:sz w:val="20"/>
        </w:rPr>
      </w:pPr>
    </w:p>
    <w:p>
      <w:pPr>
        <w:pStyle w:val="BodyText"/>
        <w:spacing w:before="1"/>
        <w:rPr>
          <w:rFonts w:ascii="Times New Roman"/>
          <w:sz w:val="14"/>
        </w:rPr>
      </w:pPr>
    </w:p>
    <w:p>
      <w:pPr>
        <w:pStyle w:val="BodyText"/>
        <w:ind w:left="108"/>
        <w:rPr>
          <w:rFonts w:ascii="Times New Roman"/>
          <w:sz w:val="20"/>
        </w:rPr>
      </w:pPr>
      <w:r>
        <w:rPr>
          <w:rFonts w:ascii="Times New Roman"/>
          <w:sz w:val="20"/>
        </w:rPr>
        <w:drawing>
          <wp:inline distT="0" distB="0" distL="0" distR="0">
            <wp:extent cx="5294376" cy="7449311"/>
            <wp:effectExtent l="0" t="0" r="0" b="0"/>
            <wp:docPr id="23" name="image22.png" descr=""/>
            <wp:cNvGraphicFramePr>
              <a:graphicFrameLocks noChangeAspect="1"/>
            </wp:cNvGraphicFramePr>
            <a:graphic>
              <a:graphicData uri="http://schemas.openxmlformats.org/drawingml/2006/picture">
                <pic:pic>
                  <pic:nvPicPr>
                    <pic:cNvPr id="24" name="image22.png"/>
                    <pic:cNvPicPr/>
                  </pic:nvPicPr>
                  <pic:blipFill>
                    <a:blip r:embed="rId37" cstate="print"/>
                    <a:stretch>
                      <a:fillRect/>
                    </a:stretch>
                  </pic:blipFill>
                  <pic:spPr>
                    <a:xfrm>
                      <a:off x="0" y="0"/>
                      <a:ext cx="5294376" cy="7449311"/>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732" w:footer="0" w:top="1160" w:bottom="280" w:left="1140" w:right="102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p>
    <w:p>
      <w:pPr>
        <w:pStyle w:val="BodyText"/>
        <w:ind w:left="796"/>
        <w:rPr>
          <w:rFonts w:ascii="Times New Roman"/>
          <w:sz w:val="20"/>
        </w:rPr>
      </w:pPr>
      <w:r>
        <w:rPr>
          <w:rFonts w:ascii="Times New Roman"/>
          <w:sz w:val="20"/>
        </w:rPr>
        <w:drawing>
          <wp:inline distT="0" distB="0" distL="0" distR="0">
            <wp:extent cx="4906131" cy="6786562"/>
            <wp:effectExtent l="0" t="0" r="0" b="0"/>
            <wp:docPr id="25" name="image23.png" descr=""/>
            <wp:cNvGraphicFramePr>
              <a:graphicFrameLocks noChangeAspect="1"/>
            </wp:cNvGraphicFramePr>
            <a:graphic>
              <a:graphicData uri="http://schemas.openxmlformats.org/drawingml/2006/picture">
                <pic:pic>
                  <pic:nvPicPr>
                    <pic:cNvPr id="26" name="image23.png"/>
                    <pic:cNvPicPr/>
                  </pic:nvPicPr>
                  <pic:blipFill>
                    <a:blip r:embed="rId38" cstate="print"/>
                    <a:stretch>
                      <a:fillRect/>
                    </a:stretch>
                  </pic:blipFill>
                  <pic:spPr>
                    <a:xfrm>
                      <a:off x="0" y="0"/>
                      <a:ext cx="4906131" cy="6786562"/>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732" w:footer="0" w:top="1160" w:bottom="280" w:left="1580" w:right="102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p>
    <w:p>
      <w:pPr>
        <w:pStyle w:val="BodyText"/>
        <w:ind w:left="1012"/>
        <w:rPr>
          <w:rFonts w:ascii="Times New Roman"/>
          <w:sz w:val="20"/>
        </w:rPr>
      </w:pPr>
      <w:r>
        <w:rPr>
          <w:rFonts w:ascii="Times New Roman"/>
          <w:sz w:val="20"/>
        </w:rPr>
        <w:drawing>
          <wp:inline distT="0" distB="0" distL="0" distR="0">
            <wp:extent cx="4642104" cy="6309359"/>
            <wp:effectExtent l="0" t="0" r="0" b="0"/>
            <wp:docPr id="27" name="image24.png" descr=""/>
            <wp:cNvGraphicFramePr>
              <a:graphicFrameLocks noChangeAspect="1"/>
            </wp:cNvGraphicFramePr>
            <a:graphic>
              <a:graphicData uri="http://schemas.openxmlformats.org/drawingml/2006/picture">
                <pic:pic>
                  <pic:nvPicPr>
                    <pic:cNvPr id="28" name="image24.png"/>
                    <pic:cNvPicPr/>
                  </pic:nvPicPr>
                  <pic:blipFill>
                    <a:blip r:embed="rId39" cstate="print"/>
                    <a:stretch>
                      <a:fillRect/>
                    </a:stretch>
                  </pic:blipFill>
                  <pic:spPr>
                    <a:xfrm>
                      <a:off x="0" y="0"/>
                      <a:ext cx="4642104" cy="6309359"/>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732" w:footer="0" w:top="1160" w:bottom="280" w:left="1580" w:right="1020"/>
        </w:sectPr>
      </w:pPr>
    </w:p>
    <w:p>
      <w:pPr>
        <w:pStyle w:val="BodyText"/>
        <w:spacing w:before="9"/>
        <w:rPr>
          <w:rFonts w:ascii="Times New Roman"/>
          <w:sz w:val="22"/>
        </w:rPr>
      </w:pPr>
    </w:p>
    <w:p>
      <w:pPr>
        <w:pStyle w:val="BodyText"/>
        <w:ind w:left="162"/>
        <w:rPr>
          <w:rFonts w:ascii="Times New Roman"/>
          <w:sz w:val="20"/>
        </w:rPr>
      </w:pPr>
      <w:r>
        <w:rPr>
          <w:rFonts w:ascii="Times New Roman"/>
          <w:sz w:val="20"/>
        </w:rPr>
        <w:drawing>
          <wp:inline distT="0" distB="0" distL="0" distR="0">
            <wp:extent cx="4483608" cy="6281928"/>
            <wp:effectExtent l="0" t="0" r="0" b="0"/>
            <wp:docPr id="29" name="image25.png" descr=""/>
            <wp:cNvGraphicFramePr>
              <a:graphicFrameLocks noChangeAspect="1"/>
            </wp:cNvGraphicFramePr>
            <a:graphic>
              <a:graphicData uri="http://schemas.openxmlformats.org/drawingml/2006/picture">
                <pic:pic>
                  <pic:nvPicPr>
                    <pic:cNvPr id="30" name="image25.png"/>
                    <pic:cNvPicPr/>
                  </pic:nvPicPr>
                  <pic:blipFill>
                    <a:blip r:embed="rId40" cstate="print"/>
                    <a:stretch>
                      <a:fillRect/>
                    </a:stretch>
                  </pic:blipFill>
                  <pic:spPr>
                    <a:xfrm>
                      <a:off x="0" y="0"/>
                      <a:ext cx="4483608" cy="6281928"/>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732" w:footer="0" w:top="1160" w:bottom="280" w:left="1580" w:right="102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p>
    <w:p>
      <w:pPr>
        <w:pStyle w:val="BodyText"/>
        <w:ind w:left="1141"/>
        <w:rPr>
          <w:rFonts w:ascii="Times New Roman"/>
          <w:sz w:val="20"/>
        </w:rPr>
      </w:pPr>
      <w:r>
        <w:rPr>
          <w:rFonts w:ascii="Times New Roman"/>
          <w:sz w:val="20"/>
        </w:rPr>
        <w:drawing>
          <wp:inline distT="0" distB="0" distL="0" distR="0">
            <wp:extent cx="4483608" cy="6245352"/>
            <wp:effectExtent l="0" t="0" r="0" b="0"/>
            <wp:docPr id="31" name="image26.png" descr=""/>
            <wp:cNvGraphicFramePr>
              <a:graphicFrameLocks noChangeAspect="1"/>
            </wp:cNvGraphicFramePr>
            <a:graphic>
              <a:graphicData uri="http://schemas.openxmlformats.org/drawingml/2006/picture">
                <pic:pic>
                  <pic:nvPicPr>
                    <pic:cNvPr id="32" name="image26.png"/>
                    <pic:cNvPicPr/>
                  </pic:nvPicPr>
                  <pic:blipFill>
                    <a:blip r:embed="rId41" cstate="print"/>
                    <a:stretch>
                      <a:fillRect/>
                    </a:stretch>
                  </pic:blipFill>
                  <pic:spPr>
                    <a:xfrm>
                      <a:off x="0" y="0"/>
                      <a:ext cx="4483608" cy="6245352"/>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732" w:footer="0" w:top="1160" w:bottom="280" w:left="1580" w:right="102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p>
    <w:p>
      <w:pPr>
        <w:pStyle w:val="BodyText"/>
        <w:ind w:left="1141"/>
        <w:rPr>
          <w:rFonts w:ascii="Times New Roman"/>
          <w:sz w:val="20"/>
        </w:rPr>
      </w:pPr>
      <w:r>
        <w:rPr>
          <w:rFonts w:ascii="Times New Roman"/>
          <w:sz w:val="20"/>
        </w:rPr>
        <w:drawing>
          <wp:inline distT="0" distB="0" distL="0" distR="0">
            <wp:extent cx="4483608" cy="6263639"/>
            <wp:effectExtent l="0" t="0" r="0" b="0"/>
            <wp:docPr id="33" name="image27.png" descr=""/>
            <wp:cNvGraphicFramePr>
              <a:graphicFrameLocks noChangeAspect="1"/>
            </wp:cNvGraphicFramePr>
            <a:graphic>
              <a:graphicData uri="http://schemas.openxmlformats.org/drawingml/2006/picture">
                <pic:pic>
                  <pic:nvPicPr>
                    <pic:cNvPr id="34" name="image27.png"/>
                    <pic:cNvPicPr/>
                  </pic:nvPicPr>
                  <pic:blipFill>
                    <a:blip r:embed="rId42" cstate="print"/>
                    <a:stretch>
                      <a:fillRect/>
                    </a:stretch>
                  </pic:blipFill>
                  <pic:spPr>
                    <a:xfrm>
                      <a:off x="0" y="0"/>
                      <a:ext cx="4483608" cy="6263639"/>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732" w:footer="0" w:top="1160" w:bottom="280" w:left="1580" w:right="102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p>
    <w:p>
      <w:pPr>
        <w:pStyle w:val="BodyText"/>
        <w:ind w:left="1055"/>
        <w:rPr>
          <w:rFonts w:ascii="Times New Roman"/>
          <w:sz w:val="20"/>
        </w:rPr>
      </w:pPr>
      <w:r>
        <w:rPr>
          <w:rFonts w:ascii="Times New Roman"/>
          <w:sz w:val="20"/>
        </w:rPr>
        <w:drawing>
          <wp:inline distT="0" distB="0" distL="0" distR="0">
            <wp:extent cx="4594145" cy="6254496"/>
            <wp:effectExtent l="0" t="0" r="0" b="0"/>
            <wp:docPr id="35" name="image28.png" descr=""/>
            <wp:cNvGraphicFramePr>
              <a:graphicFrameLocks noChangeAspect="1"/>
            </wp:cNvGraphicFramePr>
            <a:graphic>
              <a:graphicData uri="http://schemas.openxmlformats.org/drawingml/2006/picture">
                <pic:pic>
                  <pic:nvPicPr>
                    <pic:cNvPr id="36" name="image28.png"/>
                    <pic:cNvPicPr/>
                  </pic:nvPicPr>
                  <pic:blipFill>
                    <a:blip r:embed="rId43" cstate="print"/>
                    <a:stretch>
                      <a:fillRect/>
                    </a:stretch>
                  </pic:blipFill>
                  <pic:spPr>
                    <a:xfrm>
                      <a:off x="0" y="0"/>
                      <a:ext cx="4594145" cy="6254496"/>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732" w:footer="0" w:top="1160" w:bottom="280" w:left="1580" w:right="1020"/>
        </w:sectPr>
      </w:pPr>
    </w:p>
    <w:p>
      <w:pPr>
        <w:pStyle w:val="BodyText"/>
        <w:spacing w:before="2"/>
        <w:rPr>
          <w:rFonts w:ascii="Times New Roman"/>
          <w:sz w:val="15"/>
        </w:rPr>
      </w:pPr>
    </w:p>
    <w:p>
      <w:pPr>
        <w:pStyle w:val="Heading2"/>
        <w:spacing w:line="276" w:lineRule="auto" w:before="69"/>
        <w:ind w:left="119"/>
        <w:rPr>
          <w:u w:val="none"/>
        </w:rPr>
      </w:pPr>
      <w:r>
        <w:rPr>
          <w:u w:val="none"/>
        </w:rPr>
        <w:t>CLAVE DE INSTRUMENTO DE MEDICIÓN DE COMPRENSIÓN DE LECTURA EN INGLÉS.</w:t>
      </w:r>
    </w:p>
    <w:p>
      <w:pPr>
        <w:pStyle w:val="BodyText"/>
        <w:rPr>
          <w:sz w:val="24"/>
        </w:rPr>
      </w:pPr>
    </w:p>
    <w:p>
      <w:pPr>
        <w:pStyle w:val="BodyText"/>
        <w:rPr>
          <w:sz w:val="24"/>
        </w:rPr>
      </w:pPr>
    </w:p>
    <w:p>
      <w:pPr>
        <w:pStyle w:val="ListParagraph"/>
        <w:numPr>
          <w:ilvl w:val="0"/>
          <w:numId w:val="48"/>
        </w:numPr>
        <w:tabs>
          <w:tab w:pos="840" w:val="left" w:leader="none"/>
        </w:tabs>
        <w:spacing w:line="240" w:lineRule="auto" w:before="177"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A</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D</w:t>
      </w:r>
    </w:p>
    <w:p>
      <w:pPr>
        <w:pStyle w:val="ListParagraph"/>
        <w:numPr>
          <w:ilvl w:val="0"/>
          <w:numId w:val="48"/>
        </w:numPr>
        <w:tabs>
          <w:tab w:pos="840" w:val="left" w:leader="none"/>
        </w:tabs>
        <w:spacing w:line="240" w:lineRule="auto" w:before="39"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A</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D</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A</w:t>
      </w:r>
    </w:p>
    <w:p>
      <w:pPr>
        <w:pStyle w:val="ListParagraph"/>
        <w:numPr>
          <w:ilvl w:val="0"/>
          <w:numId w:val="48"/>
        </w:numPr>
        <w:tabs>
          <w:tab w:pos="840" w:val="left" w:leader="none"/>
        </w:tabs>
        <w:spacing w:line="240" w:lineRule="auto" w:before="39" w:after="0"/>
        <w:ind w:left="839" w:right="0" w:hanging="360"/>
        <w:jc w:val="left"/>
        <w:rPr>
          <w:sz w:val="20"/>
        </w:rPr>
      </w:pPr>
      <w:r>
        <w:rPr>
          <w:w w:val="100"/>
          <w:sz w:val="20"/>
        </w:rPr>
        <w:t>D</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A</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D</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A</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A</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D</w:t>
      </w:r>
    </w:p>
    <w:p>
      <w:pPr>
        <w:pStyle w:val="ListParagraph"/>
        <w:numPr>
          <w:ilvl w:val="0"/>
          <w:numId w:val="48"/>
        </w:numPr>
        <w:tabs>
          <w:tab w:pos="840" w:val="left" w:leader="none"/>
        </w:tabs>
        <w:spacing w:line="240" w:lineRule="auto" w:before="39"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A</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D</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B</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D</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D</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A</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D</w:t>
      </w:r>
    </w:p>
    <w:p>
      <w:pPr>
        <w:pStyle w:val="ListParagraph"/>
        <w:numPr>
          <w:ilvl w:val="0"/>
          <w:numId w:val="48"/>
        </w:numPr>
        <w:tabs>
          <w:tab w:pos="840" w:val="left" w:leader="none"/>
        </w:tabs>
        <w:spacing w:line="240" w:lineRule="auto" w:before="39" w:after="0"/>
        <w:ind w:left="839" w:right="0" w:hanging="360"/>
        <w:jc w:val="left"/>
        <w:rPr>
          <w:sz w:val="20"/>
        </w:rPr>
      </w:pPr>
      <w:r>
        <w:rPr>
          <w:w w:val="100"/>
          <w:sz w:val="20"/>
        </w:rPr>
        <w:t>A</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34" w:after="0"/>
        <w:ind w:left="839" w:right="0" w:hanging="360"/>
        <w:jc w:val="left"/>
        <w:rPr>
          <w:sz w:val="20"/>
        </w:rPr>
      </w:pPr>
      <w:r>
        <w:rPr>
          <w:w w:val="100"/>
          <w:sz w:val="20"/>
        </w:rPr>
        <w:t>C</w:t>
      </w:r>
    </w:p>
    <w:p>
      <w:pPr>
        <w:pStyle w:val="ListParagraph"/>
        <w:numPr>
          <w:ilvl w:val="0"/>
          <w:numId w:val="48"/>
        </w:numPr>
        <w:tabs>
          <w:tab w:pos="840" w:val="left" w:leader="none"/>
        </w:tabs>
        <w:spacing w:line="240" w:lineRule="auto" w:before="29" w:after="0"/>
        <w:ind w:left="839" w:right="0" w:hanging="360"/>
        <w:jc w:val="left"/>
        <w:rPr>
          <w:sz w:val="20"/>
        </w:rPr>
      </w:pPr>
      <w:r>
        <w:rPr>
          <w:w w:val="100"/>
          <w:sz w:val="20"/>
        </w:rPr>
        <w:t>A</w:t>
      </w:r>
    </w:p>
    <w:sectPr>
      <w:pgSz w:w="11910" w:h="16840"/>
      <w:pgMar w:header="732" w:footer="0" w:top="1160" w:bottom="280" w:left="158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Tahoma">
    <w:altName w:val="Tahoma"/>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5.600006pt;margin-top:70.175507pt;width:9.25pt;height:13.7pt;mso-position-horizontal-relative:page;mso-position-vertical-relative:page;z-index:-167944" type="#_x0000_t202" filled="false" stroked="false">
          <v:textbox inset="0,0,0,0">
            <w:txbxContent>
              <w:p>
                <w:pPr>
                  <w:pStyle w:val="BodyText"/>
                  <w:spacing w:line="258" w:lineRule="exact"/>
                  <w:ind w:left="40"/>
                </w:pPr>
                <w:r>
                  <w:rPr/>
                  <w:fldChar w:fldCharType="begin"/>
                </w:r>
                <w:r>
                  <w:rPr/>
                  <w:instrText> PAGE  \* roman </w:instrText>
                </w:r>
                <w:r>
                  <w:rPr/>
                  <w:fldChar w:fldCharType="separate"/>
                </w:r>
                <w:r>
                  <w:rPr/>
                  <w:t>ii</w:t>
                </w:r>
                <w:r>
                  <w:rPr/>
                  <w:fldChar w:fldCharType="end"/>
                </w:r>
              </w:p>
            </w:txbxContent>
          </v:textbox>
          <w10:wrap type="none"/>
        </v:shape>
      </w:pict>
    </w:r>
    <w:r>
      <w:rPr/>
      <w:pict>
        <v:shape style="position:absolute;margin-left:81.800003pt;margin-top:83.713432pt;width:86.55pt;height:9.75pt;mso-position-horizontal-relative:page;mso-position-vertical-relative:page;z-index:-167920" type="#_x0000_t202" filled="false" stroked="false">
          <v:textbox inset="0,0,0,0">
            <w:txbxContent>
              <w:p>
                <w:pPr>
                  <w:spacing w:before="4"/>
                  <w:ind w:left="20" w:right="0" w:firstLine="0"/>
                  <w:jc w:val="left"/>
                  <w:rPr>
                    <w:sz w:val="15"/>
                  </w:rPr>
                </w:pPr>
                <w:r>
                  <w:rPr>
                    <w:w w:val="105"/>
                    <w:sz w:val="15"/>
                  </w:rPr>
                  <w:t>Andrade, H.</w:t>
                </w:r>
                <w:r>
                  <w:rPr>
                    <w:spacing w:val="-33"/>
                    <w:w w:val="105"/>
                    <w:sz w:val="15"/>
                  </w:rPr>
                  <w:t> </w:t>
                </w:r>
                <w:r>
                  <w:rPr>
                    <w:w w:val="105"/>
                    <w:sz w:val="15"/>
                  </w:rPr>
                  <w:t>Influencia…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640015pt;margin-top:35.596207pt;width:24.1pt;height:14pt;mso-position-horizontal-relative:page;mso-position-vertical-relative:page;z-index:-167512"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121</w:t>
                </w:r>
                <w:r>
                  <w:rPr/>
                  <w:fldChar w:fldCharType="end"/>
                </w:r>
              </w:p>
            </w:txbxContent>
          </v:textbox>
          <w10:wrap type="none"/>
        </v:shape>
      </w:pict>
    </w:r>
    <w:r>
      <w:rPr/>
      <w:pict>
        <v:shape style="position:absolute;margin-left:83.959999pt;margin-top:49.22229pt;width:88.9pt;height:9.950pt;mso-position-horizontal-relative:page;mso-position-vertical-relative:page;z-index:-167488" type="#_x0000_t202" filled="false" stroked="false">
          <v:textbox inset="0,0,0,0">
            <w:txbxContent>
              <w:p>
                <w:pPr>
                  <w:spacing w:line="182" w:lineRule="exact" w:before="0"/>
                  <w:ind w:left="20" w:right="-6" w:firstLine="0"/>
                  <w:jc w:val="left"/>
                  <w:rPr>
                    <w:sz w:val="16"/>
                  </w:rPr>
                </w:pPr>
                <w:r>
                  <w:rPr>
                    <w:sz w:val="16"/>
                  </w:rPr>
                  <w:t>Andrade, H. Influencia…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959991pt;margin-top:70.175507pt;width:11.9pt;height:13.7pt;mso-position-horizontal-relative:page;mso-position-vertical-relative:page;z-index:-167896" type="#_x0000_t202" filled="false" stroked="false">
          <v:textbox inset="0,0,0,0">
            <w:txbxContent>
              <w:p>
                <w:pPr>
                  <w:pStyle w:val="BodyText"/>
                  <w:spacing w:line="258" w:lineRule="exact"/>
                  <w:ind w:left="40"/>
                </w:pPr>
                <w:r>
                  <w:rPr/>
                  <w:fldChar w:fldCharType="begin"/>
                </w:r>
                <w:r>
                  <w:rPr/>
                  <w:instrText> PAGE  \* roman </w:instrText>
                </w:r>
                <w:r>
                  <w:rPr/>
                  <w:fldChar w:fldCharType="separate"/>
                </w:r>
                <w:r>
                  <w:rPr/>
                  <w:t>iii</w:t>
                </w:r>
                <w:r>
                  <w:rPr/>
                  <w:fldChar w:fldCharType="end"/>
                </w:r>
              </w:p>
            </w:txbxContent>
          </v:textbox>
          <w10:wrap type="none"/>
        </v:shape>
      </w:pict>
    </w:r>
    <w:r>
      <w:rPr/>
      <w:pict>
        <v:shape style="position:absolute;margin-left:81.800003pt;margin-top:83.713432pt;width:86.55pt;height:9.75pt;mso-position-horizontal-relative:page;mso-position-vertical-relative:page;z-index:-167872" type="#_x0000_t202" filled="false" stroked="false">
          <v:textbox inset="0,0,0,0">
            <w:txbxContent>
              <w:p>
                <w:pPr>
                  <w:spacing w:before="4"/>
                  <w:ind w:left="20" w:right="0" w:firstLine="0"/>
                  <w:jc w:val="left"/>
                  <w:rPr>
                    <w:sz w:val="15"/>
                  </w:rPr>
                </w:pPr>
                <w:r>
                  <w:rPr>
                    <w:w w:val="105"/>
                    <w:sz w:val="15"/>
                  </w:rPr>
                  <w:t>Andrade, H.</w:t>
                </w:r>
                <w:r>
                  <w:rPr>
                    <w:spacing w:val="-33"/>
                    <w:w w:val="105"/>
                    <w:sz w:val="15"/>
                  </w:rPr>
                  <w:t> </w:t>
                </w:r>
                <w:r>
                  <w:rPr>
                    <w:w w:val="105"/>
                    <w:sz w:val="15"/>
                  </w:rPr>
                  <w:t>Influencia…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23999pt;margin-top:70.175507pt;width:12.25pt;height:13.7pt;mso-position-horizontal-relative:page;mso-position-vertical-relative:page;z-index:-167848" type="#_x0000_t202" filled="false" stroked="false">
          <v:textbox inset="0,0,0,0">
            <w:txbxContent>
              <w:p>
                <w:pPr>
                  <w:pStyle w:val="BodyText"/>
                  <w:spacing w:line="258" w:lineRule="exact"/>
                  <w:ind w:left="40"/>
                </w:pPr>
                <w:r>
                  <w:rPr/>
                  <w:fldChar w:fldCharType="begin"/>
                </w:r>
                <w:r>
                  <w:rPr/>
                  <w:instrText> PAGE  \* roman </w:instrText>
                </w:r>
                <w:r>
                  <w:rPr/>
                  <w:fldChar w:fldCharType="separate"/>
                </w:r>
                <w:r>
                  <w:rPr/>
                  <w:t>iv</w:t>
                </w:r>
                <w:r>
                  <w:rPr/>
                  <w:fldChar w:fldCharType="end"/>
                </w:r>
              </w:p>
            </w:txbxContent>
          </v:textbox>
          <w10:wrap type="none"/>
        </v:shape>
      </w:pict>
    </w:r>
    <w:r>
      <w:rPr/>
      <w:pict>
        <v:shape style="position:absolute;margin-left:81.800003pt;margin-top:83.713432pt;width:86.55pt;height:9.75pt;mso-position-horizontal-relative:page;mso-position-vertical-relative:page;z-index:-167824" type="#_x0000_t202" filled="false" stroked="false">
          <v:textbox inset="0,0,0,0">
            <w:txbxContent>
              <w:p>
                <w:pPr>
                  <w:spacing w:before="4"/>
                  <w:ind w:left="20" w:right="0" w:firstLine="0"/>
                  <w:jc w:val="left"/>
                  <w:rPr>
                    <w:sz w:val="15"/>
                  </w:rPr>
                </w:pPr>
                <w:r>
                  <w:rPr>
                    <w:w w:val="105"/>
                    <w:sz w:val="15"/>
                  </w:rPr>
                  <w:t>Andrade, H.</w:t>
                </w:r>
                <w:r>
                  <w:rPr>
                    <w:spacing w:val="-33"/>
                    <w:w w:val="105"/>
                    <w:sz w:val="15"/>
                  </w:rPr>
                  <w:t> </w:t>
                </w:r>
                <w:r>
                  <w:rPr>
                    <w:w w:val="105"/>
                    <w:sz w:val="15"/>
                  </w:rPr>
                  <w:t>Influencia…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80005pt;margin-top:70.175507pt;width:9.85pt;height:13.7pt;mso-position-horizontal-relative:page;mso-position-vertical-relative:page;z-index:-167800" type="#_x0000_t202" filled="false" stroked="false">
          <v:textbox inset="0,0,0,0">
            <w:txbxContent>
              <w:p>
                <w:pPr>
                  <w:pStyle w:val="BodyText"/>
                  <w:spacing w:line="258" w:lineRule="exact"/>
                  <w:ind w:left="40"/>
                </w:pPr>
                <w:r>
                  <w:rPr/>
                  <w:fldChar w:fldCharType="begin"/>
                </w:r>
                <w:r>
                  <w:rPr>
                    <w:w w:val="101"/>
                  </w:rPr>
                  <w:instrText> PAGE  \* roman </w:instrText>
                </w:r>
                <w:r>
                  <w:rPr/>
                  <w:fldChar w:fldCharType="separate"/>
                </w:r>
                <w:r>
                  <w:rPr/>
                  <w:t>v</w:t>
                </w:r>
                <w:r>
                  <w:rPr/>
                  <w:fldChar w:fldCharType="end"/>
                </w:r>
              </w:p>
            </w:txbxContent>
          </v:textbox>
          <w10:wrap type="none"/>
        </v:shape>
      </w:pict>
    </w:r>
    <w:r>
      <w:rPr/>
      <w:pict>
        <v:shape style="position:absolute;margin-left:81.800003pt;margin-top:83.713432pt;width:86.55pt;height:9.75pt;mso-position-horizontal-relative:page;mso-position-vertical-relative:page;z-index:-167776" type="#_x0000_t202" filled="false" stroked="false">
          <v:textbox inset="0,0,0,0">
            <w:txbxContent>
              <w:p>
                <w:pPr>
                  <w:spacing w:before="4"/>
                  <w:ind w:left="20" w:right="0" w:firstLine="0"/>
                  <w:jc w:val="left"/>
                  <w:rPr>
                    <w:sz w:val="15"/>
                  </w:rPr>
                </w:pPr>
                <w:r>
                  <w:rPr>
                    <w:w w:val="105"/>
                    <w:sz w:val="15"/>
                  </w:rPr>
                  <w:t>Andrade, H.</w:t>
                </w:r>
                <w:r>
                  <w:rPr>
                    <w:spacing w:val="-33"/>
                    <w:w w:val="105"/>
                    <w:sz w:val="15"/>
                  </w:rPr>
                  <w:t> </w:t>
                </w:r>
                <w:r>
                  <w:rPr>
                    <w:w w:val="105"/>
                    <w:sz w:val="15"/>
                  </w:rPr>
                  <w:t>Influencia…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79993pt;margin-top:70.175507pt;width:17.25pt;height:13.95pt;mso-position-horizontal-relative:page;mso-position-vertical-relative:page;z-index:-167752" type="#_x0000_t202" filled="false" stroked="false">
          <v:textbox inset="0,0,0,0">
            <w:txbxContent>
              <w:p>
                <w:pPr>
                  <w:pStyle w:val="BodyText"/>
                  <w:spacing w:line="263" w:lineRule="exact"/>
                  <w:ind w:left="40"/>
                </w:pPr>
                <w:r>
                  <w:rPr/>
                  <w:fldChar w:fldCharType="begin"/>
                </w:r>
                <w:r>
                  <w:rPr/>
                  <w:instrText> PAGE </w:instrText>
                </w:r>
                <w:r>
                  <w:rPr/>
                  <w:fldChar w:fldCharType="separate"/>
                </w:r>
                <w:r>
                  <w:rPr/>
                  <w:t>39</w:t>
                </w:r>
                <w:r>
                  <w:rPr/>
                  <w:fldChar w:fldCharType="end"/>
                </w:r>
              </w:p>
            </w:txbxContent>
          </v:textbox>
          <w10:wrap type="none"/>
        </v:shape>
      </w:pict>
    </w:r>
    <w:r>
      <w:rPr/>
      <w:pict>
        <v:shape style="position:absolute;margin-left:81.800003pt;margin-top:83.953796pt;width:86.75pt;height:9.75pt;mso-position-horizontal-relative:page;mso-position-vertical-relative:page;z-index:-167728" type="#_x0000_t202" filled="false" stroked="false">
          <v:textbox inset="0,0,0,0">
            <w:txbxContent>
              <w:p>
                <w:pPr>
                  <w:spacing w:before="4"/>
                  <w:ind w:left="20" w:right="0" w:firstLine="0"/>
                  <w:jc w:val="left"/>
                  <w:rPr>
                    <w:sz w:val="15"/>
                  </w:rPr>
                </w:pPr>
                <w:r>
                  <w:rPr>
                    <w:w w:val="105"/>
                    <w:sz w:val="15"/>
                  </w:rPr>
                  <w:t>Andrade, H.</w:t>
                </w:r>
                <w:r>
                  <w:rPr>
                    <w:spacing w:val="-31"/>
                    <w:w w:val="105"/>
                    <w:sz w:val="15"/>
                  </w:rPr>
                  <w:t> </w:t>
                </w:r>
                <w:r>
                  <w:rPr>
                    <w:w w:val="105"/>
                    <w:sz w:val="15"/>
                  </w:rPr>
                  <w:t>Influencia…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79993pt;margin-top:70.175507pt;width:17.25pt;height:13.95pt;mso-position-horizontal-relative:page;mso-position-vertical-relative:page;z-index:-167704" type="#_x0000_t202" filled="false" stroked="false">
          <v:textbox inset="0,0,0,0">
            <w:txbxContent>
              <w:p>
                <w:pPr>
                  <w:pStyle w:val="BodyText"/>
                  <w:spacing w:line="263" w:lineRule="exact"/>
                  <w:ind w:left="40"/>
                </w:pPr>
                <w:r>
                  <w:rPr/>
                  <w:fldChar w:fldCharType="begin"/>
                </w:r>
                <w:r>
                  <w:rPr/>
                  <w:instrText> PAGE </w:instrText>
                </w:r>
                <w:r>
                  <w:rPr/>
                  <w:fldChar w:fldCharType="separate"/>
                </w:r>
                <w:r>
                  <w:rPr/>
                  <w:t>65</w:t>
                </w:r>
                <w:r>
                  <w:rPr/>
                  <w:fldChar w:fldCharType="end"/>
                </w:r>
              </w:p>
            </w:txbxContent>
          </v:textbox>
          <w10:wrap type="none"/>
        </v:shape>
      </w:pict>
    </w:r>
    <w:r>
      <w:rPr/>
      <w:pict>
        <v:shape style="position:absolute;margin-left:81.800003pt;margin-top:83.953796pt;width:86.75pt;height:9.75pt;mso-position-horizontal-relative:page;mso-position-vertical-relative:page;z-index:-167680" type="#_x0000_t202" filled="false" stroked="false">
          <v:textbox inset="0,0,0,0">
            <w:txbxContent>
              <w:p>
                <w:pPr>
                  <w:spacing w:before="4"/>
                  <w:ind w:left="20" w:right="0" w:firstLine="0"/>
                  <w:jc w:val="left"/>
                  <w:rPr>
                    <w:sz w:val="15"/>
                  </w:rPr>
                </w:pPr>
                <w:r>
                  <w:rPr>
                    <w:w w:val="105"/>
                    <w:sz w:val="15"/>
                  </w:rPr>
                  <w:t>Andrade, H.</w:t>
                </w:r>
                <w:r>
                  <w:rPr>
                    <w:spacing w:val="-31"/>
                    <w:w w:val="105"/>
                    <w:sz w:val="15"/>
                  </w:rPr>
                  <w:t> </w:t>
                </w:r>
                <w:r>
                  <w:rPr>
                    <w:w w:val="105"/>
                    <w:sz w:val="15"/>
                  </w:rPr>
                  <w:t>Influencia…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440002pt;margin-top:70.175507pt;width:21.55pt;height:13.7pt;mso-position-horizontal-relative:page;mso-position-vertical-relative:page;z-index:-167656" type="#_x0000_t202" filled="false" stroked="false">
          <v:textbox inset="0,0,0,0">
            <w:txbxContent>
              <w:p>
                <w:pPr>
                  <w:pStyle w:val="BodyText"/>
                  <w:spacing w:line="258" w:lineRule="exact"/>
                  <w:ind w:left="20"/>
                </w:pPr>
                <w:r>
                  <w:rPr/>
                  <w:t>100</w:t>
                </w:r>
              </w:p>
            </w:txbxContent>
          </v:textbox>
          <w10:wrap type="none"/>
        </v:shape>
      </w:pict>
    </w:r>
    <w:r>
      <w:rPr/>
      <w:pict>
        <v:shape style="position:absolute;margin-left:81.800003pt;margin-top:83.713432pt;width:86.55pt;height:9.75pt;mso-position-horizontal-relative:page;mso-position-vertical-relative:page;z-index:-167632" type="#_x0000_t202" filled="false" stroked="false">
          <v:textbox inset="0,0,0,0">
            <w:txbxContent>
              <w:p>
                <w:pPr>
                  <w:spacing w:before="4"/>
                  <w:ind w:left="20" w:right="0" w:firstLine="0"/>
                  <w:jc w:val="left"/>
                  <w:rPr>
                    <w:sz w:val="15"/>
                  </w:rPr>
                </w:pPr>
                <w:r>
                  <w:rPr>
                    <w:w w:val="105"/>
                    <w:sz w:val="15"/>
                  </w:rPr>
                  <w:t>Andrade, H.</w:t>
                </w:r>
                <w:r>
                  <w:rPr>
                    <w:spacing w:val="-33"/>
                    <w:w w:val="105"/>
                    <w:sz w:val="15"/>
                  </w:rPr>
                  <w:t> </w:t>
                </w:r>
                <w:r>
                  <w:rPr>
                    <w:w w:val="105"/>
                    <w:sz w:val="15"/>
                  </w:rPr>
                  <w:t>Influencia…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440002pt;margin-top:70.175507pt;width:23.75pt;height:13.95pt;mso-position-horizontal-relative:page;mso-position-vertical-relative:page;z-index:-167608" type="#_x0000_t202" filled="false" stroked="false">
          <v:textbox inset="0,0,0,0">
            <w:txbxContent>
              <w:p>
                <w:pPr>
                  <w:pStyle w:val="BodyText"/>
                  <w:spacing w:line="263" w:lineRule="exact"/>
                  <w:ind w:left="40"/>
                </w:pPr>
                <w:r>
                  <w:rPr/>
                  <w:fldChar w:fldCharType="begin"/>
                </w:r>
                <w:r>
                  <w:rPr/>
                  <w:instrText> PAGE </w:instrText>
                </w:r>
                <w:r>
                  <w:rPr/>
                  <w:fldChar w:fldCharType="separate"/>
                </w:r>
                <w:r>
                  <w:rPr/>
                  <w:t>102</w:t>
                </w:r>
                <w:r>
                  <w:rPr/>
                  <w:fldChar w:fldCharType="end"/>
                </w:r>
              </w:p>
            </w:txbxContent>
          </v:textbox>
          <w10:wrap type="none"/>
        </v:shape>
      </w:pict>
    </w:r>
    <w:r>
      <w:rPr/>
      <w:pict>
        <v:shape style="position:absolute;margin-left:81.800003pt;margin-top:83.953796pt;width:86.75pt;height:9.75pt;mso-position-horizontal-relative:page;mso-position-vertical-relative:page;z-index:-167584" type="#_x0000_t202" filled="false" stroked="false">
          <v:textbox inset="0,0,0,0">
            <w:txbxContent>
              <w:p>
                <w:pPr>
                  <w:spacing w:before="4"/>
                  <w:ind w:left="20" w:right="0" w:firstLine="0"/>
                  <w:jc w:val="left"/>
                  <w:rPr>
                    <w:sz w:val="15"/>
                  </w:rPr>
                </w:pPr>
                <w:r>
                  <w:rPr>
                    <w:w w:val="105"/>
                    <w:sz w:val="15"/>
                  </w:rPr>
                  <w:t>Andrade, H.</w:t>
                </w:r>
                <w:r>
                  <w:rPr>
                    <w:spacing w:val="-31"/>
                    <w:w w:val="105"/>
                    <w:sz w:val="15"/>
                  </w:rPr>
                  <w:t> </w:t>
                </w:r>
                <w:r>
                  <w:rPr>
                    <w:w w:val="105"/>
                    <w:sz w:val="15"/>
                  </w:rPr>
                  <w:t>Influencia…</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8.320007pt;margin-top:35.356205pt;width:24.1pt;height:14pt;mso-position-horizontal-relative:page;mso-position-vertical-relative:page;z-index:-167560"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106</w:t>
                </w:r>
                <w:r>
                  <w:rPr/>
                  <w:fldChar w:fldCharType="end"/>
                </w:r>
              </w:p>
            </w:txbxContent>
          </v:textbox>
          <w10:wrap type="none"/>
        </v:shape>
      </w:pict>
    </w:r>
    <w:r>
      <w:rPr/>
      <w:pict>
        <v:shape style="position:absolute;margin-left:83.959999pt;margin-top:49.22229pt;width:88.9pt;height:9.950pt;mso-position-horizontal-relative:page;mso-position-vertical-relative:page;z-index:-167536" type="#_x0000_t202" filled="false" stroked="false">
          <v:textbox inset="0,0,0,0">
            <w:txbxContent>
              <w:p>
                <w:pPr>
                  <w:spacing w:line="182" w:lineRule="exact" w:before="0"/>
                  <w:ind w:left="20" w:right="-6" w:firstLine="0"/>
                  <w:jc w:val="left"/>
                  <w:rPr>
                    <w:sz w:val="16"/>
                  </w:rPr>
                </w:pPr>
                <w:r>
                  <w:rPr>
                    <w:sz w:val="16"/>
                  </w:rPr>
                  <w:t>Andrade, H. Influencia…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7">
    <w:multiLevelType w:val="hybridMultilevel"/>
    <w:lvl w:ilvl="0">
      <w:start w:val="1"/>
      <w:numFmt w:val="decimal"/>
      <w:lvlText w:val="%1."/>
      <w:lvlJc w:val="left"/>
      <w:pPr>
        <w:ind w:left="839" w:hanging="360"/>
        <w:jc w:val="left"/>
      </w:pPr>
      <w:rPr>
        <w:rFonts w:hint="default" w:ascii="Arial" w:hAnsi="Arial" w:eastAsia="Arial" w:cs="Arial"/>
        <w:spacing w:val="0"/>
        <w:w w:val="100"/>
        <w:sz w:val="20"/>
        <w:szCs w:val="20"/>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46">
    <w:multiLevelType w:val="hybridMultilevel"/>
    <w:lvl w:ilvl="0">
      <w:start w:val="6"/>
      <w:numFmt w:val="decimal"/>
      <w:lvlText w:val="(%1)"/>
      <w:lvlJc w:val="left"/>
      <w:pPr>
        <w:ind w:left="410" w:hanging="292"/>
        <w:jc w:val="left"/>
      </w:pPr>
      <w:rPr>
        <w:rFonts w:hint="default" w:ascii="Arial" w:hAnsi="Arial" w:eastAsia="Arial" w:cs="Arial"/>
        <w:spacing w:val="-4"/>
        <w:w w:val="99"/>
        <w:sz w:val="24"/>
        <w:szCs w:val="24"/>
      </w:rPr>
    </w:lvl>
    <w:lvl w:ilvl="1">
      <w:start w:val="1"/>
      <w:numFmt w:val="decimal"/>
      <w:lvlText w:val="%2."/>
      <w:lvlJc w:val="left"/>
      <w:pPr>
        <w:ind w:left="839" w:hanging="360"/>
        <w:jc w:val="left"/>
      </w:pPr>
      <w:rPr>
        <w:rFonts w:hint="default" w:ascii="Arial" w:hAnsi="Arial" w:eastAsia="Arial" w:cs="Arial"/>
        <w:spacing w:val="0"/>
        <w:w w:val="100"/>
        <w:sz w:val="20"/>
        <w:szCs w:val="20"/>
      </w:rPr>
    </w:lvl>
    <w:lvl w:ilvl="2">
      <w:start w:val="1"/>
      <w:numFmt w:val="bullet"/>
      <w:lvlText w:val="•"/>
      <w:lvlJc w:val="left"/>
      <w:pPr>
        <w:ind w:left="1780" w:hanging="360"/>
      </w:pPr>
      <w:rPr>
        <w:rFonts w:hint="default"/>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45">
    <w:multiLevelType w:val="hybridMultilevel"/>
    <w:lvl w:ilvl="0">
      <w:start w:val="1"/>
      <w:numFmt w:val="lowerLetter"/>
      <w:lvlText w:val="%1)"/>
      <w:lvlJc w:val="left"/>
      <w:pPr>
        <w:ind w:left="839" w:hanging="720"/>
        <w:jc w:val="left"/>
      </w:pPr>
      <w:rPr>
        <w:rFonts w:hint="default"/>
        <w:spacing w:val="-3"/>
        <w:w w:val="104"/>
      </w:rPr>
    </w:lvl>
    <w:lvl w:ilvl="1">
      <w:start w:val="1"/>
      <w:numFmt w:val="bullet"/>
      <w:lvlText w:val="•"/>
      <w:lvlJc w:val="left"/>
      <w:pPr>
        <w:ind w:left="1686" w:hanging="720"/>
      </w:pPr>
      <w:rPr>
        <w:rFonts w:hint="default"/>
      </w:rPr>
    </w:lvl>
    <w:lvl w:ilvl="2">
      <w:start w:val="1"/>
      <w:numFmt w:val="bullet"/>
      <w:lvlText w:val="•"/>
      <w:lvlJc w:val="left"/>
      <w:pPr>
        <w:ind w:left="2532" w:hanging="720"/>
      </w:pPr>
      <w:rPr>
        <w:rFonts w:hint="default"/>
      </w:rPr>
    </w:lvl>
    <w:lvl w:ilvl="3">
      <w:start w:val="1"/>
      <w:numFmt w:val="bullet"/>
      <w:lvlText w:val="•"/>
      <w:lvlJc w:val="left"/>
      <w:pPr>
        <w:ind w:left="3379" w:hanging="720"/>
      </w:pPr>
      <w:rPr>
        <w:rFonts w:hint="default"/>
      </w:rPr>
    </w:lvl>
    <w:lvl w:ilvl="4">
      <w:start w:val="1"/>
      <w:numFmt w:val="bullet"/>
      <w:lvlText w:val="•"/>
      <w:lvlJc w:val="left"/>
      <w:pPr>
        <w:ind w:left="4225" w:hanging="720"/>
      </w:pPr>
      <w:rPr>
        <w:rFonts w:hint="default"/>
      </w:rPr>
    </w:lvl>
    <w:lvl w:ilvl="5">
      <w:start w:val="1"/>
      <w:numFmt w:val="bullet"/>
      <w:lvlText w:val="•"/>
      <w:lvlJc w:val="left"/>
      <w:pPr>
        <w:ind w:left="5072" w:hanging="720"/>
      </w:pPr>
      <w:rPr>
        <w:rFonts w:hint="default"/>
      </w:rPr>
    </w:lvl>
    <w:lvl w:ilvl="6">
      <w:start w:val="1"/>
      <w:numFmt w:val="bullet"/>
      <w:lvlText w:val="•"/>
      <w:lvlJc w:val="left"/>
      <w:pPr>
        <w:ind w:left="5918" w:hanging="720"/>
      </w:pPr>
      <w:rPr>
        <w:rFonts w:hint="default"/>
      </w:rPr>
    </w:lvl>
    <w:lvl w:ilvl="7">
      <w:start w:val="1"/>
      <w:numFmt w:val="bullet"/>
      <w:lvlText w:val="•"/>
      <w:lvlJc w:val="left"/>
      <w:pPr>
        <w:ind w:left="6764" w:hanging="720"/>
      </w:pPr>
      <w:rPr>
        <w:rFonts w:hint="default"/>
      </w:rPr>
    </w:lvl>
    <w:lvl w:ilvl="8">
      <w:start w:val="1"/>
      <w:numFmt w:val="bullet"/>
      <w:lvlText w:val="•"/>
      <w:lvlJc w:val="left"/>
      <w:pPr>
        <w:ind w:left="7611" w:hanging="720"/>
      </w:pPr>
      <w:rPr>
        <w:rFonts w:hint="default"/>
      </w:rPr>
    </w:lvl>
  </w:abstractNum>
  <w:abstractNum w:abstractNumId="44">
    <w:multiLevelType w:val="hybridMultilevel"/>
    <w:lvl w:ilvl="0">
      <w:start w:val="1"/>
      <w:numFmt w:val="lowerLetter"/>
      <w:lvlText w:val="%1)"/>
      <w:lvlJc w:val="left"/>
      <w:pPr>
        <w:ind w:left="839" w:hanging="720"/>
        <w:jc w:val="left"/>
      </w:pPr>
      <w:rPr>
        <w:rFonts w:hint="default" w:ascii="Arial" w:hAnsi="Arial" w:eastAsia="Arial" w:cs="Arial"/>
        <w:spacing w:val="-3"/>
        <w:w w:val="104"/>
        <w:sz w:val="16"/>
        <w:szCs w:val="16"/>
      </w:rPr>
    </w:lvl>
    <w:lvl w:ilvl="1">
      <w:start w:val="1"/>
      <w:numFmt w:val="bullet"/>
      <w:lvlText w:val="•"/>
      <w:lvlJc w:val="left"/>
      <w:pPr>
        <w:ind w:left="1686" w:hanging="720"/>
      </w:pPr>
      <w:rPr>
        <w:rFonts w:hint="default"/>
      </w:rPr>
    </w:lvl>
    <w:lvl w:ilvl="2">
      <w:start w:val="1"/>
      <w:numFmt w:val="bullet"/>
      <w:lvlText w:val="•"/>
      <w:lvlJc w:val="left"/>
      <w:pPr>
        <w:ind w:left="2532" w:hanging="720"/>
      </w:pPr>
      <w:rPr>
        <w:rFonts w:hint="default"/>
      </w:rPr>
    </w:lvl>
    <w:lvl w:ilvl="3">
      <w:start w:val="1"/>
      <w:numFmt w:val="bullet"/>
      <w:lvlText w:val="•"/>
      <w:lvlJc w:val="left"/>
      <w:pPr>
        <w:ind w:left="3379" w:hanging="720"/>
      </w:pPr>
      <w:rPr>
        <w:rFonts w:hint="default"/>
      </w:rPr>
    </w:lvl>
    <w:lvl w:ilvl="4">
      <w:start w:val="1"/>
      <w:numFmt w:val="bullet"/>
      <w:lvlText w:val="•"/>
      <w:lvlJc w:val="left"/>
      <w:pPr>
        <w:ind w:left="4225" w:hanging="720"/>
      </w:pPr>
      <w:rPr>
        <w:rFonts w:hint="default"/>
      </w:rPr>
    </w:lvl>
    <w:lvl w:ilvl="5">
      <w:start w:val="1"/>
      <w:numFmt w:val="bullet"/>
      <w:lvlText w:val="•"/>
      <w:lvlJc w:val="left"/>
      <w:pPr>
        <w:ind w:left="5072" w:hanging="720"/>
      </w:pPr>
      <w:rPr>
        <w:rFonts w:hint="default"/>
      </w:rPr>
    </w:lvl>
    <w:lvl w:ilvl="6">
      <w:start w:val="1"/>
      <w:numFmt w:val="bullet"/>
      <w:lvlText w:val="•"/>
      <w:lvlJc w:val="left"/>
      <w:pPr>
        <w:ind w:left="5918" w:hanging="720"/>
      </w:pPr>
      <w:rPr>
        <w:rFonts w:hint="default"/>
      </w:rPr>
    </w:lvl>
    <w:lvl w:ilvl="7">
      <w:start w:val="1"/>
      <w:numFmt w:val="bullet"/>
      <w:lvlText w:val="•"/>
      <w:lvlJc w:val="left"/>
      <w:pPr>
        <w:ind w:left="6764" w:hanging="720"/>
      </w:pPr>
      <w:rPr>
        <w:rFonts w:hint="default"/>
      </w:rPr>
    </w:lvl>
    <w:lvl w:ilvl="8">
      <w:start w:val="1"/>
      <w:numFmt w:val="bullet"/>
      <w:lvlText w:val="•"/>
      <w:lvlJc w:val="left"/>
      <w:pPr>
        <w:ind w:left="7611" w:hanging="720"/>
      </w:pPr>
      <w:rPr>
        <w:rFonts w:hint="default"/>
      </w:rPr>
    </w:lvl>
  </w:abstractNum>
  <w:abstractNum w:abstractNumId="43">
    <w:multiLevelType w:val="hybridMultilevel"/>
    <w:lvl w:ilvl="0">
      <w:start w:val="1"/>
      <w:numFmt w:val="lowerLetter"/>
      <w:lvlText w:val="%1)"/>
      <w:lvlJc w:val="left"/>
      <w:pPr>
        <w:ind w:left="839" w:hanging="720"/>
        <w:jc w:val="left"/>
      </w:pPr>
      <w:rPr>
        <w:rFonts w:hint="default"/>
        <w:spacing w:val="-3"/>
        <w:w w:val="98"/>
      </w:rPr>
    </w:lvl>
    <w:lvl w:ilvl="1">
      <w:start w:val="1"/>
      <w:numFmt w:val="bullet"/>
      <w:lvlText w:val="•"/>
      <w:lvlJc w:val="left"/>
      <w:pPr>
        <w:ind w:left="1686" w:hanging="720"/>
      </w:pPr>
      <w:rPr>
        <w:rFonts w:hint="default"/>
      </w:rPr>
    </w:lvl>
    <w:lvl w:ilvl="2">
      <w:start w:val="1"/>
      <w:numFmt w:val="bullet"/>
      <w:lvlText w:val="•"/>
      <w:lvlJc w:val="left"/>
      <w:pPr>
        <w:ind w:left="2532" w:hanging="720"/>
      </w:pPr>
      <w:rPr>
        <w:rFonts w:hint="default"/>
      </w:rPr>
    </w:lvl>
    <w:lvl w:ilvl="3">
      <w:start w:val="1"/>
      <w:numFmt w:val="bullet"/>
      <w:lvlText w:val="•"/>
      <w:lvlJc w:val="left"/>
      <w:pPr>
        <w:ind w:left="3379" w:hanging="720"/>
      </w:pPr>
      <w:rPr>
        <w:rFonts w:hint="default"/>
      </w:rPr>
    </w:lvl>
    <w:lvl w:ilvl="4">
      <w:start w:val="1"/>
      <w:numFmt w:val="bullet"/>
      <w:lvlText w:val="•"/>
      <w:lvlJc w:val="left"/>
      <w:pPr>
        <w:ind w:left="4225" w:hanging="720"/>
      </w:pPr>
      <w:rPr>
        <w:rFonts w:hint="default"/>
      </w:rPr>
    </w:lvl>
    <w:lvl w:ilvl="5">
      <w:start w:val="1"/>
      <w:numFmt w:val="bullet"/>
      <w:lvlText w:val="•"/>
      <w:lvlJc w:val="left"/>
      <w:pPr>
        <w:ind w:left="5072" w:hanging="720"/>
      </w:pPr>
      <w:rPr>
        <w:rFonts w:hint="default"/>
      </w:rPr>
    </w:lvl>
    <w:lvl w:ilvl="6">
      <w:start w:val="1"/>
      <w:numFmt w:val="bullet"/>
      <w:lvlText w:val="•"/>
      <w:lvlJc w:val="left"/>
      <w:pPr>
        <w:ind w:left="5918" w:hanging="720"/>
      </w:pPr>
      <w:rPr>
        <w:rFonts w:hint="default"/>
      </w:rPr>
    </w:lvl>
    <w:lvl w:ilvl="7">
      <w:start w:val="1"/>
      <w:numFmt w:val="bullet"/>
      <w:lvlText w:val="•"/>
      <w:lvlJc w:val="left"/>
      <w:pPr>
        <w:ind w:left="6764" w:hanging="720"/>
      </w:pPr>
      <w:rPr>
        <w:rFonts w:hint="default"/>
      </w:rPr>
    </w:lvl>
    <w:lvl w:ilvl="8">
      <w:start w:val="1"/>
      <w:numFmt w:val="bullet"/>
      <w:lvlText w:val="•"/>
      <w:lvlJc w:val="left"/>
      <w:pPr>
        <w:ind w:left="7611" w:hanging="720"/>
      </w:pPr>
      <w:rPr>
        <w:rFonts w:hint="default"/>
      </w:rPr>
    </w:lvl>
  </w:abstractNum>
  <w:abstractNum w:abstractNumId="42">
    <w:multiLevelType w:val="hybridMultilevel"/>
    <w:lvl w:ilvl="0">
      <w:start w:val="1"/>
      <w:numFmt w:val="lowerLetter"/>
      <w:lvlText w:val="%1)"/>
      <w:lvlJc w:val="left"/>
      <w:pPr>
        <w:ind w:left="839" w:hanging="720"/>
        <w:jc w:val="left"/>
      </w:pPr>
      <w:rPr>
        <w:rFonts w:hint="default"/>
        <w:spacing w:val="-3"/>
        <w:w w:val="98"/>
      </w:rPr>
    </w:lvl>
    <w:lvl w:ilvl="1">
      <w:start w:val="1"/>
      <w:numFmt w:val="bullet"/>
      <w:lvlText w:val="•"/>
      <w:lvlJc w:val="left"/>
      <w:pPr>
        <w:ind w:left="1686" w:hanging="720"/>
      </w:pPr>
      <w:rPr>
        <w:rFonts w:hint="default"/>
      </w:rPr>
    </w:lvl>
    <w:lvl w:ilvl="2">
      <w:start w:val="1"/>
      <w:numFmt w:val="bullet"/>
      <w:lvlText w:val="•"/>
      <w:lvlJc w:val="left"/>
      <w:pPr>
        <w:ind w:left="2532" w:hanging="720"/>
      </w:pPr>
      <w:rPr>
        <w:rFonts w:hint="default"/>
      </w:rPr>
    </w:lvl>
    <w:lvl w:ilvl="3">
      <w:start w:val="1"/>
      <w:numFmt w:val="bullet"/>
      <w:lvlText w:val="•"/>
      <w:lvlJc w:val="left"/>
      <w:pPr>
        <w:ind w:left="3379" w:hanging="720"/>
      </w:pPr>
      <w:rPr>
        <w:rFonts w:hint="default"/>
      </w:rPr>
    </w:lvl>
    <w:lvl w:ilvl="4">
      <w:start w:val="1"/>
      <w:numFmt w:val="bullet"/>
      <w:lvlText w:val="•"/>
      <w:lvlJc w:val="left"/>
      <w:pPr>
        <w:ind w:left="4225" w:hanging="720"/>
      </w:pPr>
      <w:rPr>
        <w:rFonts w:hint="default"/>
      </w:rPr>
    </w:lvl>
    <w:lvl w:ilvl="5">
      <w:start w:val="1"/>
      <w:numFmt w:val="bullet"/>
      <w:lvlText w:val="•"/>
      <w:lvlJc w:val="left"/>
      <w:pPr>
        <w:ind w:left="5072" w:hanging="720"/>
      </w:pPr>
      <w:rPr>
        <w:rFonts w:hint="default"/>
      </w:rPr>
    </w:lvl>
    <w:lvl w:ilvl="6">
      <w:start w:val="1"/>
      <w:numFmt w:val="bullet"/>
      <w:lvlText w:val="•"/>
      <w:lvlJc w:val="left"/>
      <w:pPr>
        <w:ind w:left="5918" w:hanging="720"/>
      </w:pPr>
      <w:rPr>
        <w:rFonts w:hint="default"/>
      </w:rPr>
    </w:lvl>
    <w:lvl w:ilvl="7">
      <w:start w:val="1"/>
      <w:numFmt w:val="bullet"/>
      <w:lvlText w:val="•"/>
      <w:lvlJc w:val="left"/>
      <w:pPr>
        <w:ind w:left="6764" w:hanging="720"/>
      </w:pPr>
      <w:rPr>
        <w:rFonts w:hint="default"/>
      </w:rPr>
    </w:lvl>
    <w:lvl w:ilvl="8">
      <w:start w:val="1"/>
      <w:numFmt w:val="bullet"/>
      <w:lvlText w:val="•"/>
      <w:lvlJc w:val="left"/>
      <w:pPr>
        <w:ind w:left="7611" w:hanging="720"/>
      </w:pPr>
      <w:rPr>
        <w:rFonts w:hint="default"/>
      </w:rPr>
    </w:lvl>
  </w:abstractNum>
  <w:abstractNum w:abstractNumId="41">
    <w:multiLevelType w:val="hybridMultilevel"/>
    <w:lvl w:ilvl="0">
      <w:start w:val="1"/>
      <w:numFmt w:val="lowerLetter"/>
      <w:lvlText w:val="%1)"/>
      <w:lvlJc w:val="left"/>
      <w:pPr>
        <w:ind w:left="839" w:hanging="720"/>
        <w:jc w:val="left"/>
      </w:pPr>
      <w:rPr>
        <w:rFonts w:hint="default"/>
        <w:spacing w:val="-3"/>
        <w:w w:val="98"/>
      </w:rPr>
    </w:lvl>
    <w:lvl w:ilvl="1">
      <w:start w:val="1"/>
      <w:numFmt w:val="bullet"/>
      <w:lvlText w:val="•"/>
      <w:lvlJc w:val="left"/>
      <w:pPr>
        <w:ind w:left="1686" w:hanging="720"/>
      </w:pPr>
      <w:rPr>
        <w:rFonts w:hint="default"/>
      </w:rPr>
    </w:lvl>
    <w:lvl w:ilvl="2">
      <w:start w:val="1"/>
      <w:numFmt w:val="bullet"/>
      <w:lvlText w:val="•"/>
      <w:lvlJc w:val="left"/>
      <w:pPr>
        <w:ind w:left="2532" w:hanging="720"/>
      </w:pPr>
      <w:rPr>
        <w:rFonts w:hint="default"/>
      </w:rPr>
    </w:lvl>
    <w:lvl w:ilvl="3">
      <w:start w:val="1"/>
      <w:numFmt w:val="bullet"/>
      <w:lvlText w:val="•"/>
      <w:lvlJc w:val="left"/>
      <w:pPr>
        <w:ind w:left="3379" w:hanging="720"/>
      </w:pPr>
      <w:rPr>
        <w:rFonts w:hint="default"/>
      </w:rPr>
    </w:lvl>
    <w:lvl w:ilvl="4">
      <w:start w:val="1"/>
      <w:numFmt w:val="bullet"/>
      <w:lvlText w:val="•"/>
      <w:lvlJc w:val="left"/>
      <w:pPr>
        <w:ind w:left="4225" w:hanging="720"/>
      </w:pPr>
      <w:rPr>
        <w:rFonts w:hint="default"/>
      </w:rPr>
    </w:lvl>
    <w:lvl w:ilvl="5">
      <w:start w:val="1"/>
      <w:numFmt w:val="bullet"/>
      <w:lvlText w:val="•"/>
      <w:lvlJc w:val="left"/>
      <w:pPr>
        <w:ind w:left="5072" w:hanging="720"/>
      </w:pPr>
      <w:rPr>
        <w:rFonts w:hint="default"/>
      </w:rPr>
    </w:lvl>
    <w:lvl w:ilvl="6">
      <w:start w:val="1"/>
      <w:numFmt w:val="bullet"/>
      <w:lvlText w:val="•"/>
      <w:lvlJc w:val="left"/>
      <w:pPr>
        <w:ind w:left="5918" w:hanging="720"/>
      </w:pPr>
      <w:rPr>
        <w:rFonts w:hint="default"/>
      </w:rPr>
    </w:lvl>
    <w:lvl w:ilvl="7">
      <w:start w:val="1"/>
      <w:numFmt w:val="bullet"/>
      <w:lvlText w:val="•"/>
      <w:lvlJc w:val="left"/>
      <w:pPr>
        <w:ind w:left="6764" w:hanging="720"/>
      </w:pPr>
      <w:rPr>
        <w:rFonts w:hint="default"/>
      </w:rPr>
    </w:lvl>
    <w:lvl w:ilvl="8">
      <w:start w:val="1"/>
      <w:numFmt w:val="bullet"/>
      <w:lvlText w:val="•"/>
      <w:lvlJc w:val="left"/>
      <w:pPr>
        <w:ind w:left="7611" w:hanging="720"/>
      </w:pPr>
      <w:rPr>
        <w:rFonts w:hint="default"/>
      </w:rPr>
    </w:lvl>
  </w:abstractNum>
  <w:abstractNum w:abstractNumId="40">
    <w:multiLevelType w:val="hybridMultilevel"/>
    <w:lvl w:ilvl="0">
      <w:start w:val="1"/>
      <w:numFmt w:val="lowerLetter"/>
      <w:lvlText w:val="%1)"/>
      <w:lvlJc w:val="left"/>
      <w:pPr>
        <w:ind w:left="839" w:hanging="720"/>
        <w:jc w:val="left"/>
      </w:pPr>
      <w:rPr>
        <w:rFonts w:hint="default"/>
        <w:spacing w:val="-3"/>
        <w:w w:val="98"/>
      </w:rPr>
    </w:lvl>
    <w:lvl w:ilvl="1">
      <w:start w:val="1"/>
      <w:numFmt w:val="bullet"/>
      <w:lvlText w:val="•"/>
      <w:lvlJc w:val="left"/>
      <w:pPr>
        <w:ind w:left="1686" w:hanging="720"/>
      </w:pPr>
      <w:rPr>
        <w:rFonts w:hint="default"/>
      </w:rPr>
    </w:lvl>
    <w:lvl w:ilvl="2">
      <w:start w:val="1"/>
      <w:numFmt w:val="bullet"/>
      <w:lvlText w:val="•"/>
      <w:lvlJc w:val="left"/>
      <w:pPr>
        <w:ind w:left="2532" w:hanging="720"/>
      </w:pPr>
      <w:rPr>
        <w:rFonts w:hint="default"/>
      </w:rPr>
    </w:lvl>
    <w:lvl w:ilvl="3">
      <w:start w:val="1"/>
      <w:numFmt w:val="bullet"/>
      <w:lvlText w:val="•"/>
      <w:lvlJc w:val="left"/>
      <w:pPr>
        <w:ind w:left="3379" w:hanging="720"/>
      </w:pPr>
      <w:rPr>
        <w:rFonts w:hint="default"/>
      </w:rPr>
    </w:lvl>
    <w:lvl w:ilvl="4">
      <w:start w:val="1"/>
      <w:numFmt w:val="bullet"/>
      <w:lvlText w:val="•"/>
      <w:lvlJc w:val="left"/>
      <w:pPr>
        <w:ind w:left="4225" w:hanging="720"/>
      </w:pPr>
      <w:rPr>
        <w:rFonts w:hint="default"/>
      </w:rPr>
    </w:lvl>
    <w:lvl w:ilvl="5">
      <w:start w:val="1"/>
      <w:numFmt w:val="bullet"/>
      <w:lvlText w:val="•"/>
      <w:lvlJc w:val="left"/>
      <w:pPr>
        <w:ind w:left="5072" w:hanging="720"/>
      </w:pPr>
      <w:rPr>
        <w:rFonts w:hint="default"/>
      </w:rPr>
    </w:lvl>
    <w:lvl w:ilvl="6">
      <w:start w:val="1"/>
      <w:numFmt w:val="bullet"/>
      <w:lvlText w:val="•"/>
      <w:lvlJc w:val="left"/>
      <w:pPr>
        <w:ind w:left="5918" w:hanging="720"/>
      </w:pPr>
      <w:rPr>
        <w:rFonts w:hint="default"/>
      </w:rPr>
    </w:lvl>
    <w:lvl w:ilvl="7">
      <w:start w:val="1"/>
      <w:numFmt w:val="bullet"/>
      <w:lvlText w:val="•"/>
      <w:lvlJc w:val="left"/>
      <w:pPr>
        <w:ind w:left="6764" w:hanging="720"/>
      </w:pPr>
      <w:rPr>
        <w:rFonts w:hint="default"/>
      </w:rPr>
    </w:lvl>
    <w:lvl w:ilvl="8">
      <w:start w:val="1"/>
      <w:numFmt w:val="bullet"/>
      <w:lvlText w:val="•"/>
      <w:lvlJc w:val="left"/>
      <w:pPr>
        <w:ind w:left="7611" w:hanging="720"/>
      </w:pPr>
      <w:rPr>
        <w:rFonts w:hint="default"/>
      </w:rPr>
    </w:lvl>
  </w:abstractNum>
  <w:abstractNum w:abstractNumId="39">
    <w:multiLevelType w:val="hybridMultilevel"/>
    <w:lvl w:ilvl="0">
      <w:start w:val="1"/>
      <w:numFmt w:val="lowerLetter"/>
      <w:lvlText w:val="%1)"/>
      <w:lvlJc w:val="left"/>
      <w:pPr>
        <w:ind w:left="824" w:hanging="706"/>
        <w:jc w:val="left"/>
      </w:pPr>
      <w:rPr>
        <w:rFonts w:hint="default"/>
        <w:spacing w:val="-3"/>
        <w:w w:val="104"/>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38">
    <w:multiLevelType w:val="hybridMultilevel"/>
    <w:lvl w:ilvl="0">
      <w:start w:val="1"/>
      <w:numFmt w:val="lowerLetter"/>
      <w:lvlText w:val="%1)"/>
      <w:lvlJc w:val="left"/>
      <w:pPr>
        <w:ind w:left="824" w:hanging="706"/>
        <w:jc w:val="left"/>
      </w:pPr>
      <w:rPr>
        <w:rFonts w:hint="default" w:ascii="Arial" w:hAnsi="Arial" w:eastAsia="Arial" w:cs="Arial"/>
        <w:spacing w:val="-3"/>
        <w:w w:val="104"/>
        <w:sz w:val="16"/>
        <w:szCs w:val="16"/>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37">
    <w:multiLevelType w:val="hybridMultilevel"/>
    <w:lvl w:ilvl="0">
      <w:start w:val="1"/>
      <w:numFmt w:val="lowerLetter"/>
      <w:lvlText w:val="%1)"/>
      <w:lvlJc w:val="left"/>
      <w:pPr>
        <w:ind w:left="824" w:hanging="706"/>
        <w:jc w:val="left"/>
      </w:pPr>
      <w:rPr>
        <w:rFonts w:hint="default"/>
        <w:spacing w:val="-3"/>
        <w:w w:val="98"/>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36">
    <w:multiLevelType w:val="hybridMultilevel"/>
    <w:lvl w:ilvl="0">
      <w:start w:val="1"/>
      <w:numFmt w:val="lowerLetter"/>
      <w:lvlText w:val="%1)"/>
      <w:lvlJc w:val="left"/>
      <w:pPr>
        <w:ind w:left="824" w:hanging="706"/>
        <w:jc w:val="left"/>
      </w:pPr>
      <w:rPr>
        <w:rFonts w:hint="default"/>
        <w:spacing w:val="-3"/>
        <w:w w:val="98"/>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35">
    <w:multiLevelType w:val="hybridMultilevel"/>
    <w:lvl w:ilvl="0">
      <w:start w:val="1"/>
      <w:numFmt w:val="lowerLetter"/>
      <w:lvlText w:val="%1)"/>
      <w:lvlJc w:val="left"/>
      <w:pPr>
        <w:ind w:left="824" w:hanging="706"/>
        <w:jc w:val="left"/>
      </w:pPr>
      <w:rPr>
        <w:rFonts w:hint="default"/>
        <w:spacing w:val="-3"/>
        <w:w w:val="98"/>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34">
    <w:multiLevelType w:val="hybridMultilevel"/>
    <w:lvl w:ilvl="0">
      <w:start w:val="1"/>
      <w:numFmt w:val="lowerLetter"/>
      <w:lvlText w:val="%1)"/>
      <w:lvlJc w:val="left"/>
      <w:pPr>
        <w:ind w:left="824" w:hanging="706"/>
        <w:jc w:val="left"/>
      </w:pPr>
      <w:rPr>
        <w:rFonts w:hint="default"/>
        <w:spacing w:val="-3"/>
        <w:w w:val="98"/>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33">
    <w:multiLevelType w:val="hybridMultilevel"/>
    <w:lvl w:ilvl="0">
      <w:start w:val="1"/>
      <w:numFmt w:val="lowerLetter"/>
      <w:lvlText w:val="%1)"/>
      <w:lvlJc w:val="left"/>
      <w:pPr>
        <w:ind w:left="824" w:hanging="706"/>
        <w:jc w:val="left"/>
      </w:pPr>
      <w:rPr>
        <w:rFonts w:hint="default"/>
        <w:spacing w:val="-3"/>
        <w:w w:val="104"/>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32">
    <w:multiLevelType w:val="hybridMultilevel"/>
    <w:lvl w:ilvl="0">
      <w:start w:val="1"/>
      <w:numFmt w:val="lowerLetter"/>
      <w:lvlText w:val="%1)"/>
      <w:lvlJc w:val="left"/>
      <w:pPr>
        <w:ind w:left="824" w:hanging="706"/>
        <w:jc w:val="left"/>
      </w:pPr>
      <w:rPr>
        <w:rFonts w:hint="default" w:ascii="Arial" w:hAnsi="Arial" w:eastAsia="Arial" w:cs="Arial"/>
        <w:spacing w:val="-3"/>
        <w:w w:val="104"/>
        <w:sz w:val="16"/>
        <w:szCs w:val="16"/>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31">
    <w:multiLevelType w:val="hybridMultilevel"/>
    <w:lvl w:ilvl="0">
      <w:start w:val="1"/>
      <w:numFmt w:val="lowerLetter"/>
      <w:lvlText w:val="%1)"/>
      <w:lvlJc w:val="left"/>
      <w:pPr>
        <w:ind w:left="824" w:hanging="706"/>
        <w:jc w:val="left"/>
      </w:pPr>
      <w:rPr>
        <w:rFonts w:hint="default"/>
        <w:spacing w:val="-3"/>
        <w:w w:val="98"/>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30">
    <w:multiLevelType w:val="hybridMultilevel"/>
    <w:lvl w:ilvl="0">
      <w:start w:val="1"/>
      <w:numFmt w:val="lowerLetter"/>
      <w:lvlText w:val="%1)"/>
      <w:lvlJc w:val="left"/>
      <w:pPr>
        <w:ind w:left="824" w:hanging="706"/>
        <w:jc w:val="left"/>
      </w:pPr>
      <w:rPr>
        <w:rFonts w:hint="default"/>
        <w:spacing w:val="-3"/>
        <w:w w:val="98"/>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29">
    <w:multiLevelType w:val="hybridMultilevel"/>
    <w:lvl w:ilvl="0">
      <w:start w:val="1"/>
      <w:numFmt w:val="lowerLetter"/>
      <w:lvlText w:val="%1)"/>
      <w:lvlJc w:val="left"/>
      <w:pPr>
        <w:ind w:left="824" w:hanging="706"/>
        <w:jc w:val="left"/>
      </w:pPr>
      <w:rPr>
        <w:rFonts w:hint="default"/>
        <w:spacing w:val="-3"/>
        <w:w w:val="98"/>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28">
    <w:multiLevelType w:val="hybridMultilevel"/>
    <w:lvl w:ilvl="0">
      <w:start w:val="1"/>
      <w:numFmt w:val="lowerLetter"/>
      <w:lvlText w:val="%1)"/>
      <w:lvlJc w:val="left"/>
      <w:pPr>
        <w:ind w:left="824" w:hanging="706"/>
        <w:jc w:val="left"/>
      </w:pPr>
      <w:rPr>
        <w:rFonts w:hint="default"/>
        <w:spacing w:val="-3"/>
        <w:w w:val="98"/>
      </w:rPr>
    </w:lvl>
    <w:lvl w:ilvl="1">
      <w:start w:val="1"/>
      <w:numFmt w:val="bullet"/>
      <w:lvlText w:val="•"/>
      <w:lvlJc w:val="left"/>
      <w:pPr>
        <w:ind w:left="1668" w:hanging="706"/>
      </w:pPr>
      <w:rPr>
        <w:rFonts w:hint="default"/>
      </w:rPr>
    </w:lvl>
    <w:lvl w:ilvl="2">
      <w:start w:val="1"/>
      <w:numFmt w:val="bullet"/>
      <w:lvlText w:val="•"/>
      <w:lvlJc w:val="left"/>
      <w:pPr>
        <w:ind w:left="2516" w:hanging="706"/>
      </w:pPr>
      <w:rPr>
        <w:rFonts w:hint="default"/>
      </w:rPr>
    </w:lvl>
    <w:lvl w:ilvl="3">
      <w:start w:val="1"/>
      <w:numFmt w:val="bullet"/>
      <w:lvlText w:val="•"/>
      <w:lvlJc w:val="left"/>
      <w:pPr>
        <w:ind w:left="3365" w:hanging="706"/>
      </w:pPr>
      <w:rPr>
        <w:rFonts w:hint="default"/>
      </w:rPr>
    </w:lvl>
    <w:lvl w:ilvl="4">
      <w:start w:val="1"/>
      <w:numFmt w:val="bullet"/>
      <w:lvlText w:val="•"/>
      <w:lvlJc w:val="left"/>
      <w:pPr>
        <w:ind w:left="4213" w:hanging="706"/>
      </w:pPr>
      <w:rPr>
        <w:rFonts w:hint="default"/>
      </w:rPr>
    </w:lvl>
    <w:lvl w:ilvl="5">
      <w:start w:val="1"/>
      <w:numFmt w:val="bullet"/>
      <w:lvlText w:val="•"/>
      <w:lvlJc w:val="left"/>
      <w:pPr>
        <w:ind w:left="5062" w:hanging="706"/>
      </w:pPr>
      <w:rPr>
        <w:rFonts w:hint="default"/>
      </w:rPr>
    </w:lvl>
    <w:lvl w:ilvl="6">
      <w:start w:val="1"/>
      <w:numFmt w:val="bullet"/>
      <w:lvlText w:val="•"/>
      <w:lvlJc w:val="left"/>
      <w:pPr>
        <w:ind w:left="5910" w:hanging="706"/>
      </w:pPr>
      <w:rPr>
        <w:rFonts w:hint="default"/>
      </w:rPr>
    </w:lvl>
    <w:lvl w:ilvl="7">
      <w:start w:val="1"/>
      <w:numFmt w:val="bullet"/>
      <w:lvlText w:val="•"/>
      <w:lvlJc w:val="left"/>
      <w:pPr>
        <w:ind w:left="6758" w:hanging="706"/>
      </w:pPr>
      <w:rPr>
        <w:rFonts w:hint="default"/>
      </w:rPr>
    </w:lvl>
    <w:lvl w:ilvl="8">
      <w:start w:val="1"/>
      <w:numFmt w:val="bullet"/>
      <w:lvlText w:val="•"/>
      <w:lvlJc w:val="left"/>
      <w:pPr>
        <w:ind w:left="7607" w:hanging="706"/>
      </w:pPr>
      <w:rPr>
        <w:rFonts w:hint="default"/>
      </w:rPr>
    </w:lvl>
  </w:abstractNum>
  <w:abstractNum w:abstractNumId="27">
    <w:multiLevelType w:val="hybridMultilevel"/>
    <w:lvl w:ilvl="0">
      <w:start w:val="1"/>
      <w:numFmt w:val="lowerLetter"/>
      <w:lvlText w:val="%1)"/>
      <w:lvlJc w:val="left"/>
      <w:pPr>
        <w:ind w:left="479" w:hanging="360"/>
        <w:jc w:val="left"/>
      </w:pPr>
      <w:rPr>
        <w:rFonts w:hint="default"/>
        <w:spacing w:val="-3"/>
        <w:w w:val="104"/>
      </w:rPr>
    </w:lvl>
    <w:lvl w:ilvl="1">
      <w:start w:val="1"/>
      <w:numFmt w:val="bullet"/>
      <w:lvlText w:val="•"/>
      <w:lvlJc w:val="left"/>
      <w:pPr>
        <w:ind w:left="1378" w:hanging="360"/>
      </w:pPr>
      <w:rPr>
        <w:rFonts w:hint="default"/>
      </w:rPr>
    </w:lvl>
    <w:lvl w:ilvl="2">
      <w:start w:val="1"/>
      <w:numFmt w:val="bullet"/>
      <w:lvlText w:val="•"/>
      <w:lvlJc w:val="left"/>
      <w:pPr>
        <w:ind w:left="2276" w:hanging="360"/>
      </w:pPr>
      <w:rPr>
        <w:rFonts w:hint="default"/>
      </w:rPr>
    </w:lvl>
    <w:lvl w:ilvl="3">
      <w:start w:val="1"/>
      <w:numFmt w:val="bullet"/>
      <w:lvlText w:val="•"/>
      <w:lvlJc w:val="left"/>
      <w:pPr>
        <w:ind w:left="3175" w:hanging="360"/>
      </w:pPr>
      <w:rPr>
        <w:rFonts w:hint="default"/>
      </w:rPr>
    </w:lvl>
    <w:lvl w:ilvl="4">
      <w:start w:val="1"/>
      <w:numFmt w:val="bullet"/>
      <w:lvlText w:val="•"/>
      <w:lvlJc w:val="left"/>
      <w:pPr>
        <w:ind w:left="4073" w:hanging="360"/>
      </w:pPr>
      <w:rPr>
        <w:rFonts w:hint="default"/>
      </w:rPr>
    </w:lvl>
    <w:lvl w:ilvl="5">
      <w:start w:val="1"/>
      <w:numFmt w:val="bullet"/>
      <w:lvlText w:val="•"/>
      <w:lvlJc w:val="left"/>
      <w:pPr>
        <w:ind w:left="4972" w:hanging="360"/>
      </w:pPr>
      <w:rPr>
        <w:rFonts w:hint="default"/>
      </w:rPr>
    </w:lvl>
    <w:lvl w:ilvl="6">
      <w:start w:val="1"/>
      <w:numFmt w:val="bullet"/>
      <w:lvlText w:val="•"/>
      <w:lvlJc w:val="left"/>
      <w:pPr>
        <w:ind w:left="5870" w:hanging="360"/>
      </w:pPr>
      <w:rPr>
        <w:rFonts w:hint="default"/>
      </w:rPr>
    </w:lvl>
    <w:lvl w:ilvl="7">
      <w:start w:val="1"/>
      <w:numFmt w:val="bullet"/>
      <w:lvlText w:val="•"/>
      <w:lvlJc w:val="left"/>
      <w:pPr>
        <w:ind w:left="6768" w:hanging="360"/>
      </w:pPr>
      <w:rPr>
        <w:rFonts w:hint="default"/>
      </w:rPr>
    </w:lvl>
    <w:lvl w:ilvl="8">
      <w:start w:val="1"/>
      <w:numFmt w:val="bullet"/>
      <w:lvlText w:val="•"/>
      <w:lvlJc w:val="left"/>
      <w:pPr>
        <w:ind w:left="7667" w:hanging="360"/>
      </w:pPr>
      <w:rPr>
        <w:rFonts w:hint="default"/>
      </w:rPr>
    </w:lvl>
  </w:abstractNum>
  <w:abstractNum w:abstractNumId="26">
    <w:multiLevelType w:val="hybridMultilevel"/>
    <w:lvl w:ilvl="0">
      <w:start w:val="1"/>
      <w:numFmt w:val="lowerLetter"/>
      <w:lvlText w:val="%1)"/>
      <w:lvlJc w:val="left"/>
      <w:pPr>
        <w:ind w:left="479" w:hanging="360"/>
        <w:jc w:val="left"/>
      </w:pPr>
      <w:rPr>
        <w:rFonts w:hint="default" w:ascii="Arial" w:hAnsi="Arial" w:eastAsia="Arial" w:cs="Arial"/>
        <w:spacing w:val="-3"/>
        <w:w w:val="104"/>
        <w:sz w:val="16"/>
        <w:szCs w:val="16"/>
      </w:rPr>
    </w:lvl>
    <w:lvl w:ilvl="1">
      <w:start w:val="1"/>
      <w:numFmt w:val="bullet"/>
      <w:lvlText w:val="•"/>
      <w:lvlJc w:val="left"/>
      <w:pPr>
        <w:ind w:left="1378" w:hanging="360"/>
      </w:pPr>
      <w:rPr>
        <w:rFonts w:hint="default"/>
      </w:rPr>
    </w:lvl>
    <w:lvl w:ilvl="2">
      <w:start w:val="1"/>
      <w:numFmt w:val="bullet"/>
      <w:lvlText w:val="•"/>
      <w:lvlJc w:val="left"/>
      <w:pPr>
        <w:ind w:left="2276" w:hanging="360"/>
      </w:pPr>
      <w:rPr>
        <w:rFonts w:hint="default"/>
      </w:rPr>
    </w:lvl>
    <w:lvl w:ilvl="3">
      <w:start w:val="1"/>
      <w:numFmt w:val="bullet"/>
      <w:lvlText w:val="•"/>
      <w:lvlJc w:val="left"/>
      <w:pPr>
        <w:ind w:left="3175" w:hanging="360"/>
      </w:pPr>
      <w:rPr>
        <w:rFonts w:hint="default"/>
      </w:rPr>
    </w:lvl>
    <w:lvl w:ilvl="4">
      <w:start w:val="1"/>
      <w:numFmt w:val="bullet"/>
      <w:lvlText w:val="•"/>
      <w:lvlJc w:val="left"/>
      <w:pPr>
        <w:ind w:left="4073" w:hanging="360"/>
      </w:pPr>
      <w:rPr>
        <w:rFonts w:hint="default"/>
      </w:rPr>
    </w:lvl>
    <w:lvl w:ilvl="5">
      <w:start w:val="1"/>
      <w:numFmt w:val="bullet"/>
      <w:lvlText w:val="•"/>
      <w:lvlJc w:val="left"/>
      <w:pPr>
        <w:ind w:left="4972" w:hanging="360"/>
      </w:pPr>
      <w:rPr>
        <w:rFonts w:hint="default"/>
      </w:rPr>
    </w:lvl>
    <w:lvl w:ilvl="6">
      <w:start w:val="1"/>
      <w:numFmt w:val="bullet"/>
      <w:lvlText w:val="•"/>
      <w:lvlJc w:val="left"/>
      <w:pPr>
        <w:ind w:left="5870" w:hanging="360"/>
      </w:pPr>
      <w:rPr>
        <w:rFonts w:hint="default"/>
      </w:rPr>
    </w:lvl>
    <w:lvl w:ilvl="7">
      <w:start w:val="1"/>
      <w:numFmt w:val="bullet"/>
      <w:lvlText w:val="•"/>
      <w:lvlJc w:val="left"/>
      <w:pPr>
        <w:ind w:left="6768" w:hanging="360"/>
      </w:pPr>
      <w:rPr>
        <w:rFonts w:hint="default"/>
      </w:rPr>
    </w:lvl>
    <w:lvl w:ilvl="8">
      <w:start w:val="1"/>
      <w:numFmt w:val="bullet"/>
      <w:lvlText w:val="•"/>
      <w:lvlJc w:val="left"/>
      <w:pPr>
        <w:ind w:left="7667" w:hanging="360"/>
      </w:pPr>
      <w:rPr>
        <w:rFonts w:hint="default"/>
      </w:rPr>
    </w:lvl>
  </w:abstractNum>
  <w:abstractNum w:abstractNumId="25">
    <w:multiLevelType w:val="hybridMultilevel"/>
    <w:lvl w:ilvl="0">
      <w:start w:val="1"/>
      <w:numFmt w:val="lowerLetter"/>
      <w:lvlText w:val="%1)"/>
      <w:lvlJc w:val="left"/>
      <w:pPr>
        <w:ind w:left="479" w:hanging="360"/>
        <w:jc w:val="left"/>
      </w:pPr>
      <w:rPr>
        <w:rFonts w:hint="default"/>
        <w:spacing w:val="-3"/>
        <w:w w:val="98"/>
      </w:rPr>
    </w:lvl>
    <w:lvl w:ilvl="1">
      <w:start w:val="1"/>
      <w:numFmt w:val="bullet"/>
      <w:lvlText w:val="•"/>
      <w:lvlJc w:val="left"/>
      <w:pPr>
        <w:ind w:left="1378" w:hanging="360"/>
      </w:pPr>
      <w:rPr>
        <w:rFonts w:hint="default"/>
      </w:rPr>
    </w:lvl>
    <w:lvl w:ilvl="2">
      <w:start w:val="1"/>
      <w:numFmt w:val="bullet"/>
      <w:lvlText w:val="•"/>
      <w:lvlJc w:val="left"/>
      <w:pPr>
        <w:ind w:left="2276" w:hanging="360"/>
      </w:pPr>
      <w:rPr>
        <w:rFonts w:hint="default"/>
      </w:rPr>
    </w:lvl>
    <w:lvl w:ilvl="3">
      <w:start w:val="1"/>
      <w:numFmt w:val="bullet"/>
      <w:lvlText w:val="•"/>
      <w:lvlJc w:val="left"/>
      <w:pPr>
        <w:ind w:left="3175" w:hanging="360"/>
      </w:pPr>
      <w:rPr>
        <w:rFonts w:hint="default"/>
      </w:rPr>
    </w:lvl>
    <w:lvl w:ilvl="4">
      <w:start w:val="1"/>
      <w:numFmt w:val="bullet"/>
      <w:lvlText w:val="•"/>
      <w:lvlJc w:val="left"/>
      <w:pPr>
        <w:ind w:left="4073" w:hanging="360"/>
      </w:pPr>
      <w:rPr>
        <w:rFonts w:hint="default"/>
      </w:rPr>
    </w:lvl>
    <w:lvl w:ilvl="5">
      <w:start w:val="1"/>
      <w:numFmt w:val="bullet"/>
      <w:lvlText w:val="•"/>
      <w:lvlJc w:val="left"/>
      <w:pPr>
        <w:ind w:left="4972" w:hanging="360"/>
      </w:pPr>
      <w:rPr>
        <w:rFonts w:hint="default"/>
      </w:rPr>
    </w:lvl>
    <w:lvl w:ilvl="6">
      <w:start w:val="1"/>
      <w:numFmt w:val="bullet"/>
      <w:lvlText w:val="•"/>
      <w:lvlJc w:val="left"/>
      <w:pPr>
        <w:ind w:left="5870" w:hanging="360"/>
      </w:pPr>
      <w:rPr>
        <w:rFonts w:hint="default"/>
      </w:rPr>
    </w:lvl>
    <w:lvl w:ilvl="7">
      <w:start w:val="1"/>
      <w:numFmt w:val="bullet"/>
      <w:lvlText w:val="•"/>
      <w:lvlJc w:val="left"/>
      <w:pPr>
        <w:ind w:left="6768" w:hanging="360"/>
      </w:pPr>
      <w:rPr>
        <w:rFonts w:hint="default"/>
      </w:rPr>
    </w:lvl>
    <w:lvl w:ilvl="8">
      <w:start w:val="1"/>
      <w:numFmt w:val="bullet"/>
      <w:lvlText w:val="•"/>
      <w:lvlJc w:val="left"/>
      <w:pPr>
        <w:ind w:left="7667" w:hanging="360"/>
      </w:pPr>
      <w:rPr>
        <w:rFonts w:hint="default"/>
      </w:rPr>
    </w:lvl>
  </w:abstractNum>
  <w:abstractNum w:abstractNumId="24">
    <w:multiLevelType w:val="hybridMultilevel"/>
    <w:lvl w:ilvl="0">
      <w:start w:val="1"/>
      <w:numFmt w:val="lowerLetter"/>
      <w:lvlText w:val="%1)"/>
      <w:lvlJc w:val="left"/>
      <w:pPr>
        <w:ind w:left="479" w:hanging="360"/>
        <w:jc w:val="left"/>
      </w:pPr>
      <w:rPr>
        <w:rFonts w:hint="default"/>
        <w:spacing w:val="-3"/>
        <w:w w:val="98"/>
      </w:rPr>
    </w:lvl>
    <w:lvl w:ilvl="1">
      <w:start w:val="1"/>
      <w:numFmt w:val="bullet"/>
      <w:lvlText w:val="•"/>
      <w:lvlJc w:val="left"/>
      <w:pPr>
        <w:ind w:left="1378" w:hanging="360"/>
      </w:pPr>
      <w:rPr>
        <w:rFonts w:hint="default"/>
      </w:rPr>
    </w:lvl>
    <w:lvl w:ilvl="2">
      <w:start w:val="1"/>
      <w:numFmt w:val="bullet"/>
      <w:lvlText w:val="•"/>
      <w:lvlJc w:val="left"/>
      <w:pPr>
        <w:ind w:left="2276" w:hanging="360"/>
      </w:pPr>
      <w:rPr>
        <w:rFonts w:hint="default"/>
      </w:rPr>
    </w:lvl>
    <w:lvl w:ilvl="3">
      <w:start w:val="1"/>
      <w:numFmt w:val="bullet"/>
      <w:lvlText w:val="•"/>
      <w:lvlJc w:val="left"/>
      <w:pPr>
        <w:ind w:left="3175" w:hanging="360"/>
      </w:pPr>
      <w:rPr>
        <w:rFonts w:hint="default"/>
      </w:rPr>
    </w:lvl>
    <w:lvl w:ilvl="4">
      <w:start w:val="1"/>
      <w:numFmt w:val="bullet"/>
      <w:lvlText w:val="•"/>
      <w:lvlJc w:val="left"/>
      <w:pPr>
        <w:ind w:left="4073" w:hanging="360"/>
      </w:pPr>
      <w:rPr>
        <w:rFonts w:hint="default"/>
      </w:rPr>
    </w:lvl>
    <w:lvl w:ilvl="5">
      <w:start w:val="1"/>
      <w:numFmt w:val="bullet"/>
      <w:lvlText w:val="•"/>
      <w:lvlJc w:val="left"/>
      <w:pPr>
        <w:ind w:left="4972" w:hanging="360"/>
      </w:pPr>
      <w:rPr>
        <w:rFonts w:hint="default"/>
      </w:rPr>
    </w:lvl>
    <w:lvl w:ilvl="6">
      <w:start w:val="1"/>
      <w:numFmt w:val="bullet"/>
      <w:lvlText w:val="•"/>
      <w:lvlJc w:val="left"/>
      <w:pPr>
        <w:ind w:left="5870" w:hanging="360"/>
      </w:pPr>
      <w:rPr>
        <w:rFonts w:hint="default"/>
      </w:rPr>
    </w:lvl>
    <w:lvl w:ilvl="7">
      <w:start w:val="1"/>
      <w:numFmt w:val="bullet"/>
      <w:lvlText w:val="•"/>
      <w:lvlJc w:val="left"/>
      <w:pPr>
        <w:ind w:left="6768" w:hanging="360"/>
      </w:pPr>
      <w:rPr>
        <w:rFonts w:hint="default"/>
      </w:rPr>
    </w:lvl>
    <w:lvl w:ilvl="8">
      <w:start w:val="1"/>
      <w:numFmt w:val="bullet"/>
      <w:lvlText w:val="•"/>
      <w:lvlJc w:val="left"/>
      <w:pPr>
        <w:ind w:left="7667" w:hanging="360"/>
      </w:pPr>
      <w:rPr>
        <w:rFonts w:hint="default"/>
      </w:rPr>
    </w:lvl>
  </w:abstractNum>
  <w:abstractNum w:abstractNumId="23">
    <w:multiLevelType w:val="hybridMultilevel"/>
    <w:lvl w:ilvl="0">
      <w:start w:val="1"/>
      <w:numFmt w:val="lowerLetter"/>
      <w:lvlText w:val="%1)"/>
      <w:lvlJc w:val="left"/>
      <w:pPr>
        <w:ind w:left="479" w:hanging="360"/>
        <w:jc w:val="left"/>
      </w:pPr>
      <w:rPr>
        <w:rFonts w:hint="default"/>
        <w:spacing w:val="-3"/>
        <w:w w:val="98"/>
      </w:rPr>
    </w:lvl>
    <w:lvl w:ilvl="1">
      <w:start w:val="1"/>
      <w:numFmt w:val="bullet"/>
      <w:lvlText w:val="•"/>
      <w:lvlJc w:val="left"/>
      <w:pPr>
        <w:ind w:left="1378" w:hanging="360"/>
      </w:pPr>
      <w:rPr>
        <w:rFonts w:hint="default"/>
      </w:rPr>
    </w:lvl>
    <w:lvl w:ilvl="2">
      <w:start w:val="1"/>
      <w:numFmt w:val="bullet"/>
      <w:lvlText w:val="•"/>
      <w:lvlJc w:val="left"/>
      <w:pPr>
        <w:ind w:left="2276" w:hanging="360"/>
      </w:pPr>
      <w:rPr>
        <w:rFonts w:hint="default"/>
      </w:rPr>
    </w:lvl>
    <w:lvl w:ilvl="3">
      <w:start w:val="1"/>
      <w:numFmt w:val="bullet"/>
      <w:lvlText w:val="•"/>
      <w:lvlJc w:val="left"/>
      <w:pPr>
        <w:ind w:left="3175" w:hanging="360"/>
      </w:pPr>
      <w:rPr>
        <w:rFonts w:hint="default"/>
      </w:rPr>
    </w:lvl>
    <w:lvl w:ilvl="4">
      <w:start w:val="1"/>
      <w:numFmt w:val="bullet"/>
      <w:lvlText w:val="•"/>
      <w:lvlJc w:val="left"/>
      <w:pPr>
        <w:ind w:left="4073" w:hanging="360"/>
      </w:pPr>
      <w:rPr>
        <w:rFonts w:hint="default"/>
      </w:rPr>
    </w:lvl>
    <w:lvl w:ilvl="5">
      <w:start w:val="1"/>
      <w:numFmt w:val="bullet"/>
      <w:lvlText w:val="•"/>
      <w:lvlJc w:val="left"/>
      <w:pPr>
        <w:ind w:left="4972" w:hanging="360"/>
      </w:pPr>
      <w:rPr>
        <w:rFonts w:hint="default"/>
      </w:rPr>
    </w:lvl>
    <w:lvl w:ilvl="6">
      <w:start w:val="1"/>
      <w:numFmt w:val="bullet"/>
      <w:lvlText w:val="•"/>
      <w:lvlJc w:val="left"/>
      <w:pPr>
        <w:ind w:left="5870" w:hanging="360"/>
      </w:pPr>
      <w:rPr>
        <w:rFonts w:hint="default"/>
      </w:rPr>
    </w:lvl>
    <w:lvl w:ilvl="7">
      <w:start w:val="1"/>
      <w:numFmt w:val="bullet"/>
      <w:lvlText w:val="•"/>
      <w:lvlJc w:val="left"/>
      <w:pPr>
        <w:ind w:left="6768" w:hanging="360"/>
      </w:pPr>
      <w:rPr>
        <w:rFonts w:hint="default"/>
      </w:rPr>
    </w:lvl>
    <w:lvl w:ilvl="8">
      <w:start w:val="1"/>
      <w:numFmt w:val="bullet"/>
      <w:lvlText w:val="•"/>
      <w:lvlJc w:val="left"/>
      <w:pPr>
        <w:ind w:left="7667" w:hanging="360"/>
      </w:pPr>
      <w:rPr>
        <w:rFonts w:hint="default"/>
      </w:rPr>
    </w:lvl>
  </w:abstractNum>
  <w:abstractNum w:abstractNumId="22">
    <w:multiLevelType w:val="hybridMultilevel"/>
    <w:lvl w:ilvl="0">
      <w:start w:val="1"/>
      <w:numFmt w:val="lowerLetter"/>
      <w:lvlText w:val="%1)"/>
      <w:lvlJc w:val="left"/>
      <w:pPr>
        <w:ind w:left="839" w:hanging="360"/>
        <w:jc w:val="left"/>
      </w:pPr>
      <w:rPr>
        <w:rFonts w:hint="default"/>
        <w:spacing w:val="-3"/>
        <w:w w:val="98"/>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21">
    <w:multiLevelType w:val="hybridMultilevel"/>
    <w:lvl w:ilvl="0">
      <w:start w:val="1"/>
      <w:numFmt w:val="decimal"/>
      <w:lvlText w:val="%1."/>
      <w:lvlJc w:val="left"/>
      <w:pPr>
        <w:ind w:left="839" w:hanging="360"/>
        <w:jc w:val="left"/>
      </w:pPr>
      <w:rPr>
        <w:rFonts w:hint="default" w:ascii="Arial" w:hAnsi="Arial" w:eastAsia="Arial" w:cs="Arial"/>
        <w:spacing w:val="0"/>
        <w:w w:val="100"/>
        <w:sz w:val="20"/>
        <w:szCs w:val="20"/>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20">
    <w:multiLevelType w:val="hybridMultilevel"/>
    <w:lvl w:ilvl="0">
      <w:start w:val="1"/>
      <w:numFmt w:val="decimal"/>
      <w:lvlText w:val="%1."/>
      <w:lvlJc w:val="left"/>
      <w:pPr>
        <w:ind w:left="839" w:hanging="360"/>
        <w:jc w:val="right"/>
      </w:pPr>
      <w:rPr>
        <w:rFonts w:hint="default" w:ascii="Times New Roman" w:hAnsi="Times New Roman" w:eastAsia="Times New Roman" w:cs="Times New Roman"/>
        <w:spacing w:val="0"/>
        <w:w w:val="100"/>
        <w:sz w:val="22"/>
        <w:szCs w:val="22"/>
      </w:rPr>
    </w:lvl>
    <w:lvl w:ilvl="1">
      <w:start w:val="1"/>
      <w:numFmt w:val="upperLetter"/>
      <w:lvlText w:val="%2."/>
      <w:lvlJc w:val="left"/>
      <w:pPr>
        <w:ind w:left="1199" w:hanging="360"/>
        <w:jc w:val="left"/>
      </w:pPr>
      <w:rPr>
        <w:rFonts w:hint="default" w:ascii="Times New Roman" w:hAnsi="Times New Roman" w:eastAsia="Times New Roman" w:cs="Times New Roman"/>
        <w:w w:val="100"/>
        <w:sz w:val="22"/>
        <w:szCs w:val="22"/>
      </w:rPr>
    </w:lvl>
    <w:lvl w:ilvl="2">
      <w:start w:val="1"/>
      <w:numFmt w:val="bullet"/>
      <w:lvlText w:val="•"/>
      <w:lvlJc w:val="left"/>
      <w:pPr>
        <w:ind w:left="1200" w:hanging="360"/>
      </w:pPr>
      <w:rPr>
        <w:rFonts w:hint="default"/>
      </w:rPr>
    </w:lvl>
    <w:lvl w:ilvl="3">
      <w:start w:val="1"/>
      <w:numFmt w:val="bullet"/>
      <w:lvlText w:val="•"/>
      <w:lvlJc w:val="left"/>
      <w:pPr>
        <w:ind w:left="1560" w:hanging="360"/>
      </w:pPr>
      <w:rPr>
        <w:rFonts w:hint="default"/>
      </w:rPr>
    </w:lvl>
    <w:lvl w:ilvl="4">
      <w:start w:val="1"/>
      <w:numFmt w:val="bullet"/>
      <w:lvlText w:val="•"/>
      <w:lvlJc w:val="left"/>
      <w:pPr>
        <w:ind w:left="1620" w:hanging="360"/>
      </w:pPr>
      <w:rPr>
        <w:rFonts w:hint="default"/>
      </w:rPr>
    </w:lvl>
    <w:lvl w:ilvl="5">
      <w:start w:val="1"/>
      <w:numFmt w:val="bullet"/>
      <w:lvlText w:val="•"/>
      <w:lvlJc w:val="left"/>
      <w:pPr>
        <w:ind w:left="1920" w:hanging="360"/>
      </w:pPr>
      <w:rPr>
        <w:rFonts w:hint="default"/>
      </w:rPr>
    </w:lvl>
    <w:lvl w:ilvl="6">
      <w:start w:val="1"/>
      <w:numFmt w:val="bullet"/>
      <w:lvlText w:val="•"/>
      <w:lvlJc w:val="left"/>
      <w:pPr>
        <w:ind w:left="1397" w:hanging="360"/>
      </w:pPr>
      <w:rPr>
        <w:rFonts w:hint="default"/>
      </w:rPr>
    </w:lvl>
    <w:lvl w:ilvl="7">
      <w:start w:val="1"/>
      <w:numFmt w:val="bullet"/>
      <w:lvlText w:val="•"/>
      <w:lvlJc w:val="left"/>
      <w:pPr>
        <w:ind w:left="874" w:hanging="360"/>
      </w:pPr>
      <w:rPr>
        <w:rFonts w:hint="default"/>
      </w:rPr>
    </w:lvl>
    <w:lvl w:ilvl="8">
      <w:start w:val="1"/>
      <w:numFmt w:val="bullet"/>
      <w:lvlText w:val="•"/>
      <w:lvlJc w:val="left"/>
      <w:pPr>
        <w:ind w:left="351" w:hanging="360"/>
      </w:pPr>
      <w:rPr>
        <w:rFonts w:hint="default"/>
      </w:rPr>
    </w:lvl>
  </w:abstractNum>
  <w:abstractNum w:abstractNumId="19">
    <w:multiLevelType w:val="hybridMultilevel"/>
    <w:lvl w:ilvl="0">
      <w:start w:val="1"/>
      <w:numFmt w:val="decimal"/>
      <w:lvlText w:val="%1."/>
      <w:lvlJc w:val="left"/>
      <w:pPr>
        <w:ind w:left="802" w:hanging="274"/>
        <w:jc w:val="left"/>
      </w:pPr>
      <w:rPr>
        <w:rFonts w:hint="default" w:ascii="Arial" w:hAnsi="Arial" w:eastAsia="Arial" w:cs="Arial"/>
        <w:spacing w:val="0"/>
        <w:w w:val="102"/>
        <w:sz w:val="21"/>
        <w:szCs w:val="21"/>
      </w:rPr>
    </w:lvl>
    <w:lvl w:ilvl="1">
      <w:start w:val="1"/>
      <w:numFmt w:val="bullet"/>
      <w:lvlText w:val="•"/>
      <w:lvlJc w:val="left"/>
      <w:pPr>
        <w:ind w:left="1602" w:hanging="274"/>
      </w:pPr>
      <w:rPr>
        <w:rFonts w:hint="default"/>
      </w:rPr>
    </w:lvl>
    <w:lvl w:ilvl="2">
      <w:start w:val="1"/>
      <w:numFmt w:val="bullet"/>
      <w:lvlText w:val="•"/>
      <w:lvlJc w:val="left"/>
      <w:pPr>
        <w:ind w:left="2404" w:hanging="274"/>
      </w:pPr>
      <w:rPr>
        <w:rFonts w:hint="default"/>
      </w:rPr>
    </w:lvl>
    <w:lvl w:ilvl="3">
      <w:start w:val="1"/>
      <w:numFmt w:val="bullet"/>
      <w:lvlText w:val="•"/>
      <w:lvlJc w:val="left"/>
      <w:pPr>
        <w:ind w:left="3207" w:hanging="274"/>
      </w:pPr>
      <w:rPr>
        <w:rFonts w:hint="default"/>
      </w:rPr>
    </w:lvl>
    <w:lvl w:ilvl="4">
      <w:start w:val="1"/>
      <w:numFmt w:val="bullet"/>
      <w:lvlText w:val="•"/>
      <w:lvlJc w:val="left"/>
      <w:pPr>
        <w:ind w:left="4009" w:hanging="274"/>
      </w:pPr>
      <w:rPr>
        <w:rFonts w:hint="default"/>
      </w:rPr>
    </w:lvl>
    <w:lvl w:ilvl="5">
      <w:start w:val="1"/>
      <w:numFmt w:val="bullet"/>
      <w:lvlText w:val="•"/>
      <w:lvlJc w:val="left"/>
      <w:pPr>
        <w:ind w:left="4812" w:hanging="274"/>
      </w:pPr>
      <w:rPr>
        <w:rFonts w:hint="default"/>
      </w:rPr>
    </w:lvl>
    <w:lvl w:ilvl="6">
      <w:start w:val="1"/>
      <w:numFmt w:val="bullet"/>
      <w:lvlText w:val="•"/>
      <w:lvlJc w:val="left"/>
      <w:pPr>
        <w:ind w:left="5614" w:hanging="274"/>
      </w:pPr>
      <w:rPr>
        <w:rFonts w:hint="default"/>
      </w:rPr>
    </w:lvl>
    <w:lvl w:ilvl="7">
      <w:start w:val="1"/>
      <w:numFmt w:val="bullet"/>
      <w:lvlText w:val="•"/>
      <w:lvlJc w:val="left"/>
      <w:pPr>
        <w:ind w:left="6416" w:hanging="274"/>
      </w:pPr>
      <w:rPr>
        <w:rFonts w:hint="default"/>
      </w:rPr>
    </w:lvl>
    <w:lvl w:ilvl="8">
      <w:start w:val="1"/>
      <w:numFmt w:val="bullet"/>
      <w:lvlText w:val="•"/>
      <w:lvlJc w:val="left"/>
      <w:pPr>
        <w:ind w:left="7219" w:hanging="274"/>
      </w:pPr>
      <w:rPr>
        <w:rFonts w:hint="default"/>
      </w:rPr>
    </w:lvl>
  </w:abstractNum>
  <w:abstractNum w:abstractNumId="18">
    <w:multiLevelType w:val="hybridMultilevel"/>
    <w:lvl w:ilvl="0">
      <w:start w:val="1"/>
      <w:numFmt w:val="decimal"/>
      <w:lvlText w:val="%1."/>
      <w:lvlJc w:val="left"/>
      <w:pPr>
        <w:ind w:left="816" w:hanging="351"/>
        <w:jc w:val="left"/>
      </w:pPr>
      <w:rPr>
        <w:rFonts w:hint="default" w:ascii="Arial" w:hAnsi="Arial" w:eastAsia="Arial" w:cs="Arial"/>
        <w:w w:val="102"/>
        <w:sz w:val="21"/>
        <w:szCs w:val="21"/>
      </w:rPr>
    </w:lvl>
    <w:lvl w:ilvl="1">
      <w:start w:val="1"/>
      <w:numFmt w:val="upperLetter"/>
      <w:lvlText w:val="%2."/>
      <w:lvlJc w:val="left"/>
      <w:pPr>
        <w:ind w:left="1868" w:hanging="351"/>
        <w:jc w:val="left"/>
      </w:pPr>
      <w:rPr>
        <w:rFonts w:hint="default" w:ascii="Arial" w:hAnsi="Arial" w:eastAsia="Arial" w:cs="Arial"/>
        <w:w w:val="102"/>
        <w:sz w:val="21"/>
        <w:szCs w:val="21"/>
      </w:rPr>
    </w:lvl>
    <w:lvl w:ilvl="2">
      <w:start w:val="1"/>
      <w:numFmt w:val="bullet"/>
      <w:lvlText w:val="•"/>
      <w:lvlJc w:val="left"/>
      <w:pPr>
        <w:ind w:left="2633" w:hanging="351"/>
      </w:pPr>
      <w:rPr>
        <w:rFonts w:hint="default"/>
      </w:rPr>
    </w:lvl>
    <w:lvl w:ilvl="3">
      <w:start w:val="1"/>
      <w:numFmt w:val="bullet"/>
      <w:lvlText w:val="•"/>
      <w:lvlJc w:val="left"/>
      <w:pPr>
        <w:ind w:left="3407" w:hanging="351"/>
      </w:pPr>
      <w:rPr>
        <w:rFonts w:hint="default"/>
      </w:rPr>
    </w:lvl>
    <w:lvl w:ilvl="4">
      <w:start w:val="1"/>
      <w:numFmt w:val="bullet"/>
      <w:lvlText w:val="•"/>
      <w:lvlJc w:val="left"/>
      <w:pPr>
        <w:ind w:left="4181" w:hanging="351"/>
      </w:pPr>
      <w:rPr>
        <w:rFonts w:hint="default"/>
      </w:rPr>
    </w:lvl>
    <w:lvl w:ilvl="5">
      <w:start w:val="1"/>
      <w:numFmt w:val="bullet"/>
      <w:lvlText w:val="•"/>
      <w:lvlJc w:val="left"/>
      <w:pPr>
        <w:ind w:left="4955" w:hanging="351"/>
      </w:pPr>
      <w:rPr>
        <w:rFonts w:hint="default"/>
      </w:rPr>
    </w:lvl>
    <w:lvl w:ilvl="6">
      <w:start w:val="1"/>
      <w:numFmt w:val="bullet"/>
      <w:lvlText w:val="•"/>
      <w:lvlJc w:val="left"/>
      <w:pPr>
        <w:ind w:left="5728" w:hanging="351"/>
      </w:pPr>
      <w:rPr>
        <w:rFonts w:hint="default"/>
      </w:rPr>
    </w:lvl>
    <w:lvl w:ilvl="7">
      <w:start w:val="1"/>
      <w:numFmt w:val="bullet"/>
      <w:lvlText w:val="•"/>
      <w:lvlJc w:val="left"/>
      <w:pPr>
        <w:ind w:left="6502" w:hanging="351"/>
      </w:pPr>
      <w:rPr>
        <w:rFonts w:hint="default"/>
      </w:rPr>
    </w:lvl>
    <w:lvl w:ilvl="8">
      <w:start w:val="1"/>
      <w:numFmt w:val="bullet"/>
      <w:lvlText w:val="•"/>
      <w:lvlJc w:val="left"/>
      <w:pPr>
        <w:ind w:left="7276" w:hanging="351"/>
      </w:pPr>
      <w:rPr>
        <w:rFonts w:hint="default"/>
      </w:rPr>
    </w:lvl>
  </w:abstractNum>
  <w:abstractNum w:abstractNumId="17">
    <w:multiLevelType w:val="hybridMultilevel"/>
    <w:lvl w:ilvl="0">
      <w:start w:val="1"/>
      <w:numFmt w:val="lowerLetter"/>
      <w:lvlText w:val="%1."/>
      <w:lvlJc w:val="left"/>
      <w:pPr>
        <w:ind w:left="356" w:hanging="192"/>
        <w:jc w:val="left"/>
      </w:pPr>
      <w:rPr>
        <w:rFonts w:hint="default" w:ascii="Arial" w:hAnsi="Arial" w:eastAsia="Arial" w:cs="Arial"/>
        <w:spacing w:val="0"/>
        <w:w w:val="104"/>
        <w:sz w:val="17"/>
        <w:szCs w:val="17"/>
      </w:rPr>
    </w:lvl>
    <w:lvl w:ilvl="1">
      <w:start w:val="1"/>
      <w:numFmt w:val="lowerLetter"/>
      <w:lvlText w:val="%2."/>
      <w:lvlJc w:val="left"/>
      <w:pPr>
        <w:ind w:left="831" w:hanging="212"/>
        <w:jc w:val="left"/>
      </w:pPr>
      <w:rPr>
        <w:rFonts w:hint="default" w:ascii="Arial" w:hAnsi="Arial" w:eastAsia="Arial" w:cs="Arial"/>
        <w:w w:val="101"/>
        <w:position w:val="3"/>
        <w:sz w:val="18"/>
        <w:szCs w:val="18"/>
      </w:rPr>
    </w:lvl>
    <w:lvl w:ilvl="2">
      <w:start w:val="1"/>
      <w:numFmt w:val="bullet"/>
      <w:lvlText w:val="•"/>
      <w:lvlJc w:val="left"/>
      <w:pPr>
        <w:ind w:left="1727" w:hanging="212"/>
      </w:pPr>
      <w:rPr>
        <w:rFonts w:hint="default"/>
      </w:rPr>
    </w:lvl>
    <w:lvl w:ilvl="3">
      <w:start w:val="1"/>
      <w:numFmt w:val="bullet"/>
      <w:lvlText w:val="•"/>
      <w:lvlJc w:val="left"/>
      <w:pPr>
        <w:ind w:left="2614" w:hanging="212"/>
      </w:pPr>
      <w:rPr>
        <w:rFonts w:hint="default"/>
      </w:rPr>
    </w:lvl>
    <w:lvl w:ilvl="4">
      <w:start w:val="1"/>
      <w:numFmt w:val="bullet"/>
      <w:lvlText w:val="•"/>
      <w:lvlJc w:val="left"/>
      <w:pPr>
        <w:ind w:left="3501" w:hanging="212"/>
      </w:pPr>
      <w:rPr>
        <w:rFonts w:hint="default"/>
      </w:rPr>
    </w:lvl>
    <w:lvl w:ilvl="5">
      <w:start w:val="1"/>
      <w:numFmt w:val="bullet"/>
      <w:lvlText w:val="•"/>
      <w:lvlJc w:val="left"/>
      <w:pPr>
        <w:ind w:left="4388" w:hanging="212"/>
      </w:pPr>
      <w:rPr>
        <w:rFonts w:hint="default"/>
      </w:rPr>
    </w:lvl>
    <w:lvl w:ilvl="6">
      <w:start w:val="1"/>
      <w:numFmt w:val="bullet"/>
      <w:lvlText w:val="•"/>
      <w:lvlJc w:val="left"/>
      <w:pPr>
        <w:ind w:left="5275" w:hanging="212"/>
      </w:pPr>
      <w:rPr>
        <w:rFonts w:hint="default"/>
      </w:rPr>
    </w:lvl>
    <w:lvl w:ilvl="7">
      <w:start w:val="1"/>
      <w:numFmt w:val="bullet"/>
      <w:lvlText w:val="•"/>
      <w:lvlJc w:val="left"/>
      <w:pPr>
        <w:ind w:left="6162" w:hanging="212"/>
      </w:pPr>
      <w:rPr>
        <w:rFonts w:hint="default"/>
      </w:rPr>
    </w:lvl>
    <w:lvl w:ilvl="8">
      <w:start w:val="1"/>
      <w:numFmt w:val="bullet"/>
      <w:lvlText w:val="•"/>
      <w:lvlJc w:val="left"/>
      <w:pPr>
        <w:ind w:left="7049" w:hanging="212"/>
      </w:pPr>
      <w:rPr>
        <w:rFonts w:hint="default"/>
      </w:rPr>
    </w:lvl>
  </w:abstractNum>
  <w:abstractNum w:abstractNumId="16">
    <w:multiLevelType w:val="hybridMultilevel"/>
    <w:lvl w:ilvl="0">
      <w:start w:val="1"/>
      <w:numFmt w:val="decimal"/>
      <w:lvlText w:val="%1"/>
      <w:lvlJc w:val="left"/>
      <w:pPr>
        <w:ind w:left="116" w:hanging="476"/>
        <w:jc w:val="left"/>
      </w:pPr>
      <w:rPr>
        <w:rFonts w:hint="default"/>
      </w:rPr>
    </w:lvl>
    <w:lvl w:ilvl="1">
      <w:start w:val="1"/>
      <w:numFmt w:val="decimal"/>
      <w:lvlText w:val="%1.%2"/>
      <w:lvlJc w:val="left"/>
      <w:pPr>
        <w:ind w:left="116" w:hanging="476"/>
        <w:jc w:val="left"/>
      </w:pPr>
      <w:rPr>
        <w:rFonts w:hint="default" w:ascii="Arial" w:hAnsi="Arial" w:eastAsia="Arial" w:cs="Arial"/>
        <w:i/>
        <w:spacing w:val="-3"/>
        <w:w w:val="101"/>
        <w:sz w:val="23"/>
        <w:szCs w:val="23"/>
      </w:rPr>
    </w:lvl>
    <w:lvl w:ilvl="2">
      <w:start w:val="1"/>
      <w:numFmt w:val="lowerLetter"/>
      <w:lvlText w:val="%3."/>
      <w:lvlJc w:val="left"/>
      <w:pPr>
        <w:ind w:left="821" w:hanging="207"/>
        <w:jc w:val="left"/>
      </w:pPr>
      <w:rPr>
        <w:rFonts w:hint="default" w:ascii="Arial" w:hAnsi="Arial" w:eastAsia="Arial" w:cs="Arial"/>
        <w:spacing w:val="-4"/>
        <w:w w:val="99"/>
        <w:position w:val="3"/>
        <w:sz w:val="18"/>
        <w:szCs w:val="18"/>
      </w:rPr>
    </w:lvl>
    <w:lvl w:ilvl="3">
      <w:start w:val="1"/>
      <w:numFmt w:val="bullet"/>
      <w:lvlText w:val="•"/>
      <w:lvlJc w:val="left"/>
      <w:pPr>
        <w:ind w:left="2598" w:hanging="207"/>
      </w:pPr>
      <w:rPr>
        <w:rFonts w:hint="default"/>
      </w:rPr>
    </w:lvl>
    <w:lvl w:ilvl="4">
      <w:start w:val="1"/>
      <w:numFmt w:val="bullet"/>
      <w:lvlText w:val="•"/>
      <w:lvlJc w:val="left"/>
      <w:pPr>
        <w:ind w:left="3488" w:hanging="207"/>
      </w:pPr>
      <w:rPr>
        <w:rFonts w:hint="default"/>
      </w:rPr>
    </w:lvl>
    <w:lvl w:ilvl="5">
      <w:start w:val="1"/>
      <w:numFmt w:val="bullet"/>
      <w:lvlText w:val="•"/>
      <w:lvlJc w:val="left"/>
      <w:pPr>
        <w:ind w:left="4377" w:hanging="207"/>
      </w:pPr>
      <w:rPr>
        <w:rFonts w:hint="default"/>
      </w:rPr>
    </w:lvl>
    <w:lvl w:ilvl="6">
      <w:start w:val="1"/>
      <w:numFmt w:val="bullet"/>
      <w:lvlText w:val="•"/>
      <w:lvlJc w:val="left"/>
      <w:pPr>
        <w:ind w:left="5266" w:hanging="207"/>
      </w:pPr>
      <w:rPr>
        <w:rFonts w:hint="default"/>
      </w:rPr>
    </w:lvl>
    <w:lvl w:ilvl="7">
      <w:start w:val="1"/>
      <w:numFmt w:val="bullet"/>
      <w:lvlText w:val="•"/>
      <w:lvlJc w:val="left"/>
      <w:pPr>
        <w:ind w:left="6156" w:hanging="207"/>
      </w:pPr>
      <w:rPr>
        <w:rFonts w:hint="default"/>
      </w:rPr>
    </w:lvl>
    <w:lvl w:ilvl="8">
      <w:start w:val="1"/>
      <w:numFmt w:val="bullet"/>
      <w:lvlText w:val="•"/>
      <w:lvlJc w:val="left"/>
      <w:pPr>
        <w:ind w:left="7045" w:hanging="207"/>
      </w:pPr>
      <w:rPr>
        <w:rFonts w:hint="default"/>
      </w:rPr>
    </w:lvl>
  </w:abstractNum>
  <w:abstractNum w:abstractNumId="15">
    <w:multiLevelType w:val="hybridMultilevel"/>
    <w:lvl w:ilvl="0">
      <w:start w:val="1"/>
      <w:numFmt w:val="decimal"/>
      <w:lvlText w:val="%1"/>
      <w:lvlJc w:val="left"/>
      <w:pPr>
        <w:ind w:left="116" w:hanging="557"/>
        <w:jc w:val="left"/>
      </w:pPr>
      <w:rPr>
        <w:rFonts w:hint="default"/>
      </w:rPr>
    </w:lvl>
    <w:lvl w:ilvl="1">
      <w:start w:val="28"/>
      <w:numFmt w:val="decimal"/>
      <w:lvlText w:val="%1.%2"/>
      <w:lvlJc w:val="left"/>
      <w:pPr>
        <w:ind w:left="116" w:hanging="557"/>
        <w:jc w:val="left"/>
      </w:pPr>
      <w:rPr>
        <w:rFonts w:hint="default" w:ascii="Arial" w:hAnsi="Arial" w:eastAsia="Arial" w:cs="Arial"/>
        <w:spacing w:val="-4"/>
        <w:w w:val="101"/>
        <w:sz w:val="23"/>
        <w:szCs w:val="23"/>
      </w:rPr>
    </w:lvl>
    <w:lvl w:ilvl="2">
      <w:start w:val="1"/>
      <w:numFmt w:val="decimal"/>
      <w:lvlText w:val="%3."/>
      <w:lvlJc w:val="left"/>
      <w:pPr>
        <w:ind w:left="816" w:hanging="351"/>
        <w:jc w:val="left"/>
      </w:pPr>
      <w:rPr>
        <w:rFonts w:hint="default" w:ascii="Arial" w:hAnsi="Arial" w:eastAsia="Arial" w:cs="Arial"/>
        <w:spacing w:val="0"/>
        <w:w w:val="101"/>
        <w:sz w:val="23"/>
        <w:szCs w:val="23"/>
      </w:rPr>
    </w:lvl>
    <w:lvl w:ilvl="3">
      <w:start w:val="1"/>
      <w:numFmt w:val="bullet"/>
      <w:lvlText w:val="•"/>
      <w:lvlJc w:val="left"/>
      <w:pPr>
        <w:ind w:left="2598" w:hanging="351"/>
      </w:pPr>
      <w:rPr>
        <w:rFonts w:hint="default"/>
      </w:rPr>
    </w:lvl>
    <w:lvl w:ilvl="4">
      <w:start w:val="1"/>
      <w:numFmt w:val="bullet"/>
      <w:lvlText w:val="•"/>
      <w:lvlJc w:val="left"/>
      <w:pPr>
        <w:ind w:left="3488" w:hanging="351"/>
      </w:pPr>
      <w:rPr>
        <w:rFonts w:hint="default"/>
      </w:rPr>
    </w:lvl>
    <w:lvl w:ilvl="5">
      <w:start w:val="1"/>
      <w:numFmt w:val="bullet"/>
      <w:lvlText w:val="•"/>
      <w:lvlJc w:val="left"/>
      <w:pPr>
        <w:ind w:left="4377" w:hanging="351"/>
      </w:pPr>
      <w:rPr>
        <w:rFonts w:hint="default"/>
      </w:rPr>
    </w:lvl>
    <w:lvl w:ilvl="6">
      <w:start w:val="1"/>
      <w:numFmt w:val="bullet"/>
      <w:lvlText w:val="•"/>
      <w:lvlJc w:val="left"/>
      <w:pPr>
        <w:ind w:left="5266" w:hanging="351"/>
      </w:pPr>
      <w:rPr>
        <w:rFonts w:hint="default"/>
      </w:rPr>
    </w:lvl>
    <w:lvl w:ilvl="7">
      <w:start w:val="1"/>
      <w:numFmt w:val="bullet"/>
      <w:lvlText w:val="•"/>
      <w:lvlJc w:val="left"/>
      <w:pPr>
        <w:ind w:left="6156" w:hanging="351"/>
      </w:pPr>
      <w:rPr>
        <w:rFonts w:hint="default"/>
      </w:rPr>
    </w:lvl>
    <w:lvl w:ilvl="8">
      <w:start w:val="1"/>
      <w:numFmt w:val="bullet"/>
      <w:lvlText w:val="•"/>
      <w:lvlJc w:val="left"/>
      <w:pPr>
        <w:ind w:left="7045" w:hanging="351"/>
      </w:pPr>
      <w:rPr>
        <w:rFonts w:hint="default"/>
      </w:rPr>
    </w:lvl>
  </w:abstractNum>
  <w:abstractNum w:abstractNumId="14">
    <w:multiLevelType w:val="hybridMultilevel"/>
    <w:lvl w:ilvl="0">
      <w:start w:val="1"/>
      <w:numFmt w:val="lowerLetter"/>
      <w:lvlText w:val="%1)"/>
      <w:lvlJc w:val="left"/>
      <w:pPr>
        <w:ind w:left="466" w:hanging="351"/>
        <w:jc w:val="left"/>
      </w:pPr>
      <w:rPr>
        <w:rFonts w:hint="default" w:ascii="Arial" w:hAnsi="Arial" w:eastAsia="Arial" w:cs="Arial"/>
        <w:spacing w:val="-5"/>
        <w:w w:val="102"/>
        <w:sz w:val="16"/>
        <w:szCs w:val="16"/>
      </w:rPr>
    </w:lvl>
    <w:lvl w:ilvl="1">
      <w:start w:val="1"/>
      <w:numFmt w:val="bullet"/>
      <w:lvlText w:val="•"/>
      <w:lvlJc w:val="left"/>
      <w:pPr>
        <w:ind w:left="1296" w:hanging="351"/>
      </w:pPr>
      <w:rPr>
        <w:rFonts w:hint="default"/>
      </w:rPr>
    </w:lvl>
    <w:lvl w:ilvl="2">
      <w:start w:val="1"/>
      <w:numFmt w:val="bullet"/>
      <w:lvlText w:val="•"/>
      <w:lvlJc w:val="left"/>
      <w:pPr>
        <w:ind w:left="2132" w:hanging="351"/>
      </w:pPr>
      <w:rPr>
        <w:rFonts w:hint="default"/>
      </w:rPr>
    </w:lvl>
    <w:lvl w:ilvl="3">
      <w:start w:val="1"/>
      <w:numFmt w:val="bullet"/>
      <w:lvlText w:val="•"/>
      <w:lvlJc w:val="left"/>
      <w:pPr>
        <w:ind w:left="2969" w:hanging="351"/>
      </w:pPr>
      <w:rPr>
        <w:rFonts w:hint="default"/>
      </w:rPr>
    </w:lvl>
    <w:lvl w:ilvl="4">
      <w:start w:val="1"/>
      <w:numFmt w:val="bullet"/>
      <w:lvlText w:val="•"/>
      <w:lvlJc w:val="left"/>
      <w:pPr>
        <w:ind w:left="3805" w:hanging="351"/>
      </w:pPr>
      <w:rPr>
        <w:rFonts w:hint="default"/>
      </w:rPr>
    </w:lvl>
    <w:lvl w:ilvl="5">
      <w:start w:val="1"/>
      <w:numFmt w:val="bullet"/>
      <w:lvlText w:val="•"/>
      <w:lvlJc w:val="left"/>
      <w:pPr>
        <w:ind w:left="4642" w:hanging="351"/>
      </w:pPr>
      <w:rPr>
        <w:rFonts w:hint="default"/>
      </w:rPr>
    </w:lvl>
    <w:lvl w:ilvl="6">
      <w:start w:val="1"/>
      <w:numFmt w:val="bullet"/>
      <w:lvlText w:val="•"/>
      <w:lvlJc w:val="left"/>
      <w:pPr>
        <w:ind w:left="5478" w:hanging="351"/>
      </w:pPr>
      <w:rPr>
        <w:rFonts w:hint="default"/>
      </w:rPr>
    </w:lvl>
    <w:lvl w:ilvl="7">
      <w:start w:val="1"/>
      <w:numFmt w:val="bullet"/>
      <w:lvlText w:val="•"/>
      <w:lvlJc w:val="left"/>
      <w:pPr>
        <w:ind w:left="6314" w:hanging="351"/>
      </w:pPr>
      <w:rPr>
        <w:rFonts w:hint="default"/>
      </w:rPr>
    </w:lvl>
    <w:lvl w:ilvl="8">
      <w:start w:val="1"/>
      <w:numFmt w:val="bullet"/>
      <w:lvlText w:val="•"/>
      <w:lvlJc w:val="left"/>
      <w:pPr>
        <w:ind w:left="7151" w:hanging="351"/>
      </w:pPr>
      <w:rPr>
        <w:rFonts w:hint="default"/>
      </w:rPr>
    </w:lvl>
  </w:abstractNum>
  <w:abstractNum w:abstractNumId="13">
    <w:multiLevelType w:val="hybridMultilevel"/>
    <w:lvl w:ilvl="0">
      <w:start w:val="2"/>
      <w:numFmt w:val="decimal"/>
      <w:lvlText w:val="%1"/>
      <w:lvlJc w:val="left"/>
      <w:pPr>
        <w:ind w:left="116" w:hanging="653"/>
        <w:jc w:val="left"/>
      </w:pPr>
      <w:rPr>
        <w:rFonts w:hint="default"/>
      </w:rPr>
    </w:lvl>
    <w:lvl w:ilvl="1">
      <w:start w:val="4"/>
      <w:numFmt w:val="decimal"/>
      <w:lvlText w:val="%1.%2"/>
      <w:lvlJc w:val="left"/>
      <w:pPr>
        <w:ind w:left="116" w:hanging="653"/>
        <w:jc w:val="left"/>
      </w:pPr>
      <w:rPr>
        <w:rFonts w:hint="default"/>
      </w:rPr>
    </w:lvl>
    <w:lvl w:ilvl="2">
      <w:start w:val="1"/>
      <w:numFmt w:val="decimal"/>
      <w:lvlText w:val="%1.%2.%3."/>
      <w:lvlJc w:val="left"/>
      <w:pPr>
        <w:ind w:left="116" w:hanging="653"/>
        <w:jc w:val="left"/>
      </w:pPr>
      <w:rPr>
        <w:rFonts w:hint="default" w:ascii="Arial" w:hAnsi="Arial" w:eastAsia="Arial" w:cs="Arial"/>
        <w:b/>
        <w:bCs/>
        <w:spacing w:val="-3"/>
        <w:w w:val="101"/>
        <w:sz w:val="23"/>
        <w:szCs w:val="23"/>
      </w:rPr>
    </w:lvl>
    <w:lvl w:ilvl="3">
      <w:start w:val="1"/>
      <w:numFmt w:val="bullet"/>
      <w:lvlText w:val="•"/>
      <w:lvlJc w:val="left"/>
      <w:pPr>
        <w:ind w:left="2731" w:hanging="653"/>
      </w:pPr>
      <w:rPr>
        <w:rFonts w:hint="default"/>
      </w:rPr>
    </w:lvl>
    <w:lvl w:ilvl="4">
      <w:start w:val="1"/>
      <w:numFmt w:val="bullet"/>
      <w:lvlText w:val="•"/>
      <w:lvlJc w:val="left"/>
      <w:pPr>
        <w:ind w:left="3601" w:hanging="653"/>
      </w:pPr>
      <w:rPr>
        <w:rFonts w:hint="default"/>
      </w:rPr>
    </w:lvl>
    <w:lvl w:ilvl="5">
      <w:start w:val="1"/>
      <w:numFmt w:val="bullet"/>
      <w:lvlText w:val="•"/>
      <w:lvlJc w:val="left"/>
      <w:pPr>
        <w:ind w:left="4472" w:hanging="653"/>
      </w:pPr>
      <w:rPr>
        <w:rFonts w:hint="default"/>
      </w:rPr>
    </w:lvl>
    <w:lvl w:ilvl="6">
      <w:start w:val="1"/>
      <w:numFmt w:val="bullet"/>
      <w:lvlText w:val="•"/>
      <w:lvlJc w:val="left"/>
      <w:pPr>
        <w:ind w:left="5342" w:hanging="653"/>
      </w:pPr>
      <w:rPr>
        <w:rFonts w:hint="default"/>
      </w:rPr>
    </w:lvl>
    <w:lvl w:ilvl="7">
      <w:start w:val="1"/>
      <w:numFmt w:val="bullet"/>
      <w:lvlText w:val="•"/>
      <w:lvlJc w:val="left"/>
      <w:pPr>
        <w:ind w:left="6212" w:hanging="653"/>
      </w:pPr>
      <w:rPr>
        <w:rFonts w:hint="default"/>
      </w:rPr>
    </w:lvl>
    <w:lvl w:ilvl="8">
      <w:start w:val="1"/>
      <w:numFmt w:val="bullet"/>
      <w:lvlText w:val="•"/>
      <w:lvlJc w:val="left"/>
      <w:pPr>
        <w:ind w:left="7083" w:hanging="653"/>
      </w:pPr>
      <w:rPr>
        <w:rFonts w:hint="default"/>
      </w:rPr>
    </w:lvl>
  </w:abstractNum>
  <w:abstractNum w:abstractNumId="12">
    <w:multiLevelType w:val="hybridMultilevel"/>
    <w:lvl w:ilvl="0">
      <w:start w:val="2"/>
      <w:numFmt w:val="decimal"/>
      <w:lvlText w:val="%1"/>
      <w:lvlJc w:val="left"/>
      <w:pPr>
        <w:ind w:left="768" w:hanging="653"/>
        <w:jc w:val="left"/>
      </w:pPr>
      <w:rPr>
        <w:rFonts w:hint="default"/>
      </w:rPr>
    </w:lvl>
    <w:lvl w:ilvl="1">
      <w:start w:val="3"/>
      <w:numFmt w:val="decimal"/>
      <w:lvlText w:val="%1.%2"/>
      <w:lvlJc w:val="left"/>
      <w:pPr>
        <w:ind w:left="768" w:hanging="653"/>
        <w:jc w:val="left"/>
      </w:pPr>
      <w:rPr>
        <w:rFonts w:hint="default"/>
      </w:rPr>
    </w:lvl>
    <w:lvl w:ilvl="2">
      <w:start w:val="1"/>
      <w:numFmt w:val="decimal"/>
      <w:lvlText w:val="%1.%2.%3."/>
      <w:lvlJc w:val="left"/>
      <w:pPr>
        <w:ind w:left="768" w:hanging="653"/>
        <w:jc w:val="left"/>
      </w:pPr>
      <w:rPr>
        <w:rFonts w:hint="default" w:ascii="Arial" w:hAnsi="Arial" w:eastAsia="Arial" w:cs="Arial"/>
        <w:b/>
        <w:bCs/>
        <w:spacing w:val="-3"/>
        <w:w w:val="101"/>
        <w:sz w:val="23"/>
        <w:szCs w:val="23"/>
      </w:rPr>
    </w:lvl>
    <w:lvl w:ilvl="3">
      <w:start w:val="1"/>
      <w:numFmt w:val="bullet"/>
      <w:lvlText w:val="•"/>
      <w:lvlJc w:val="left"/>
      <w:pPr>
        <w:ind w:left="3179" w:hanging="653"/>
      </w:pPr>
      <w:rPr>
        <w:rFonts w:hint="default"/>
      </w:rPr>
    </w:lvl>
    <w:lvl w:ilvl="4">
      <w:start w:val="1"/>
      <w:numFmt w:val="bullet"/>
      <w:lvlText w:val="•"/>
      <w:lvlJc w:val="left"/>
      <w:pPr>
        <w:ind w:left="3985" w:hanging="653"/>
      </w:pPr>
      <w:rPr>
        <w:rFonts w:hint="default"/>
      </w:rPr>
    </w:lvl>
    <w:lvl w:ilvl="5">
      <w:start w:val="1"/>
      <w:numFmt w:val="bullet"/>
      <w:lvlText w:val="•"/>
      <w:lvlJc w:val="left"/>
      <w:pPr>
        <w:ind w:left="4792" w:hanging="653"/>
      </w:pPr>
      <w:rPr>
        <w:rFonts w:hint="default"/>
      </w:rPr>
    </w:lvl>
    <w:lvl w:ilvl="6">
      <w:start w:val="1"/>
      <w:numFmt w:val="bullet"/>
      <w:lvlText w:val="•"/>
      <w:lvlJc w:val="left"/>
      <w:pPr>
        <w:ind w:left="5598" w:hanging="653"/>
      </w:pPr>
      <w:rPr>
        <w:rFonts w:hint="default"/>
      </w:rPr>
    </w:lvl>
    <w:lvl w:ilvl="7">
      <w:start w:val="1"/>
      <w:numFmt w:val="bullet"/>
      <w:lvlText w:val="•"/>
      <w:lvlJc w:val="left"/>
      <w:pPr>
        <w:ind w:left="6404" w:hanging="653"/>
      </w:pPr>
      <w:rPr>
        <w:rFonts w:hint="default"/>
      </w:rPr>
    </w:lvl>
    <w:lvl w:ilvl="8">
      <w:start w:val="1"/>
      <w:numFmt w:val="bullet"/>
      <w:lvlText w:val="•"/>
      <w:lvlJc w:val="left"/>
      <w:pPr>
        <w:ind w:left="7211" w:hanging="653"/>
      </w:pPr>
      <w:rPr>
        <w:rFonts w:hint="default"/>
      </w:rPr>
    </w:lvl>
  </w:abstractNum>
  <w:abstractNum w:abstractNumId="11">
    <w:multiLevelType w:val="hybridMultilevel"/>
    <w:lvl w:ilvl="0">
      <w:start w:val="1"/>
      <w:numFmt w:val="decimal"/>
      <w:lvlText w:val="%1."/>
      <w:lvlJc w:val="left"/>
      <w:pPr>
        <w:ind w:left="816" w:hanging="351"/>
        <w:jc w:val="left"/>
      </w:pPr>
      <w:rPr>
        <w:rFonts w:hint="default" w:ascii="Arial" w:hAnsi="Arial" w:eastAsia="Arial" w:cs="Arial"/>
        <w:w w:val="101"/>
        <w:sz w:val="23"/>
        <w:szCs w:val="23"/>
      </w:rPr>
    </w:lvl>
    <w:lvl w:ilvl="1">
      <w:start w:val="1"/>
      <w:numFmt w:val="bullet"/>
      <w:lvlText w:val="•"/>
      <w:lvlJc w:val="left"/>
      <w:pPr>
        <w:ind w:left="1620" w:hanging="351"/>
      </w:pPr>
      <w:rPr>
        <w:rFonts w:hint="default"/>
      </w:rPr>
    </w:lvl>
    <w:lvl w:ilvl="2">
      <w:start w:val="1"/>
      <w:numFmt w:val="bullet"/>
      <w:lvlText w:val="•"/>
      <w:lvlJc w:val="left"/>
      <w:pPr>
        <w:ind w:left="2420" w:hanging="351"/>
      </w:pPr>
      <w:rPr>
        <w:rFonts w:hint="default"/>
      </w:rPr>
    </w:lvl>
    <w:lvl w:ilvl="3">
      <w:start w:val="1"/>
      <w:numFmt w:val="bullet"/>
      <w:lvlText w:val="•"/>
      <w:lvlJc w:val="left"/>
      <w:pPr>
        <w:ind w:left="3221" w:hanging="351"/>
      </w:pPr>
      <w:rPr>
        <w:rFonts w:hint="default"/>
      </w:rPr>
    </w:lvl>
    <w:lvl w:ilvl="4">
      <w:start w:val="1"/>
      <w:numFmt w:val="bullet"/>
      <w:lvlText w:val="•"/>
      <w:lvlJc w:val="left"/>
      <w:pPr>
        <w:ind w:left="4021" w:hanging="351"/>
      </w:pPr>
      <w:rPr>
        <w:rFonts w:hint="default"/>
      </w:rPr>
    </w:lvl>
    <w:lvl w:ilvl="5">
      <w:start w:val="1"/>
      <w:numFmt w:val="bullet"/>
      <w:lvlText w:val="•"/>
      <w:lvlJc w:val="left"/>
      <w:pPr>
        <w:ind w:left="4822" w:hanging="351"/>
      </w:pPr>
      <w:rPr>
        <w:rFonts w:hint="default"/>
      </w:rPr>
    </w:lvl>
    <w:lvl w:ilvl="6">
      <w:start w:val="1"/>
      <w:numFmt w:val="bullet"/>
      <w:lvlText w:val="•"/>
      <w:lvlJc w:val="left"/>
      <w:pPr>
        <w:ind w:left="5622" w:hanging="351"/>
      </w:pPr>
      <w:rPr>
        <w:rFonts w:hint="default"/>
      </w:rPr>
    </w:lvl>
    <w:lvl w:ilvl="7">
      <w:start w:val="1"/>
      <w:numFmt w:val="bullet"/>
      <w:lvlText w:val="•"/>
      <w:lvlJc w:val="left"/>
      <w:pPr>
        <w:ind w:left="6422" w:hanging="351"/>
      </w:pPr>
      <w:rPr>
        <w:rFonts w:hint="default"/>
      </w:rPr>
    </w:lvl>
    <w:lvl w:ilvl="8">
      <w:start w:val="1"/>
      <w:numFmt w:val="bullet"/>
      <w:lvlText w:val="•"/>
      <w:lvlJc w:val="left"/>
      <w:pPr>
        <w:ind w:left="7223" w:hanging="351"/>
      </w:pPr>
      <w:rPr>
        <w:rFonts w:hint="default"/>
      </w:rPr>
    </w:lvl>
  </w:abstractNum>
  <w:abstractNum w:abstractNumId="10">
    <w:multiLevelType w:val="hybridMultilevel"/>
    <w:lvl w:ilvl="0">
      <w:start w:val="1"/>
      <w:numFmt w:val="decimal"/>
      <w:lvlText w:val="%1."/>
      <w:lvlJc w:val="left"/>
      <w:pPr>
        <w:ind w:left="816" w:hanging="351"/>
        <w:jc w:val="left"/>
      </w:pPr>
      <w:rPr>
        <w:rFonts w:hint="default" w:ascii="Arial" w:hAnsi="Arial" w:eastAsia="Arial" w:cs="Arial"/>
        <w:w w:val="101"/>
        <w:sz w:val="23"/>
        <w:szCs w:val="23"/>
      </w:rPr>
    </w:lvl>
    <w:lvl w:ilvl="1">
      <w:start w:val="1"/>
      <w:numFmt w:val="bullet"/>
      <w:lvlText w:val="•"/>
      <w:lvlJc w:val="left"/>
      <w:pPr>
        <w:ind w:left="1620" w:hanging="351"/>
      </w:pPr>
      <w:rPr>
        <w:rFonts w:hint="default"/>
      </w:rPr>
    </w:lvl>
    <w:lvl w:ilvl="2">
      <w:start w:val="1"/>
      <w:numFmt w:val="bullet"/>
      <w:lvlText w:val="•"/>
      <w:lvlJc w:val="left"/>
      <w:pPr>
        <w:ind w:left="2420" w:hanging="351"/>
      </w:pPr>
      <w:rPr>
        <w:rFonts w:hint="default"/>
      </w:rPr>
    </w:lvl>
    <w:lvl w:ilvl="3">
      <w:start w:val="1"/>
      <w:numFmt w:val="bullet"/>
      <w:lvlText w:val="•"/>
      <w:lvlJc w:val="left"/>
      <w:pPr>
        <w:ind w:left="3221" w:hanging="351"/>
      </w:pPr>
      <w:rPr>
        <w:rFonts w:hint="default"/>
      </w:rPr>
    </w:lvl>
    <w:lvl w:ilvl="4">
      <w:start w:val="1"/>
      <w:numFmt w:val="bullet"/>
      <w:lvlText w:val="•"/>
      <w:lvlJc w:val="left"/>
      <w:pPr>
        <w:ind w:left="4021" w:hanging="351"/>
      </w:pPr>
      <w:rPr>
        <w:rFonts w:hint="default"/>
      </w:rPr>
    </w:lvl>
    <w:lvl w:ilvl="5">
      <w:start w:val="1"/>
      <w:numFmt w:val="bullet"/>
      <w:lvlText w:val="•"/>
      <w:lvlJc w:val="left"/>
      <w:pPr>
        <w:ind w:left="4822" w:hanging="351"/>
      </w:pPr>
      <w:rPr>
        <w:rFonts w:hint="default"/>
      </w:rPr>
    </w:lvl>
    <w:lvl w:ilvl="6">
      <w:start w:val="1"/>
      <w:numFmt w:val="bullet"/>
      <w:lvlText w:val="•"/>
      <w:lvlJc w:val="left"/>
      <w:pPr>
        <w:ind w:left="5622" w:hanging="351"/>
      </w:pPr>
      <w:rPr>
        <w:rFonts w:hint="default"/>
      </w:rPr>
    </w:lvl>
    <w:lvl w:ilvl="7">
      <w:start w:val="1"/>
      <w:numFmt w:val="bullet"/>
      <w:lvlText w:val="•"/>
      <w:lvlJc w:val="left"/>
      <w:pPr>
        <w:ind w:left="6422" w:hanging="351"/>
      </w:pPr>
      <w:rPr>
        <w:rFonts w:hint="default"/>
      </w:rPr>
    </w:lvl>
    <w:lvl w:ilvl="8">
      <w:start w:val="1"/>
      <w:numFmt w:val="bullet"/>
      <w:lvlText w:val="•"/>
      <w:lvlJc w:val="left"/>
      <w:pPr>
        <w:ind w:left="7223" w:hanging="351"/>
      </w:pPr>
      <w:rPr>
        <w:rFonts w:hint="default"/>
      </w:rPr>
    </w:lvl>
  </w:abstractNum>
  <w:abstractNum w:abstractNumId="9">
    <w:multiLevelType w:val="hybridMultilevel"/>
    <w:lvl w:ilvl="0">
      <w:start w:val="2"/>
      <w:numFmt w:val="decimal"/>
      <w:lvlText w:val="%1"/>
      <w:lvlJc w:val="left"/>
      <w:pPr>
        <w:ind w:left="639" w:hanging="461"/>
        <w:jc w:val="left"/>
      </w:pPr>
      <w:rPr>
        <w:rFonts w:hint="default"/>
      </w:rPr>
    </w:lvl>
    <w:lvl w:ilvl="1">
      <w:start w:val="1"/>
      <w:numFmt w:val="decimal"/>
      <w:lvlText w:val="%1.%2."/>
      <w:lvlJc w:val="left"/>
      <w:pPr>
        <w:ind w:left="639" w:hanging="461"/>
        <w:jc w:val="right"/>
      </w:pPr>
      <w:rPr>
        <w:rFonts w:hint="default" w:ascii="Arial" w:hAnsi="Arial" w:eastAsia="Arial" w:cs="Arial"/>
        <w:b/>
        <w:bCs/>
        <w:w w:val="101"/>
        <w:sz w:val="23"/>
        <w:szCs w:val="23"/>
      </w:rPr>
    </w:lvl>
    <w:lvl w:ilvl="2">
      <w:start w:val="1"/>
      <w:numFmt w:val="decimal"/>
      <w:lvlText w:val="%1.%2.%3."/>
      <w:lvlJc w:val="left"/>
      <w:pPr>
        <w:ind w:left="768" w:hanging="653"/>
        <w:jc w:val="left"/>
      </w:pPr>
      <w:rPr>
        <w:rFonts w:hint="default" w:ascii="Arial" w:hAnsi="Arial" w:eastAsia="Arial" w:cs="Arial"/>
        <w:b/>
        <w:bCs/>
        <w:spacing w:val="-3"/>
        <w:w w:val="101"/>
        <w:sz w:val="23"/>
        <w:szCs w:val="23"/>
      </w:rPr>
    </w:lvl>
    <w:lvl w:ilvl="3">
      <w:start w:val="1"/>
      <w:numFmt w:val="decimal"/>
      <w:lvlText w:val="%1.%2.%3.%4."/>
      <w:lvlJc w:val="left"/>
      <w:pPr>
        <w:ind w:left="960" w:hanging="845"/>
        <w:jc w:val="left"/>
      </w:pPr>
      <w:rPr>
        <w:rFonts w:hint="default" w:ascii="Arial" w:hAnsi="Arial" w:eastAsia="Arial" w:cs="Arial"/>
        <w:b/>
        <w:bCs/>
        <w:i/>
        <w:spacing w:val="-3"/>
        <w:w w:val="101"/>
        <w:sz w:val="23"/>
        <w:szCs w:val="23"/>
      </w:rPr>
    </w:lvl>
    <w:lvl w:ilvl="4">
      <w:start w:val="1"/>
      <w:numFmt w:val="bullet"/>
      <w:lvlText w:val="•"/>
      <w:lvlJc w:val="left"/>
      <w:pPr>
        <w:ind w:left="2926" w:hanging="845"/>
      </w:pPr>
      <w:rPr>
        <w:rFonts w:hint="default"/>
      </w:rPr>
    </w:lvl>
    <w:lvl w:ilvl="5">
      <w:start w:val="1"/>
      <w:numFmt w:val="bullet"/>
      <w:lvlText w:val="•"/>
      <w:lvlJc w:val="left"/>
      <w:pPr>
        <w:ind w:left="3909" w:hanging="845"/>
      </w:pPr>
      <w:rPr>
        <w:rFonts w:hint="default"/>
      </w:rPr>
    </w:lvl>
    <w:lvl w:ilvl="6">
      <w:start w:val="1"/>
      <w:numFmt w:val="bullet"/>
      <w:lvlText w:val="•"/>
      <w:lvlJc w:val="left"/>
      <w:pPr>
        <w:ind w:left="4892" w:hanging="845"/>
      </w:pPr>
      <w:rPr>
        <w:rFonts w:hint="default"/>
      </w:rPr>
    </w:lvl>
    <w:lvl w:ilvl="7">
      <w:start w:val="1"/>
      <w:numFmt w:val="bullet"/>
      <w:lvlText w:val="•"/>
      <w:lvlJc w:val="left"/>
      <w:pPr>
        <w:ind w:left="5875" w:hanging="845"/>
      </w:pPr>
      <w:rPr>
        <w:rFonts w:hint="default"/>
      </w:rPr>
    </w:lvl>
    <w:lvl w:ilvl="8">
      <w:start w:val="1"/>
      <w:numFmt w:val="bullet"/>
      <w:lvlText w:val="•"/>
      <w:lvlJc w:val="left"/>
      <w:pPr>
        <w:ind w:left="6858" w:hanging="845"/>
      </w:pPr>
      <w:rPr>
        <w:rFonts w:hint="default"/>
      </w:rPr>
    </w:lvl>
  </w:abstractNum>
  <w:abstractNum w:abstractNumId="8">
    <w:multiLevelType w:val="hybridMultilevel"/>
    <w:lvl w:ilvl="0">
      <w:start w:val="2"/>
      <w:numFmt w:val="decimal"/>
      <w:lvlText w:val="%1"/>
      <w:lvlJc w:val="left"/>
      <w:pPr>
        <w:ind w:left="504" w:hanging="389"/>
        <w:jc w:val="left"/>
      </w:pPr>
      <w:rPr>
        <w:rFonts w:hint="default"/>
      </w:rPr>
    </w:lvl>
    <w:lvl w:ilvl="1">
      <w:start w:val="1"/>
      <w:numFmt w:val="decimal"/>
      <w:lvlText w:val="%1.%2"/>
      <w:lvlJc w:val="left"/>
      <w:pPr>
        <w:ind w:left="504" w:hanging="389"/>
        <w:jc w:val="left"/>
      </w:pPr>
      <w:rPr>
        <w:rFonts w:hint="default" w:ascii="Arial" w:hAnsi="Arial" w:eastAsia="Arial" w:cs="Arial"/>
        <w:b/>
        <w:bCs/>
        <w:spacing w:val="-3"/>
        <w:w w:val="101"/>
        <w:sz w:val="23"/>
        <w:szCs w:val="23"/>
      </w:rPr>
    </w:lvl>
    <w:lvl w:ilvl="2">
      <w:start w:val="1"/>
      <w:numFmt w:val="lowerLetter"/>
      <w:lvlText w:val="%3."/>
      <w:lvlJc w:val="left"/>
      <w:pPr>
        <w:ind w:left="816" w:hanging="351"/>
        <w:jc w:val="left"/>
      </w:pPr>
      <w:rPr>
        <w:rFonts w:hint="default" w:ascii="Arial" w:hAnsi="Arial" w:eastAsia="Arial" w:cs="Arial"/>
        <w:w w:val="101"/>
        <w:sz w:val="23"/>
        <w:szCs w:val="23"/>
      </w:rPr>
    </w:lvl>
    <w:lvl w:ilvl="3">
      <w:start w:val="1"/>
      <w:numFmt w:val="bullet"/>
      <w:lvlText w:val="•"/>
      <w:lvlJc w:val="left"/>
      <w:pPr>
        <w:ind w:left="2598" w:hanging="351"/>
      </w:pPr>
      <w:rPr>
        <w:rFonts w:hint="default"/>
      </w:rPr>
    </w:lvl>
    <w:lvl w:ilvl="4">
      <w:start w:val="1"/>
      <w:numFmt w:val="bullet"/>
      <w:lvlText w:val="•"/>
      <w:lvlJc w:val="left"/>
      <w:pPr>
        <w:ind w:left="3488" w:hanging="351"/>
      </w:pPr>
      <w:rPr>
        <w:rFonts w:hint="default"/>
      </w:rPr>
    </w:lvl>
    <w:lvl w:ilvl="5">
      <w:start w:val="1"/>
      <w:numFmt w:val="bullet"/>
      <w:lvlText w:val="•"/>
      <w:lvlJc w:val="left"/>
      <w:pPr>
        <w:ind w:left="4377" w:hanging="351"/>
      </w:pPr>
      <w:rPr>
        <w:rFonts w:hint="default"/>
      </w:rPr>
    </w:lvl>
    <w:lvl w:ilvl="6">
      <w:start w:val="1"/>
      <w:numFmt w:val="bullet"/>
      <w:lvlText w:val="•"/>
      <w:lvlJc w:val="left"/>
      <w:pPr>
        <w:ind w:left="5266" w:hanging="351"/>
      </w:pPr>
      <w:rPr>
        <w:rFonts w:hint="default"/>
      </w:rPr>
    </w:lvl>
    <w:lvl w:ilvl="7">
      <w:start w:val="1"/>
      <w:numFmt w:val="bullet"/>
      <w:lvlText w:val="•"/>
      <w:lvlJc w:val="left"/>
      <w:pPr>
        <w:ind w:left="6156" w:hanging="351"/>
      </w:pPr>
      <w:rPr>
        <w:rFonts w:hint="default"/>
      </w:rPr>
    </w:lvl>
    <w:lvl w:ilvl="8">
      <w:start w:val="1"/>
      <w:numFmt w:val="bullet"/>
      <w:lvlText w:val="•"/>
      <w:lvlJc w:val="left"/>
      <w:pPr>
        <w:ind w:left="7045" w:hanging="351"/>
      </w:pPr>
      <w:rPr>
        <w:rFonts w:hint="default"/>
      </w:rPr>
    </w:lvl>
  </w:abstractNum>
  <w:abstractNum w:abstractNumId="7">
    <w:multiLevelType w:val="hybridMultilevel"/>
    <w:lvl w:ilvl="0">
      <w:start w:val="1"/>
      <w:numFmt w:val="decimal"/>
      <w:lvlText w:val="%1"/>
      <w:lvlJc w:val="left"/>
      <w:pPr>
        <w:ind w:left="504" w:hanging="389"/>
        <w:jc w:val="left"/>
      </w:pPr>
      <w:rPr>
        <w:rFonts w:hint="default"/>
      </w:rPr>
    </w:lvl>
    <w:lvl w:ilvl="1">
      <w:start w:val="4"/>
      <w:numFmt w:val="decimal"/>
      <w:lvlText w:val="%1.%2"/>
      <w:lvlJc w:val="left"/>
      <w:pPr>
        <w:ind w:left="504" w:hanging="389"/>
        <w:jc w:val="left"/>
      </w:pPr>
      <w:rPr>
        <w:rFonts w:hint="default" w:ascii="Arial" w:hAnsi="Arial" w:eastAsia="Arial" w:cs="Arial"/>
        <w:b/>
        <w:bCs/>
        <w:spacing w:val="-3"/>
        <w:w w:val="101"/>
        <w:sz w:val="23"/>
        <w:szCs w:val="23"/>
      </w:rPr>
    </w:lvl>
    <w:lvl w:ilvl="2">
      <w:start w:val="1"/>
      <w:numFmt w:val="decimal"/>
      <w:lvlText w:val="%1.%2.%3"/>
      <w:lvlJc w:val="left"/>
      <w:pPr>
        <w:ind w:left="116" w:hanging="581"/>
        <w:jc w:val="left"/>
      </w:pPr>
      <w:rPr>
        <w:rFonts w:hint="default" w:ascii="Arial" w:hAnsi="Arial" w:eastAsia="Arial" w:cs="Arial"/>
        <w:b/>
        <w:bCs/>
        <w:spacing w:val="-3"/>
        <w:w w:val="101"/>
        <w:sz w:val="23"/>
        <w:szCs w:val="23"/>
      </w:rPr>
    </w:lvl>
    <w:lvl w:ilvl="3">
      <w:start w:val="1"/>
      <w:numFmt w:val="bullet"/>
      <w:lvlText w:val="•"/>
      <w:lvlJc w:val="left"/>
      <w:pPr>
        <w:ind w:left="1715" w:hanging="581"/>
      </w:pPr>
      <w:rPr>
        <w:rFonts w:hint="default"/>
      </w:rPr>
    </w:lvl>
    <w:lvl w:ilvl="4">
      <w:start w:val="1"/>
      <w:numFmt w:val="bullet"/>
      <w:lvlText w:val="•"/>
      <w:lvlJc w:val="left"/>
      <w:pPr>
        <w:ind w:left="2731" w:hanging="581"/>
      </w:pPr>
      <w:rPr>
        <w:rFonts w:hint="default"/>
      </w:rPr>
    </w:lvl>
    <w:lvl w:ilvl="5">
      <w:start w:val="1"/>
      <w:numFmt w:val="bullet"/>
      <w:lvlText w:val="•"/>
      <w:lvlJc w:val="left"/>
      <w:pPr>
        <w:ind w:left="3746" w:hanging="581"/>
      </w:pPr>
      <w:rPr>
        <w:rFonts w:hint="default"/>
      </w:rPr>
    </w:lvl>
    <w:lvl w:ilvl="6">
      <w:start w:val="1"/>
      <w:numFmt w:val="bullet"/>
      <w:lvlText w:val="•"/>
      <w:lvlJc w:val="left"/>
      <w:pPr>
        <w:ind w:left="4762" w:hanging="581"/>
      </w:pPr>
      <w:rPr>
        <w:rFonts w:hint="default"/>
      </w:rPr>
    </w:lvl>
    <w:lvl w:ilvl="7">
      <w:start w:val="1"/>
      <w:numFmt w:val="bullet"/>
      <w:lvlText w:val="•"/>
      <w:lvlJc w:val="left"/>
      <w:pPr>
        <w:ind w:left="5777" w:hanging="581"/>
      </w:pPr>
      <w:rPr>
        <w:rFonts w:hint="default"/>
      </w:rPr>
    </w:lvl>
    <w:lvl w:ilvl="8">
      <w:start w:val="1"/>
      <w:numFmt w:val="bullet"/>
      <w:lvlText w:val="•"/>
      <w:lvlJc w:val="left"/>
      <w:pPr>
        <w:ind w:left="6793" w:hanging="581"/>
      </w:pPr>
      <w:rPr>
        <w:rFonts w:hint="default"/>
      </w:rPr>
    </w:lvl>
  </w:abstractNum>
  <w:abstractNum w:abstractNumId="6">
    <w:multiLevelType w:val="hybridMultilevel"/>
    <w:lvl w:ilvl="0">
      <w:start w:val="1"/>
      <w:numFmt w:val="decimal"/>
      <w:lvlText w:val="%1"/>
      <w:lvlJc w:val="left"/>
      <w:pPr>
        <w:ind w:left="504" w:hanging="389"/>
        <w:jc w:val="left"/>
      </w:pPr>
      <w:rPr>
        <w:rFonts w:hint="default"/>
      </w:rPr>
    </w:lvl>
    <w:lvl w:ilvl="1">
      <w:start w:val="3"/>
      <w:numFmt w:val="decimal"/>
      <w:lvlText w:val="%1.%2"/>
      <w:lvlJc w:val="left"/>
      <w:pPr>
        <w:ind w:left="504" w:hanging="389"/>
        <w:jc w:val="left"/>
      </w:pPr>
      <w:rPr>
        <w:rFonts w:hint="default" w:ascii="Arial" w:hAnsi="Arial" w:eastAsia="Arial" w:cs="Arial"/>
        <w:b/>
        <w:bCs/>
        <w:spacing w:val="-3"/>
        <w:w w:val="101"/>
        <w:sz w:val="23"/>
        <w:szCs w:val="23"/>
      </w:rPr>
    </w:lvl>
    <w:lvl w:ilvl="2">
      <w:start w:val="1"/>
      <w:numFmt w:val="decimal"/>
      <w:lvlText w:val="%1.%2.%3"/>
      <w:lvlJc w:val="left"/>
      <w:pPr>
        <w:ind w:left="701" w:hanging="586"/>
        <w:jc w:val="left"/>
      </w:pPr>
      <w:rPr>
        <w:rFonts w:hint="default" w:ascii="Arial" w:hAnsi="Arial" w:eastAsia="Arial" w:cs="Arial"/>
        <w:b/>
        <w:bCs/>
        <w:spacing w:val="-3"/>
        <w:w w:val="101"/>
        <w:sz w:val="23"/>
        <w:szCs w:val="23"/>
      </w:rPr>
    </w:lvl>
    <w:lvl w:ilvl="3">
      <w:start w:val="1"/>
      <w:numFmt w:val="decimal"/>
      <w:lvlText w:val="%1.%2.%3.%4"/>
      <w:lvlJc w:val="left"/>
      <w:pPr>
        <w:ind w:left="898" w:hanging="783"/>
        <w:jc w:val="left"/>
      </w:pPr>
      <w:rPr>
        <w:rFonts w:hint="default" w:ascii="Arial" w:hAnsi="Arial" w:eastAsia="Arial" w:cs="Arial"/>
        <w:b/>
        <w:bCs/>
        <w:i/>
        <w:spacing w:val="-3"/>
        <w:w w:val="101"/>
        <w:sz w:val="23"/>
        <w:szCs w:val="23"/>
      </w:rPr>
    </w:lvl>
    <w:lvl w:ilvl="4">
      <w:start w:val="1"/>
      <w:numFmt w:val="bullet"/>
      <w:lvlText w:val="•"/>
      <w:lvlJc w:val="left"/>
      <w:pPr>
        <w:ind w:left="2881" w:hanging="783"/>
      </w:pPr>
      <w:rPr>
        <w:rFonts w:hint="default"/>
      </w:rPr>
    </w:lvl>
    <w:lvl w:ilvl="5">
      <w:start w:val="1"/>
      <w:numFmt w:val="bullet"/>
      <w:lvlText w:val="•"/>
      <w:lvlJc w:val="left"/>
      <w:pPr>
        <w:ind w:left="3871" w:hanging="783"/>
      </w:pPr>
      <w:rPr>
        <w:rFonts w:hint="default"/>
      </w:rPr>
    </w:lvl>
    <w:lvl w:ilvl="6">
      <w:start w:val="1"/>
      <w:numFmt w:val="bullet"/>
      <w:lvlText w:val="•"/>
      <w:lvlJc w:val="left"/>
      <w:pPr>
        <w:ind w:left="4862" w:hanging="783"/>
      </w:pPr>
      <w:rPr>
        <w:rFonts w:hint="default"/>
      </w:rPr>
    </w:lvl>
    <w:lvl w:ilvl="7">
      <w:start w:val="1"/>
      <w:numFmt w:val="bullet"/>
      <w:lvlText w:val="•"/>
      <w:lvlJc w:val="left"/>
      <w:pPr>
        <w:ind w:left="5852" w:hanging="783"/>
      </w:pPr>
      <w:rPr>
        <w:rFonts w:hint="default"/>
      </w:rPr>
    </w:lvl>
    <w:lvl w:ilvl="8">
      <w:start w:val="1"/>
      <w:numFmt w:val="bullet"/>
      <w:lvlText w:val="•"/>
      <w:lvlJc w:val="left"/>
      <w:pPr>
        <w:ind w:left="6843" w:hanging="783"/>
      </w:pPr>
      <w:rPr>
        <w:rFonts w:hint="default"/>
      </w:rPr>
    </w:lvl>
  </w:abstractNum>
  <w:abstractNum w:abstractNumId="5">
    <w:multiLevelType w:val="hybridMultilevel"/>
    <w:lvl w:ilvl="0">
      <w:start w:val="1"/>
      <w:numFmt w:val="decimal"/>
      <w:lvlText w:val="%1"/>
      <w:lvlJc w:val="left"/>
      <w:pPr>
        <w:ind w:left="701" w:hanging="586"/>
        <w:jc w:val="left"/>
      </w:pPr>
      <w:rPr>
        <w:rFonts w:hint="default"/>
      </w:rPr>
    </w:lvl>
    <w:lvl w:ilvl="1">
      <w:start w:val="2"/>
      <w:numFmt w:val="decimal"/>
      <w:lvlText w:val="%1.%2"/>
      <w:lvlJc w:val="left"/>
      <w:pPr>
        <w:ind w:left="701" w:hanging="586"/>
        <w:jc w:val="left"/>
      </w:pPr>
      <w:rPr>
        <w:rFonts w:hint="default"/>
      </w:rPr>
    </w:lvl>
    <w:lvl w:ilvl="2">
      <w:start w:val="1"/>
      <w:numFmt w:val="decimal"/>
      <w:lvlText w:val="%1.%2.%3"/>
      <w:lvlJc w:val="left"/>
      <w:pPr>
        <w:ind w:left="701" w:hanging="586"/>
        <w:jc w:val="left"/>
      </w:pPr>
      <w:rPr>
        <w:rFonts w:hint="default" w:ascii="Arial" w:hAnsi="Arial" w:eastAsia="Arial" w:cs="Arial"/>
        <w:b/>
        <w:bCs/>
        <w:spacing w:val="-3"/>
        <w:w w:val="101"/>
        <w:sz w:val="23"/>
        <w:szCs w:val="23"/>
      </w:rPr>
    </w:lvl>
    <w:lvl w:ilvl="3">
      <w:start w:val="1"/>
      <w:numFmt w:val="decimal"/>
      <w:lvlText w:val="%1.%2.%3.%4"/>
      <w:lvlJc w:val="left"/>
      <w:pPr>
        <w:ind w:left="893" w:hanging="778"/>
        <w:jc w:val="left"/>
      </w:pPr>
      <w:rPr>
        <w:rFonts w:hint="default" w:ascii="Arial" w:hAnsi="Arial" w:eastAsia="Arial" w:cs="Arial"/>
        <w:b/>
        <w:bCs/>
        <w:i/>
        <w:spacing w:val="-3"/>
        <w:w w:val="101"/>
        <w:sz w:val="23"/>
        <w:szCs w:val="23"/>
      </w:rPr>
    </w:lvl>
    <w:lvl w:ilvl="4">
      <w:start w:val="1"/>
      <w:numFmt w:val="bullet"/>
      <w:lvlText w:val="•"/>
      <w:lvlJc w:val="left"/>
      <w:pPr>
        <w:ind w:left="3541" w:hanging="778"/>
      </w:pPr>
      <w:rPr>
        <w:rFonts w:hint="default"/>
      </w:rPr>
    </w:lvl>
    <w:lvl w:ilvl="5">
      <w:start w:val="1"/>
      <w:numFmt w:val="bullet"/>
      <w:lvlText w:val="•"/>
      <w:lvlJc w:val="left"/>
      <w:pPr>
        <w:ind w:left="4421" w:hanging="778"/>
      </w:pPr>
      <w:rPr>
        <w:rFonts w:hint="default"/>
      </w:rPr>
    </w:lvl>
    <w:lvl w:ilvl="6">
      <w:start w:val="1"/>
      <w:numFmt w:val="bullet"/>
      <w:lvlText w:val="•"/>
      <w:lvlJc w:val="left"/>
      <w:pPr>
        <w:ind w:left="5302" w:hanging="778"/>
      </w:pPr>
      <w:rPr>
        <w:rFonts w:hint="default"/>
      </w:rPr>
    </w:lvl>
    <w:lvl w:ilvl="7">
      <w:start w:val="1"/>
      <w:numFmt w:val="bullet"/>
      <w:lvlText w:val="•"/>
      <w:lvlJc w:val="left"/>
      <w:pPr>
        <w:ind w:left="6182" w:hanging="778"/>
      </w:pPr>
      <w:rPr>
        <w:rFonts w:hint="default"/>
      </w:rPr>
    </w:lvl>
    <w:lvl w:ilvl="8">
      <w:start w:val="1"/>
      <w:numFmt w:val="bullet"/>
      <w:lvlText w:val="•"/>
      <w:lvlJc w:val="left"/>
      <w:pPr>
        <w:ind w:left="7063" w:hanging="778"/>
      </w:pPr>
      <w:rPr>
        <w:rFonts w:hint="default"/>
      </w:rPr>
    </w:lvl>
  </w:abstractNum>
  <w:abstractNum w:abstractNumId="4">
    <w:multiLevelType w:val="hybridMultilevel"/>
    <w:lvl w:ilvl="0">
      <w:start w:val="1"/>
      <w:numFmt w:val="decimal"/>
      <w:lvlText w:val="%1"/>
      <w:lvlJc w:val="left"/>
      <w:pPr>
        <w:ind w:left="504" w:hanging="389"/>
        <w:jc w:val="left"/>
      </w:pPr>
      <w:rPr>
        <w:rFonts w:hint="default"/>
      </w:rPr>
    </w:lvl>
    <w:lvl w:ilvl="1">
      <w:start w:val="1"/>
      <w:numFmt w:val="decimal"/>
      <w:lvlText w:val="%1.%2"/>
      <w:lvlJc w:val="left"/>
      <w:pPr>
        <w:ind w:left="504" w:hanging="389"/>
        <w:jc w:val="left"/>
      </w:pPr>
      <w:rPr>
        <w:rFonts w:hint="default" w:ascii="Arial" w:hAnsi="Arial" w:eastAsia="Arial" w:cs="Arial"/>
        <w:b/>
        <w:bCs/>
        <w:spacing w:val="-3"/>
        <w:w w:val="101"/>
        <w:sz w:val="23"/>
        <w:szCs w:val="23"/>
      </w:rPr>
    </w:lvl>
    <w:lvl w:ilvl="2">
      <w:start w:val="1"/>
      <w:numFmt w:val="bullet"/>
      <w:lvlText w:val="●"/>
      <w:lvlJc w:val="left"/>
      <w:pPr>
        <w:ind w:left="816" w:hanging="351"/>
      </w:pPr>
      <w:rPr>
        <w:rFonts w:hint="default" w:ascii="Symbol" w:hAnsi="Symbol" w:eastAsia="Symbol" w:cs="Symbol"/>
        <w:w w:val="46"/>
        <w:sz w:val="23"/>
        <w:szCs w:val="23"/>
      </w:rPr>
    </w:lvl>
    <w:lvl w:ilvl="3">
      <w:start w:val="1"/>
      <w:numFmt w:val="bullet"/>
      <w:lvlText w:val="•"/>
      <w:lvlJc w:val="left"/>
      <w:pPr>
        <w:ind w:left="2598" w:hanging="351"/>
      </w:pPr>
      <w:rPr>
        <w:rFonts w:hint="default"/>
      </w:rPr>
    </w:lvl>
    <w:lvl w:ilvl="4">
      <w:start w:val="1"/>
      <w:numFmt w:val="bullet"/>
      <w:lvlText w:val="•"/>
      <w:lvlJc w:val="left"/>
      <w:pPr>
        <w:ind w:left="3488" w:hanging="351"/>
      </w:pPr>
      <w:rPr>
        <w:rFonts w:hint="default"/>
      </w:rPr>
    </w:lvl>
    <w:lvl w:ilvl="5">
      <w:start w:val="1"/>
      <w:numFmt w:val="bullet"/>
      <w:lvlText w:val="•"/>
      <w:lvlJc w:val="left"/>
      <w:pPr>
        <w:ind w:left="4377" w:hanging="351"/>
      </w:pPr>
      <w:rPr>
        <w:rFonts w:hint="default"/>
      </w:rPr>
    </w:lvl>
    <w:lvl w:ilvl="6">
      <w:start w:val="1"/>
      <w:numFmt w:val="bullet"/>
      <w:lvlText w:val="•"/>
      <w:lvlJc w:val="left"/>
      <w:pPr>
        <w:ind w:left="5266" w:hanging="351"/>
      </w:pPr>
      <w:rPr>
        <w:rFonts w:hint="default"/>
      </w:rPr>
    </w:lvl>
    <w:lvl w:ilvl="7">
      <w:start w:val="1"/>
      <w:numFmt w:val="bullet"/>
      <w:lvlText w:val="•"/>
      <w:lvlJc w:val="left"/>
      <w:pPr>
        <w:ind w:left="6156" w:hanging="351"/>
      </w:pPr>
      <w:rPr>
        <w:rFonts w:hint="default"/>
      </w:rPr>
    </w:lvl>
    <w:lvl w:ilvl="8">
      <w:start w:val="1"/>
      <w:numFmt w:val="bullet"/>
      <w:lvlText w:val="•"/>
      <w:lvlJc w:val="left"/>
      <w:pPr>
        <w:ind w:left="7045" w:hanging="351"/>
      </w:pPr>
      <w:rPr>
        <w:rFonts w:hint="default"/>
      </w:rPr>
    </w:lvl>
  </w:abstractNum>
  <w:abstractNum w:abstractNumId="3">
    <w:multiLevelType w:val="hybridMultilevel"/>
    <w:lvl w:ilvl="0">
      <w:start w:val="3"/>
      <w:numFmt w:val="decimal"/>
      <w:lvlText w:val="%1"/>
      <w:lvlJc w:val="left"/>
      <w:pPr>
        <w:ind w:left="495" w:hanging="380"/>
        <w:jc w:val="left"/>
      </w:pPr>
      <w:rPr>
        <w:rFonts w:hint="default"/>
      </w:rPr>
    </w:lvl>
    <w:lvl w:ilvl="1">
      <w:start w:val="1"/>
      <w:numFmt w:val="decimal"/>
      <w:lvlText w:val="%1.%2"/>
      <w:lvlJc w:val="left"/>
      <w:pPr>
        <w:ind w:left="495" w:hanging="380"/>
        <w:jc w:val="left"/>
      </w:pPr>
      <w:rPr>
        <w:rFonts w:hint="default" w:ascii="Arial" w:hAnsi="Arial" w:eastAsia="Arial" w:cs="Arial"/>
        <w:b/>
        <w:bCs/>
        <w:spacing w:val="-3"/>
        <w:w w:val="101"/>
        <w:sz w:val="23"/>
        <w:szCs w:val="23"/>
      </w:rPr>
    </w:lvl>
    <w:lvl w:ilvl="2">
      <w:start w:val="1"/>
      <w:numFmt w:val="bullet"/>
      <w:lvlText w:val="•"/>
      <w:lvlJc w:val="left"/>
      <w:pPr>
        <w:ind w:left="2164" w:hanging="380"/>
      </w:pPr>
      <w:rPr>
        <w:rFonts w:hint="default"/>
      </w:rPr>
    </w:lvl>
    <w:lvl w:ilvl="3">
      <w:start w:val="1"/>
      <w:numFmt w:val="bullet"/>
      <w:lvlText w:val="•"/>
      <w:lvlJc w:val="left"/>
      <w:pPr>
        <w:ind w:left="2997" w:hanging="380"/>
      </w:pPr>
      <w:rPr>
        <w:rFonts w:hint="default"/>
      </w:rPr>
    </w:lvl>
    <w:lvl w:ilvl="4">
      <w:start w:val="1"/>
      <w:numFmt w:val="bullet"/>
      <w:lvlText w:val="•"/>
      <w:lvlJc w:val="left"/>
      <w:pPr>
        <w:ind w:left="3829" w:hanging="380"/>
      </w:pPr>
      <w:rPr>
        <w:rFonts w:hint="default"/>
      </w:rPr>
    </w:lvl>
    <w:lvl w:ilvl="5">
      <w:start w:val="1"/>
      <w:numFmt w:val="bullet"/>
      <w:lvlText w:val="•"/>
      <w:lvlJc w:val="left"/>
      <w:pPr>
        <w:ind w:left="4662" w:hanging="380"/>
      </w:pPr>
      <w:rPr>
        <w:rFonts w:hint="default"/>
      </w:rPr>
    </w:lvl>
    <w:lvl w:ilvl="6">
      <w:start w:val="1"/>
      <w:numFmt w:val="bullet"/>
      <w:lvlText w:val="•"/>
      <w:lvlJc w:val="left"/>
      <w:pPr>
        <w:ind w:left="5494" w:hanging="380"/>
      </w:pPr>
      <w:rPr>
        <w:rFonts w:hint="default"/>
      </w:rPr>
    </w:lvl>
    <w:lvl w:ilvl="7">
      <w:start w:val="1"/>
      <w:numFmt w:val="bullet"/>
      <w:lvlText w:val="•"/>
      <w:lvlJc w:val="left"/>
      <w:pPr>
        <w:ind w:left="6326" w:hanging="380"/>
      </w:pPr>
      <w:rPr>
        <w:rFonts w:hint="default"/>
      </w:rPr>
    </w:lvl>
    <w:lvl w:ilvl="8">
      <w:start w:val="1"/>
      <w:numFmt w:val="bullet"/>
      <w:lvlText w:val="•"/>
      <w:lvlJc w:val="left"/>
      <w:pPr>
        <w:ind w:left="7159" w:hanging="380"/>
      </w:pPr>
      <w:rPr>
        <w:rFonts w:hint="default"/>
      </w:rPr>
    </w:lvl>
  </w:abstractNum>
  <w:abstractNum w:abstractNumId="2">
    <w:multiLevelType w:val="hybridMultilevel"/>
    <w:lvl w:ilvl="0">
      <w:start w:val="2"/>
      <w:numFmt w:val="decimal"/>
      <w:lvlText w:val="%1"/>
      <w:lvlJc w:val="left"/>
      <w:pPr>
        <w:ind w:left="572" w:hanging="456"/>
        <w:jc w:val="left"/>
      </w:pPr>
      <w:rPr>
        <w:rFonts w:hint="default"/>
      </w:rPr>
    </w:lvl>
    <w:lvl w:ilvl="1">
      <w:start w:val="2"/>
      <w:numFmt w:val="decimal"/>
      <w:lvlText w:val="%1.%2."/>
      <w:lvlJc w:val="left"/>
      <w:pPr>
        <w:ind w:left="572" w:hanging="456"/>
        <w:jc w:val="left"/>
      </w:pPr>
      <w:rPr>
        <w:rFonts w:hint="default" w:ascii="Arial" w:hAnsi="Arial" w:eastAsia="Arial" w:cs="Arial"/>
        <w:b/>
        <w:bCs/>
        <w:spacing w:val="-3"/>
        <w:w w:val="101"/>
        <w:sz w:val="23"/>
        <w:szCs w:val="23"/>
      </w:rPr>
    </w:lvl>
    <w:lvl w:ilvl="2">
      <w:start w:val="1"/>
      <w:numFmt w:val="decimal"/>
      <w:lvlText w:val="%1.%2.%3."/>
      <w:lvlJc w:val="left"/>
      <w:pPr>
        <w:ind w:left="1004" w:hanging="658"/>
        <w:jc w:val="left"/>
      </w:pPr>
      <w:rPr>
        <w:rFonts w:hint="default" w:ascii="Arial" w:hAnsi="Arial" w:eastAsia="Arial" w:cs="Arial"/>
        <w:spacing w:val="-3"/>
        <w:w w:val="101"/>
        <w:sz w:val="23"/>
        <w:szCs w:val="23"/>
      </w:rPr>
    </w:lvl>
    <w:lvl w:ilvl="3">
      <w:start w:val="1"/>
      <w:numFmt w:val="bullet"/>
      <w:lvlText w:val="•"/>
      <w:lvlJc w:val="left"/>
      <w:pPr>
        <w:ind w:left="2738" w:hanging="658"/>
      </w:pPr>
      <w:rPr>
        <w:rFonts w:hint="default"/>
      </w:rPr>
    </w:lvl>
    <w:lvl w:ilvl="4">
      <w:start w:val="1"/>
      <w:numFmt w:val="bullet"/>
      <w:lvlText w:val="•"/>
      <w:lvlJc w:val="left"/>
      <w:pPr>
        <w:ind w:left="3608" w:hanging="658"/>
      </w:pPr>
      <w:rPr>
        <w:rFonts w:hint="default"/>
      </w:rPr>
    </w:lvl>
    <w:lvl w:ilvl="5">
      <w:start w:val="1"/>
      <w:numFmt w:val="bullet"/>
      <w:lvlText w:val="•"/>
      <w:lvlJc w:val="left"/>
      <w:pPr>
        <w:ind w:left="4477" w:hanging="658"/>
      </w:pPr>
      <w:rPr>
        <w:rFonts w:hint="default"/>
      </w:rPr>
    </w:lvl>
    <w:lvl w:ilvl="6">
      <w:start w:val="1"/>
      <w:numFmt w:val="bullet"/>
      <w:lvlText w:val="•"/>
      <w:lvlJc w:val="left"/>
      <w:pPr>
        <w:ind w:left="5346" w:hanging="658"/>
      </w:pPr>
      <w:rPr>
        <w:rFonts w:hint="default"/>
      </w:rPr>
    </w:lvl>
    <w:lvl w:ilvl="7">
      <w:start w:val="1"/>
      <w:numFmt w:val="bullet"/>
      <w:lvlText w:val="•"/>
      <w:lvlJc w:val="left"/>
      <w:pPr>
        <w:ind w:left="6216" w:hanging="658"/>
      </w:pPr>
      <w:rPr>
        <w:rFonts w:hint="default"/>
      </w:rPr>
    </w:lvl>
    <w:lvl w:ilvl="8">
      <w:start w:val="1"/>
      <w:numFmt w:val="bullet"/>
      <w:lvlText w:val="•"/>
      <w:lvlJc w:val="left"/>
      <w:pPr>
        <w:ind w:left="7085" w:hanging="658"/>
      </w:pPr>
      <w:rPr>
        <w:rFonts w:hint="default"/>
      </w:rPr>
    </w:lvl>
  </w:abstractNum>
  <w:abstractNum w:abstractNumId="1">
    <w:multiLevelType w:val="hybridMultilevel"/>
    <w:lvl w:ilvl="0">
      <w:start w:val="2"/>
      <w:numFmt w:val="decimal"/>
      <w:lvlText w:val="%1"/>
      <w:lvlJc w:val="left"/>
      <w:pPr>
        <w:ind w:left="504" w:hanging="389"/>
        <w:jc w:val="left"/>
      </w:pPr>
      <w:rPr>
        <w:rFonts w:hint="default"/>
      </w:rPr>
    </w:lvl>
    <w:lvl w:ilvl="1">
      <w:start w:val="1"/>
      <w:numFmt w:val="decimal"/>
      <w:lvlText w:val="%1.%2"/>
      <w:lvlJc w:val="left"/>
      <w:pPr>
        <w:ind w:left="504" w:hanging="389"/>
        <w:jc w:val="left"/>
      </w:pPr>
      <w:rPr>
        <w:rFonts w:hint="default" w:ascii="Arial" w:hAnsi="Arial" w:eastAsia="Arial" w:cs="Arial"/>
        <w:b/>
        <w:bCs/>
        <w:spacing w:val="-3"/>
        <w:w w:val="101"/>
        <w:sz w:val="23"/>
        <w:szCs w:val="23"/>
      </w:rPr>
    </w:lvl>
    <w:lvl w:ilvl="2">
      <w:start w:val="1"/>
      <w:numFmt w:val="decimal"/>
      <w:lvlText w:val="%1.%2.%3."/>
      <w:lvlJc w:val="left"/>
      <w:pPr>
        <w:ind w:left="1004" w:hanging="658"/>
        <w:jc w:val="left"/>
      </w:pPr>
      <w:rPr>
        <w:rFonts w:hint="default" w:ascii="Arial" w:hAnsi="Arial" w:eastAsia="Arial" w:cs="Arial"/>
        <w:spacing w:val="-3"/>
        <w:w w:val="101"/>
        <w:sz w:val="23"/>
        <w:szCs w:val="23"/>
      </w:rPr>
    </w:lvl>
    <w:lvl w:ilvl="3">
      <w:start w:val="1"/>
      <w:numFmt w:val="decimal"/>
      <w:lvlText w:val="%1.%2.%3.%4."/>
      <w:lvlJc w:val="left"/>
      <w:pPr>
        <w:ind w:left="1426" w:hanging="845"/>
        <w:jc w:val="left"/>
      </w:pPr>
      <w:rPr>
        <w:rFonts w:hint="default" w:ascii="Arial" w:hAnsi="Arial" w:eastAsia="Arial" w:cs="Arial"/>
        <w:w w:val="101"/>
        <w:sz w:val="23"/>
        <w:szCs w:val="23"/>
      </w:rPr>
    </w:lvl>
    <w:lvl w:ilvl="4">
      <w:start w:val="1"/>
      <w:numFmt w:val="bullet"/>
      <w:lvlText w:val="•"/>
      <w:lvlJc w:val="left"/>
      <w:pPr>
        <w:ind w:left="3271" w:hanging="845"/>
      </w:pPr>
      <w:rPr>
        <w:rFonts w:hint="default"/>
      </w:rPr>
    </w:lvl>
    <w:lvl w:ilvl="5">
      <w:start w:val="1"/>
      <w:numFmt w:val="bullet"/>
      <w:lvlText w:val="•"/>
      <w:lvlJc w:val="left"/>
      <w:pPr>
        <w:ind w:left="4196" w:hanging="845"/>
      </w:pPr>
      <w:rPr>
        <w:rFonts w:hint="default"/>
      </w:rPr>
    </w:lvl>
    <w:lvl w:ilvl="6">
      <w:start w:val="1"/>
      <w:numFmt w:val="bullet"/>
      <w:lvlText w:val="•"/>
      <w:lvlJc w:val="left"/>
      <w:pPr>
        <w:ind w:left="5122" w:hanging="845"/>
      </w:pPr>
      <w:rPr>
        <w:rFonts w:hint="default"/>
      </w:rPr>
    </w:lvl>
    <w:lvl w:ilvl="7">
      <w:start w:val="1"/>
      <w:numFmt w:val="bullet"/>
      <w:lvlText w:val="•"/>
      <w:lvlJc w:val="left"/>
      <w:pPr>
        <w:ind w:left="6047" w:hanging="845"/>
      </w:pPr>
      <w:rPr>
        <w:rFonts w:hint="default"/>
      </w:rPr>
    </w:lvl>
    <w:lvl w:ilvl="8">
      <w:start w:val="1"/>
      <w:numFmt w:val="bullet"/>
      <w:lvlText w:val="•"/>
      <w:lvlJc w:val="left"/>
      <w:pPr>
        <w:ind w:left="6973" w:hanging="845"/>
      </w:pPr>
      <w:rPr>
        <w:rFonts w:hint="default"/>
      </w:rPr>
    </w:lvl>
  </w:abstractNum>
  <w:abstractNum w:abstractNumId="0">
    <w:multiLevelType w:val="hybridMultilevel"/>
    <w:lvl w:ilvl="0">
      <w:start w:val="1"/>
      <w:numFmt w:val="decimal"/>
      <w:lvlText w:val="%1"/>
      <w:lvlJc w:val="left"/>
      <w:pPr>
        <w:ind w:left="504" w:hanging="389"/>
        <w:jc w:val="left"/>
      </w:pPr>
      <w:rPr>
        <w:rFonts w:hint="default"/>
      </w:rPr>
    </w:lvl>
    <w:lvl w:ilvl="1">
      <w:start w:val="1"/>
      <w:numFmt w:val="decimal"/>
      <w:lvlText w:val="%1.%2"/>
      <w:lvlJc w:val="left"/>
      <w:pPr>
        <w:ind w:left="504" w:hanging="389"/>
        <w:jc w:val="left"/>
      </w:pPr>
      <w:rPr>
        <w:rFonts w:hint="default" w:ascii="Arial" w:hAnsi="Arial" w:eastAsia="Arial" w:cs="Arial"/>
        <w:b/>
        <w:bCs/>
        <w:spacing w:val="-3"/>
        <w:w w:val="101"/>
        <w:sz w:val="23"/>
        <w:szCs w:val="23"/>
      </w:rPr>
    </w:lvl>
    <w:lvl w:ilvl="2">
      <w:start w:val="1"/>
      <w:numFmt w:val="decimal"/>
      <w:lvlText w:val="%1.%2.%3"/>
      <w:lvlJc w:val="left"/>
      <w:pPr>
        <w:ind w:left="936" w:hanging="591"/>
        <w:jc w:val="left"/>
      </w:pPr>
      <w:rPr>
        <w:rFonts w:hint="default" w:ascii="Arial" w:hAnsi="Arial" w:eastAsia="Arial" w:cs="Arial"/>
        <w:spacing w:val="-3"/>
        <w:w w:val="101"/>
        <w:sz w:val="23"/>
        <w:szCs w:val="23"/>
      </w:rPr>
    </w:lvl>
    <w:lvl w:ilvl="3">
      <w:start w:val="1"/>
      <w:numFmt w:val="decimal"/>
      <w:lvlText w:val="%1.%2.%3.%4"/>
      <w:lvlJc w:val="left"/>
      <w:pPr>
        <w:ind w:left="1359" w:hanging="778"/>
        <w:jc w:val="left"/>
      </w:pPr>
      <w:rPr>
        <w:rFonts w:hint="default" w:ascii="Arial" w:hAnsi="Arial" w:eastAsia="Arial" w:cs="Arial"/>
        <w:w w:val="101"/>
        <w:sz w:val="23"/>
        <w:szCs w:val="23"/>
      </w:rPr>
    </w:lvl>
    <w:lvl w:ilvl="4">
      <w:start w:val="1"/>
      <w:numFmt w:val="bullet"/>
      <w:lvlText w:val="•"/>
      <w:lvlJc w:val="left"/>
      <w:pPr>
        <w:ind w:left="2426" w:hanging="778"/>
      </w:pPr>
      <w:rPr>
        <w:rFonts w:hint="default"/>
      </w:rPr>
    </w:lvl>
    <w:lvl w:ilvl="5">
      <w:start w:val="1"/>
      <w:numFmt w:val="bullet"/>
      <w:lvlText w:val="•"/>
      <w:lvlJc w:val="left"/>
      <w:pPr>
        <w:ind w:left="3492" w:hanging="778"/>
      </w:pPr>
      <w:rPr>
        <w:rFonts w:hint="default"/>
      </w:rPr>
    </w:lvl>
    <w:lvl w:ilvl="6">
      <w:start w:val="1"/>
      <w:numFmt w:val="bullet"/>
      <w:lvlText w:val="•"/>
      <w:lvlJc w:val="left"/>
      <w:pPr>
        <w:ind w:left="4558" w:hanging="778"/>
      </w:pPr>
      <w:rPr>
        <w:rFonts w:hint="default"/>
      </w:rPr>
    </w:lvl>
    <w:lvl w:ilvl="7">
      <w:start w:val="1"/>
      <w:numFmt w:val="bullet"/>
      <w:lvlText w:val="•"/>
      <w:lvlJc w:val="left"/>
      <w:pPr>
        <w:ind w:left="5625" w:hanging="778"/>
      </w:pPr>
      <w:rPr>
        <w:rFonts w:hint="default"/>
      </w:rPr>
    </w:lvl>
    <w:lvl w:ilvl="8">
      <w:start w:val="1"/>
      <w:numFmt w:val="bullet"/>
      <w:lvlText w:val="•"/>
      <w:lvlJc w:val="left"/>
      <w:pPr>
        <w:ind w:left="6691" w:hanging="778"/>
      </w:pPr>
      <w:rPr>
        <w:rFonts w:hint="default"/>
      </w:rPr>
    </w:lvl>
  </w:abstract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39"/>
      <w:ind w:left="504" w:hanging="388"/>
    </w:pPr>
    <w:rPr>
      <w:rFonts w:ascii="Arial" w:hAnsi="Arial" w:eastAsia="Arial" w:cs="Arial"/>
      <w:b/>
      <w:bCs/>
      <w:sz w:val="23"/>
      <w:szCs w:val="23"/>
    </w:rPr>
  </w:style>
  <w:style w:styleId="TOC2" w:type="paragraph">
    <w:name w:val="TOC 2"/>
    <w:basedOn w:val="Normal"/>
    <w:uiPriority w:val="1"/>
    <w:qFormat/>
    <w:pPr>
      <w:spacing w:before="4" w:line="264" w:lineRule="exact"/>
      <w:ind w:left="936" w:hanging="590"/>
    </w:pPr>
    <w:rPr>
      <w:rFonts w:ascii="Arial" w:hAnsi="Arial" w:eastAsia="Arial" w:cs="Arial"/>
      <w:sz w:val="23"/>
      <w:szCs w:val="23"/>
    </w:rPr>
  </w:style>
  <w:style w:styleId="TOC3" w:type="paragraph">
    <w:name w:val="TOC 3"/>
    <w:basedOn w:val="Normal"/>
    <w:uiPriority w:val="1"/>
    <w:qFormat/>
    <w:pPr>
      <w:spacing w:before="4"/>
      <w:ind w:left="1364" w:hanging="783"/>
    </w:pPr>
    <w:rPr>
      <w:rFonts w:ascii="Arial" w:hAnsi="Arial" w:eastAsia="Arial" w:cs="Arial"/>
      <w:sz w:val="23"/>
      <w:szCs w:val="23"/>
    </w:rPr>
  </w:style>
  <w:style w:styleId="BodyText" w:type="paragraph">
    <w:name w:val="Body Text"/>
    <w:basedOn w:val="Normal"/>
    <w:uiPriority w:val="1"/>
    <w:qFormat/>
    <w:pPr/>
    <w:rPr>
      <w:rFonts w:ascii="Arial" w:hAnsi="Arial" w:eastAsia="Arial" w:cs="Arial"/>
      <w:sz w:val="23"/>
      <w:szCs w:val="23"/>
    </w:rPr>
  </w:style>
  <w:style w:styleId="Heading1" w:type="paragraph">
    <w:name w:val="Heading 1"/>
    <w:basedOn w:val="Normal"/>
    <w:uiPriority w:val="1"/>
    <w:qFormat/>
    <w:pPr>
      <w:spacing w:before="69"/>
      <w:ind w:left="119" w:hanging="2981"/>
      <w:outlineLvl w:val="1"/>
    </w:pPr>
    <w:rPr>
      <w:rFonts w:ascii="Arial" w:hAnsi="Arial" w:eastAsia="Arial" w:cs="Arial"/>
      <w:b/>
      <w:bCs/>
      <w:sz w:val="24"/>
      <w:szCs w:val="24"/>
    </w:rPr>
  </w:style>
  <w:style w:styleId="Heading2" w:type="paragraph">
    <w:name w:val="Heading 2"/>
    <w:basedOn w:val="Normal"/>
    <w:uiPriority w:val="1"/>
    <w:qFormat/>
    <w:pPr>
      <w:ind w:left="479"/>
      <w:outlineLvl w:val="2"/>
    </w:pPr>
    <w:rPr>
      <w:rFonts w:ascii="Arial" w:hAnsi="Arial" w:eastAsia="Arial" w:cs="Arial"/>
      <w:sz w:val="24"/>
      <w:szCs w:val="24"/>
      <w:u w:val="single" w:color="000000"/>
    </w:rPr>
  </w:style>
  <w:style w:styleId="Heading3" w:type="paragraph">
    <w:name w:val="Heading 3"/>
    <w:basedOn w:val="Normal"/>
    <w:uiPriority w:val="1"/>
    <w:qFormat/>
    <w:pPr>
      <w:ind w:left="1020"/>
      <w:jc w:val="both"/>
      <w:outlineLvl w:val="3"/>
    </w:pPr>
    <w:rPr>
      <w:rFonts w:ascii="Arial" w:hAnsi="Arial" w:eastAsia="Arial" w:cs="Arial"/>
      <w:b/>
      <w:bCs/>
      <w:sz w:val="23"/>
      <w:szCs w:val="23"/>
    </w:rPr>
  </w:style>
  <w:style w:styleId="Heading4" w:type="paragraph">
    <w:name w:val="Heading 4"/>
    <w:basedOn w:val="Normal"/>
    <w:uiPriority w:val="1"/>
    <w:qFormat/>
    <w:pPr>
      <w:ind w:left="893" w:hanging="777"/>
      <w:jc w:val="both"/>
      <w:outlineLvl w:val="4"/>
    </w:pPr>
    <w:rPr>
      <w:rFonts w:ascii="Arial" w:hAnsi="Arial" w:eastAsia="Arial" w:cs="Arial"/>
      <w:b/>
      <w:bCs/>
      <w:i/>
      <w:sz w:val="23"/>
      <w:szCs w:val="23"/>
    </w:rPr>
  </w:style>
  <w:style w:styleId="ListParagraph" w:type="paragraph">
    <w:name w:val="List Paragraph"/>
    <w:basedOn w:val="Normal"/>
    <w:uiPriority w:val="1"/>
    <w:qFormat/>
    <w:pPr>
      <w:ind w:left="839" w:hanging="360"/>
    </w:pPr>
    <w:rPr>
      <w:rFonts w:ascii="Arial" w:hAnsi="Arial" w:eastAsia="Arial" w:cs="Arial"/>
    </w:rPr>
  </w:style>
  <w:style w:styleId="TableParagraph" w:type="paragraph">
    <w:name w:val="Table Paragraph"/>
    <w:basedOn w:val="Normal"/>
    <w:uiPriority w:val="1"/>
    <w:qFormat/>
    <w:pPr>
      <w:jc w:val="righ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image" Target="media/image2.jpe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header" Target="header6.xml"/><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header" Target="header7.xml"/><Relationship Id="rId30" Type="http://schemas.openxmlformats.org/officeDocument/2006/relationships/header" Target="header8.xml"/><Relationship Id="rId31" Type="http://schemas.openxmlformats.org/officeDocument/2006/relationships/image" Target="media/image19.png"/><Relationship Id="rId32" Type="http://schemas.openxmlformats.org/officeDocument/2006/relationships/hyperlink" Target="http://es.wikipedia.org/wiki/Pesimista" TargetMode="External"/><Relationship Id="rId33" Type="http://schemas.openxmlformats.org/officeDocument/2006/relationships/image" Target="media/image20.png"/><Relationship Id="rId34" Type="http://schemas.openxmlformats.org/officeDocument/2006/relationships/image" Target="media/image21.png"/><Relationship Id="rId35" Type="http://schemas.openxmlformats.org/officeDocument/2006/relationships/header" Target="header9.xml"/><Relationship Id="rId36" Type="http://schemas.openxmlformats.org/officeDocument/2006/relationships/header" Target="header10.xml"/><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image" Target="media/image28.png"/><Relationship Id="rId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Tesis hugo final imprenta Nov 2010</dc:title>
  <dcterms:created xsi:type="dcterms:W3CDTF">2017-05-26T20:30:09Z</dcterms:created>
  <dcterms:modified xsi:type="dcterms:W3CDTF">2017-05-26T20:30:09Z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2010-11-08T00:00:00Z</vt:filetime>
  </property>
  <property fmtid="{D5CDD505-2E9C-101B-9397-08002B2CF9AE}" pid="3" name="LastSaved">
    <vt:filetime>2017-05-26T00:00:00Z</vt:filetime>
  </property>
</Properties>
</file>