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89"/>
        <w:rPr>
          <w:sz w:val="20"/>
        </w:rPr>
      </w:pPr>
      <w:r>
        <w:rPr>
          <w:sz w:val="20"/>
        </w:rPr>
        <w:drawing>
          <wp:inline distT="0" distB="0" distL="0" distR="0">
            <wp:extent cx="1066149" cy="97650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66149" cy="976502"/>
                    </a:xfrm>
                    <a:prstGeom prst="rect">
                      <a:avLst/>
                    </a:prstGeom>
                  </pic:spPr>
                </pic:pic>
              </a:graphicData>
            </a:graphic>
          </wp:inline>
        </w:drawing>
      </w:r>
      <w:r>
        <w:rPr>
          <w:sz w:val="20"/>
        </w:rPr>
      </w:r>
    </w:p>
    <w:p>
      <w:pPr>
        <w:spacing w:before="0"/>
        <w:ind w:left="1412" w:right="624" w:firstLine="0"/>
        <w:jc w:val="center"/>
        <w:rPr>
          <w:b/>
          <w:sz w:val="40"/>
        </w:rPr>
      </w:pPr>
      <w:r>
        <w:rPr/>
        <w:pict>
          <v:group style="position:absolute;margin-left:46.375pt;margin-top:9.53689pt;width:4.3pt;height:589.7pt;mso-position-horizontal-relative:page;mso-position-vertical-relative:paragraph;z-index:0" coordorigin="928,191" coordsize="86,11794">
            <v:line style="position:absolute" from="971,226" to="971,11949" stroked="true" strokeweight="3.55pt" strokecolor="#e7e6e6"/>
            <v:rect style="position:absolute;left:935;top:226;width:71;height:11723" filled="false" stroked="true" strokeweight=".75pt" strokecolor="#f1f1f1"/>
            <w10:wrap type="none"/>
          </v:group>
        </w:pict>
      </w:r>
      <w:r>
        <w:rPr>
          <w:b/>
          <w:sz w:val="40"/>
        </w:rPr>
        <w:t>Universidad Autónoma del Estado de México</w:t>
      </w:r>
    </w:p>
    <w:p>
      <w:pPr>
        <w:pStyle w:val="BodyText"/>
        <w:spacing w:before="8"/>
        <w:rPr>
          <w:b/>
          <w:sz w:val="33"/>
        </w:rPr>
      </w:pPr>
    </w:p>
    <w:p>
      <w:pPr>
        <w:spacing w:before="0"/>
        <w:ind w:left="1412" w:right="622" w:firstLine="0"/>
        <w:jc w:val="center"/>
        <w:rPr>
          <w:sz w:val="32"/>
        </w:rPr>
      </w:pPr>
      <w:r>
        <w:rPr>
          <w:sz w:val="32"/>
        </w:rPr>
        <w:t>Facultad de Geografía</w:t>
      </w:r>
    </w:p>
    <w:p>
      <w:pPr>
        <w:pStyle w:val="BodyText"/>
        <w:rPr>
          <w:sz w:val="32"/>
        </w:rPr>
      </w:pPr>
    </w:p>
    <w:p>
      <w:pPr>
        <w:pStyle w:val="BodyText"/>
        <w:rPr>
          <w:sz w:val="32"/>
        </w:rPr>
      </w:pPr>
    </w:p>
    <w:p>
      <w:pPr>
        <w:spacing w:line="357" w:lineRule="auto" w:before="215"/>
        <w:ind w:left="1412" w:right="616" w:firstLine="0"/>
        <w:jc w:val="center"/>
        <w:rPr>
          <w:sz w:val="26"/>
        </w:rPr>
      </w:pPr>
      <w:r>
        <w:rPr>
          <w:sz w:val="26"/>
        </w:rPr>
        <w:t>Dinámica espacial de los asentamientos humanos irregulares en suelo de conservación al poniente de la Ciudad de México</w:t>
      </w:r>
    </w:p>
    <w:p>
      <w:pPr>
        <w:pStyle w:val="BodyText"/>
        <w:rPr>
          <w:sz w:val="26"/>
        </w:rPr>
      </w:pPr>
    </w:p>
    <w:p>
      <w:pPr>
        <w:pStyle w:val="BodyText"/>
        <w:rPr>
          <w:sz w:val="26"/>
        </w:rPr>
      </w:pPr>
    </w:p>
    <w:p>
      <w:pPr>
        <w:pStyle w:val="BodyText"/>
        <w:rPr>
          <w:sz w:val="27"/>
        </w:rPr>
      </w:pPr>
    </w:p>
    <w:p>
      <w:pPr>
        <w:spacing w:line="362" w:lineRule="auto" w:before="0"/>
        <w:ind w:left="3362" w:right="2563" w:firstLine="0"/>
        <w:jc w:val="center"/>
        <w:rPr>
          <w:b/>
          <w:sz w:val="24"/>
        </w:rPr>
      </w:pPr>
      <w:r>
        <w:rPr>
          <w:b/>
          <w:sz w:val="24"/>
        </w:rPr>
        <w:t>TRABAJO TERMINAL DE GRADO MODALIDAD TESIS</w:t>
      </w:r>
    </w:p>
    <w:p>
      <w:pPr>
        <w:pStyle w:val="BodyText"/>
        <w:rPr>
          <w:b/>
          <w:sz w:val="24"/>
        </w:rPr>
      </w:pPr>
    </w:p>
    <w:p>
      <w:pPr>
        <w:spacing w:line="357" w:lineRule="auto" w:before="139"/>
        <w:ind w:left="2695" w:right="1901" w:firstLine="979"/>
        <w:jc w:val="left"/>
        <w:rPr>
          <w:b/>
          <w:sz w:val="26"/>
        </w:rPr>
      </w:pPr>
      <w:r>
        <w:rPr>
          <w:b/>
          <w:sz w:val="26"/>
        </w:rPr>
        <w:t>Que para obtener el grado </w:t>
      </w:r>
      <w:r>
        <w:rPr>
          <w:b/>
          <w:spacing w:val="-3"/>
          <w:sz w:val="26"/>
        </w:rPr>
        <w:t>de </w:t>
      </w:r>
      <w:r>
        <w:rPr>
          <w:b/>
          <w:sz w:val="26"/>
        </w:rPr>
        <w:t>Maestra en Análisis Espacial y</w:t>
      </w:r>
      <w:r>
        <w:rPr>
          <w:b/>
          <w:spacing w:val="-18"/>
          <w:sz w:val="26"/>
        </w:rPr>
        <w:t> </w:t>
      </w:r>
      <w:r>
        <w:rPr>
          <w:b/>
          <w:sz w:val="26"/>
        </w:rPr>
        <w:t>Geoinformática</w:t>
      </w:r>
    </w:p>
    <w:p>
      <w:pPr>
        <w:pStyle w:val="BodyText"/>
        <w:rPr>
          <w:b/>
          <w:sz w:val="26"/>
        </w:rPr>
      </w:pPr>
    </w:p>
    <w:p>
      <w:pPr>
        <w:spacing w:before="158"/>
        <w:ind w:left="1412" w:right="618" w:firstLine="0"/>
        <w:jc w:val="center"/>
        <w:rPr>
          <w:b/>
          <w:sz w:val="24"/>
        </w:rPr>
      </w:pPr>
      <w:r>
        <w:rPr>
          <w:b/>
          <w:sz w:val="24"/>
        </w:rPr>
        <w:t>Presenta</w:t>
      </w:r>
    </w:p>
    <w:p>
      <w:pPr>
        <w:spacing w:before="137"/>
        <w:ind w:left="1412" w:right="619" w:firstLine="0"/>
        <w:jc w:val="center"/>
        <w:rPr>
          <w:sz w:val="24"/>
        </w:rPr>
      </w:pPr>
      <w:r>
        <w:rPr>
          <w:sz w:val="24"/>
        </w:rPr>
        <w:t>Erika Colín Martínez</w:t>
      </w:r>
    </w:p>
    <w:p>
      <w:pPr>
        <w:pStyle w:val="BodyText"/>
        <w:rPr>
          <w:sz w:val="24"/>
        </w:rPr>
      </w:pPr>
    </w:p>
    <w:p>
      <w:pPr>
        <w:pStyle w:val="BodyText"/>
        <w:spacing w:before="3"/>
        <w:rPr>
          <w:sz w:val="24"/>
        </w:rPr>
      </w:pPr>
    </w:p>
    <w:p>
      <w:pPr>
        <w:spacing w:before="0"/>
        <w:ind w:left="1412" w:right="623" w:firstLine="0"/>
        <w:jc w:val="center"/>
        <w:rPr>
          <w:b/>
          <w:sz w:val="24"/>
        </w:rPr>
      </w:pPr>
      <w:r>
        <w:rPr>
          <w:b/>
          <w:sz w:val="24"/>
        </w:rPr>
        <w:t>Tutor académico</w:t>
      </w:r>
    </w:p>
    <w:p>
      <w:pPr>
        <w:spacing w:before="132"/>
        <w:ind w:left="1412" w:right="620" w:firstLine="0"/>
        <w:jc w:val="center"/>
        <w:rPr>
          <w:sz w:val="24"/>
        </w:rPr>
      </w:pPr>
      <w:r>
        <w:rPr>
          <w:sz w:val="24"/>
        </w:rPr>
        <w:t>Dr. José Emilio Baró Suárez</w:t>
      </w:r>
    </w:p>
    <w:p>
      <w:pPr>
        <w:pStyle w:val="BodyText"/>
        <w:rPr>
          <w:sz w:val="24"/>
        </w:rPr>
      </w:pPr>
    </w:p>
    <w:p>
      <w:pPr>
        <w:pStyle w:val="BodyText"/>
        <w:spacing w:before="7"/>
        <w:rPr>
          <w:sz w:val="24"/>
        </w:rPr>
      </w:pPr>
    </w:p>
    <w:p>
      <w:pPr>
        <w:spacing w:before="0"/>
        <w:ind w:left="1412" w:right="617" w:firstLine="0"/>
        <w:jc w:val="center"/>
        <w:rPr>
          <w:b/>
          <w:sz w:val="24"/>
        </w:rPr>
      </w:pPr>
      <w:r>
        <w:rPr>
          <w:b/>
          <w:sz w:val="24"/>
        </w:rPr>
        <w:t>Tutores adjuntos:</w:t>
      </w:r>
    </w:p>
    <w:p>
      <w:pPr>
        <w:spacing w:line="360" w:lineRule="auto" w:before="132"/>
        <w:ind w:left="3622" w:right="2808" w:firstLine="297"/>
        <w:jc w:val="left"/>
        <w:rPr>
          <w:sz w:val="24"/>
        </w:rPr>
      </w:pPr>
      <w:r>
        <w:rPr>
          <w:sz w:val="24"/>
        </w:rPr>
        <w:t>Dr. Fernando Carreto Bernal Dr. Jesús Gastón Cedillo Gutiérrez</w:t>
      </w:r>
    </w:p>
    <w:p>
      <w:pPr>
        <w:pStyle w:val="BodyText"/>
        <w:rPr>
          <w:sz w:val="24"/>
        </w:rPr>
      </w:pPr>
    </w:p>
    <w:p>
      <w:pPr>
        <w:pStyle w:val="BodyText"/>
        <w:rPr>
          <w:sz w:val="24"/>
        </w:rPr>
      </w:pPr>
    </w:p>
    <w:p>
      <w:pPr>
        <w:pStyle w:val="BodyText"/>
        <w:spacing w:before="7"/>
        <w:rPr>
          <w:sz w:val="24"/>
        </w:rPr>
      </w:pPr>
    </w:p>
    <w:p>
      <w:pPr>
        <w:tabs>
          <w:tab w:pos="7977" w:val="left" w:leader="none"/>
        </w:tabs>
        <w:spacing w:before="0"/>
        <w:ind w:left="786" w:right="0" w:firstLine="0"/>
        <w:jc w:val="center"/>
        <w:rPr>
          <w:sz w:val="24"/>
        </w:rPr>
      </w:pPr>
      <w:r>
        <w:rPr>
          <w:sz w:val="24"/>
        </w:rPr>
        <w:t>Toluca, Estado</w:t>
      </w:r>
      <w:r>
        <w:rPr>
          <w:spacing w:val="-2"/>
          <w:sz w:val="24"/>
        </w:rPr>
        <w:t> </w:t>
      </w:r>
      <w:r>
        <w:rPr>
          <w:sz w:val="24"/>
        </w:rPr>
        <w:t>de México</w:t>
        <w:tab/>
        <w:t>Diciembre,</w:t>
      </w:r>
      <w:r>
        <w:rPr>
          <w:spacing w:val="-11"/>
          <w:sz w:val="24"/>
        </w:rPr>
        <w:t> </w:t>
      </w:r>
      <w:r>
        <w:rPr>
          <w:sz w:val="24"/>
        </w:rPr>
        <w:t>2015</w:t>
      </w:r>
    </w:p>
    <w:p>
      <w:pPr>
        <w:spacing w:after="0"/>
        <w:jc w:val="center"/>
        <w:rPr>
          <w:sz w:val="24"/>
        </w:rPr>
        <w:sectPr>
          <w:type w:val="continuous"/>
          <w:pgSz w:w="12240" w:h="15840"/>
          <w:pgMar w:top="700" w:bottom="280" w:left="820" w:right="1620"/>
        </w:sectPr>
      </w:pPr>
    </w:p>
    <w:p>
      <w:pPr>
        <w:pStyle w:val="BodyText"/>
        <w:ind w:left="106"/>
        <w:rPr>
          <w:sz w:val="20"/>
        </w:rPr>
      </w:pPr>
      <w:r>
        <w:rPr>
          <w:sz w:val="20"/>
        </w:rPr>
        <w:drawing>
          <wp:inline distT="0" distB="0" distL="0" distR="0">
            <wp:extent cx="6616551" cy="8564213"/>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616551" cy="8564213"/>
                    </a:xfrm>
                    <a:prstGeom prst="rect">
                      <a:avLst/>
                    </a:prstGeom>
                  </pic:spPr>
                </pic:pic>
              </a:graphicData>
            </a:graphic>
          </wp:inline>
        </w:drawing>
      </w:r>
      <w:r>
        <w:rPr>
          <w:sz w:val="20"/>
        </w:rPr>
      </w:r>
    </w:p>
    <w:p>
      <w:pPr>
        <w:spacing w:after="0"/>
        <w:rPr>
          <w:sz w:val="20"/>
        </w:rPr>
        <w:sectPr>
          <w:pgSz w:w="12240" w:h="15840"/>
          <w:pgMar w:top="1420" w:bottom="280" w:left="680" w:right="760"/>
        </w:sectPr>
      </w:pPr>
    </w:p>
    <w:p>
      <w:pPr>
        <w:pStyle w:val="BodyText"/>
        <w:ind w:left="106"/>
        <w:rPr>
          <w:sz w:val="20"/>
        </w:rPr>
      </w:pPr>
      <w:r>
        <w:rPr>
          <w:sz w:val="20"/>
        </w:rPr>
        <w:drawing>
          <wp:inline distT="0" distB="0" distL="0" distR="0">
            <wp:extent cx="6474752" cy="839343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474752" cy="8393430"/>
                    </a:xfrm>
                    <a:prstGeom prst="rect">
                      <a:avLst/>
                    </a:prstGeom>
                  </pic:spPr>
                </pic:pic>
              </a:graphicData>
            </a:graphic>
          </wp:inline>
        </w:drawing>
      </w:r>
      <w:r>
        <w:rPr>
          <w:sz w:val="20"/>
        </w:rPr>
      </w:r>
    </w:p>
    <w:p>
      <w:pPr>
        <w:spacing w:after="0"/>
        <w:rPr>
          <w:sz w:val="20"/>
        </w:rPr>
        <w:sectPr>
          <w:pgSz w:w="12240" w:h="15840"/>
          <w:pgMar w:top="1420" w:bottom="280" w:left="880" w:right="820"/>
        </w:sectPr>
      </w:pPr>
    </w:p>
    <w:p>
      <w:pPr>
        <w:spacing w:before="53"/>
        <w:ind w:left="3651" w:right="3636" w:firstLine="0"/>
        <w:jc w:val="center"/>
        <w:rPr>
          <w:b/>
          <w:sz w:val="24"/>
        </w:rPr>
      </w:pPr>
      <w:r>
        <w:rPr>
          <w:b/>
          <w:sz w:val="24"/>
        </w:rPr>
        <w:t>Agradecimientos</w:t>
      </w:r>
    </w:p>
    <w:p>
      <w:pPr>
        <w:pStyle w:val="BodyText"/>
        <w:rPr>
          <w:b/>
          <w:sz w:val="26"/>
        </w:rPr>
      </w:pPr>
    </w:p>
    <w:p>
      <w:pPr>
        <w:pStyle w:val="BodyText"/>
        <w:spacing w:line="360" w:lineRule="auto"/>
        <w:ind w:left="119" w:right="105"/>
        <w:jc w:val="both"/>
      </w:pPr>
      <w:r>
        <w:rPr/>
        <w:t>A mi mamá y a </w:t>
      </w:r>
      <w:r>
        <w:rPr>
          <w:spacing w:val="-5"/>
        </w:rPr>
        <w:t>mi </w:t>
      </w:r>
      <w:r>
        <w:rPr/>
        <w:t>papá quienes desde pequeña me inculcaron el interés por </w:t>
      </w:r>
      <w:r>
        <w:rPr>
          <w:spacing w:val="-4"/>
        </w:rPr>
        <w:t>el </w:t>
      </w:r>
      <w:r>
        <w:rPr/>
        <w:t>estudio y que desde siempre me han querido y apoyado de una forma para la que no hay palabras. A </w:t>
      </w:r>
      <w:r>
        <w:rPr>
          <w:spacing w:val="-3"/>
        </w:rPr>
        <w:t>mis </w:t>
      </w:r>
      <w:r>
        <w:rPr/>
        <w:t>hermanas Jessi y Ale a quienes amo profundamente y son mi inspiración. Agradezco a Marco, quien siempre  estuvo apoyándome con todo su cariño, por </w:t>
      </w:r>
      <w:r>
        <w:rPr>
          <w:spacing w:val="-3"/>
        </w:rPr>
        <w:t>los </w:t>
      </w:r>
      <w:r>
        <w:rPr/>
        <w:t>constantes aprendizajes, pláticas, consejos y sobretodo, por su infinita</w:t>
      </w:r>
      <w:r>
        <w:rPr>
          <w:spacing w:val="-12"/>
        </w:rPr>
        <w:t> </w:t>
      </w:r>
      <w:r>
        <w:rPr/>
        <w:t>paciencia.</w:t>
      </w:r>
    </w:p>
    <w:p>
      <w:pPr>
        <w:pStyle w:val="BodyText"/>
        <w:spacing w:line="360" w:lineRule="auto" w:before="163"/>
        <w:ind w:left="119" w:right="103"/>
        <w:jc w:val="both"/>
      </w:pPr>
      <w:r>
        <w:rPr/>
        <w:t>Agradezco el apoyo otorgado por la Universidad Autónoma del Estado de México, a los profesores de la Facultad de Geografía, sobre todo a la Dra. Patricia Flores por las revisiones y aportes al trabajo de investigación y por todo su apoyo en la gestión para la realización del intercambio académico. A mis compañeros de generación con quienes aprendí Geografía y algo más, muy especialmente a Edgardo, César, Alberto y Emmanuel. A mis colegas Ana y Hugo quienes siempre estuvieron al pendiente de mí y con quienes disfruto mucho mis visitas a la Ciudad de México.</w:t>
      </w:r>
    </w:p>
    <w:p>
      <w:pPr>
        <w:pStyle w:val="BodyText"/>
        <w:spacing w:line="360" w:lineRule="auto" w:before="163"/>
        <w:ind w:left="119" w:right="101"/>
        <w:jc w:val="both"/>
      </w:pPr>
      <w:r>
        <w:rPr/>
        <w:t>Al Consejo Nacional de Ciencia y Tecnología por la beca otorgada para realizar mis estudios de maestría. También agradezco a las instituciones que me apoyaron con información. Especialmente a la PAOT de la cual obtuve los datos medulares para este trabajo.</w:t>
      </w:r>
    </w:p>
    <w:p>
      <w:pPr>
        <w:pStyle w:val="BodyText"/>
        <w:spacing w:line="360" w:lineRule="auto" w:before="167"/>
        <w:ind w:left="119" w:right="107"/>
        <w:jc w:val="both"/>
      </w:pPr>
      <w:r>
        <w:rPr/>
        <w:t>Agradezco enormemente a la Universidad de Concepción, Chile por permitirme realizar  intercambio académico en el Magíster de Análisis Geográfico, muy especialmente a la Dra. Carolina Rojas por las facilidades otorgadas durante ese proceso. Asimismo, mi </w:t>
      </w:r>
      <w:r>
        <w:rPr>
          <w:spacing w:val="-2"/>
        </w:rPr>
        <w:t>más </w:t>
      </w:r>
      <w:r>
        <w:rPr/>
        <w:t>sincero agradecimiento </w:t>
      </w:r>
      <w:r>
        <w:rPr>
          <w:spacing w:val="3"/>
        </w:rPr>
        <w:t>al </w:t>
      </w:r>
      <w:r>
        <w:rPr/>
        <w:t>Dr. Leonel Pérez, quien fuera </w:t>
      </w:r>
      <w:r>
        <w:rPr>
          <w:spacing w:val="-5"/>
        </w:rPr>
        <w:t>mi </w:t>
      </w:r>
      <w:r>
        <w:rPr/>
        <w:t>asesor externo durante mi estancia en Chile, por tan oportunas y acertadas observaciones, así como por </w:t>
      </w:r>
      <w:r>
        <w:rPr>
          <w:spacing w:val="-3"/>
        </w:rPr>
        <w:t>los </w:t>
      </w:r>
      <w:r>
        <w:rPr/>
        <w:t>valiosos aportes a este</w:t>
      </w:r>
      <w:r>
        <w:rPr>
          <w:spacing w:val="-19"/>
        </w:rPr>
        <w:t> </w:t>
      </w:r>
      <w:r>
        <w:rPr/>
        <w:t>trabajo.</w:t>
      </w:r>
    </w:p>
    <w:p>
      <w:pPr>
        <w:pStyle w:val="BodyText"/>
        <w:spacing w:line="360" w:lineRule="auto" w:before="163"/>
        <w:ind w:left="119" w:right="108"/>
        <w:jc w:val="both"/>
      </w:pPr>
      <w:r>
        <w:rPr/>
        <w:t>Finalmente, agradezco a mi comité asesor por las revisiones, los comentarios y sugerencias a la presente investigación. A mi director de tesis el Dr. José Emilio Baró y a mis tutores adjuntos el Dr. Jesús Gastón y el Dr. Fernando Carreto.</w:t>
      </w:r>
    </w:p>
    <w:p>
      <w:pPr>
        <w:spacing w:after="0" w:line="360" w:lineRule="auto"/>
        <w:jc w:val="both"/>
        <w:sectPr>
          <w:pgSz w:w="12240" w:h="15840"/>
          <w:pgMar w:top="1360" w:bottom="280" w:left="1580" w:right="1600"/>
        </w:sectPr>
      </w:pPr>
    </w:p>
    <w:p>
      <w:pPr>
        <w:pStyle w:val="Heading1"/>
        <w:spacing w:before="57"/>
      </w:pPr>
      <w:bookmarkStart w:name="_bookmark0" w:id="1"/>
      <w:bookmarkEnd w:id="1"/>
      <w:r>
        <w:rPr>
          <w:b w:val="0"/>
        </w:rPr>
      </w:r>
      <w:r>
        <w:rPr/>
        <w:t>RESUMEN</w:t>
      </w:r>
    </w:p>
    <w:p>
      <w:pPr>
        <w:pStyle w:val="BodyText"/>
        <w:rPr>
          <w:b/>
        </w:rPr>
      </w:pPr>
    </w:p>
    <w:p>
      <w:pPr>
        <w:pStyle w:val="BodyText"/>
        <w:spacing w:before="7"/>
        <w:rPr>
          <w:b/>
          <w:sz w:val="18"/>
        </w:rPr>
      </w:pPr>
    </w:p>
    <w:p>
      <w:pPr>
        <w:pStyle w:val="BodyText"/>
        <w:spacing w:line="360" w:lineRule="auto"/>
        <w:ind w:left="119" w:right="119"/>
        <w:jc w:val="both"/>
      </w:pPr>
      <w:r>
        <w:rPr/>
        <w:t>En décadas recientes, la zona poniente de la Ciudad de México </w:t>
      </w:r>
      <w:r>
        <w:rPr>
          <w:spacing w:val="-3"/>
        </w:rPr>
        <w:t>ha </w:t>
      </w:r>
      <w:r>
        <w:rPr/>
        <w:t>presentado problemáticas ambientales derivadas de la ocupación de terrenos y/o construcción de viviendas fuera de los límites urbanos preexistentes. El proceso social denominado </w:t>
      </w:r>
      <w:r>
        <w:rPr>
          <w:i/>
        </w:rPr>
        <w:t>asentamientos humanos irregulares</w:t>
      </w:r>
      <w:r>
        <w:rPr/>
        <w:t>, </w:t>
      </w:r>
      <w:r>
        <w:rPr>
          <w:spacing w:val="-4"/>
        </w:rPr>
        <w:t>es </w:t>
      </w:r>
      <w:r>
        <w:rPr/>
        <w:t>caracterizado por la particular forma de ocupar, organizar, acondicionar y utilizar el espacio urbano, que en su gran mayoría pertenece a grupos económicamente marginados con grandes deficiencias en la infraestructura y calidad de la</w:t>
      </w:r>
      <w:r>
        <w:rPr>
          <w:spacing w:val="-13"/>
        </w:rPr>
        <w:t> </w:t>
      </w:r>
      <w:r>
        <w:rPr/>
        <w:t>vivienda.</w:t>
      </w:r>
    </w:p>
    <w:p>
      <w:pPr>
        <w:pStyle w:val="BodyText"/>
      </w:pPr>
    </w:p>
    <w:p>
      <w:pPr>
        <w:pStyle w:val="BodyText"/>
      </w:pPr>
    </w:p>
    <w:p>
      <w:pPr>
        <w:pStyle w:val="BodyText"/>
        <w:spacing w:before="3"/>
        <w:rPr>
          <w:sz w:val="17"/>
        </w:rPr>
      </w:pPr>
    </w:p>
    <w:p>
      <w:pPr>
        <w:pStyle w:val="BodyText"/>
        <w:spacing w:line="360" w:lineRule="auto"/>
        <w:ind w:left="119" w:right="116"/>
        <w:jc w:val="both"/>
      </w:pPr>
      <w:r>
        <w:rPr/>
        <w:t>Es a partir de esta problemática que se plantea mediante técnicas de análisis espacial el estudio de la dinámica de los asentamientos humanos irregulares en suelo de conservación en tres delegaciones al poniente de la Ciudad de México: Álvaro Obregón, Cuajimalpa y Magdalena Contreras. El trabajo consiste en una caracterización de los asentamientos irregulares presentes en la zona de estudio, así como un análisis basado en la fotointerpretación para la tipificación de patrones urbanos de ocupación irregular. Una vez conocidas las características territoriales y urbanas; y mediante una Evaluación Multicriterio con distintas variables del medio físico y sociales presentes en la zona se identifican las áreas susceptibles a deslizamientos en el suelo de conservación, la intención de este objetivo es conocer las áreas de riesgo y los asentamientos irregulares que podrían ser afectados por dicho proceso. Por último, la integración de un escenario prospectivo de expansión  de asentamientos busca predecir las áreas que por sus características físicas y antrópicas sean susceptibles de nuevas invasiones.</w:t>
      </w:r>
    </w:p>
    <w:p>
      <w:pPr>
        <w:pStyle w:val="BodyText"/>
      </w:pPr>
    </w:p>
    <w:p>
      <w:pPr>
        <w:pStyle w:val="BodyText"/>
      </w:pPr>
    </w:p>
    <w:p>
      <w:pPr>
        <w:pStyle w:val="BodyText"/>
        <w:spacing w:before="4"/>
        <w:rPr>
          <w:sz w:val="17"/>
        </w:rPr>
      </w:pPr>
    </w:p>
    <w:p>
      <w:pPr>
        <w:pStyle w:val="BodyText"/>
        <w:spacing w:line="360" w:lineRule="auto"/>
        <w:ind w:left="119" w:right="123"/>
        <w:jc w:val="both"/>
      </w:pPr>
      <w:r>
        <w:rPr/>
        <w:t>La finalidad de esta investigación es ampliar el conocimiento del actual proceso de ocupación irregular en el área de estudio bajo distintas perspectivas encaminadas al uso de herramientas tecnológicas de información geográfica. Los resultados obtenidos proveen un importante panorama para los responsables del desarrollo urbano en la toma de decisiones, presentando una alternativa para que las diferentes instancias del gobierno puedan brindar respuesta ágil a los problemas de regularización, falta de infraestructura, servicios urbanos, así como la prevención a riesgos naturales y futuras invasiones por asentamientos irregulares en el suelo de conservación.</w:t>
      </w:r>
    </w:p>
    <w:p>
      <w:pPr>
        <w:spacing w:after="0" w:line="360" w:lineRule="auto"/>
        <w:jc w:val="both"/>
        <w:sectPr>
          <w:pgSz w:w="12240" w:h="15840"/>
          <w:pgMar w:top="1360" w:bottom="280" w:left="1580" w:right="1580"/>
        </w:sectPr>
      </w:pPr>
    </w:p>
    <w:p>
      <w:pPr>
        <w:spacing w:before="19"/>
        <w:ind w:left="119" w:right="0" w:firstLine="0"/>
        <w:jc w:val="left"/>
        <w:rPr>
          <w:rFonts w:ascii="Calibri Light"/>
          <w:b w:val="0"/>
          <w:sz w:val="32"/>
        </w:rPr>
      </w:pPr>
      <w:r>
        <w:rPr>
          <w:rFonts w:ascii="Calibri Light"/>
          <w:b w:val="0"/>
          <w:sz w:val="32"/>
        </w:rPr>
        <w:t>Contenido</w:t>
      </w:r>
    </w:p>
    <w:p>
      <w:pPr>
        <w:spacing w:after="0"/>
        <w:jc w:val="left"/>
        <w:rPr>
          <w:rFonts w:ascii="Calibri Light"/>
          <w:sz w:val="32"/>
        </w:rPr>
        <w:sectPr>
          <w:pgSz w:w="12240" w:h="15840"/>
          <w:pgMar w:top="1400" w:bottom="1824" w:left="1580" w:right="1600"/>
        </w:sectPr>
      </w:pPr>
    </w:p>
    <w:sdt>
      <w:sdtPr>
        <w:docPartObj>
          <w:docPartGallery w:val="Table of Contents"/>
          <w:docPartUnique/>
        </w:docPartObj>
      </w:sdtPr>
      <w:sdtEndPr/>
      <w:sdtContent>
        <w:p>
          <w:pPr>
            <w:pStyle w:val="TOC1"/>
            <w:tabs>
              <w:tab w:pos="8950" w:val="right" w:leader="dot"/>
            </w:tabs>
            <w:spacing w:before="20"/>
          </w:pPr>
          <w:hyperlink w:history="true" w:anchor="_bookmark0">
            <w:r>
              <w:rPr/>
              <w:t>RESUMEN</w:t>
              <w:tab/>
              <w:t>5</w:t>
            </w:r>
          </w:hyperlink>
        </w:p>
        <w:p>
          <w:pPr>
            <w:pStyle w:val="TOC2"/>
            <w:tabs>
              <w:tab w:pos="8950" w:val="right" w:leader="dot"/>
            </w:tabs>
            <w:spacing w:before="122"/>
          </w:pPr>
          <w:hyperlink w:history="true" w:anchor="_bookmark1">
            <w:r>
              <w:rPr/>
              <w:t>INTRODUCCIÓN</w:t>
              <w:tab/>
              <w:t>10</w:t>
            </w:r>
          </w:hyperlink>
        </w:p>
        <w:p>
          <w:pPr>
            <w:pStyle w:val="TOC3"/>
            <w:numPr>
              <w:ilvl w:val="0"/>
              <w:numId w:val="1"/>
            </w:numPr>
            <w:tabs>
              <w:tab w:pos="998" w:val="left" w:leader="none"/>
              <w:tab w:pos="999" w:val="left" w:leader="none"/>
              <w:tab w:pos="8950" w:val="right" w:leader="dot"/>
            </w:tabs>
            <w:spacing w:line="240" w:lineRule="auto" w:before="116" w:after="0"/>
            <w:ind w:left="998" w:right="0" w:hanging="437"/>
            <w:jc w:val="left"/>
          </w:pPr>
          <w:hyperlink w:history="true" w:anchor="_bookmark2">
            <w:r>
              <w:rPr/>
              <w:t>PLANTEAMIENTO DEL</w:t>
            </w:r>
            <w:r>
              <w:rPr>
                <w:spacing w:val="-5"/>
              </w:rPr>
              <w:t> </w:t>
            </w:r>
            <w:r>
              <w:rPr/>
              <w:t>PROBLEMA</w:t>
              <w:tab/>
              <w:t>12</w:t>
            </w:r>
          </w:hyperlink>
        </w:p>
        <w:p>
          <w:pPr>
            <w:pStyle w:val="TOC3"/>
            <w:numPr>
              <w:ilvl w:val="0"/>
              <w:numId w:val="1"/>
            </w:numPr>
            <w:tabs>
              <w:tab w:pos="998" w:val="left" w:leader="none"/>
              <w:tab w:pos="999" w:val="left" w:leader="none"/>
              <w:tab w:pos="8950" w:val="right" w:leader="dot"/>
            </w:tabs>
            <w:spacing w:line="240" w:lineRule="auto" w:before="121" w:after="0"/>
            <w:ind w:left="998" w:right="0" w:hanging="437"/>
            <w:jc w:val="left"/>
          </w:pPr>
          <w:hyperlink w:history="true" w:anchor="_bookmark3">
            <w:r>
              <w:rPr/>
              <w:t>PREGUNTA</w:t>
            </w:r>
            <w:r>
              <w:rPr>
                <w:spacing w:val="-5"/>
              </w:rPr>
              <w:t> </w:t>
            </w:r>
            <w:r>
              <w:rPr/>
              <w:t>DE</w:t>
            </w:r>
            <w:r>
              <w:rPr>
                <w:spacing w:val="1"/>
              </w:rPr>
              <w:t> </w:t>
            </w:r>
            <w:r>
              <w:rPr/>
              <w:t>INVESTIGACIÓN</w:t>
              <w:tab/>
              <w:t>12</w:t>
            </w:r>
          </w:hyperlink>
        </w:p>
        <w:p>
          <w:pPr>
            <w:pStyle w:val="TOC3"/>
            <w:numPr>
              <w:ilvl w:val="0"/>
              <w:numId w:val="1"/>
            </w:numPr>
            <w:tabs>
              <w:tab w:pos="840" w:val="left" w:leader="none"/>
              <w:tab w:pos="8950" w:val="right" w:leader="dot"/>
            </w:tabs>
            <w:spacing w:line="240" w:lineRule="auto" w:before="121" w:after="0"/>
            <w:ind w:left="839" w:right="0" w:hanging="278"/>
            <w:jc w:val="left"/>
          </w:pPr>
          <w:hyperlink w:history="true" w:anchor="_bookmark4">
            <w:r>
              <w:rPr/>
              <w:t>JUSTIFICACIÓN</w:t>
              <w:tab/>
              <w:t>13</w:t>
            </w:r>
          </w:hyperlink>
        </w:p>
        <w:p>
          <w:pPr>
            <w:pStyle w:val="TOC3"/>
            <w:tabs>
              <w:tab w:pos="998" w:val="left" w:leader="none"/>
              <w:tab w:pos="8950" w:val="right" w:leader="dot"/>
            </w:tabs>
            <w:spacing w:before="122"/>
            <w:ind w:left="561" w:firstLine="0"/>
          </w:pPr>
          <w:hyperlink w:history="true" w:anchor="_bookmark5">
            <w:r>
              <w:rPr/>
              <w:t>C)</w:t>
              <w:tab/>
              <w:t>OBJETIVOS</w:t>
              <w:tab/>
              <w:t>14</w:t>
            </w:r>
          </w:hyperlink>
        </w:p>
        <w:p>
          <w:pPr>
            <w:pStyle w:val="TOC3"/>
            <w:tabs>
              <w:tab w:pos="8950" w:val="right" w:leader="dot"/>
            </w:tabs>
            <w:spacing w:before="116"/>
            <w:ind w:left="561" w:firstLine="0"/>
          </w:pPr>
          <w:hyperlink w:history="true" w:anchor="_bookmark6">
            <w:r>
              <w:rPr/>
              <w:t>OBJETIVO GENERAL</w:t>
              <w:tab/>
              <w:t>14</w:t>
            </w:r>
          </w:hyperlink>
        </w:p>
        <w:p>
          <w:pPr>
            <w:pStyle w:val="TOC3"/>
            <w:tabs>
              <w:tab w:pos="8950" w:val="right" w:leader="dot"/>
            </w:tabs>
            <w:ind w:left="561" w:firstLine="0"/>
          </w:pPr>
          <w:hyperlink w:history="true" w:anchor="_bookmark7">
            <w:r>
              <w:rPr/>
              <w:t>OBJETIVOS</w:t>
            </w:r>
            <w:r>
              <w:rPr>
                <w:spacing w:val="3"/>
              </w:rPr>
              <w:t> </w:t>
            </w:r>
            <w:r>
              <w:rPr/>
              <w:t>ESPECÍFICOS</w:t>
              <w:tab/>
              <w:t>14</w:t>
            </w:r>
          </w:hyperlink>
        </w:p>
        <w:p>
          <w:pPr>
            <w:pStyle w:val="TOC1"/>
            <w:tabs>
              <w:tab w:pos="8950" w:val="right" w:leader="dot"/>
            </w:tabs>
            <w:spacing w:line="259" w:lineRule="auto"/>
            <w:ind w:right="107"/>
          </w:pPr>
          <w:hyperlink w:history="true" w:anchor="_bookmark8">
            <w:r>
              <w:rPr/>
              <w:t>CAPÍTULO I. MARCO TEÓRICO, CONCEPTUAL Y NORMATIVO. LA INVESTIGACIÓN</w:t>
            </w:r>
          </w:hyperlink>
          <w:r>
            <w:rPr/>
            <w:t> </w:t>
          </w:r>
          <w:hyperlink w:history="true" w:anchor="_bookmark8">
            <w:r>
              <w:rPr/>
              <w:t>DENTRO DEL MARCO DE LA GEOGRAFÍA Y LA</w:t>
            </w:r>
            <w:r>
              <w:rPr>
                <w:spacing w:val="-14"/>
              </w:rPr>
              <w:t> </w:t>
            </w:r>
            <w:r>
              <w:rPr/>
              <w:t>GEOGRAFÍA</w:t>
            </w:r>
            <w:r>
              <w:rPr>
                <w:spacing w:val="-5"/>
              </w:rPr>
              <w:t> </w:t>
            </w:r>
            <w:r>
              <w:rPr/>
              <w:t>AMBIENTAL</w:t>
              <w:tab/>
              <w:t>15</w:t>
            </w:r>
          </w:hyperlink>
        </w:p>
        <w:p>
          <w:pPr>
            <w:pStyle w:val="TOC2"/>
            <w:tabs>
              <w:tab w:pos="8950" w:val="right" w:leader="dot"/>
            </w:tabs>
            <w:spacing w:before="97"/>
          </w:pPr>
          <w:hyperlink w:history="true" w:anchor="_bookmark9">
            <w:r>
              <w:rPr/>
              <w:t>1.1 Antecedentes de</w:t>
            </w:r>
            <w:r>
              <w:rPr>
                <w:spacing w:val="-2"/>
              </w:rPr>
              <w:t> </w:t>
            </w:r>
            <w:r>
              <w:rPr/>
              <w:t>la</w:t>
            </w:r>
            <w:r>
              <w:rPr>
                <w:spacing w:val="4"/>
              </w:rPr>
              <w:t> </w:t>
            </w:r>
            <w:r>
              <w:rPr/>
              <w:t>investigación</w:t>
              <w:tab/>
              <w:t>15</w:t>
            </w:r>
          </w:hyperlink>
        </w:p>
        <w:p>
          <w:pPr>
            <w:pStyle w:val="TOC2"/>
            <w:numPr>
              <w:ilvl w:val="1"/>
              <w:numId w:val="2"/>
            </w:numPr>
            <w:tabs>
              <w:tab w:pos="730" w:val="left" w:leader="none"/>
              <w:tab w:pos="8950" w:val="right" w:leader="dot"/>
            </w:tabs>
            <w:spacing w:line="240" w:lineRule="auto" w:before="121" w:after="0"/>
            <w:ind w:left="729" w:right="0" w:hanging="389"/>
            <w:jc w:val="left"/>
          </w:pPr>
          <w:hyperlink w:history="true" w:anchor="_bookmark10">
            <w:r>
              <w:rPr/>
              <w:t>Marco</w:t>
            </w:r>
            <w:r>
              <w:rPr>
                <w:spacing w:val="-4"/>
              </w:rPr>
              <w:t> </w:t>
            </w:r>
            <w:r>
              <w:rPr/>
              <w:t>teórico-epistemológico</w:t>
              <w:tab/>
              <w:t>18</w:t>
            </w:r>
          </w:hyperlink>
        </w:p>
        <w:p>
          <w:pPr>
            <w:pStyle w:val="TOC3"/>
            <w:numPr>
              <w:ilvl w:val="2"/>
              <w:numId w:val="2"/>
            </w:numPr>
            <w:tabs>
              <w:tab w:pos="1061" w:val="left" w:leader="none"/>
              <w:tab w:pos="8950" w:val="right" w:leader="dot"/>
            </w:tabs>
            <w:spacing w:line="240" w:lineRule="auto" w:before="121" w:after="0"/>
            <w:ind w:left="1060" w:right="0" w:hanging="499"/>
            <w:jc w:val="left"/>
          </w:pPr>
          <w:hyperlink w:history="true" w:anchor="_bookmark11">
            <w:r>
              <w:rPr/>
              <w:t>Conceptualizaciones</w:t>
              <w:tab/>
              <w:t>20</w:t>
            </w:r>
          </w:hyperlink>
        </w:p>
        <w:p>
          <w:pPr>
            <w:pStyle w:val="TOC3"/>
            <w:numPr>
              <w:ilvl w:val="2"/>
              <w:numId w:val="2"/>
            </w:numPr>
            <w:tabs>
              <w:tab w:pos="1061" w:val="left" w:leader="none"/>
              <w:tab w:pos="8950" w:val="right" w:leader="dot"/>
            </w:tabs>
            <w:spacing w:line="240" w:lineRule="auto" w:before="116" w:after="0"/>
            <w:ind w:left="1060" w:right="0" w:hanging="499"/>
            <w:jc w:val="left"/>
          </w:pPr>
          <w:hyperlink w:history="true" w:anchor="_bookmark12">
            <w:r>
              <w:rPr/>
              <w:t>Geografía y</w:t>
            </w:r>
            <w:r>
              <w:rPr>
                <w:spacing w:val="1"/>
              </w:rPr>
              <w:t> </w:t>
            </w:r>
            <w:r>
              <w:rPr/>
              <w:t>espacio</w:t>
            </w:r>
            <w:r>
              <w:rPr>
                <w:spacing w:val="-4"/>
              </w:rPr>
              <w:t> </w:t>
            </w:r>
            <w:r>
              <w:rPr/>
              <w:t>geográfico</w:t>
              <w:tab/>
              <w:t>21</w:t>
            </w:r>
          </w:hyperlink>
        </w:p>
        <w:p>
          <w:pPr>
            <w:pStyle w:val="TOC3"/>
            <w:numPr>
              <w:ilvl w:val="2"/>
              <w:numId w:val="2"/>
            </w:numPr>
            <w:tabs>
              <w:tab w:pos="1061" w:val="left" w:leader="none"/>
              <w:tab w:pos="8950" w:val="right" w:leader="dot"/>
            </w:tabs>
            <w:spacing w:line="240" w:lineRule="auto" w:before="122" w:after="0"/>
            <w:ind w:left="1060" w:right="0" w:hanging="499"/>
            <w:jc w:val="left"/>
          </w:pPr>
          <w:hyperlink w:history="true" w:anchor="_bookmark13">
            <w:r>
              <w:rPr/>
              <w:t>Organización del</w:t>
            </w:r>
            <w:r>
              <w:rPr>
                <w:spacing w:val="-1"/>
              </w:rPr>
              <w:t> </w:t>
            </w:r>
            <w:r>
              <w:rPr/>
              <w:t>espacio</w:t>
            </w:r>
            <w:r>
              <w:rPr>
                <w:spacing w:val="1"/>
              </w:rPr>
              <w:t> </w:t>
            </w:r>
            <w:r>
              <w:rPr/>
              <w:t>geográfico</w:t>
              <w:tab/>
              <w:t>22</w:t>
            </w:r>
          </w:hyperlink>
        </w:p>
        <w:p>
          <w:pPr>
            <w:pStyle w:val="TOC2"/>
            <w:numPr>
              <w:ilvl w:val="1"/>
              <w:numId w:val="3"/>
            </w:numPr>
            <w:tabs>
              <w:tab w:pos="677" w:val="left" w:leader="none"/>
              <w:tab w:pos="8950" w:val="right" w:leader="dot"/>
            </w:tabs>
            <w:spacing w:line="240" w:lineRule="auto" w:before="121" w:after="0"/>
            <w:ind w:left="340" w:right="0" w:firstLine="0"/>
            <w:jc w:val="left"/>
          </w:pPr>
          <w:hyperlink w:history="true" w:anchor="_bookmark14">
            <w:r>
              <w:rPr/>
              <w:t>Enfoques geográficos aplicados a la</w:t>
            </w:r>
            <w:r>
              <w:rPr>
                <w:spacing w:val="7"/>
              </w:rPr>
              <w:t> </w:t>
            </w:r>
            <w:r>
              <w:rPr/>
              <w:t>cuestión</w:t>
            </w:r>
            <w:r>
              <w:rPr>
                <w:spacing w:val="1"/>
              </w:rPr>
              <w:t> </w:t>
            </w:r>
            <w:r>
              <w:rPr/>
              <w:t>medioambiental</w:t>
              <w:tab/>
              <w:t>24</w:t>
            </w:r>
          </w:hyperlink>
        </w:p>
        <w:p>
          <w:pPr>
            <w:pStyle w:val="TOC3"/>
            <w:numPr>
              <w:ilvl w:val="2"/>
              <w:numId w:val="3"/>
            </w:numPr>
            <w:tabs>
              <w:tab w:pos="1061" w:val="left" w:leader="none"/>
              <w:tab w:pos="8950" w:val="right" w:leader="dot"/>
            </w:tabs>
            <w:spacing w:line="240" w:lineRule="auto" w:before="121" w:after="0"/>
            <w:ind w:left="1060" w:right="0" w:hanging="499"/>
            <w:jc w:val="left"/>
          </w:pPr>
          <w:hyperlink w:history="true" w:anchor="_bookmark15">
            <w:r>
              <w:rPr/>
              <w:t>El medio ambiente como objeto de</w:t>
            </w:r>
            <w:r>
              <w:rPr>
                <w:spacing w:val="-13"/>
              </w:rPr>
              <w:t> </w:t>
            </w:r>
            <w:r>
              <w:rPr/>
              <w:t>estudio</w:t>
            </w:r>
            <w:r>
              <w:rPr>
                <w:spacing w:val="-4"/>
              </w:rPr>
              <w:t> </w:t>
            </w:r>
            <w:r>
              <w:rPr/>
              <w:t>geográfico</w:t>
              <w:tab/>
              <w:t>25</w:t>
            </w:r>
          </w:hyperlink>
        </w:p>
        <w:p>
          <w:pPr>
            <w:pStyle w:val="TOC3"/>
            <w:numPr>
              <w:ilvl w:val="2"/>
              <w:numId w:val="3"/>
            </w:numPr>
            <w:tabs>
              <w:tab w:pos="1061" w:val="left" w:leader="none"/>
              <w:tab w:pos="8950" w:val="right" w:leader="dot"/>
            </w:tabs>
            <w:spacing w:line="240" w:lineRule="auto" w:before="116" w:after="0"/>
            <w:ind w:left="1060" w:right="0" w:hanging="499"/>
            <w:jc w:val="left"/>
          </w:pPr>
          <w:hyperlink w:history="true" w:anchor="_bookmark16">
            <w:r>
              <w:rPr/>
              <w:t>Las relaciones entre el hombre y </w:t>
            </w:r>
            <w:r>
              <w:rPr>
                <w:spacing w:val="-4"/>
              </w:rPr>
              <w:t>el</w:t>
            </w:r>
            <w:r>
              <w:rPr>
                <w:spacing w:val="1"/>
              </w:rPr>
              <w:t> </w:t>
            </w:r>
            <w:r>
              <w:rPr/>
              <w:t>medio</w:t>
            </w:r>
            <w:r>
              <w:rPr>
                <w:spacing w:val="-4"/>
              </w:rPr>
              <w:t> </w:t>
            </w:r>
            <w:r>
              <w:rPr/>
              <w:t>físico</w:t>
              <w:tab/>
              <w:t>26</w:t>
            </w:r>
          </w:hyperlink>
        </w:p>
        <w:p>
          <w:pPr>
            <w:pStyle w:val="TOC2"/>
            <w:numPr>
              <w:ilvl w:val="1"/>
              <w:numId w:val="3"/>
            </w:numPr>
            <w:tabs>
              <w:tab w:pos="677" w:val="left" w:leader="none"/>
              <w:tab w:pos="8950" w:val="right" w:leader="dot"/>
            </w:tabs>
            <w:spacing w:line="240" w:lineRule="auto" w:before="122" w:after="0"/>
            <w:ind w:left="676" w:right="0" w:hanging="336"/>
            <w:jc w:val="left"/>
          </w:pPr>
          <w:hyperlink w:history="true" w:anchor="_bookmark17">
            <w:r>
              <w:rPr/>
              <w:t>Geografía aplicada a la planificación y a</w:t>
            </w:r>
            <w:r>
              <w:rPr>
                <w:spacing w:val="5"/>
              </w:rPr>
              <w:t> </w:t>
            </w:r>
            <w:r>
              <w:rPr/>
              <w:t>la</w:t>
            </w:r>
            <w:r>
              <w:rPr>
                <w:spacing w:val="4"/>
              </w:rPr>
              <w:t> </w:t>
            </w:r>
            <w:r>
              <w:rPr/>
              <w:t>gestión</w:t>
              <w:tab/>
              <w:t>27</w:t>
            </w:r>
          </w:hyperlink>
        </w:p>
        <w:p>
          <w:pPr>
            <w:pStyle w:val="TOC3"/>
            <w:numPr>
              <w:ilvl w:val="2"/>
              <w:numId w:val="3"/>
            </w:numPr>
            <w:tabs>
              <w:tab w:pos="1061" w:val="left" w:leader="none"/>
              <w:tab w:pos="8950" w:val="right" w:leader="dot"/>
            </w:tabs>
            <w:spacing w:line="240" w:lineRule="auto" w:before="121" w:after="0"/>
            <w:ind w:left="1060" w:right="0" w:hanging="499"/>
            <w:jc w:val="left"/>
          </w:pPr>
          <w:hyperlink w:history="true" w:anchor="_bookmark18">
            <w:r>
              <w:rPr/>
              <w:t>Planificación</w:t>
            </w:r>
            <w:r>
              <w:rPr>
                <w:spacing w:val="1"/>
              </w:rPr>
              <w:t> </w:t>
            </w:r>
            <w:r>
              <w:rPr/>
              <w:t>estratégica</w:t>
              <w:tab/>
              <w:t>30</w:t>
            </w:r>
          </w:hyperlink>
        </w:p>
        <w:p>
          <w:pPr>
            <w:pStyle w:val="TOC2"/>
            <w:numPr>
              <w:ilvl w:val="1"/>
              <w:numId w:val="3"/>
            </w:numPr>
            <w:tabs>
              <w:tab w:pos="696" w:val="left" w:leader="none"/>
              <w:tab w:pos="8950" w:val="right" w:leader="dot"/>
            </w:tabs>
            <w:spacing w:line="259" w:lineRule="auto" w:before="116" w:after="0"/>
            <w:ind w:left="340" w:right="107" w:firstLine="0"/>
            <w:jc w:val="left"/>
          </w:pPr>
          <w:hyperlink w:history="true" w:anchor="_bookmark19">
            <w:r>
              <w:rPr/>
              <w:t>Marco normativo aplicado al problema territorial de los asentamientos humanos irregulares</w:t>
            </w:r>
          </w:hyperlink>
          <w:r>
            <w:rPr/>
            <w:t> </w:t>
          </w:r>
          <w:hyperlink w:history="true" w:anchor="_bookmark19">
            <w:r>
              <w:rPr/>
              <w:t>en suelo</w:t>
            </w:r>
            <w:r>
              <w:rPr>
                <w:spacing w:val="-2"/>
              </w:rPr>
              <w:t> </w:t>
            </w:r>
            <w:r>
              <w:rPr/>
              <w:t>de</w:t>
            </w:r>
            <w:r>
              <w:rPr>
                <w:spacing w:val="-5"/>
              </w:rPr>
              <w:t> </w:t>
            </w:r>
            <w:r>
              <w:rPr/>
              <w:t>conservación</w:t>
              <w:tab/>
              <w:t>31</w:t>
            </w:r>
          </w:hyperlink>
        </w:p>
        <w:p>
          <w:pPr>
            <w:pStyle w:val="TOC3"/>
            <w:numPr>
              <w:ilvl w:val="2"/>
              <w:numId w:val="3"/>
            </w:numPr>
            <w:tabs>
              <w:tab w:pos="1061" w:val="left" w:leader="none"/>
              <w:tab w:pos="8950" w:val="right" w:leader="dot"/>
            </w:tabs>
            <w:spacing w:line="240" w:lineRule="auto" w:before="102" w:after="0"/>
            <w:ind w:left="561" w:right="0" w:firstLine="0"/>
            <w:jc w:val="left"/>
          </w:pPr>
          <w:hyperlink w:history="true" w:anchor="_bookmark20">
            <w:r>
              <w:rPr>
                <w:spacing w:val="-3"/>
              </w:rPr>
              <w:t>Ley </w:t>
            </w:r>
            <w:r>
              <w:rPr/>
              <w:t>General de</w:t>
            </w:r>
            <w:r>
              <w:rPr>
                <w:spacing w:val="-3"/>
              </w:rPr>
              <w:t> </w:t>
            </w:r>
            <w:r>
              <w:rPr/>
              <w:t>Asentamientos</w:t>
            </w:r>
            <w:r>
              <w:rPr>
                <w:spacing w:val="1"/>
              </w:rPr>
              <w:t> </w:t>
            </w:r>
            <w:r>
              <w:rPr/>
              <w:t>Humanos</w:t>
              <w:tab/>
              <w:t>33</w:t>
            </w:r>
          </w:hyperlink>
        </w:p>
        <w:p>
          <w:pPr>
            <w:pStyle w:val="TOC3"/>
            <w:numPr>
              <w:ilvl w:val="2"/>
              <w:numId w:val="3"/>
            </w:numPr>
            <w:tabs>
              <w:tab w:pos="1061" w:val="left" w:leader="none"/>
              <w:tab w:pos="8950" w:val="right" w:leader="dot"/>
            </w:tabs>
            <w:spacing w:line="240" w:lineRule="auto" w:before="121" w:after="0"/>
            <w:ind w:left="1060" w:right="0" w:hanging="499"/>
            <w:jc w:val="left"/>
          </w:pPr>
          <w:hyperlink w:history="true" w:anchor="_bookmark21">
            <w:r>
              <w:rPr/>
              <w:t>Marco legal de la vivienda y el suelo de conservación en el</w:t>
            </w:r>
            <w:r>
              <w:rPr>
                <w:spacing w:val="-13"/>
              </w:rPr>
              <w:t> </w:t>
            </w:r>
            <w:r>
              <w:rPr/>
              <w:t>Distrito</w:t>
            </w:r>
            <w:r>
              <w:rPr>
                <w:spacing w:val="-4"/>
              </w:rPr>
              <w:t> </w:t>
            </w:r>
            <w:r>
              <w:rPr/>
              <w:t>Federal</w:t>
              <w:tab/>
              <w:t>34</w:t>
            </w:r>
          </w:hyperlink>
        </w:p>
        <w:p>
          <w:pPr>
            <w:pStyle w:val="TOC3"/>
            <w:numPr>
              <w:ilvl w:val="2"/>
              <w:numId w:val="3"/>
            </w:numPr>
            <w:tabs>
              <w:tab w:pos="1071" w:val="left" w:leader="none"/>
              <w:tab w:pos="8950" w:val="right" w:leader="dot"/>
            </w:tabs>
            <w:spacing w:line="259" w:lineRule="auto" w:before="116" w:after="0"/>
            <w:ind w:left="561" w:right="107" w:firstLine="0"/>
            <w:jc w:val="left"/>
          </w:pPr>
          <w:hyperlink w:history="true" w:anchor="_bookmark22">
            <w:r>
              <w:rPr/>
              <w:t>Estructura jurídica y organización administrativa para la regulación de los asentamientos</w:t>
            </w:r>
          </w:hyperlink>
          <w:r>
            <w:rPr/>
            <w:t> </w:t>
          </w:r>
          <w:hyperlink w:history="true" w:anchor="_bookmark22">
            <w:r>
              <w:rPr/>
              <w:t>humanos</w:t>
            </w:r>
            <w:r>
              <w:rPr>
                <w:spacing w:val="1"/>
              </w:rPr>
              <w:t> </w:t>
            </w:r>
            <w:r>
              <w:rPr/>
              <w:t>irregulares</w:t>
              <w:tab/>
              <w:t>38</w:t>
            </w:r>
          </w:hyperlink>
        </w:p>
        <w:p>
          <w:pPr>
            <w:pStyle w:val="TOC3"/>
            <w:numPr>
              <w:ilvl w:val="2"/>
              <w:numId w:val="3"/>
            </w:numPr>
            <w:tabs>
              <w:tab w:pos="1061" w:val="left" w:leader="none"/>
              <w:tab w:pos="8950" w:val="right" w:leader="dot"/>
            </w:tabs>
            <w:spacing w:line="240" w:lineRule="auto" w:before="102" w:after="0"/>
            <w:ind w:left="1060" w:right="0" w:hanging="499"/>
            <w:jc w:val="left"/>
          </w:pPr>
          <w:hyperlink w:history="true" w:anchor="_bookmark23">
            <w:r>
              <w:rPr/>
              <w:t>Programa de vivienda</w:t>
            </w:r>
            <w:r>
              <w:rPr>
                <w:spacing w:val="4"/>
              </w:rPr>
              <w:t> </w:t>
            </w:r>
            <w:r>
              <w:rPr/>
              <w:t>en</w:t>
            </w:r>
            <w:r>
              <w:rPr>
                <w:spacing w:val="-4"/>
              </w:rPr>
              <w:t> </w:t>
            </w:r>
            <w:r>
              <w:rPr/>
              <w:t>riesgo</w:t>
              <w:tab/>
              <w:t>42</w:t>
            </w:r>
          </w:hyperlink>
        </w:p>
        <w:p>
          <w:pPr>
            <w:pStyle w:val="TOC1"/>
            <w:tabs>
              <w:tab w:pos="8950" w:val="right" w:leader="dot"/>
            </w:tabs>
          </w:pPr>
          <w:hyperlink w:history="true" w:anchor="_bookmark24">
            <w:r>
              <w:rPr/>
              <w:t>CAPÍTULO II. CARACTERIZACIÓN GEOGRÁFICA DE LA ZONA</w:t>
            </w:r>
            <w:r>
              <w:rPr>
                <w:spacing w:val="-13"/>
              </w:rPr>
              <w:t> </w:t>
            </w:r>
            <w:r>
              <w:rPr/>
              <w:t>DE ESTUDIO</w:t>
              <w:tab/>
              <w:t>44</w:t>
            </w:r>
          </w:hyperlink>
        </w:p>
        <w:p>
          <w:pPr>
            <w:pStyle w:val="TOC2"/>
            <w:numPr>
              <w:ilvl w:val="1"/>
              <w:numId w:val="4"/>
            </w:numPr>
            <w:tabs>
              <w:tab w:pos="677" w:val="left" w:leader="none"/>
              <w:tab w:pos="8950" w:val="right" w:leader="dot"/>
            </w:tabs>
            <w:spacing w:line="240" w:lineRule="auto" w:before="116" w:after="0"/>
            <w:ind w:left="676" w:right="0" w:hanging="336"/>
            <w:jc w:val="left"/>
          </w:pPr>
          <w:hyperlink w:history="true" w:anchor="_bookmark25">
            <w:r>
              <w:rPr>
                <w:spacing w:val="-3"/>
              </w:rPr>
              <w:t>Zona</w:t>
            </w:r>
            <w:r>
              <w:rPr>
                <w:spacing w:val="5"/>
              </w:rPr>
              <w:t> </w:t>
            </w:r>
            <w:r>
              <w:rPr/>
              <w:t>de</w:t>
            </w:r>
            <w:r>
              <w:rPr>
                <w:spacing w:val="-5"/>
              </w:rPr>
              <w:t> </w:t>
            </w:r>
            <w:r>
              <w:rPr/>
              <w:t>estudio</w:t>
              <w:tab/>
              <w:t>44</w:t>
            </w:r>
          </w:hyperlink>
        </w:p>
        <w:p>
          <w:pPr>
            <w:pStyle w:val="TOC2"/>
            <w:numPr>
              <w:ilvl w:val="1"/>
              <w:numId w:val="4"/>
            </w:numPr>
            <w:tabs>
              <w:tab w:pos="672" w:val="left" w:leader="none"/>
              <w:tab w:pos="8950" w:val="right" w:leader="dot"/>
            </w:tabs>
            <w:spacing w:line="240" w:lineRule="auto" w:before="121" w:after="0"/>
            <w:ind w:left="671" w:right="0" w:hanging="331"/>
            <w:jc w:val="left"/>
          </w:pPr>
          <w:hyperlink w:history="true" w:anchor="_bookmark26">
            <w:r>
              <w:rPr/>
              <w:t>Caracterización del medio físico de la zona poniente de la Ciudad</w:t>
            </w:r>
            <w:r>
              <w:rPr>
                <w:spacing w:val="2"/>
              </w:rPr>
              <w:t> </w:t>
            </w:r>
            <w:r>
              <w:rPr/>
              <w:t>de</w:t>
            </w:r>
            <w:r>
              <w:rPr>
                <w:spacing w:val="-6"/>
              </w:rPr>
              <w:t> </w:t>
            </w:r>
            <w:r>
              <w:rPr/>
              <w:t>México</w:t>
              <w:tab/>
              <w:t>46</w:t>
            </w:r>
          </w:hyperlink>
        </w:p>
        <w:p>
          <w:pPr>
            <w:pStyle w:val="TOC3"/>
            <w:numPr>
              <w:ilvl w:val="2"/>
              <w:numId w:val="4"/>
            </w:numPr>
            <w:tabs>
              <w:tab w:pos="1128" w:val="left" w:leader="none"/>
              <w:tab w:pos="8950" w:val="right" w:leader="dot"/>
            </w:tabs>
            <w:spacing w:line="259" w:lineRule="auto" w:before="121" w:after="0"/>
            <w:ind w:left="561" w:right="107" w:firstLine="0"/>
            <w:jc w:val="left"/>
          </w:pPr>
          <w:hyperlink w:history="true" w:anchor="_bookmark27">
            <w:r>
              <w:rPr/>
              <w:t>Aspectos geográficos de la Delegación Álvaro Obregón, Cuajimalpa y Magdalena</w:t>
            </w:r>
          </w:hyperlink>
          <w:r>
            <w:rPr/>
            <w:t> </w:t>
          </w:r>
          <w:hyperlink w:history="true" w:anchor="_bookmark27">
            <w:r>
              <w:rPr/>
              <w:t>Contreras</w:t>
              <w:tab/>
              <w:t>53</w:t>
            </w:r>
          </w:hyperlink>
        </w:p>
        <w:p>
          <w:pPr>
            <w:pStyle w:val="TOC3"/>
            <w:numPr>
              <w:ilvl w:val="2"/>
              <w:numId w:val="4"/>
            </w:numPr>
            <w:tabs>
              <w:tab w:pos="1061" w:val="left" w:leader="none"/>
              <w:tab w:pos="8950" w:val="right" w:leader="dot"/>
            </w:tabs>
            <w:spacing w:line="240" w:lineRule="auto" w:before="97" w:after="0"/>
            <w:ind w:left="1060" w:right="0" w:hanging="499"/>
            <w:jc w:val="left"/>
          </w:pPr>
          <w:hyperlink w:history="true" w:anchor="_bookmark28">
            <w:r>
              <w:rPr/>
              <w:t>Barrancas </w:t>
            </w:r>
            <w:r>
              <w:rPr>
                <w:spacing w:val="-3"/>
              </w:rPr>
              <w:t>de </w:t>
            </w:r>
            <w:r>
              <w:rPr/>
              <w:t>la zona poniente de la Ciudad</w:t>
            </w:r>
            <w:r>
              <w:rPr>
                <w:spacing w:val="9"/>
              </w:rPr>
              <w:t> </w:t>
            </w:r>
            <w:r>
              <w:rPr/>
              <w:t>de</w:t>
            </w:r>
            <w:r>
              <w:rPr>
                <w:spacing w:val="-6"/>
              </w:rPr>
              <w:t> </w:t>
            </w:r>
            <w:r>
              <w:rPr/>
              <w:t>México</w:t>
              <w:tab/>
              <w:t>55</w:t>
            </w:r>
          </w:hyperlink>
        </w:p>
        <w:p>
          <w:pPr>
            <w:pStyle w:val="TOC2"/>
            <w:numPr>
              <w:ilvl w:val="1"/>
              <w:numId w:val="4"/>
            </w:numPr>
            <w:tabs>
              <w:tab w:pos="672" w:val="left" w:leader="none"/>
              <w:tab w:pos="8950" w:val="right" w:leader="dot"/>
            </w:tabs>
            <w:spacing w:line="240" w:lineRule="auto" w:before="121" w:after="0"/>
            <w:ind w:left="671" w:right="0" w:hanging="331"/>
            <w:jc w:val="left"/>
          </w:pPr>
          <w:hyperlink w:history="true" w:anchor="_bookmark29">
            <w:r>
              <w:rPr/>
              <w:t>Crecimiento poblacional y patrones de ocupación informal en la Ciudad</w:t>
            </w:r>
            <w:r>
              <w:rPr>
                <w:spacing w:val="-6"/>
              </w:rPr>
              <w:t> </w:t>
            </w:r>
            <w:r>
              <w:rPr/>
              <w:t>de</w:t>
            </w:r>
            <w:r>
              <w:rPr>
                <w:spacing w:val="-7"/>
              </w:rPr>
              <w:t> </w:t>
            </w:r>
            <w:r>
              <w:rPr/>
              <w:t>México</w:t>
              <w:tab/>
              <w:t>56</w:t>
            </w:r>
          </w:hyperlink>
        </w:p>
        <w:p>
          <w:pPr>
            <w:pStyle w:val="TOC3"/>
            <w:numPr>
              <w:ilvl w:val="2"/>
              <w:numId w:val="4"/>
            </w:numPr>
            <w:tabs>
              <w:tab w:pos="1075" w:val="left" w:leader="none"/>
              <w:tab w:pos="8950" w:val="right" w:leader="dot"/>
            </w:tabs>
            <w:spacing w:line="259" w:lineRule="auto" w:before="48" w:after="0"/>
            <w:ind w:left="561" w:right="107" w:firstLine="0"/>
            <w:jc w:val="left"/>
          </w:pPr>
          <w:hyperlink w:history="true" w:anchor="_bookmark30">
            <w:r>
              <w:rPr/>
              <w:t>Crecimiento poblacional en las delegaciones Álvaro Obregón, Cuajimalpa y Magdalena</w:t>
            </w:r>
          </w:hyperlink>
          <w:r>
            <w:rPr/>
            <w:t> </w:t>
          </w:r>
          <w:hyperlink w:history="true" w:anchor="_bookmark30">
            <w:r>
              <w:rPr/>
              <w:t>Contreras</w:t>
            </w:r>
            <w:r>
              <w:rPr>
                <w:spacing w:val="1"/>
              </w:rPr>
              <w:t> </w:t>
            </w:r>
            <w:r>
              <w:rPr/>
              <w:t>1980-2030</w:t>
              <w:tab/>
              <w:t>58</w:t>
            </w:r>
          </w:hyperlink>
        </w:p>
        <w:p>
          <w:pPr>
            <w:pStyle w:val="TOC3"/>
            <w:numPr>
              <w:ilvl w:val="2"/>
              <w:numId w:val="4"/>
            </w:numPr>
            <w:tabs>
              <w:tab w:pos="1061" w:val="left" w:leader="none"/>
              <w:tab w:pos="8950" w:val="right" w:leader="dot"/>
            </w:tabs>
            <w:spacing w:line="240" w:lineRule="auto" w:before="102" w:after="0"/>
            <w:ind w:left="1060" w:right="0" w:hanging="499"/>
            <w:jc w:val="left"/>
          </w:pPr>
          <w:hyperlink w:history="true" w:anchor="_bookmark31">
            <w:r>
              <w:rPr/>
              <w:t>Crecimiento poblacional en la zona</w:t>
            </w:r>
            <w:r>
              <w:rPr>
                <w:spacing w:val="5"/>
              </w:rPr>
              <w:t> </w:t>
            </w:r>
            <w:r>
              <w:rPr/>
              <w:t>de</w:t>
            </w:r>
            <w:r>
              <w:rPr>
                <w:spacing w:val="-6"/>
              </w:rPr>
              <w:t> </w:t>
            </w:r>
            <w:r>
              <w:rPr/>
              <w:t>barrancas</w:t>
              <w:tab/>
              <w:t>62</w:t>
            </w:r>
          </w:hyperlink>
        </w:p>
        <w:p>
          <w:pPr>
            <w:pStyle w:val="TOC2"/>
            <w:numPr>
              <w:ilvl w:val="1"/>
              <w:numId w:val="4"/>
            </w:numPr>
            <w:tabs>
              <w:tab w:pos="672" w:val="left" w:leader="none"/>
              <w:tab w:pos="8950" w:val="right" w:leader="dot"/>
            </w:tabs>
            <w:spacing w:line="240" w:lineRule="auto" w:before="122" w:after="0"/>
            <w:ind w:left="671" w:right="0" w:hanging="331"/>
            <w:jc w:val="left"/>
          </w:pPr>
          <w:hyperlink w:history="true" w:anchor="_bookmark32">
            <w:r>
              <w:rPr/>
              <w:t>Clasificación de los procesos por remoción en</w:t>
            </w:r>
            <w:r>
              <w:rPr>
                <w:spacing w:val="1"/>
              </w:rPr>
              <w:t> </w:t>
            </w:r>
            <w:r>
              <w:rPr/>
              <w:t>masa</w:t>
              <w:tab/>
              <w:t>62</w:t>
            </w:r>
          </w:hyperlink>
        </w:p>
        <w:p>
          <w:pPr>
            <w:pStyle w:val="TOC3"/>
            <w:numPr>
              <w:ilvl w:val="2"/>
              <w:numId w:val="4"/>
            </w:numPr>
            <w:tabs>
              <w:tab w:pos="1056" w:val="left" w:leader="none"/>
              <w:tab w:pos="8950" w:val="right" w:leader="dot"/>
            </w:tabs>
            <w:spacing w:line="240" w:lineRule="auto" w:before="116" w:after="0"/>
            <w:ind w:left="561" w:right="0" w:firstLine="0"/>
            <w:jc w:val="left"/>
          </w:pPr>
          <w:hyperlink w:history="true" w:anchor="_bookmark33">
            <w:r>
              <w:rPr/>
              <w:t>Tipos</w:t>
            </w:r>
            <w:r>
              <w:rPr>
                <w:spacing w:val="1"/>
              </w:rPr>
              <w:t> </w:t>
            </w:r>
            <w:r>
              <w:rPr/>
              <w:t>de</w:t>
            </w:r>
            <w:r>
              <w:rPr>
                <w:spacing w:val="-1"/>
              </w:rPr>
              <w:t> </w:t>
            </w:r>
            <w:r>
              <w:rPr/>
              <w:t>deslizamientos</w:t>
              <w:tab/>
              <w:t>64</w:t>
            </w:r>
          </w:hyperlink>
        </w:p>
        <w:p>
          <w:pPr>
            <w:pStyle w:val="TOC3"/>
            <w:numPr>
              <w:ilvl w:val="2"/>
              <w:numId w:val="4"/>
            </w:numPr>
            <w:tabs>
              <w:tab w:pos="1090" w:val="left" w:leader="none"/>
              <w:tab w:pos="8950" w:val="right" w:leader="dot"/>
            </w:tabs>
            <w:spacing w:line="259" w:lineRule="auto" w:before="121" w:after="0"/>
            <w:ind w:left="561" w:right="102" w:firstLine="0"/>
            <w:jc w:val="left"/>
          </w:pPr>
          <w:hyperlink w:history="true" w:anchor="_bookmark34">
            <w:r>
              <w:rPr/>
              <w:t>Datos históricos de deslizamientos en la zona de estudio y </w:t>
            </w:r>
            <w:r>
              <w:rPr>
                <w:spacing w:val="2"/>
              </w:rPr>
              <w:t>sus </w:t>
            </w:r>
            <w:r>
              <w:rPr/>
              <w:t>consecuencias hacia la</w:t>
            </w:r>
          </w:hyperlink>
          <w:r>
            <w:rPr/>
            <w:t> </w:t>
          </w:r>
          <w:hyperlink w:history="true" w:anchor="_bookmark34">
            <w:r>
              <w:rPr/>
              <w:t>población</w:t>
              <w:tab/>
              <w:t>65</w:t>
            </w:r>
          </w:hyperlink>
        </w:p>
        <w:p>
          <w:pPr>
            <w:pStyle w:val="TOC3"/>
            <w:numPr>
              <w:ilvl w:val="2"/>
              <w:numId w:val="4"/>
            </w:numPr>
            <w:tabs>
              <w:tab w:pos="1061" w:val="left" w:leader="none"/>
              <w:tab w:pos="8950" w:val="right" w:leader="dot"/>
            </w:tabs>
            <w:spacing w:line="240" w:lineRule="auto" w:before="102" w:after="0"/>
            <w:ind w:left="1060" w:right="0" w:hanging="499"/>
            <w:jc w:val="left"/>
          </w:pPr>
          <w:hyperlink w:history="true" w:anchor="_bookmark35">
            <w:r>
              <w:rPr>
                <w:spacing w:val="-3"/>
              </w:rPr>
              <w:t>Análisis </w:t>
            </w:r>
            <w:r>
              <w:rPr/>
              <w:t>del riesgo y la amenaza en la zona poniente de la Ciudad</w:t>
            </w:r>
            <w:r>
              <w:rPr>
                <w:spacing w:val="13"/>
              </w:rPr>
              <w:t> </w:t>
            </w:r>
            <w:r>
              <w:rPr/>
              <w:t>de</w:t>
            </w:r>
            <w:r>
              <w:rPr>
                <w:spacing w:val="-6"/>
              </w:rPr>
              <w:t> </w:t>
            </w:r>
            <w:r>
              <w:rPr/>
              <w:t>México</w:t>
              <w:tab/>
              <w:t>67</w:t>
            </w:r>
          </w:hyperlink>
        </w:p>
        <w:p>
          <w:pPr>
            <w:pStyle w:val="TOC1"/>
            <w:tabs>
              <w:tab w:pos="8950" w:val="right" w:leader="dot"/>
            </w:tabs>
            <w:spacing w:before="116"/>
          </w:pPr>
          <w:hyperlink w:history="true" w:anchor="_bookmark36">
            <w:r>
              <w:rPr/>
              <w:t>CAPÍTULO</w:t>
            </w:r>
            <w:r>
              <w:rPr>
                <w:spacing w:val="-1"/>
              </w:rPr>
              <w:t> </w:t>
            </w:r>
            <w:r>
              <w:rPr/>
              <w:t>III.</w:t>
            </w:r>
            <w:r>
              <w:rPr>
                <w:spacing w:val="3"/>
              </w:rPr>
              <w:t> </w:t>
            </w:r>
            <w:r>
              <w:rPr/>
              <w:t>METODOLOGÍA</w:t>
              <w:tab/>
              <w:t>70</w:t>
            </w:r>
          </w:hyperlink>
        </w:p>
        <w:p>
          <w:pPr>
            <w:pStyle w:val="TOC2"/>
            <w:numPr>
              <w:ilvl w:val="1"/>
              <w:numId w:val="5"/>
            </w:numPr>
            <w:tabs>
              <w:tab w:pos="715" w:val="left" w:leader="none"/>
              <w:tab w:pos="8950" w:val="right" w:leader="dot"/>
            </w:tabs>
            <w:spacing w:line="259" w:lineRule="auto" w:before="121" w:after="0"/>
            <w:ind w:left="340" w:right="102" w:firstLine="0"/>
            <w:jc w:val="left"/>
          </w:pPr>
          <w:hyperlink w:history="true" w:anchor="_bookmark37">
            <w:r>
              <w:rPr/>
              <w:t>Caracterización espacio-geográfica de los asentamientos humanos irregulares en suelo de</w:t>
            </w:r>
          </w:hyperlink>
          <w:r>
            <w:rPr/>
            <w:t> </w:t>
          </w:r>
          <w:hyperlink w:history="true" w:anchor="_bookmark37">
            <w:r>
              <w:rPr/>
              <w:t>conservación al poniente de la Ciudad</w:t>
            </w:r>
            <w:r>
              <w:rPr>
                <w:spacing w:val="-9"/>
              </w:rPr>
              <w:t> </w:t>
            </w:r>
            <w:r>
              <w:rPr/>
              <w:t>de</w:t>
            </w:r>
            <w:r>
              <w:rPr>
                <w:spacing w:val="-6"/>
              </w:rPr>
              <w:t> </w:t>
            </w:r>
            <w:r>
              <w:rPr/>
              <w:t>México</w:t>
              <w:tab/>
              <w:t>72</w:t>
            </w:r>
          </w:hyperlink>
        </w:p>
        <w:p>
          <w:pPr>
            <w:pStyle w:val="TOC2"/>
            <w:numPr>
              <w:ilvl w:val="1"/>
              <w:numId w:val="5"/>
            </w:numPr>
            <w:tabs>
              <w:tab w:pos="677" w:val="left" w:leader="none"/>
              <w:tab w:pos="8950" w:val="right" w:leader="dot"/>
            </w:tabs>
            <w:spacing w:line="240" w:lineRule="auto" w:before="102" w:after="0"/>
            <w:ind w:left="676" w:right="0" w:hanging="336"/>
            <w:jc w:val="left"/>
          </w:pPr>
          <w:hyperlink w:history="true" w:anchor="_bookmark38">
            <w:r>
              <w:rPr/>
              <w:t>Identificación de los patrones urbanos de ocupación informal en la</w:t>
            </w:r>
            <w:r>
              <w:rPr>
                <w:spacing w:val="-7"/>
              </w:rPr>
              <w:t> </w:t>
            </w:r>
            <w:r>
              <w:rPr/>
              <w:t>zona</w:t>
            </w:r>
            <w:r>
              <w:rPr>
                <w:spacing w:val="3"/>
              </w:rPr>
              <w:t> </w:t>
            </w:r>
            <w:r>
              <w:rPr/>
              <w:t>poniente</w:t>
              <w:tab/>
              <w:t>72</w:t>
            </w:r>
          </w:hyperlink>
        </w:p>
        <w:p>
          <w:pPr>
            <w:pStyle w:val="TOC2"/>
            <w:numPr>
              <w:ilvl w:val="1"/>
              <w:numId w:val="5"/>
            </w:numPr>
            <w:tabs>
              <w:tab w:pos="673" w:val="left" w:leader="none"/>
            </w:tabs>
            <w:spacing w:line="240" w:lineRule="auto" w:before="116" w:after="0"/>
            <w:ind w:left="672" w:right="0" w:hanging="332"/>
            <w:jc w:val="left"/>
          </w:pPr>
          <w:hyperlink w:history="true" w:anchor="_bookmark39">
            <w:r>
              <w:rPr/>
              <w:t>Segmentación mediante</w:t>
            </w:r>
            <w:r>
              <w:rPr>
                <w:spacing w:val="-39"/>
              </w:rPr>
              <w:t> </w:t>
            </w:r>
            <w:r>
              <w:rPr/>
              <w:t>Evaluación Multicriterio para áreas susceptibles a deslizamientos . 73</w:t>
            </w:r>
          </w:hyperlink>
        </w:p>
        <w:p>
          <w:pPr>
            <w:pStyle w:val="TOC2"/>
            <w:numPr>
              <w:ilvl w:val="1"/>
              <w:numId w:val="5"/>
            </w:numPr>
            <w:tabs>
              <w:tab w:pos="672" w:val="left" w:leader="none"/>
              <w:tab w:pos="8950" w:val="right" w:leader="dot"/>
            </w:tabs>
            <w:spacing w:line="240" w:lineRule="auto" w:before="121" w:after="0"/>
            <w:ind w:left="671" w:right="0" w:hanging="331"/>
            <w:jc w:val="left"/>
          </w:pPr>
          <w:hyperlink w:history="true" w:anchor="_bookmark40">
            <w:r>
              <w:rPr/>
              <w:t>Comprobación del modelo de deslizamientos a partir </w:t>
            </w:r>
            <w:r>
              <w:rPr>
                <w:spacing w:val="-3"/>
              </w:rPr>
              <w:t>de</w:t>
            </w:r>
            <w:r>
              <w:rPr/>
              <w:t> registros históricos</w:t>
              <w:tab/>
              <w:t>78</w:t>
            </w:r>
          </w:hyperlink>
        </w:p>
        <w:p>
          <w:pPr>
            <w:pStyle w:val="TOC2"/>
            <w:numPr>
              <w:ilvl w:val="1"/>
              <w:numId w:val="5"/>
            </w:numPr>
            <w:tabs>
              <w:tab w:pos="715" w:val="left" w:leader="none"/>
              <w:tab w:pos="8950" w:val="right" w:leader="dot"/>
            </w:tabs>
            <w:spacing w:line="259" w:lineRule="auto" w:before="121" w:after="0"/>
            <w:ind w:left="340" w:right="101" w:firstLine="0"/>
            <w:jc w:val="left"/>
          </w:pPr>
          <w:hyperlink w:history="true" w:anchor="_bookmark41">
            <w:r>
              <w:rPr/>
              <w:t>Escenario prospectivo de expansión de asentamientos humanos irregulares en la zona de</w:t>
            </w:r>
          </w:hyperlink>
          <w:r>
            <w:rPr/>
            <w:t> </w:t>
          </w:r>
          <w:hyperlink w:history="true" w:anchor="_bookmark41">
            <w:r>
              <w:rPr/>
              <w:t>estudio</w:t>
              <w:tab/>
              <w:t>79</w:t>
            </w:r>
          </w:hyperlink>
        </w:p>
        <w:p>
          <w:pPr>
            <w:pStyle w:val="TOC1"/>
            <w:tabs>
              <w:tab w:pos="8950" w:val="right" w:leader="dot"/>
            </w:tabs>
            <w:spacing w:before="97"/>
          </w:pPr>
          <w:hyperlink w:history="true" w:anchor="_bookmark42">
            <w:r>
              <w:rPr/>
              <w:t>CAPÍTULO</w:t>
            </w:r>
            <w:r>
              <w:rPr>
                <w:spacing w:val="-1"/>
              </w:rPr>
              <w:t> </w:t>
            </w:r>
            <w:r>
              <w:rPr>
                <w:spacing w:val="-3"/>
              </w:rPr>
              <w:t>IV.</w:t>
            </w:r>
            <w:r>
              <w:rPr>
                <w:spacing w:val="3"/>
              </w:rPr>
              <w:t> </w:t>
            </w:r>
            <w:r>
              <w:rPr/>
              <w:t>RESULTADOS</w:t>
              <w:tab/>
              <w:t>80</w:t>
            </w:r>
          </w:hyperlink>
        </w:p>
        <w:p>
          <w:pPr>
            <w:pStyle w:val="TOC2"/>
            <w:numPr>
              <w:ilvl w:val="1"/>
              <w:numId w:val="6"/>
            </w:numPr>
            <w:tabs>
              <w:tab w:pos="715" w:val="left" w:leader="none"/>
              <w:tab w:pos="8950" w:val="right" w:leader="dot"/>
            </w:tabs>
            <w:spacing w:line="259" w:lineRule="auto" w:before="121" w:after="0"/>
            <w:ind w:left="340" w:right="102" w:firstLine="0"/>
            <w:jc w:val="left"/>
          </w:pPr>
          <w:hyperlink w:history="true" w:anchor="_bookmark43">
            <w:r>
              <w:rPr/>
              <w:t>Caracterización espacio-geográfica de los asentamientos humanos irregulares en suelo de</w:t>
            </w:r>
          </w:hyperlink>
          <w:r>
            <w:rPr/>
            <w:t> </w:t>
          </w:r>
          <w:hyperlink w:history="true" w:anchor="_bookmark43">
            <w:r>
              <w:rPr/>
              <w:t>conservación al poniente de la Ciudad</w:t>
            </w:r>
            <w:r>
              <w:rPr>
                <w:spacing w:val="-9"/>
              </w:rPr>
              <w:t> </w:t>
            </w:r>
            <w:r>
              <w:rPr/>
              <w:t>de</w:t>
            </w:r>
            <w:r>
              <w:rPr>
                <w:spacing w:val="-6"/>
              </w:rPr>
              <w:t> </w:t>
            </w:r>
            <w:r>
              <w:rPr/>
              <w:t>México</w:t>
              <w:tab/>
              <w:t>80</w:t>
            </w:r>
          </w:hyperlink>
        </w:p>
        <w:p>
          <w:pPr>
            <w:pStyle w:val="TOC2"/>
            <w:numPr>
              <w:ilvl w:val="1"/>
              <w:numId w:val="6"/>
            </w:numPr>
            <w:tabs>
              <w:tab w:pos="677" w:val="left" w:leader="none"/>
              <w:tab w:pos="8950" w:val="right" w:leader="dot"/>
            </w:tabs>
            <w:spacing w:line="240" w:lineRule="auto" w:before="102" w:after="0"/>
            <w:ind w:left="676" w:right="0" w:hanging="336"/>
            <w:jc w:val="left"/>
          </w:pPr>
          <w:hyperlink w:history="true" w:anchor="_bookmark44">
            <w:r>
              <w:rPr/>
              <w:t>Identificación de los patrones urbanos de ocupación informal en la</w:t>
            </w:r>
            <w:r>
              <w:rPr>
                <w:spacing w:val="-7"/>
              </w:rPr>
              <w:t> </w:t>
            </w:r>
            <w:r>
              <w:rPr/>
              <w:t>zona</w:t>
            </w:r>
            <w:r>
              <w:rPr>
                <w:spacing w:val="3"/>
              </w:rPr>
              <w:t> </w:t>
            </w:r>
            <w:r>
              <w:rPr/>
              <w:t>poniente</w:t>
              <w:tab/>
              <w:t>83</w:t>
            </w:r>
          </w:hyperlink>
        </w:p>
        <w:p>
          <w:pPr>
            <w:pStyle w:val="TOC2"/>
            <w:numPr>
              <w:ilvl w:val="1"/>
              <w:numId w:val="6"/>
            </w:numPr>
            <w:tabs>
              <w:tab w:pos="672" w:val="left" w:leader="none"/>
            </w:tabs>
            <w:spacing w:line="240" w:lineRule="auto" w:before="117" w:after="0"/>
            <w:ind w:left="671" w:right="0" w:hanging="331"/>
            <w:jc w:val="left"/>
          </w:pPr>
          <w:hyperlink w:history="true" w:anchor="_bookmark45">
            <w:r>
              <w:rPr/>
              <w:t>Segmentación mediante</w:t>
            </w:r>
            <w:r>
              <w:rPr>
                <w:spacing w:val="-39"/>
              </w:rPr>
              <w:t> </w:t>
            </w:r>
            <w:r>
              <w:rPr/>
              <w:t>Evaluación Multicriterio para áreas susceptibles a deslizamientos . 91</w:t>
            </w:r>
          </w:hyperlink>
        </w:p>
        <w:p>
          <w:pPr>
            <w:pStyle w:val="TOC2"/>
            <w:numPr>
              <w:ilvl w:val="1"/>
              <w:numId w:val="6"/>
            </w:numPr>
            <w:tabs>
              <w:tab w:pos="672" w:val="left" w:leader="none"/>
              <w:tab w:pos="8950" w:val="right" w:leader="dot"/>
            </w:tabs>
            <w:spacing w:line="240" w:lineRule="auto" w:before="121" w:after="0"/>
            <w:ind w:left="671" w:right="0" w:hanging="331"/>
            <w:jc w:val="left"/>
          </w:pPr>
          <w:hyperlink w:history="true" w:anchor="_bookmark46">
            <w:r>
              <w:rPr/>
              <w:t>Comprobación del modelo de deslizamientos a partir </w:t>
            </w:r>
            <w:r>
              <w:rPr>
                <w:spacing w:val="-3"/>
              </w:rPr>
              <w:t>de</w:t>
            </w:r>
            <w:r>
              <w:rPr/>
              <w:t> registros históricos</w:t>
              <w:tab/>
              <w:t>94</w:t>
            </w:r>
          </w:hyperlink>
        </w:p>
        <w:p>
          <w:pPr>
            <w:pStyle w:val="TOC2"/>
            <w:numPr>
              <w:ilvl w:val="1"/>
              <w:numId w:val="6"/>
            </w:numPr>
            <w:tabs>
              <w:tab w:pos="715" w:val="left" w:leader="none"/>
              <w:tab w:pos="8950" w:val="right" w:leader="dot"/>
            </w:tabs>
            <w:spacing w:line="259" w:lineRule="auto" w:before="121" w:after="0"/>
            <w:ind w:left="340" w:right="105" w:firstLine="0"/>
            <w:jc w:val="left"/>
          </w:pPr>
          <w:hyperlink w:history="true" w:anchor="_bookmark47">
            <w:r>
              <w:rPr/>
              <w:t>Escenario prospectivo de expansión de asentamientos humanos irregulares en la zona de</w:t>
            </w:r>
          </w:hyperlink>
          <w:r>
            <w:rPr/>
            <w:t> </w:t>
          </w:r>
          <w:hyperlink w:history="true" w:anchor="_bookmark47">
            <w:r>
              <w:rPr/>
              <w:t>estudio</w:t>
              <w:tab/>
              <w:t>99</w:t>
            </w:r>
          </w:hyperlink>
        </w:p>
        <w:p>
          <w:pPr>
            <w:pStyle w:val="TOC1"/>
            <w:tabs>
              <w:tab w:pos="8950" w:val="right" w:leader="dot"/>
            </w:tabs>
            <w:spacing w:before="97"/>
          </w:pPr>
          <w:hyperlink w:history="true" w:anchor="_bookmark48">
            <w:r>
              <w:rPr/>
              <w:t>CONCLUSIONES</w:t>
              <w:tab/>
              <w:t>109</w:t>
            </w:r>
          </w:hyperlink>
        </w:p>
        <w:p>
          <w:pPr>
            <w:pStyle w:val="TOC1"/>
            <w:tabs>
              <w:tab w:pos="8950" w:val="right" w:leader="dot"/>
            </w:tabs>
          </w:pPr>
          <w:hyperlink w:history="true" w:anchor="_bookmark49">
            <w:r>
              <w:rPr/>
              <w:t>RECOMENDACIONES</w:t>
              <w:tab/>
              <w:t>111</w:t>
            </w:r>
          </w:hyperlink>
        </w:p>
        <w:p>
          <w:pPr>
            <w:pStyle w:val="TOC1"/>
            <w:tabs>
              <w:tab w:pos="8950" w:val="right" w:leader="dot"/>
            </w:tabs>
          </w:pPr>
          <w:hyperlink w:history="true" w:anchor="_bookmark50">
            <w:r>
              <w:rPr/>
              <w:t>BIBLIOGRAFÍA</w:t>
              <w:tab/>
              <w:t>112</w:t>
            </w:r>
          </w:hyperlink>
        </w:p>
        <w:p>
          <w:pPr>
            <w:pStyle w:val="TOC1"/>
            <w:tabs>
              <w:tab w:pos="8950" w:val="right" w:leader="dot"/>
            </w:tabs>
            <w:spacing w:before="116"/>
          </w:pPr>
          <w:hyperlink w:history="true" w:anchor="_bookmark51">
            <w:r>
              <w:rPr/>
              <w:t>ANEXOS</w:t>
              <w:tab/>
              <w:t>116</w:t>
            </w:r>
          </w:hyperlink>
        </w:p>
      </w:sdtContent>
    </w:sdt>
    <w:p>
      <w:pPr>
        <w:spacing w:after="0"/>
        <w:sectPr>
          <w:type w:val="continuous"/>
          <w:pgSz w:w="12240" w:h="15840"/>
          <w:pgMar w:top="1359" w:bottom="1824" w:left="1580" w:right="1600"/>
        </w:sectPr>
      </w:pPr>
    </w:p>
    <w:p>
      <w:pPr>
        <w:pStyle w:val="Heading1"/>
        <w:spacing w:before="57"/>
        <w:ind w:right="40"/>
        <w:jc w:val="left"/>
      </w:pPr>
      <w:r>
        <w:rPr/>
        <w:t>Índice de tablas</w:t>
      </w:r>
    </w:p>
    <w:p>
      <w:pPr>
        <w:pStyle w:val="BodyText"/>
        <w:tabs>
          <w:tab w:pos="8729" w:val="left" w:leader="dot"/>
        </w:tabs>
        <w:spacing w:before="169"/>
        <w:ind w:left="119" w:right="40"/>
      </w:pPr>
      <w:r>
        <w:rPr/>
        <w:t>Tabla </w:t>
      </w:r>
      <w:r>
        <w:rPr>
          <w:spacing w:val="-3"/>
        </w:rPr>
        <w:t>1. </w:t>
      </w:r>
      <w:r>
        <w:rPr/>
        <w:t>Barrancas de la zona poniente de la Ciudad</w:t>
      </w:r>
      <w:r>
        <w:rPr>
          <w:spacing w:val="-1"/>
        </w:rPr>
        <w:t> </w:t>
      </w:r>
      <w:r>
        <w:rPr/>
        <w:t>de</w:t>
      </w:r>
      <w:r>
        <w:rPr>
          <w:spacing w:val="-7"/>
        </w:rPr>
        <w:t> </w:t>
      </w:r>
      <w:r>
        <w:rPr/>
        <w:t>México</w:t>
        <w:tab/>
        <w:t>55</w:t>
      </w:r>
    </w:p>
    <w:p>
      <w:pPr>
        <w:pStyle w:val="BodyText"/>
        <w:tabs>
          <w:tab w:pos="8729" w:val="left" w:leader="dot"/>
        </w:tabs>
        <w:spacing w:before="21"/>
        <w:ind w:left="119" w:right="40"/>
      </w:pPr>
      <w:r>
        <w:rPr/>
        <w:t>Tabla </w:t>
      </w:r>
      <w:r>
        <w:rPr>
          <w:spacing w:val="-3"/>
        </w:rPr>
        <w:t>2. </w:t>
      </w:r>
      <w:r>
        <w:rPr/>
        <w:t>Tasa porcentual de crecimiento para las delegaciones de</w:t>
      </w:r>
      <w:r>
        <w:rPr>
          <w:spacing w:val="-6"/>
        </w:rPr>
        <w:t> </w:t>
      </w:r>
      <w:r>
        <w:rPr/>
        <w:t>estudio</w:t>
      </w:r>
      <w:r>
        <w:rPr>
          <w:spacing w:val="-4"/>
        </w:rPr>
        <w:t> </w:t>
      </w:r>
      <w:r>
        <w:rPr/>
        <w:t>1980-2010</w:t>
        <w:tab/>
        <w:t>59</w:t>
      </w:r>
    </w:p>
    <w:p>
      <w:pPr>
        <w:pStyle w:val="BodyText"/>
        <w:tabs>
          <w:tab w:pos="8729" w:val="left" w:leader="dot"/>
        </w:tabs>
        <w:spacing w:before="20"/>
        <w:ind w:left="119" w:right="40"/>
      </w:pPr>
      <w:r>
        <w:rPr/>
        <w:t>Tabla </w:t>
      </w:r>
      <w:r>
        <w:rPr>
          <w:spacing w:val="-3"/>
        </w:rPr>
        <w:t>3. </w:t>
      </w:r>
      <w:r>
        <w:rPr/>
        <w:t>Asentamientos irregulares en suelo de conservación en las delegaciones</w:t>
      </w:r>
      <w:r>
        <w:rPr>
          <w:spacing w:val="-11"/>
        </w:rPr>
        <w:t> </w:t>
      </w:r>
      <w:r>
        <w:rPr/>
        <w:t>del</w:t>
      </w:r>
      <w:r>
        <w:rPr>
          <w:spacing w:val="-5"/>
        </w:rPr>
        <w:t> </w:t>
      </w:r>
      <w:r>
        <w:rPr/>
        <w:t>poniente</w:t>
        <w:tab/>
        <w:t>80</w:t>
      </w:r>
    </w:p>
    <w:p>
      <w:pPr>
        <w:pStyle w:val="BodyText"/>
        <w:tabs>
          <w:tab w:pos="8729" w:val="left" w:leader="dot"/>
        </w:tabs>
        <w:spacing w:line="259" w:lineRule="auto" w:before="20"/>
        <w:ind w:left="119" w:right="127"/>
      </w:pPr>
      <w:r>
        <w:rPr/>
        <w:t>Tabla </w:t>
      </w:r>
      <w:r>
        <w:rPr>
          <w:spacing w:val="-3"/>
        </w:rPr>
        <w:t>4. </w:t>
      </w:r>
      <w:r>
        <w:rPr/>
        <w:t>Descripción de las tipologías de ocupación informal en la Delegación Álvaro Obregón... 86 Tabla </w:t>
      </w:r>
      <w:r>
        <w:rPr>
          <w:spacing w:val="-3"/>
        </w:rPr>
        <w:t>5. </w:t>
      </w:r>
      <w:r>
        <w:rPr/>
        <w:t>Descripción de las tipologías de ocupación informal en la</w:t>
      </w:r>
      <w:r>
        <w:rPr>
          <w:spacing w:val="-17"/>
        </w:rPr>
        <w:t> </w:t>
      </w:r>
      <w:r>
        <w:rPr/>
        <w:t>Delegación</w:t>
      </w:r>
      <w:r>
        <w:rPr>
          <w:spacing w:val="-6"/>
        </w:rPr>
        <w:t> </w:t>
      </w:r>
      <w:r>
        <w:rPr/>
        <w:t>Cuajimalpa</w:t>
        <w:tab/>
        <w:t>88</w:t>
      </w:r>
    </w:p>
    <w:p>
      <w:pPr>
        <w:pStyle w:val="BodyText"/>
        <w:spacing w:before="1"/>
        <w:ind w:left="119" w:right="40"/>
      </w:pPr>
      <w:r>
        <w:rPr/>
        <w:t>Tabla 6. Descripción de las tipologías de ocupación informal en la Delegación Magdalena Contreras</w:t>
      </w:r>
    </w:p>
    <w:p>
      <w:pPr>
        <w:pStyle w:val="BodyText"/>
        <w:spacing w:before="20"/>
        <w:ind w:left="148" w:right="40"/>
      </w:pPr>
      <w:r>
        <w:rPr/>
        <w:t>.................................................................................................................................................... 90</w:t>
      </w:r>
    </w:p>
    <w:p>
      <w:pPr>
        <w:pStyle w:val="BodyText"/>
        <w:tabs>
          <w:tab w:pos="8729" w:val="left" w:leader="dot"/>
        </w:tabs>
        <w:spacing w:before="21"/>
        <w:ind w:left="119" w:right="40"/>
      </w:pPr>
      <w:r>
        <w:rPr/>
        <w:t>Tabla </w:t>
      </w:r>
      <w:r>
        <w:rPr>
          <w:spacing w:val="-3"/>
        </w:rPr>
        <w:t>7. </w:t>
      </w:r>
      <w:r>
        <w:rPr/>
        <w:t>Resumen de los registros históricos de deslizamientos en la</w:t>
      </w:r>
      <w:r>
        <w:rPr>
          <w:spacing w:val="-14"/>
        </w:rPr>
        <w:t> </w:t>
      </w:r>
      <w:r>
        <w:rPr/>
        <w:t>zona</w:t>
      </w:r>
      <w:r>
        <w:rPr>
          <w:spacing w:val="1"/>
        </w:rPr>
        <w:t> </w:t>
      </w:r>
      <w:r>
        <w:rPr/>
        <w:t>poniente</w:t>
        <w:tab/>
        <w:t>95</w:t>
      </w:r>
    </w:p>
    <w:p>
      <w:pPr>
        <w:pStyle w:val="BodyText"/>
        <w:tabs>
          <w:tab w:pos="8618" w:val="left" w:leader="dot"/>
        </w:tabs>
        <w:spacing w:before="16"/>
        <w:ind w:left="119" w:right="40"/>
      </w:pPr>
      <w:r>
        <w:rPr/>
        <w:t>Tabla </w:t>
      </w:r>
      <w:r>
        <w:rPr>
          <w:spacing w:val="-3"/>
        </w:rPr>
        <w:t>8. </w:t>
      </w:r>
      <w:r>
        <w:rPr/>
        <w:t>Asentamientos humanos irregulares Delegación</w:t>
      </w:r>
      <w:r>
        <w:rPr>
          <w:spacing w:val="-8"/>
        </w:rPr>
        <w:t> </w:t>
      </w:r>
      <w:r>
        <w:rPr/>
        <w:t>Álvaro</w:t>
      </w:r>
      <w:r>
        <w:rPr>
          <w:spacing w:val="-7"/>
        </w:rPr>
        <w:t> </w:t>
      </w:r>
      <w:r>
        <w:rPr/>
        <w:t>Obregón</w:t>
        <w:tab/>
        <w:t>116</w:t>
      </w:r>
    </w:p>
    <w:p>
      <w:pPr>
        <w:pStyle w:val="BodyText"/>
        <w:tabs>
          <w:tab w:pos="8618" w:val="left" w:leader="dot"/>
        </w:tabs>
        <w:spacing w:before="20"/>
        <w:ind w:left="119" w:right="40"/>
      </w:pPr>
      <w:r>
        <w:rPr/>
        <w:t>Tabla </w:t>
      </w:r>
      <w:r>
        <w:rPr>
          <w:spacing w:val="-3"/>
        </w:rPr>
        <w:t>9. </w:t>
      </w:r>
      <w:r>
        <w:rPr/>
        <w:t>Asentamientos irregulares Delegación</w:t>
      </w:r>
      <w:r>
        <w:rPr>
          <w:spacing w:val="-6"/>
        </w:rPr>
        <w:t> </w:t>
      </w:r>
      <w:r>
        <w:rPr/>
        <w:t>Magdalena</w:t>
      </w:r>
      <w:r>
        <w:rPr>
          <w:spacing w:val="1"/>
        </w:rPr>
        <w:t> </w:t>
      </w:r>
      <w:r>
        <w:rPr/>
        <w:t>Contreras</w:t>
        <w:tab/>
        <w:t>116</w:t>
      </w:r>
    </w:p>
    <w:p>
      <w:pPr>
        <w:pStyle w:val="BodyText"/>
        <w:tabs>
          <w:tab w:pos="8618" w:val="left" w:leader="dot"/>
        </w:tabs>
        <w:spacing w:before="20"/>
        <w:ind w:left="119" w:right="40"/>
      </w:pPr>
      <w:r>
        <w:rPr/>
        <w:t>Tabla 10. Asentamientos irregulares</w:t>
      </w:r>
      <w:r>
        <w:rPr>
          <w:spacing w:val="-7"/>
        </w:rPr>
        <w:t> </w:t>
      </w:r>
      <w:r>
        <w:rPr/>
        <w:t>Delegación</w:t>
      </w:r>
      <w:r>
        <w:rPr>
          <w:spacing w:val="-8"/>
        </w:rPr>
        <w:t> </w:t>
      </w:r>
      <w:r>
        <w:rPr/>
        <w:t>Cuajimalpa</w:t>
        <w:tab/>
        <w:t>117</w:t>
      </w:r>
    </w:p>
    <w:p>
      <w:pPr>
        <w:pStyle w:val="BodyText"/>
        <w:tabs>
          <w:tab w:pos="8618" w:val="left" w:leader="dot"/>
        </w:tabs>
        <w:spacing w:before="20"/>
        <w:ind w:left="119" w:right="40"/>
      </w:pPr>
      <w:r>
        <w:rPr/>
        <w:t>Tabla 11. Registros históricos de deslizamientos en la Delegación</w:t>
      </w:r>
      <w:r>
        <w:rPr>
          <w:spacing w:val="-13"/>
        </w:rPr>
        <w:t> </w:t>
      </w:r>
      <w:r>
        <w:rPr/>
        <w:t>Álvaro</w:t>
      </w:r>
      <w:r>
        <w:rPr>
          <w:spacing w:val="-6"/>
        </w:rPr>
        <w:t> </w:t>
      </w:r>
      <w:r>
        <w:rPr/>
        <w:t>Obregón</w:t>
        <w:tab/>
        <w:t>119</w:t>
      </w:r>
    </w:p>
    <w:p>
      <w:pPr>
        <w:pStyle w:val="BodyText"/>
        <w:tabs>
          <w:tab w:pos="8618" w:val="left" w:leader="dot"/>
        </w:tabs>
        <w:spacing w:before="20"/>
        <w:ind w:left="119" w:right="40"/>
      </w:pPr>
      <w:r>
        <w:rPr/>
        <w:t>Tabla 12. Registros históricos de deslizamientos en la</w:t>
      </w:r>
      <w:r>
        <w:rPr>
          <w:spacing w:val="-19"/>
        </w:rPr>
        <w:t> </w:t>
      </w:r>
      <w:r>
        <w:rPr/>
        <w:t>Delegación</w:t>
      </w:r>
      <w:r>
        <w:rPr>
          <w:spacing w:val="-7"/>
        </w:rPr>
        <w:t> </w:t>
      </w:r>
      <w:r>
        <w:rPr/>
        <w:t>Cuajimalpa</w:t>
        <w:tab/>
        <w:t>122</w:t>
      </w:r>
    </w:p>
    <w:p>
      <w:pPr>
        <w:pStyle w:val="BodyText"/>
        <w:tabs>
          <w:tab w:pos="8618" w:val="left" w:leader="dot"/>
        </w:tabs>
        <w:spacing w:before="21"/>
        <w:ind w:left="119" w:right="40"/>
      </w:pPr>
      <w:r>
        <w:rPr/>
        <w:t>Tabla 13. Registros históricos de deslizamientos en la Delegación</w:t>
      </w:r>
      <w:r>
        <w:rPr>
          <w:spacing w:val="-22"/>
        </w:rPr>
        <w:t> </w:t>
      </w:r>
      <w:r>
        <w:rPr/>
        <w:t>Magdalena</w:t>
      </w:r>
      <w:r>
        <w:rPr>
          <w:spacing w:val="1"/>
        </w:rPr>
        <w:t> </w:t>
      </w:r>
      <w:r>
        <w:rPr/>
        <w:t>Contreras</w:t>
        <w:tab/>
        <w:t>126</w:t>
      </w:r>
    </w:p>
    <w:p>
      <w:pPr>
        <w:pStyle w:val="BodyText"/>
      </w:pPr>
    </w:p>
    <w:p>
      <w:pPr>
        <w:pStyle w:val="BodyText"/>
        <w:spacing w:before="9"/>
        <w:rPr>
          <w:sz w:val="19"/>
        </w:rPr>
      </w:pPr>
    </w:p>
    <w:p>
      <w:pPr>
        <w:pStyle w:val="Heading1"/>
        <w:spacing w:before="1"/>
        <w:ind w:right="40"/>
        <w:jc w:val="left"/>
      </w:pPr>
      <w:r>
        <w:rPr/>
        <w:t>Índice de gráficas</w:t>
      </w:r>
    </w:p>
    <w:p>
      <w:pPr>
        <w:pStyle w:val="BodyText"/>
        <w:tabs>
          <w:tab w:pos="8729" w:val="left" w:leader="dot"/>
        </w:tabs>
        <w:spacing w:line="259" w:lineRule="auto" w:before="169"/>
        <w:ind w:left="119" w:right="127"/>
      </w:pPr>
      <w:r>
        <w:rPr/>
        <w:t>Gráfica 1. Distribución porcentual de las barrancas </w:t>
      </w:r>
      <w:r>
        <w:rPr>
          <w:spacing w:val="-4"/>
        </w:rPr>
        <w:t>en </w:t>
      </w:r>
      <w:r>
        <w:rPr/>
        <w:t>la </w:t>
      </w:r>
      <w:r>
        <w:rPr>
          <w:spacing w:val="-3"/>
        </w:rPr>
        <w:t>zona </w:t>
      </w:r>
      <w:r>
        <w:rPr/>
        <w:t>poniente de la Ciudad de México .. 56 Gráfica 2. Población total de la Ciudad de</w:t>
      </w:r>
      <w:r>
        <w:rPr>
          <w:spacing w:val="-11"/>
        </w:rPr>
        <w:t> </w:t>
      </w:r>
      <w:r>
        <w:rPr/>
        <w:t>México</w:t>
      </w:r>
      <w:r>
        <w:rPr>
          <w:spacing w:val="-4"/>
        </w:rPr>
        <w:t> </w:t>
      </w:r>
      <w:r>
        <w:rPr/>
        <w:t>1980-2010</w:t>
        <w:tab/>
        <w:t>59</w:t>
      </w:r>
    </w:p>
    <w:p>
      <w:pPr>
        <w:pStyle w:val="BodyText"/>
        <w:tabs>
          <w:tab w:pos="8729" w:val="left" w:leader="dot"/>
        </w:tabs>
        <w:spacing w:before="1"/>
        <w:ind w:left="119" w:right="40"/>
      </w:pPr>
      <w:r>
        <w:rPr/>
        <w:t>Gráfica 3. Tasa porcentual de crecimiento </w:t>
      </w:r>
      <w:r>
        <w:rPr>
          <w:spacing w:val="2"/>
        </w:rPr>
        <w:t>para </w:t>
      </w:r>
      <w:r>
        <w:rPr/>
        <w:t>las delegaciones de</w:t>
      </w:r>
      <w:r>
        <w:rPr>
          <w:spacing w:val="-18"/>
        </w:rPr>
        <w:t> </w:t>
      </w:r>
      <w:r>
        <w:rPr/>
        <w:t>estudio</w:t>
      </w:r>
      <w:r>
        <w:rPr>
          <w:spacing w:val="-6"/>
        </w:rPr>
        <w:t> </w:t>
      </w:r>
      <w:r>
        <w:rPr/>
        <w:t>1980-2010</w:t>
        <w:tab/>
        <w:t>60</w:t>
      </w:r>
    </w:p>
    <w:p>
      <w:pPr>
        <w:pStyle w:val="BodyText"/>
        <w:tabs>
          <w:tab w:pos="8729" w:val="left" w:leader="dot"/>
        </w:tabs>
        <w:spacing w:before="16"/>
        <w:ind w:left="119" w:right="40"/>
      </w:pPr>
      <w:r>
        <w:rPr/>
        <w:t>Gráfica 4. Proyección de la población total en las delegaciones de</w:t>
      </w:r>
      <w:r>
        <w:rPr>
          <w:spacing w:val="-10"/>
        </w:rPr>
        <w:t> </w:t>
      </w:r>
      <w:r>
        <w:rPr/>
        <w:t>estudio</w:t>
      </w:r>
      <w:r>
        <w:rPr>
          <w:spacing w:val="-5"/>
        </w:rPr>
        <w:t> </w:t>
      </w:r>
      <w:r>
        <w:rPr/>
        <w:t>1980-2030</w:t>
        <w:tab/>
        <w:t>61</w:t>
      </w:r>
    </w:p>
    <w:p>
      <w:pPr>
        <w:pStyle w:val="BodyText"/>
        <w:tabs>
          <w:tab w:pos="8729" w:val="left" w:leader="dot"/>
        </w:tabs>
        <w:spacing w:before="20"/>
        <w:ind w:left="119" w:right="40"/>
      </w:pPr>
      <w:r>
        <w:rPr/>
        <w:t>Gráfica 5. Número de damnificados por deslizamientos durante </w:t>
      </w:r>
      <w:r>
        <w:rPr>
          <w:spacing w:val="-4"/>
        </w:rPr>
        <w:t>el</w:t>
      </w:r>
      <w:r>
        <w:rPr>
          <w:spacing w:val="-2"/>
        </w:rPr>
        <w:t> </w:t>
      </w:r>
      <w:r>
        <w:rPr/>
        <w:t>período</w:t>
      </w:r>
      <w:r>
        <w:rPr>
          <w:spacing w:val="-5"/>
        </w:rPr>
        <w:t> </w:t>
      </w:r>
      <w:r>
        <w:rPr/>
        <w:t>1970-2013</w:t>
        <w:tab/>
        <w:t>66</w:t>
      </w:r>
    </w:p>
    <w:p>
      <w:pPr>
        <w:pStyle w:val="BodyText"/>
        <w:tabs>
          <w:tab w:pos="8729" w:val="left" w:leader="dot"/>
        </w:tabs>
        <w:spacing w:line="259" w:lineRule="auto" w:before="20"/>
        <w:ind w:left="119" w:right="121"/>
      </w:pPr>
      <w:r>
        <w:rPr/>
        <w:t>Gráfica 6. Gráfica 5. Número de viviendas afectadas por deslizamientos durante el período 1970- 2013</w:t>
        <w:tab/>
        <w:t>66</w:t>
      </w:r>
    </w:p>
    <w:p>
      <w:pPr>
        <w:pStyle w:val="BodyText"/>
        <w:tabs>
          <w:tab w:pos="8729" w:val="left" w:leader="dot"/>
        </w:tabs>
        <w:spacing w:before="1"/>
        <w:ind w:left="119" w:right="40"/>
      </w:pPr>
      <w:r>
        <w:rPr/>
        <w:t>Gráfica 7. Número de pérdidas humanas por deslizamientos durante el</w:t>
      </w:r>
      <w:r>
        <w:rPr>
          <w:spacing w:val="-11"/>
        </w:rPr>
        <w:t> </w:t>
      </w:r>
      <w:r>
        <w:rPr/>
        <w:t>período</w:t>
      </w:r>
      <w:r>
        <w:rPr>
          <w:spacing w:val="-5"/>
        </w:rPr>
        <w:t> </w:t>
      </w:r>
      <w:r>
        <w:rPr/>
        <w:t>1970-2013</w:t>
        <w:tab/>
        <w:t>67</w:t>
      </w:r>
    </w:p>
    <w:p>
      <w:pPr>
        <w:pStyle w:val="BodyText"/>
      </w:pPr>
    </w:p>
    <w:p>
      <w:pPr>
        <w:pStyle w:val="BodyText"/>
        <w:spacing w:before="9"/>
        <w:rPr>
          <w:sz w:val="19"/>
        </w:rPr>
      </w:pPr>
    </w:p>
    <w:p>
      <w:pPr>
        <w:pStyle w:val="Heading1"/>
        <w:spacing w:before="1"/>
        <w:ind w:right="40"/>
        <w:jc w:val="left"/>
      </w:pPr>
      <w:r>
        <w:rPr/>
        <w:t>Índice de ilustraciones</w:t>
      </w:r>
    </w:p>
    <w:p>
      <w:pPr>
        <w:pStyle w:val="BodyText"/>
        <w:tabs>
          <w:tab w:pos="8729" w:val="left" w:leader="dot"/>
        </w:tabs>
        <w:spacing w:before="169"/>
        <w:ind w:left="119" w:right="40"/>
      </w:pPr>
      <w:r>
        <w:rPr/>
        <w:t>Ilustración 1. Mapa </w:t>
      </w:r>
      <w:r>
        <w:rPr>
          <w:spacing w:val="-3"/>
        </w:rPr>
        <w:t>de </w:t>
      </w:r>
      <w:r>
        <w:rPr/>
        <w:t>la zona</w:t>
      </w:r>
      <w:r>
        <w:rPr>
          <w:spacing w:val="-1"/>
        </w:rPr>
        <w:t> </w:t>
      </w:r>
      <w:r>
        <w:rPr/>
        <w:t>de</w:t>
      </w:r>
      <w:r>
        <w:rPr>
          <w:spacing w:val="-2"/>
        </w:rPr>
        <w:t> </w:t>
      </w:r>
      <w:r>
        <w:rPr/>
        <w:t>estudio</w:t>
        <w:tab/>
        <w:t>45</w:t>
      </w:r>
    </w:p>
    <w:p>
      <w:pPr>
        <w:pStyle w:val="BodyText"/>
        <w:tabs>
          <w:tab w:pos="8729" w:val="left" w:leader="dot"/>
        </w:tabs>
        <w:spacing w:before="21"/>
        <w:ind w:left="119" w:right="40"/>
      </w:pPr>
      <w:r>
        <w:rPr/>
        <w:t>Ilustración 2. Mapa edafológico del suelo de conservación de la zona</w:t>
      </w:r>
      <w:r>
        <w:rPr>
          <w:spacing w:val="-18"/>
        </w:rPr>
        <w:t> </w:t>
      </w:r>
      <w:r>
        <w:rPr/>
        <w:t>de</w:t>
      </w:r>
      <w:r>
        <w:rPr>
          <w:spacing w:val="-2"/>
        </w:rPr>
        <w:t> </w:t>
      </w:r>
      <w:r>
        <w:rPr/>
        <w:t>estudio</w:t>
        <w:tab/>
        <w:t>47</w:t>
      </w:r>
    </w:p>
    <w:p>
      <w:pPr>
        <w:pStyle w:val="BodyText"/>
        <w:tabs>
          <w:tab w:pos="8729" w:val="left" w:leader="dot"/>
        </w:tabs>
        <w:spacing w:before="20"/>
        <w:ind w:left="119" w:right="40"/>
      </w:pPr>
      <w:r>
        <w:rPr/>
        <w:t>Ilustración 3. Mapa geológico del suelo de conservación de la zona</w:t>
      </w:r>
      <w:r>
        <w:rPr>
          <w:spacing w:val="-19"/>
        </w:rPr>
        <w:t> </w:t>
      </w:r>
      <w:r>
        <w:rPr/>
        <w:t>de</w:t>
      </w:r>
      <w:r>
        <w:rPr>
          <w:spacing w:val="-2"/>
        </w:rPr>
        <w:t> </w:t>
      </w:r>
      <w:r>
        <w:rPr/>
        <w:t>estudio</w:t>
        <w:tab/>
        <w:t>49</w:t>
      </w:r>
    </w:p>
    <w:p>
      <w:pPr>
        <w:pStyle w:val="BodyText"/>
        <w:tabs>
          <w:tab w:pos="8729" w:val="left" w:leader="dot"/>
        </w:tabs>
        <w:spacing w:before="16"/>
        <w:ind w:left="119" w:right="40"/>
      </w:pPr>
      <w:r>
        <w:rPr/>
        <w:t>Ilustración 4. Mapa </w:t>
      </w:r>
      <w:r>
        <w:rPr>
          <w:spacing w:val="-3"/>
        </w:rPr>
        <w:t>de </w:t>
      </w:r>
      <w:r>
        <w:rPr/>
        <w:t>pendientes de la zona</w:t>
      </w:r>
      <w:r>
        <w:rPr>
          <w:spacing w:val="-1"/>
        </w:rPr>
        <w:t> </w:t>
      </w:r>
      <w:r>
        <w:rPr/>
        <w:t>de</w:t>
      </w:r>
      <w:r>
        <w:rPr>
          <w:spacing w:val="-7"/>
        </w:rPr>
        <w:t> </w:t>
      </w:r>
      <w:r>
        <w:rPr/>
        <w:t>estudio</w:t>
        <w:tab/>
        <w:t>50</w:t>
      </w:r>
    </w:p>
    <w:p>
      <w:pPr>
        <w:pStyle w:val="BodyText"/>
        <w:tabs>
          <w:tab w:pos="8729" w:val="left" w:leader="dot"/>
        </w:tabs>
        <w:spacing w:before="20"/>
        <w:ind w:left="119" w:right="40"/>
      </w:pPr>
      <w:r>
        <w:rPr/>
        <w:t>Ilustración 5. Mapa </w:t>
      </w:r>
      <w:r>
        <w:rPr>
          <w:spacing w:val="-3"/>
        </w:rPr>
        <w:t>de </w:t>
      </w:r>
      <w:r>
        <w:rPr/>
        <w:t>precipitación del suelo de conservación en la zona</w:t>
      </w:r>
      <w:r>
        <w:rPr>
          <w:spacing w:val="-11"/>
        </w:rPr>
        <w:t> </w:t>
      </w:r>
      <w:r>
        <w:rPr/>
        <w:t>de</w:t>
      </w:r>
      <w:r>
        <w:rPr>
          <w:spacing w:val="-1"/>
        </w:rPr>
        <w:t> </w:t>
      </w:r>
      <w:r>
        <w:rPr/>
        <w:t>estudio</w:t>
        <w:tab/>
        <w:t>51</w:t>
      </w:r>
    </w:p>
    <w:p>
      <w:pPr>
        <w:pStyle w:val="BodyText"/>
        <w:tabs>
          <w:tab w:pos="8729" w:val="left" w:leader="dot"/>
        </w:tabs>
        <w:spacing w:before="20"/>
        <w:ind w:left="119" w:right="40"/>
      </w:pPr>
      <w:r>
        <w:rPr/>
        <w:t>Ilustración 6. Mapa </w:t>
      </w:r>
      <w:r>
        <w:rPr>
          <w:spacing w:val="-3"/>
        </w:rPr>
        <w:t>de </w:t>
      </w:r>
      <w:r>
        <w:rPr/>
        <w:t>uso de suelo y vegetación de la zona</w:t>
      </w:r>
      <w:r>
        <w:rPr>
          <w:spacing w:val="-12"/>
        </w:rPr>
        <w:t> </w:t>
      </w:r>
      <w:r>
        <w:rPr/>
        <w:t>de</w:t>
      </w:r>
      <w:r>
        <w:rPr>
          <w:spacing w:val="-1"/>
        </w:rPr>
        <w:t> </w:t>
      </w:r>
      <w:r>
        <w:rPr/>
        <w:t>estudio</w:t>
        <w:tab/>
        <w:t>52</w:t>
      </w:r>
    </w:p>
    <w:p>
      <w:pPr>
        <w:pStyle w:val="BodyText"/>
        <w:tabs>
          <w:tab w:pos="8729" w:val="left" w:leader="dot"/>
        </w:tabs>
        <w:spacing w:line="259" w:lineRule="auto" w:before="21"/>
        <w:ind w:left="119" w:right="116"/>
      </w:pPr>
      <w:r>
        <w:rPr/>
        <w:t>Ilustración 7. Mapa de la distribución espacial de los asentamientos humanos irregulares en suelo de conservación</w:t>
        <w:tab/>
        <w:t>82</w:t>
      </w:r>
    </w:p>
    <w:p>
      <w:pPr>
        <w:pStyle w:val="BodyText"/>
        <w:tabs>
          <w:tab w:pos="8729" w:val="left" w:leader="dot"/>
        </w:tabs>
        <w:spacing w:before="1"/>
        <w:ind w:left="119" w:right="40"/>
      </w:pPr>
      <w:r>
        <w:rPr/>
        <w:t>Ilustración 8. Mapa </w:t>
      </w:r>
      <w:r>
        <w:rPr>
          <w:spacing w:val="-3"/>
        </w:rPr>
        <w:t>de </w:t>
      </w:r>
      <w:r>
        <w:rPr/>
        <w:t>zonas susceptibles a deslizamientos en la</w:t>
      </w:r>
      <w:r>
        <w:rPr>
          <w:spacing w:val="-13"/>
        </w:rPr>
        <w:t> </w:t>
      </w:r>
      <w:r>
        <w:rPr/>
        <w:t>zona</w:t>
      </w:r>
      <w:r>
        <w:rPr>
          <w:spacing w:val="2"/>
        </w:rPr>
        <w:t> </w:t>
      </w:r>
      <w:r>
        <w:rPr/>
        <w:t>poniente</w:t>
        <w:tab/>
        <w:t>93</w:t>
      </w:r>
    </w:p>
    <w:p>
      <w:pPr>
        <w:pStyle w:val="BodyText"/>
        <w:tabs>
          <w:tab w:pos="8729" w:val="left" w:leader="dot"/>
        </w:tabs>
        <w:spacing w:before="20"/>
        <w:ind w:left="119" w:right="40"/>
      </w:pPr>
      <w:r>
        <w:rPr/>
        <w:t>Ilustración 9. Mapa </w:t>
      </w:r>
      <w:r>
        <w:rPr>
          <w:spacing w:val="-3"/>
        </w:rPr>
        <w:t>de </w:t>
      </w:r>
      <w:r>
        <w:rPr/>
        <w:t>deslizamientos históricos </w:t>
      </w:r>
      <w:r>
        <w:rPr>
          <w:spacing w:val="-4"/>
        </w:rPr>
        <w:t>en </w:t>
      </w:r>
      <w:r>
        <w:rPr/>
        <w:t>la zona poniente de la Ciudad</w:t>
      </w:r>
      <w:r>
        <w:rPr>
          <w:spacing w:val="4"/>
        </w:rPr>
        <w:t> </w:t>
      </w:r>
      <w:r>
        <w:rPr/>
        <w:t>de</w:t>
      </w:r>
      <w:r>
        <w:rPr>
          <w:spacing w:val="-7"/>
        </w:rPr>
        <w:t> </w:t>
      </w:r>
      <w:r>
        <w:rPr/>
        <w:t>México</w:t>
        <w:tab/>
        <w:t>96</w:t>
      </w:r>
    </w:p>
    <w:p>
      <w:pPr>
        <w:pStyle w:val="BodyText"/>
        <w:tabs>
          <w:tab w:pos="8729" w:val="left" w:leader="dot"/>
        </w:tabs>
        <w:spacing w:line="254" w:lineRule="auto" w:before="20"/>
        <w:ind w:left="119" w:right="127"/>
      </w:pPr>
      <w:r>
        <w:rPr/>
        <w:t>Ilustración 10. Mapa </w:t>
      </w:r>
      <w:r>
        <w:rPr>
          <w:spacing w:val="-3"/>
        </w:rPr>
        <w:t>de </w:t>
      </w:r>
      <w:r>
        <w:rPr/>
        <w:t>registros históricos de deslizamientos y zonas de susceptibilidad en la zona poniente de la Ciudad</w:t>
      </w:r>
      <w:r>
        <w:rPr>
          <w:spacing w:val="-3"/>
        </w:rPr>
        <w:t> </w:t>
      </w:r>
      <w:r>
        <w:rPr/>
        <w:t>de</w:t>
      </w:r>
      <w:r>
        <w:rPr>
          <w:spacing w:val="-6"/>
        </w:rPr>
        <w:t> </w:t>
      </w:r>
      <w:r>
        <w:rPr/>
        <w:t>México</w:t>
        <w:tab/>
        <w:t>98</w:t>
      </w:r>
    </w:p>
    <w:p>
      <w:pPr>
        <w:pStyle w:val="BodyText"/>
        <w:tabs>
          <w:tab w:pos="8618" w:val="left" w:leader="dot"/>
        </w:tabs>
        <w:spacing w:line="259" w:lineRule="auto" w:before="6"/>
        <w:ind w:left="119" w:right="127"/>
      </w:pPr>
      <w:r>
        <w:rPr/>
        <w:t>Ilustración 11. Mapa de expansión de asentamientos irregulares en el poblado Ahuatenco, Cuajimalpa</w:t>
        <w:tab/>
        <w:t>100</w:t>
      </w:r>
    </w:p>
    <w:p>
      <w:pPr>
        <w:pStyle w:val="BodyText"/>
        <w:tabs>
          <w:tab w:pos="8618" w:val="left" w:leader="dot"/>
        </w:tabs>
        <w:spacing w:line="259" w:lineRule="auto" w:before="1"/>
        <w:ind w:left="119" w:right="127"/>
      </w:pPr>
      <w:r>
        <w:rPr/>
        <w:t>Ilustración 12. Mapa de expansión de asentamientos irregulares en el poblado Contadero, Cuajimalpa</w:t>
        <w:tab/>
        <w:t>101</w:t>
      </w:r>
    </w:p>
    <w:p>
      <w:pPr>
        <w:spacing w:after="0" w:line="259" w:lineRule="auto"/>
        <w:sectPr>
          <w:pgSz w:w="12240" w:h="15840"/>
          <w:pgMar w:top="1360" w:bottom="280" w:left="1580" w:right="1580"/>
        </w:sectPr>
      </w:pPr>
    </w:p>
    <w:p>
      <w:pPr>
        <w:pStyle w:val="BodyText"/>
        <w:tabs>
          <w:tab w:pos="8950" w:val="right" w:leader="dot"/>
        </w:tabs>
        <w:spacing w:line="259" w:lineRule="auto" w:before="48"/>
        <w:ind w:left="119" w:right="107"/>
      </w:pPr>
      <w:r>
        <w:rPr/>
        <w:t>Ilustración 13. Mapa de expansión de asentamientos irregulares en </w:t>
      </w:r>
      <w:r>
        <w:rPr>
          <w:spacing w:val="-4"/>
        </w:rPr>
        <w:t>el </w:t>
      </w:r>
      <w:r>
        <w:rPr/>
        <w:t>poblado Cooperativa Miguel Gaona,</w:t>
      </w:r>
      <w:r>
        <w:rPr>
          <w:spacing w:val="3"/>
        </w:rPr>
        <w:t> </w:t>
      </w:r>
      <w:r>
        <w:rPr/>
        <w:t>Cuajimalpa</w:t>
        <w:tab/>
        <w:t>102</w:t>
      </w:r>
    </w:p>
    <w:p>
      <w:pPr>
        <w:pStyle w:val="BodyText"/>
        <w:tabs>
          <w:tab w:pos="8950" w:val="right" w:leader="dot"/>
        </w:tabs>
        <w:spacing w:line="259" w:lineRule="auto" w:before="1"/>
        <w:ind w:left="119" w:right="107"/>
      </w:pPr>
      <w:r>
        <w:rPr/>
        <w:t>Ilustración 14. Mapa de expansión de asentamientos irregulares en el poblado Magdalena Atlitic, Magdalena</w:t>
      </w:r>
      <w:r>
        <w:rPr>
          <w:spacing w:val="4"/>
        </w:rPr>
        <w:t> </w:t>
      </w:r>
      <w:r>
        <w:rPr/>
        <w:t>Contreras</w:t>
        <w:tab/>
        <w:t>103</w:t>
      </w:r>
    </w:p>
    <w:p>
      <w:pPr>
        <w:pStyle w:val="BodyText"/>
        <w:tabs>
          <w:tab w:pos="8950" w:val="right" w:leader="dot"/>
        </w:tabs>
        <w:spacing w:line="259" w:lineRule="auto" w:before="1"/>
        <w:ind w:left="119" w:right="107"/>
      </w:pPr>
      <w:r>
        <w:rPr/>
        <w:t>Ilustración 15. Mapa </w:t>
      </w:r>
      <w:r>
        <w:rPr>
          <w:spacing w:val="-3"/>
        </w:rPr>
        <w:t>de </w:t>
      </w:r>
      <w:r>
        <w:rPr/>
        <w:t>expansión de asentamientos irregulares en el poblado San Lorenzo Acopilco,</w:t>
      </w:r>
      <w:r>
        <w:rPr>
          <w:spacing w:val="3"/>
        </w:rPr>
        <w:t> </w:t>
      </w:r>
      <w:r>
        <w:rPr/>
        <w:t>Cuajimalpa</w:t>
        <w:tab/>
        <w:t>104</w:t>
      </w:r>
    </w:p>
    <w:p>
      <w:pPr>
        <w:pStyle w:val="BodyText"/>
        <w:tabs>
          <w:tab w:pos="8950" w:val="right" w:leader="dot"/>
        </w:tabs>
        <w:spacing w:line="259" w:lineRule="auto"/>
        <w:ind w:left="119" w:right="107"/>
      </w:pPr>
      <w:r>
        <w:rPr/>
        <w:t>Ilustración 16. Mapa </w:t>
      </w:r>
      <w:r>
        <w:rPr>
          <w:spacing w:val="-3"/>
        </w:rPr>
        <w:t>de </w:t>
      </w:r>
      <w:r>
        <w:rPr/>
        <w:t>expansión de asentamientos irregulares en </w:t>
      </w:r>
      <w:r>
        <w:rPr>
          <w:spacing w:val="-4"/>
        </w:rPr>
        <w:t>el </w:t>
      </w:r>
      <w:r>
        <w:rPr/>
        <w:t>poblado San Mateo Tlaltenango,</w:t>
      </w:r>
      <w:r>
        <w:rPr>
          <w:spacing w:val="5"/>
        </w:rPr>
        <w:t> </w:t>
      </w:r>
      <w:r>
        <w:rPr/>
        <w:t>Álvaro</w:t>
      </w:r>
      <w:r>
        <w:rPr>
          <w:spacing w:val="-4"/>
        </w:rPr>
        <w:t> </w:t>
      </w:r>
      <w:r>
        <w:rPr/>
        <w:t>Obregón</w:t>
        <w:tab/>
        <w:t>105</w:t>
      </w:r>
    </w:p>
    <w:p>
      <w:pPr>
        <w:pStyle w:val="BodyText"/>
        <w:tabs>
          <w:tab w:pos="8950" w:val="right" w:leader="dot"/>
        </w:tabs>
        <w:spacing w:line="259" w:lineRule="auto" w:before="1"/>
        <w:ind w:left="119" w:right="107"/>
      </w:pPr>
      <w:r>
        <w:rPr/>
        <w:t>Ilustración 17. Mapa </w:t>
      </w:r>
      <w:r>
        <w:rPr>
          <w:spacing w:val="-3"/>
        </w:rPr>
        <w:t>de </w:t>
      </w:r>
      <w:r>
        <w:rPr/>
        <w:t>expansión de asentamientos irregulares en el poblado San Pablo Chimalpa, Cuajimalpa</w:t>
        <w:tab/>
        <w:t>106</w:t>
      </w:r>
    </w:p>
    <w:p>
      <w:pPr>
        <w:pStyle w:val="BodyText"/>
        <w:tabs>
          <w:tab w:pos="8950" w:val="right" w:leader="dot"/>
        </w:tabs>
        <w:spacing w:line="259" w:lineRule="auto" w:before="1"/>
        <w:ind w:left="119" w:right="103"/>
      </w:pPr>
      <w:r>
        <w:rPr/>
        <w:t>Ilustración 18. Mapa de expansión de asentamientos irregulares en el poblado Santa Rosa Xochiac, Cuajimalpa y</w:t>
      </w:r>
      <w:r>
        <w:rPr>
          <w:spacing w:val="1"/>
        </w:rPr>
        <w:t> </w:t>
      </w:r>
      <w:r>
        <w:rPr/>
        <w:t>Álvaro</w:t>
      </w:r>
      <w:r>
        <w:rPr>
          <w:spacing w:val="-4"/>
        </w:rPr>
        <w:t> </w:t>
      </w:r>
      <w:r>
        <w:rPr/>
        <w:t>Obregón</w:t>
        <w:tab/>
        <w:t>107</w:t>
      </w:r>
    </w:p>
    <w:p>
      <w:pPr>
        <w:pStyle w:val="BodyText"/>
        <w:tabs>
          <w:tab w:pos="8950" w:val="right" w:leader="dot"/>
        </w:tabs>
        <w:spacing w:line="259" w:lineRule="auto" w:before="1"/>
        <w:ind w:left="119" w:right="107"/>
      </w:pPr>
      <w:r>
        <w:rPr/>
        <w:t>Ilustración 19. Mapa de expansión de asentamientos irregulares en el poblado Zentlapatl, Cuajimalpa</w:t>
        <w:tab/>
        <w:t>108</w:t>
      </w:r>
    </w:p>
    <w:p>
      <w:pPr>
        <w:spacing w:after="0" w:line="259" w:lineRule="auto"/>
        <w:sectPr>
          <w:pgSz w:w="12240" w:h="15840"/>
          <w:pgMar w:top="1360" w:bottom="280" w:left="1580" w:right="1600"/>
        </w:sectPr>
      </w:pPr>
    </w:p>
    <w:p>
      <w:pPr>
        <w:pStyle w:val="BodyText"/>
        <w:spacing w:before="48"/>
        <w:ind w:left="119"/>
        <w:jc w:val="both"/>
      </w:pPr>
      <w:bookmarkStart w:name="_bookmark1" w:id="2"/>
      <w:bookmarkEnd w:id="2"/>
      <w:r>
        <w:rPr/>
      </w:r>
      <w:r>
        <w:rPr/>
        <w:t>INTRODUCCIÓN</w:t>
      </w:r>
    </w:p>
    <w:p>
      <w:pPr>
        <w:pStyle w:val="BodyText"/>
      </w:pPr>
    </w:p>
    <w:p>
      <w:pPr>
        <w:pStyle w:val="BodyText"/>
        <w:spacing w:before="5"/>
        <w:rPr>
          <w:sz w:val="19"/>
        </w:rPr>
      </w:pPr>
    </w:p>
    <w:p>
      <w:pPr>
        <w:pStyle w:val="BodyText"/>
        <w:spacing w:line="360" w:lineRule="auto"/>
        <w:ind w:left="119" w:right="106"/>
        <w:jc w:val="both"/>
      </w:pPr>
      <w:r>
        <w:rPr/>
        <w:t>Hasta nuestros días, la Ciudad de México sigue considerándose una de las metrópolis más importantes del país en términos económicos, políticos, de participación social, y sobre todo, en términos poblacionales. Los problemas generados por este último aspecto han llevado a la reconsideración de temas específicos como lo son el medio ambiente y la vivienda. Las dinámicas de migración, ocupación y modificación del territorio generan transformaciones considerables sobre el medio urbano y especialmente, sobre aquellas áreas naturales que aún se conservan.</w:t>
      </w:r>
    </w:p>
    <w:p>
      <w:pPr>
        <w:pStyle w:val="BodyText"/>
        <w:spacing w:line="360" w:lineRule="auto" w:before="163"/>
        <w:ind w:left="119" w:right="102"/>
        <w:jc w:val="both"/>
      </w:pPr>
      <w:r>
        <w:rPr/>
        <w:t>El incremento poblacional de las últimas décadas en la </w:t>
      </w:r>
      <w:r>
        <w:rPr>
          <w:spacing w:val="-3"/>
        </w:rPr>
        <w:t>zona </w:t>
      </w:r>
      <w:r>
        <w:rPr/>
        <w:t>poniente de la Ciudad de México es quizás el factor determinante para la realización de esta investigación con el objeto de comprender el comportamiento de las políticas de ordenamiento territorial </w:t>
      </w:r>
      <w:r>
        <w:rPr>
          <w:spacing w:val="2"/>
        </w:rPr>
        <w:t>en </w:t>
      </w:r>
      <w:r>
        <w:rPr/>
        <w:t>el manejo de la vivienda. El crecimiento de la </w:t>
      </w:r>
      <w:r>
        <w:rPr>
          <w:spacing w:val="-3"/>
        </w:rPr>
        <w:t>mancha </w:t>
      </w:r>
      <w:r>
        <w:rPr/>
        <w:t>urbana de la Ciudad de México permite realizar un diagnóstico de los procesos de ocupación ilegal del suelo de conservación como una respuesta a la falta </w:t>
      </w:r>
      <w:r>
        <w:rPr>
          <w:spacing w:val="-3"/>
        </w:rPr>
        <w:t>de </w:t>
      </w:r>
      <w:r>
        <w:rPr/>
        <w:t>opciones de vivienda y de protección a las reservas</w:t>
      </w:r>
      <w:r>
        <w:rPr>
          <w:spacing w:val="-23"/>
        </w:rPr>
        <w:t> </w:t>
      </w:r>
      <w:r>
        <w:rPr/>
        <w:t>territoriales.</w:t>
      </w:r>
    </w:p>
    <w:p>
      <w:pPr>
        <w:pStyle w:val="BodyText"/>
        <w:spacing w:line="360" w:lineRule="auto" w:before="163"/>
        <w:ind w:left="119" w:right="105"/>
        <w:jc w:val="both"/>
      </w:pPr>
      <w:r>
        <w:rPr/>
        <w:t>A partir de la década de 1970 el crecimiento de la ciudad se dio de forma indiscriminada y expansiva, aumentando considerablemente su población (Cruz, 1997). Este crecimiento  se acompañó por un deterioro cada vez mayor de las condiciones generales de vida y de una crisis habitacional importante, principalmente de los sectores populares, aunado a la escasa reserva del suelo para el uso habitacional. La imposibilidad de acceder a la vivienda ofertada en el mercado inmobiliario, generó el establecimiento de asentamientos humanos irregulares en lugares que no son adecuados para su desarrollo, o que se encuentran ubicados en zonas donde no está permitida la construcción de viviendas (PAOT, 2003).</w:t>
      </w:r>
    </w:p>
    <w:p>
      <w:pPr>
        <w:pStyle w:val="BodyText"/>
        <w:spacing w:line="360" w:lineRule="auto" w:before="163"/>
        <w:ind w:left="119" w:right="101"/>
        <w:jc w:val="both"/>
      </w:pPr>
      <w:r>
        <w:rPr/>
        <w:t>Este crecimiento irregular en la Ciudad de México, se presentó en su mayoría en el suelo de conservación, el cual </w:t>
      </w:r>
      <w:r>
        <w:rPr>
          <w:spacing w:val="2"/>
        </w:rPr>
        <w:t>se </w:t>
      </w:r>
      <w:r>
        <w:rPr/>
        <w:t>determina a partir </w:t>
      </w:r>
      <w:r>
        <w:rPr>
          <w:spacing w:val="-3"/>
        </w:rPr>
        <w:t>de </w:t>
      </w:r>
      <w:r>
        <w:rPr/>
        <w:t>su ubicación, extensión, vulnerabilidad y calidad. De acuerdo con la Ley de Desarrollo Urbano del Distrito Federal (2010), las zonas que por sus características ecológicas proveen de servicios ambientales, necesarios para </w:t>
      </w:r>
      <w:r>
        <w:rPr>
          <w:spacing w:val="-4"/>
        </w:rPr>
        <w:t>el </w:t>
      </w:r>
      <w:r>
        <w:rPr/>
        <w:t>mantenimiento de la calidad de vida de los habitantes del Distrito Federal. Es decir, </w:t>
      </w:r>
      <w:r>
        <w:rPr>
          <w:spacing w:val="-3"/>
        </w:rPr>
        <w:t>los </w:t>
      </w:r>
      <w:r>
        <w:rPr/>
        <w:t>cerros, las zonas de recarga natural de acuífero, entre otras, que constituyan elementos naturales </w:t>
      </w:r>
      <w:r>
        <w:rPr>
          <w:spacing w:val="2"/>
        </w:rPr>
        <w:t>del </w:t>
      </w:r>
      <w:r>
        <w:rPr/>
        <w:t>territorio de la ciudad y aquel subsuelo que </w:t>
      </w:r>
      <w:r>
        <w:rPr>
          <w:spacing w:val="2"/>
        </w:rPr>
        <w:t>se </w:t>
      </w:r>
      <w:r>
        <w:rPr/>
        <w:t>haya visto afectado por fenómenos naturales o aprovechamientos de  cualquier género, que representen peligros permanentes o accidentales para </w:t>
      </w:r>
      <w:r>
        <w:rPr>
          <w:spacing w:val="-4"/>
        </w:rPr>
        <w:t>el </w:t>
      </w:r>
      <w:r>
        <w:rPr/>
        <w:t>establecimiento de  los asentamientos humanos (LDUDF,</w:t>
      </w:r>
      <w:r>
        <w:rPr>
          <w:spacing w:val="-17"/>
        </w:rPr>
        <w:t> </w:t>
      </w:r>
      <w:r>
        <w:rPr/>
        <w:t>2010).</w:t>
      </w:r>
    </w:p>
    <w:p>
      <w:pPr>
        <w:pStyle w:val="BodyText"/>
        <w:spacing w:line="360" w:lineRule="auto" w:before="167"/>
        <w:ind w:left="119" w:right="108"/>
        <w:jc w:val="both"/>
      </w:pPr>
      <w:r>
        <w:rPr/>
        <w:t>Se considera que el suelo de conservación ocupa una extensión de 85,554 ha, ubicadas en ocho delegaciones  –y  de acuerdo  con  el  Programa  General  de Ordenamiento  Ecológico  del  Distrito</w:t>
      </w:r>
    </w:p>
    <w:p>
      <w:pPr>
        <w:spacing w:after="0" w:line="360" w:lineRule="auto"/>
        <w:jc w:val="both"/>
        <w:sectPr>
          <w:pgSz w:w="12240" w:h="15840"/>
          <w:pgMar w:top="1360" w:bottom="280" w:left="1580" w:right="1600"/>
        </w:sectPr>
      </w:pPr>
    </w:p>
    <w:p>
      <w:pPr>
        <w:pStyle w:val="BodyText"/>
        <w:spacing w:line="360" w:lineRule="auto" w:before="52"/>
        <w:ind w:left="119" w:right="100"/>
        <w:jc w:val="both"/>
      </w:pPr>
      <w:r>
        <w:rPr/>
        <w:t>Federal (2002-2003) –la distribución es la siguiente: Álvaro Obregón (2,268 ha), Cuajimalpa (6,473 ha), Iztapalapa (852 ha), La Magdalena Contreras (4,397 ha), Milpa Alta (28,375 ha), Tláhuac (7,351 ha), Tlalpan (25,426 ha), y Xochimilco (10,012 ha).</w:t>
      </w:r>
    </w:p>
    <w:p>
      <w:pPr>
        <w:pStyle w:val="BodyText"/>
        <w:spacing w:line="360" w:lineRule="auto" w:before="167"/>
        <w:ind w:left="119" w:right="101"/>
        <w:jc w:val="both"/>
      </w:pPr>
      <w:r>
        <w:rPr/>
        <w:t>La razón por la que se debe tener conocimiento sobre las repercusiones de la ocupación irregular, es porque esta superficie, básicamente natural y rural, está cubierta por diferentes tipos de bosques (45% coníferas, encinos, mixtos y de galería), matorral xerófilo (4.62%), pastizal o zacatonal (7.57%), vegetación acuática y subacuática y diversos tipos de zonas agrícolas (35.26%). Esta región, vecina o parte de la urbe, es la que provee las posibilidades de sobrevivencia de la ciudad (Robles y Ojeda, 2011).</w:t>
      </w:r>
    </w:p>
    <w:p>
      <w:pPr>
        <w:pStyle w:val="BodyText"/>
        <w:spacing w:line="360" w:lineRule="auto" w:before="163"/>
        <w:ind w:left="119" w:right="98"/>
        <w:jc w:val="both"/>
      </w:pPr>
      <w:r>
        <w:rPr/>
        <w:t>Es cierto, que los asentamientos irregulares </w:t>
      </w:r>
      <w:r>
        <w:rPr>
          <w:spacing w:val="2"/>
        </w:rPr>
        <w:t>se </w:t>
      </w:r>
      <w:r>
        <w:rPr/>
        <w:t>han convertido en uno de los temas primordiales en  el estudio de las ciudades, sin embargo aún resultan ser pocos los estudios que integran variables de orden urbano, medioambiental y de riesgo a las investigaciones sobre este proceso. Es importante tener en cuenta que, —como menciona Iracheta (1997)— las urbes de todo </w:t>
      </w:r>
      <w:r>
        <w:rPr>
          <w:spacing w:val="-4"/>
        </w:rPr>
        <w:t>el </w:t>
      </w:r>
      <w:r>
        <w:rPr/>
        <w:t>mundo, especialmente las mexicanas, presentan un modelo de urbanización en crisis, sin forma ni sentido urbano, que </w:t>
      </w:r>
      <w:r>
        <w:rPr>
          <w:spacing w:val="-3"/>
        </w:rPr>
        <w:t>ha </w:t>
      </w:r>
      <w:r>
        <w:rPr/>
        <w:t>favorecido la concentración de población y capital, y aumentado los desequilibrios territoriales y las desigualdades sociales. Por otro </w:t>
      </w:r>
      <w:r>
        <w:rPr>
          <w:spacing w:val="-3"/>
        </w:rPr>
        <w:t>lado, </w:t>
      </w:r>
      <w:r>
        <w:rPr/>
        <w:t>la planificación de las ciudades y en específico, las políticas urbanas y los ordenamientos territoriales, han tenido que ajustarse a </w:t>
      </w:r>
      <w:r>
        <w:rPr>
          <w:spacing w:val="-3"/>
        </w:rPr>
        <w:t>los </w:t>
      </w:r>
      <w:r>
        <w:rPr/>
        <w:t>recientes cambios en los patrones poblacionales, de vivienda y sobre todo, de</w:t>
      </w:r>
      <w:r>
        <w:rPr>
          <w:spacing w:val="-28"/>
        </w:rPr>
        <w:t> </w:t>
      </w:r>
      <w:r>
        <w:rPr/>
        <w:t>sustentabilidad.</w:t>
      </w:r>
    </w:p>
    <w:p>
      <w:pPr>
        <w:pStyle w:val="BodyText"/>
        <w:spacing w:line="360" w:lineRule="auto" w:before="163"/>
        <w:ind w:left="119" w:right="103"/>
        <w:jc w:val="both"/>
      </w:pPr>
      <w:r>
        <w:rPr/>
        <w:t>Bajo esta perspectiva, el proyecto de investigación pretende situar el estudio dentro del contexto de la dinámica poblacional y la expansión de la mancha urbana hacia las zonas periféricas de la ciudad. La descentralización, principalmente de las delegaciones Cuauhtémoc, Venustiano Carranza y Benito Juárez después del sismo de 1985, dio origen a un nuevo crecimiento inmobiliario en la zona periférica de esta ciudad y un incremento poblacional importante. Esta situación fue causante de  una expansión urbana hacia las delegaciones del poniente, tanto en los límites urbanos como fuera de ellos, trayendo consigo nuevos asentamientos en áreas de protección natural y suelo de conservación. Este </w:t>
      </w:r>
      <w:r>
        <w:rPr>
          <w:spacing w:val="-4"/>
        </w:rPr>
        <w:t>es </w:t>
      </w:r>
      <w:r>
        <w:rPr/>
        <w:t>el precedente para estudiar la dinámica espacial de los asentamientos  humanos irregulares en suelo de conservación al poniente de la Ciudad de</w:t>
      </w:r>
      <w:r>
        <w:rPr>
          <w:spacing w:val="-39"/>
        </w:rPr>
        <w:t> </w:t>
      </w:r>
      <w:r>
        <w:rPr/>
        <w:t>México.</w:t>
      </w:r>
    </w:p>
    <w:p>
      <w:pPr>
        <w:spacing w:after="0" w:line="360" w:lineRule="auto"/>
        <w:jc w:val="both"/>
        <w:sectPr>
          <w:pgSz w:w="12240" w:h="15840"/>
          <w:pgMar w:top="1360" w:bottom="280" w:left="1580" w:right="1600"/>
        </w:sectPr>
      </w:pPr>
    </w:p>
    <w:p>
      <w:pPr>
        <w:pStyle w:val="ListParagraph"/>
        <w:numPr>
          <w:ilvl w:val="2"/>
          <w:numId w:val="6"/>
        </w:numPr>
        <w:tabs>
          <w:tab w:pos="841" w:val="left" w:leader="none"/>
        </w:tabs>
        <w:spacing w:line="240" w:lineRule="auto" w:before="48" w:after="0"/>
        <w:ind w:left="840" w:right="0" w:hanging="360"/>
        <w:jc w:val="left"/>
        <w:rPr>
          <w:sz w:val="22"/>
        </w:rPr>
      </w:pPr>
      <w:bookmarkStart w:name="_bookmark2" w:id="3"/>
      <w:bookmarkEnd w:id="3"/>
      <w:r>
        <w:rPr/>
      </w:r>
      <w:bookmarkStart w:name="_bookmark2" w:id="4"/>
      <w:bookmarkEnd w:id="4"/>
      <w:r>
        <w:rPr>
          <w:sz w:val="22"/>
        </w:rPr>
        <w:t>P</w:t>
      </w:r>
      <w:r>
        <w:rPr>
          <w:sz w:val="22"/>
        </w:rPr>
        <w:t>LANTEAMIENTO DEL</w:t>
      </w:r>
      <w:r>
        <w:rPr>
          <w:spacing w:val="-10"/>
          <w:sz w:val="22"/>
        </w:rPr>
        <w:t> </w:t>
      </w:r>
      <w:r>
        <w:rPr>
          <w:sz w:val="22"/>
        </w:rPr>
        <w:t>PROBLEMA</w:t>
      </w:r>
    </w:p>
    <w:p>
      <w:pPr>
        <w:pStyle w:val="BodyText"/>
      </w:pPr>
    </w:p>
    <w:p>
      <w:pPr>
        <w:pStyle w:val="BodyText"/>
        <w:spacing w:before="5"/>
        <w:rPr>
          <w:sz w:val="19"/>
        </w:rPr>
      </w:pPr>
    </w:p>
    <w:p>
      <w:pPr>
        <w:pStyle w:val="BodyText"/>
        <w:spacing w:line="360" w:lineRule="auto"/>
        <w:ind w:left="119" w:right="105"/>
        <w:jc w:val="both"/>
      </w:pPr>
      <w:r>
        <w:rPr/>
        <w:t>Las delegaciones Álvaro Obregón, Cuajimalpa y Magdalena Contreras se localizan en la zona poniente de la Ciudad de México, misma que surge como caso particular de estudio por la paulatina urbanización de las últimas décadas, situación que ha ocasionado la invasión de suelo de conservación, especialmente, por la presencia de asentamientos humanos irregulares. La zona poniente de la ciudad, alberga un porcentaje importante de suelo de conservación, jugando un papel importante en el equilibrio ecológico-urbano de la ciudad, principalmente, por la contribución en la recarga de acuíferos.</w:t>
      </w:r>
    </w:p>
    <w:p>
      <w:pPr>
        <w:pStyle w:val="BodyText"/>
        <w:spacing w:line="360" w:lineRule="auto" w:before="167"/>
        <w:ind w:left="119" w:right="106"/>
        <w:jc w:val="both"/>
      </w:pPr>
      <w:r>
        <w:rPr/>
        <w:t>Es posible señalar que las alteraciones al suelo de conservación por la paulatina urbanización, también gira en torno a dos principales problemáticas; por un lado, la pérdida de ecosistemas necesarios para la ciudad y, por otro lado, la exposición de la población a sufrir algún tipo de riesgo natural. Es por ello, que el reconocimiento de las características físicas del territorio se tiene como un elemento necesario para diagnosticar la incidencia de peligros naturales y quiénes podrían ser los agentes afectados. Siguiendo esta idea, en este estudio se abordan los procesos de remoción en masa para determinar cuál es la susceptibilidad a deslizamientos en la zona de estudio.</w:t>
      </w:r>
    </w:p>
    <w:p>
      <w:pPr>
        <w:pStyle w:val="BodyText"/>
        <w:spacing w:line="360" w:lineRule="auto" w:before="163"/>
        <w:ind w:left="119" w:right="105"/>
        <w:jc w:val="both"/>
      </w:pPr>
      <w:r>
        <w:rPr/>
        <w:t>En suma, la investigación busca construir una perspectiva </w:t>
      </w:r>
      <w:r>
        <w:rPr>
          <w:spacing w:val="-2"/>
        </w:rPr>
        <w:t>más </w:t>
      </w:r>
      <w:r>
        <w:rPr/>
        <w:t>amplia sobre </w:t>
      </w:r>
      <w:r>
        <w:rPr>
          <w:spacing w:val="-4"/>
        </w:rPr>
        <w:t>el </w:t>
      </w:r>
      <w:r>
        <w:rPr/>
        <w:t>proceso  de  expansión urbana </w:t>
      </w:r>
      <w:r>
        <w:rPr>
          <w:spacing w:val="-4"/>
        </w:rPr>
        <w:t>en </w:t>
      </w:r>
      <w:r>
        <w:rPr/>
        <w:t>la zona poniente, </w:t>
      </w:r>
      <w:r>
        <w:rPr>
          <w:spacing w:val="2"/>
        </w:rPr>
        <w:t>su </w:t>
      </w:r>
      <w:r>
        <w:rPr/>
        <w:t>repercusión actual y la probabilidad de riesgo en años posteriores. Es indispensable considerar la expansión periférica de los asentamientos humanos  como un proceso de importancia crítica sobre todo por las repercusiones que conllevarán las metrópolis futuras tanto en el contexto social como en el</w:t>
      </w:r>
      <w:r>
        <w:rPr>
          <w:spacing w:val="-32"/>
        </w:rPr>
        <w:t> </w:t>
      </w:r>
      <w:r>
        <w:rPr/>
        <w:t>ambiental.</w:t>
      </w:r>
    </w:p>
    <w:p>
      <w:pPr>
        <w:pStyle w:val="BodyText"/>
      </w:pPr>
    </w:p>
    <w:p>
      <w:pPr>
        <w:pStyle w:val="BodyText"/>
      </w:pPr>
    </w:p>
    <w:p>
      <w:pPr>
        <w:pStyle w:val="ListParagraph"/>
        <w:numPr>
          <w:ilvl w:val="2"/>
          <w:numId w:val="6"/>
        </w:numPr>
        <w:tabs>
          <w:tab w:pos="841" w:val="left" w:leader="none"/>
        </w:tabs>
        <w:spacing w:line="240" w:lineRule="auto" w:before="195" w:after="0"/>
        <w:ind w:left="840" w:right="0" w:hanging="360"/>
        <w:jc w:val="left"/>
        <w:rPr>
          <w:sz w:val="22"/>
        </w:rPr>
      </w:pPr>
      <w:bookmarkStart w:name="_bookmark3" w:id="5"/>
      <w:bookmarkEnd w:id="5"/>
      <w:r>
        <w:rPr/>
      </w:r>
      <w:bookmarkStart w:name="_bookmark3" w:id="6"/>
      <w:bookmarkEnd w:id="6"/>
      <w:r>
        <w:rPr>
          <w:sz w:val="22"/>
        </w:rPr>
        <w:t>P</w:t>
      </w:r>
      <w:r>
        <w:rPr>
          <w:sz w:val="22"/>
        </w:rPr>
        <w:t>REGUNTA DE</w:t>
      </w:r>
      <w:r>
        <w:rPr>
          <w:spacing w:val="-15"/>
          <w:sz w:val="22"/>
        </w:rPr>
        <w:t> </w:t>
      </w:r>
      <w:r>
        <w:rPr>
          <w:sz w:val="22"/>
        </w:rPr>
        <w:t>INVESTIGACIÓN</w:t>
      </w:r>
    </w:p>
    <w:p>
      <w:pPr>
        <w:pStyle w:val="BodyText"/>
      </w:pPr>
    </w:p>
    <w:p>
      <w:pPr>
        <w:pStyle w:val="BodyText"/>
        <w:spacing w:before="5"/>
        <w:rPr>
          <w:sz w:val="19"/>
        </w:rPr>
      </w:pPr>
    </w:p>
    <w:p>
      <w:pPr>
        <w:pStyle w:val="BodyText"/>
        <w:spacing w:line="360" w:lineRule="auto"/>
        <w:ind w:left="119" w:right="106"/>
        <w:jc w:val="both"/>
      </w:pPr>
      <w:r>
        <w:rPr/>
        <w:t>¿Cómo se explica la dinámica espacial de los asentamientos humanos irregulares en suelo de conservación al poniente de la Ciudad de México?</w:t>
      </w:r>
    </w:p>
    <w:p>
      <w:pPr>
        <w:spacing w:after="0" w:line="360" w:lineRule="auto"/>
        <w:jc w:val="both"/>
        <w:sectPr>
          <w:pgSz w:w="12240" w:h="15840"/>
          <w:pgMar w:top="1360" w:bottom="280" w:left="1580" w:right="1600"/>
        </w:sectPr>
      </w:pPr>
    </w:p>
    <w:p>
      <w:pPr>
        <w:pStyle w:val="ListParagraph"/>
        <w:numPr>
          <w:ilvl w:val="2"/>
          <w:numId w:val="6"/>
        </w:numPr>
        <w:tabs>
          <w:tab w:pos="1105" w:val="left" w:leader="none"/>
        </w:tabs>
        <w:spacing w:line="240" w:lineRule="auto" w:before="48" w:after="0"/>
        <w:ind w:left="1104" w:right="0" w:hanging="279"/>
        <w:jc w:val="left"/>
        <w:rPr>
          <w:sz w:val="22"/>
        </w:rPr>
      </w:pPr>
      <w:bookmarkStart w:name="_bookmark4" w:id="7"/>
      <w:bookmarkEnd w:id="7"/>
      <w:r>
        <w:rPr/>
      </w:r>
      <w:bookmarkStart w:name="_bookmark4" w:id="8"/>
      <w:bookmarkEnd w:id="8"/>
      <w:r>
        <w:rPr>
          <w:sz w:val="22"/>
        </w:rPr>
        <w:t>J</w:t>
      </w:r>
      <w:r>
        <w:rPr>
          <w:sz w:val="22"/>
        </w:rPr>
        <w:t>USTIFICACIÓN</w:t>
      </w:r>
    </w:p>
    <w:p>
      <w:pPr>
        <w:pStyle w:val="BodyText"/>
      </w:pPr>
    </w:p>
    <w:p>
      <w:pPr>
        <w:pStyle w:val="BodyText"/>
        <w:spacing w:before="5"/>
        <w:rPr>
          <w:sz w:val="19"/>
        </w:rPr>
      </w:pPr>
    </w:p>
    <w:p>
      <w:pPr>
        <w:pStyle w:val="BodyText"/>
        <w:spacing w:line="360" w:lineRule="auto"/>
        <w:ind w:left="119" w:right="100"/>
        <w:jc w:val="both"/>
      </w:pPr>
      <w:r>
        <w:rPr/>
        <w:t>En este estudio, la zona poniente de la Ciudad de México está comprendida por tres delegaciones: Álvaro Obregón, Cuajimalpa y Magdalena Contreras. El interés de esta zona de estudio </w:t>
      </w:r>
      <w:r>
        <w:rPr>
          <w:spacing w:val="-4"/>
        </w:rPr>
        <w:t>es </w:t>
      </w:r>
      <w:r>
        <w:rPr/>
        <w:t>porque aún resultan ser pocos los estudios en el área que integren una la perspectiva de análisis espacial y metodologías desarrolladas mediante sistemas de información geográfica. Las dinámicas espaciales presentes en el entorno y puestas de manifiesto en el plano geográfico, social, ambiental y urbano, permiten el entendimiento de las problemáticas asociadas a la expansión urbana en la zona  periférica de la Ciudad de México, así como las implicaciones del aumento en el ritmo de crecimiento poblacional y la falta </w:t>
      </w:r>
      <w:r>
        <w:rPr>
          <w:spacing w:val="-3"/>
        </w:rPr>
        <w:t>de </w:t>
      </w:r>
      <w:r>
        <w:rPr/>
        <w:t>suelo apto para la construcción de</w:t>
      </w:r>
      <w:r>
        <w:rPr>
          <w:spacing w:val="-23"/>
        </w:rPr>
        <w:t> </w:t>
      </w:r>
      <w:r>
        <w:rPr/>
        <w:t>viviendas.</w:t>
      </w:r>
    </w:p>
    <w:p>
      <w:pPr>
        <w:pStyle w:val="BodyText"/>
        <w:spacing w:line="360" w:lineRule="auto" w:before="168"/>
        <w:ind w:left="119" w:right="102"/>
        <w:jc w:val="both"/>
      </w:pPr>
      <w:r>
        <w:rPr/>
        <w:t>Los asentamientos humanos irregulares en suelo de conservación, surgen como principal problema derivado de la falta </w:t>
      </w:r>
      <w:r>
        <w:rPr>
          <w:spacing w:val="-3"/>
        </w:rPr>
        <w:t>de </w:t>
      </w:r>
      <w:r>
        <w:rPr/>
        <w:t>planeación y </w:t>
      </w:r>
      <w:r>
        <w:rPr>
          <w:spacing w:val="-4"/>
        </w:rPr>
        <w:t>en </w:t>
      </w:r>
      <w:r>
        <w:rPr/>
        <w:t>muchos casos, por la </w:t>
      </w:r>
      <w:r>
        <w:rPr>
          <w:spacing w:val="-3"/>
        </w:rPr>
        <w:t>nula </w:t>
      </w:r>
      <w:r>
        <w:rPr/>
        <w:t>implementación de políticas para controlar la expansión urbana hacia suelo de alto valor ambiental. La realización de esta investigación busca contribuir a los estudios que han iniciado una reflexión sobre las relaciones entre los ámbitos urbano y ambiental, con una perspectiva geográfica, logrando el entendimiento de las relaciones entre el hombre y el espacio físico a través de la espacialización de los procesos que ocurren en la actualidad. Es importante mencionar que la integración de Tecnologías de Información Geográfica (TIG) </w:t>
      </w:r>
      <w:r>
        <w:rPr>
          <w:spacing w:val="-4"/>
        </w:rPr>
        <w:t>es </w:t>
      </w:r>
      <w:r>
        <w:rPr/>
        <w:t>de gran relevancia porque permiten entender y evaluar la distribución espacial de los asentamientos humanos irregulares, así como la interacción entre los elementos del territorio para la localización de áreas susceptibles a riesgos naturales. En este  sentido, la reciente investigación podrá </w:t>
      </w:r>
      <w:r>
        <w:rPr>
          <w:spacing w:val="-3"/>
        </w:rPr>
        <w:t>ser </w:t>
      </w:r>
      <w:r>
        <w:rPr/>
        <w:t>partícipe para una </w:t>
      </w:r>
      <w:r>
        <w:rPr>
          <w:spacing w:val="-3"/>
        </w:rPr>
        <w:t>mejor toma </w:t>
      </w:r>
      <w:r>
        <w:rPr/>
        <w:t>de</w:t>
      </w:r>
      <w:r>
        <w:rPr>
          <w:spacing w:val="7"/>
        </w:rPr>
        <w:t> </w:t>
      </w:r>
      <w:r>
        <w:rPr/>
        <w:t>decisiones.</w:t>
      </w:r>
    </w:p>
    <w:p>
      <w:pPr>
        <w:spacing w:after="0" w:line="360" w:lineRule="auto"/>
        <w:jc w:val="both"/>
        <w:sectPr>
          <w:pgSz w:w="12240" w:h="15840"/>
          <w:pgMar w:top="1360" w:bottom="280" w:left="1580" w:right="1600"/>
        </w:sectPr>
      </w:pPr>
    </w:p>
    <w:p>
      <w:pPr>
        <w:pStyle w:val="BodyText"/>
        <w:spacing w:line="688" w:lineRule="auto" w:before="48"/>
        <w:ind w:left="119" w:right="6101" w:firstLine="360"/>
      </w:pPr>
      <w:bookmarkStart w:name="_bookmark5" w:id="9"/>
      <w:bookmarkEnd w:id="9"/>
      <w:r>
        <w:rPr/>
      </w:r>
      <w:r>
        <w:rPr/>
        <w:t>C) OBJETIVOS </w:t>
      </w:r>
      <w:bookmarkStart w:name="_bookmark6" w:id="10"/>
      <w:bookmarkEnd w:id="10"/>
      <w:r>
        <w:rPr/>
      </w:r>
      <w:r>
        <w:rPr/>
        <w:t>OBJETIVO GENERAL</w:t>
      </w:r>
    </w:p>
    <w:p>
      <w:pPr>
        <w:pStyle w:val="ListParagraph"/>
        <w:numPr>
          <w:ilvl w:val="0"/>
          <w:numId w:val="7"/>
        </w:numPr>
        <w:tabs>
          <w:tab w:pos="840" w:val="left" w:leader="none"/>
          <w:tab w:pos="841" w:val="left" w:leader="none"/>
        </w:tabs>
        <w:spacing w:line="360" w:lineRule="auto" w:before="16" w:after="0"/>
        <w:ind w:left="840" w:right="105" w:hanging="360"/>
        <w:jc w:val="left"/>
        <w:rPr>
          <w:sz w:val="22"/>
        </w:rPr>
      </w:pPr>
      <w:r>
        <w:rPr>
          <w:sz w:val="22"/>
        </w:rPr>
        <w:t>Analizar de la dinámica espacial de los asentamientos humanos irregulares en suelo de conservación.</w:t>
      </w:r>
    </w:p>
    <w:p>
      <w:pPr>
        <w:pStyle w:val="BodyText"/>
      </w:pPr>
    </w:p>
    <w:p>
      <w:pPr>
        <w:pStyle w:val="BodyText"/>
      </w:pPr>
    </w:p>
    <w:p>
      <w:pPr>
        <w:pStyle w:val="BodyText"/>
        <w:spacing w:before="195"/>
        <w:ind w:left="119"/>
      </w:pPr>
      <w:bookmarkStart w:name="_bookmark7" w:id="11"/>
      <w:bookmarkEnd w:id="11"/>
      <w:r>
        <w:rPr/>
      </w:r>
      <w:r>
        <w:rPr/>
        <w:t>OBJETIVOS ESPECÍFICOS</w:t>
      </w:r>
    </w:p>
    <w:p>
      <w:pPr>
        <w:pStyle w:val="BodyText"/>
      </w:pPr>
    </w:p>
    <w:p>
      <w:pPr>
        <w:pStyle w:val="BodyText"/>
        <w:spacing w:before="5"/>
        <w:rPr>
          <w:sz w:val="19"/>
        </w:rPr>
      </w:pPr>
    </w:p>
    <w:p>
      <w:pPr>
        <w:pStyle w:val="ListParagraph"/>
        <w:numPr>
          <w:ilvl w:val="0"/>
          <w:numId w:val="7"/>
        </w:numPr>
        <w:tabs>
          <w:tab w:pos="840" w:val="left" w:leader="none"/>
          <w:tab w:pos="841" w:val="left" w:leader="none"/>
        </w:tabs>
        <w:spacing w:line="360" w:lineRule="auto" w:before="0" w:after="0"/>
        <w:ind w:left="840" w:right="103" w:hanging="360"/>
        <w:jc w:val="left"/>
        <w:rPr>
          <w:sz w:val="22"/>
        </w:rPr>
      </w:pPr>
      <w:r>
        <w:rPr>
          <w:sz w:val="22"/>
        </w:rPr>
        <w:t>Describir la caracterización espacio-geográfica de los asentamientos humanos irregulares</w:t>
      </w:r>
      <w:r>
        <w:rPr>
          <w:spacing w:val="-28"/>
          <w:sz w:val="22"/>
        </w:rPr>
        <w:t> </w:t>
      </w:r>
      <w:r>
        <w:rPr>
          <w:sz w:val="22"/>
        </w:rPr>
        <w:t>en suelo de conservación al poniente de la Ciudad de</w:t>
      </w:r>
      <w:r>
        <w:rPr>
          <w:spacing w:val="-24"/>
          <w:sz w:val="22"/>
        </w:rPr>
        <w:t> </w:t>
      </w:r>
      <w:r>
        <w:rPr>
          <w:sz w:val="22"/>
        </w:rPr>
        <w:t>México.</w:t>
      </w:r>
    </w:p>
    <w:p>
      <w:pPr>
        <w:pStyle w:val="ListParagraph"/>
        <w:numPr>
          <w:ilvl w:val="0"/>
          <w:numId w:val="7"/>
        </w:numPr>
        <w:tabs>
          <w:tab w:pos="840" w:val="left" w:leader="none"/>
          <w:tab w:pos="841" w:val="left" w:leader="none"/>
        </w:tabs>
        <w:spacing w:line="240" w:lineRule="auto" w:before="163" w:after="0"/>
        <w:ind w:left="840" w:right="0" w:hanging="360"/>
        <w:jc w:val="left"/>
        <w:rPr>
          <w:sz w:val="22"/>
        </w:rPr>
      </w:pPr>
      <w:r>
        <w:rPr>
          <w:sz w:val="22"/>
        </w:rPr>
        <w:t>Identificar de los patrones urbanos de ocupación informal </w:t>
      </w:r>
      <w:r>
        <w:rPr>
          <w:spacing w:val="-4"/>
          <w:sz w:val="22"/>
        </w:rPr>
        <w:t>en </w:t>
      </w:r>
      <w:r>
        <w:rPr>
          <w:sz w:val="22"/>
        </w:rPr>
        <w:t>la zona</w:t>
      </w:r>
      <w:r>
        <w:rPr>
          <w:spacing w:val="-19"/>
          <w:sz w:val="22"/>
        </w:rPr>
        <w:t> </w:t>
      </w:r>
      <w:r>
        <w:rPr>
          <w:sz w:val="22"/>
        </w:rPr>
        <w:t>poniente.</w:t>
      </w:r>
    </w:p>
    <w:p>
      <w:pPr>
        <w:pStyle w:val="BodyText"/>
        <w:spacing w:before="1"/>
        <w:rPr>
          <w:sz w:val="25"/>
        </w:rPr>
      </w:pPr>
    </w:p>
    <w:p>
      <w:pPr>
        <w:pStyle w:val="ListParagraph"/>
        <w:numPr>
          <w:ilvl w:val="0"/>
          <w:numId w:val="7"/>
        </w:numPr>
        <w:tabs>
          <w:tab w:pos="840" w:val="left" w:leader="none"/>
          <w:tab w:pos="841" w:val="left" w:leader="none"/>
        </w:tabs>
        <w:spacing w:line="240" w:lineRule="auto" w:before="1" w:after="0"/>
        <w:ind w:left="840" w:right="0" w:hanging="360"/>
        <w:jc w:val="left"/>
        <w:rPr>
          <w:sz w:val="22"/>
        </w:rPr>
      </w:pPr>
      <w:r>
        <w:rPr>
          <w:sz w:val="22"/>
        </w:rPr>
        <w:t>Segmentar mediante Evaluación Multicriterio las áreas</w:t>
      </w:r>
      <w:r>
        <w:rPr>
          <w:spacing w:val="-39"/>
          <w:sz w:val="22"/>
        </w:rPr>
        <w:t> </w:t>
      </w:r>
      <w:r>
        <w:rPr>
          <w:sz w:val="22"/>
        </w:rPr>
        <w:t>susceptibles a deslizamientos.</w:t>
      </w:r>
    </w:p>
    <w:p>
      <w:pPr>
        <w:pStyle w:val="BodyText"/>
        <w:spacing w:before="9"/>
        <w:rPr>
          <w:sz w:val="24"/>
        </w:rPr>
      </w:pPr>
    </w:p>
    <w:p>
      <w:pPr>
        <w:pStyle w:val="ListParagraph"/>
        <w:numPr>
          <w:ilvl w:val="0"/>
          <w:numId w:val="7"/>
        </w:numPr>
        <w:tabs>
          <w:tab w:pos="840" w:val="left" w:leader="none"/>
          <w:tab w:pos="841" w:val="left" w:leader="none"/>
        </w:tabs>
        <w:spacing w:line="240" w:lineRule="auto" w:before="0" w:after="0"/>
        <w:ind w:left="840" w:right="0" w:hanging="360"/>
        <w:jc w:val="left"/>
        <w:rPr>
          <w:sz w:val="22"/>
        </w:rPr>
      </w:pPr>
      <w:r>
        <w:rPr>
          <w:sz w:val="22"/>
        </w:rPr>
        <w:t>Comprobar </w:t>
      </w:r>
      <w:r>
        <w:rPr>
          <w:spacing w:val="-4"/>
          <w:sz w:val="22"/>
        </w:rPr>
        <w:t>el </w:t>
      </w:r>
      <w:r>
        <w:rPr>
          <w:sz w:val="22"/>
        </w:rPr>
        <w:t>modelo de deslizamientos mediante registros</w:t>
      </w:r>
      <w:r>
        <w:rPr>
          <w:spacing w:val="-7"/>
          <w:sz w:val="22"/>
        </w:rPr>
        <w:t> </w:t>
      </w:r>
      <w:r>
        <w:rPr>
          <w:sz w:val="22"/>
        </w:rPr>
        <w:t>históricos.</w:t>
      </w:r>
    </w:p>
    <w:p>
      <w:pPr>
        <w:pStyle w:val="BodyText"/>
        <w:spacing w:before="8"/>
        <w:rPr>
          <w:sz w:val="24"/>
        </w:rPr>
      </w:pPr>
    </w:p>
    <w:p>
      <w:pPr>
        <w:pStyle w:val="ListParagraph"/>
        <w:numPr>
          <w:ilvl w:val="0"/>
          <w:numId w:val="7"/>
        </w:numPr>
        <w:tabs>
          <w:tab w:pos="840" w:val="left" w:leader="none"/>
          <w:tab w:pos="841" w:val="left" w:leader="none"/>
        </w:tabs>
        <w:spacing w:line="360" w:lineRule="auto" w:before="0" w:after="0"/>
        <w:ind w:left="840" w:right="108" w:hanging="360"/>
        <w:jc w:val="left"/>
        <w:rPr>
          <w:sz w:val="22"/>
        </w:rPr>
      </w:pPr>
      <w:r>
        <w:rPr>
          <w:sz w:val="22"/>
        </w:rPr>
        <w:t>Construir un escenario prospectivo de expansión de asentamientos humanos irregulares en suelo de conservación en la zona de</w:t>
      </w:r>
      <w:r>
        <w:rPr>
          <w:spacing w:val="-22"/>
          <w:sz w:val="22"/>
        </w:rPr>
        <w:t> </w:t>
      </w:r>
      <w:r>
        <w:rPr>
          <w:sz w:val="22"/>
        </w:rPr>
        <w:t>estudio.</w:t>
      </w:r>
    </w:p>
    <w:p>
      <w:pPr>
        <w:spacing w:after="0" w:line="360" w:lineRule="auto"/>
        <w:jc w:val="left"/>
        <w:rPr>
          <w:sz w:val="22"/>
        </w:rPr>
        <w:sectPr>
          <w:pgSz w:w="12240" w:h="15840"/>
          <w:pgMar w:top="1360" w:bottom="280" w:left="1580" w:right="1600"/>
        </w:sectPr>
      </w:pPr>
    </w:p>
    <w:p>
      <w:pPr>
        <w:pStyle w:val="Heading1"/>
        <w:spacing w:line="256" w:lineRule="auto" w:before="57"/>
        <w:ind w:left="364" w:right="369" w:hanging="3"/>
        <w:jc w:val="center"/>
      </w:pPr>
      <w:bookmarkStart w:name="_bookmark8" w:id="12"/>
      <w:bookmarkEnd w:id="12"/>
      <w:r>
        <w:rPr>
          <w:b w:val="0"/>
        </w:rPr>
      </w:r>
      <w:r>
        <w:rPr/>
        <w:t>CAPÍTULO I. MARCO TEÓRICO, CONCEPTUAL Y NORMATIVO. LA INVESTIGACIÓN DENTRO DEL MARCO DE LA GEOGRAFÍA Y LA GEOGRAFÍA AMBIENTAL</w:t>
      </w:r>
    </w:p>
    <w:p>
      <w:pPr>
        <w:pStyle w:val="BodyText"/>
        <w:rPr>
          <w:b/>
        </w:rPr>
      </w:pPr>
    </w:p>
    <w:p>
      <w:pPr>
        <w:pStyle w:val="BodyText"/>
        <w:spacing w:before="6"/>
        <w:rPr>
          <w:b/>
          <w:sz w:val="17"/>
        </w:rPr>
      </w:pPr>
    </w:p>
    <w:p>
      <w:pPr>
        <w:pStyle w:val="BodyText"/>
        <w:spacing w:line="360" w:lineRule="auto" w:before="1"/>
        <w:ind w:left="119" w:right="116"/>
        <w:jc w:val="both"/>
      </w:pPr>
      <w:r>
        <w:rPr/>
        <w:t>A continuación </w:t>
      </w:r>
      <w:r>
        <w:rPr>
          <w:spacing w:val="2"/>
        </w:rPr>
        <w:t>se </w:t>
      </w:r>
      <w:r>
        <w:rPr/>
        <w:t>expone el marco teórico y conceptual de la presente investigación. En este </w:t>
      </w:r>
      <w:r>
        <w:rPr>
          <w:spacing w:val="2"/>
        </w:rPr>
        <w:t>se </w:t>
      </w:r>
      <w:r>
        <w:rPr/>
        <w:t>encuentran los antecedentes de la investigación, el marco teórico-epistemológico en el que </w:t>
      </w:r>
      <w:r>
        <w:rPr>
          <w:spacing w:val="2"/>
        </w:rPr>
        <w:t>se </w:t>
      </w:r>
      <w:r>
        <w:rPr/>
        <w:t>expone la base teórica y epistemológica de la geografía ambiental, los enfoques geográficos aplicados a la cuestión medioambiental, el espacio geográfico y las relaciones hombre-medio. </w:t>
      </w:r>
      <w:r>
        <w:rPr>
          <w:spacing w:val="3"/>
        </w:rPr>
        <w:t>Se </w:t>
      </w:r>
      <w:r>
        <w:rPr/>
        <w:t>incorpora además, un apartado sobre planificación estratégica y el marco normativo aplicado al problema territorial. Este capítulo </w:t>
      </w:r>
      <w:r>
        <w:rPr>
          <w:spacing w:val="2"/>
        </w:rPr>
        <w:t>se </w:t>
      </w:r>
      <w:r>
        <w:rPr/>
        <w:t>encuentra dividido en cinco secciones para </w:t>
      </w:r>
      <w:r>
        <w:rPr>
          <w:spacing w:val="-4"/>
        </w:rPr>
        <w:t>el </w:t>
      </w:r>
      <w:r>
        <w:rPr/>
        <w:t>análisis detallado tanto del medio ambiente como objeto de estudio geográfico y su abordaje dentro de la investigación, asimismo de los trabajos previamente realizados sobre el tema y la incorporación de los Sistemas de</w:t>
      </w:r>
      <w:r>
        <w:rPr>
          <w:spacing w:val="-40"/>
        </w:rPr>
        <w:t> </w:t>
      </w:r>
      <w:r>
        <w:rPr/>
        <w:t>Información Geográfica a las problemáticas socioterritoriales.</w:t>
      </w:r>
    </w:p>
    <w:p>
      <w:pPr>
        <w:pStyle w:val="BodyText"/>
      </w:pPr>
    </w:p>
    <w:p>
      <w:pPr>
        <w:pStyle w:val="BodyText"/>
        <w:spacing w:before="4"/>
        <w:rPr>
          <w:sz w:val="31"/>
        </w:rPr>
      </w:pPr>
    </w:p>
    <w:p>
      <w:pPr>
        <w:pStyle w:val="Heading1"/>
        <w:spacing w:before="1"/>
      </w:pPr>
      <w:bookmarkStart w:name="_bookmark9" w:id="13"/>
      <w:bookmarkEnd w:id="13"/>
      <w:r>
        <w:rPr>
          <w:b w:val="0"/>
        </w:rPr>
      </w:r>
      <w:r>
        <w:rPr/>
        <w:t>1.1 Antecedentes de la investigación</w:t>
      </w:r>
    </w:p>
    <w:p>
      <w:pPr>
        <w:pStyle w:val="BodyText"/>
        <w:rPr>
          <w:b/>
        </w:rPr>
      </w:pPr>
    </w:p>
    <w:p>
      <w:pPr>
        <w:pStyle w:val="BodyText"/>
        <w:rPr>
          <w:b/>
          <w:sz w:val="19"/>
        </w:rPr>
      </w:pPr>
    </w:p>
    <w:p>
      <w:pPr>
        <w:pStyle w:val="BodyText"/>
        <w:spacing w:line="360" w:lineRule="auto"/>
        <w:ind w:left="119" w:right="121"/>
        <w:jc w:val="both"/>
      </w:pPr>
      <w:r>
        <w:rPr/>
        <w:t>Los estudios teóricos enfocados a describir las características de los asentamientos humanos irregulares y su conformación pueden ser diversos. El contexto latinoamericano </w:t>
      </w:r>
      <w:r>
        <w:rPr>
          <w:spacing w:val="-4"/>
        </w:rPr>
        <w:t>es </w:t>
      </w:r>
      <w:r>
        <w:rPr/>
        <w:t>aquel que nos provee de numerosos casos y en el cual se analizan las problemáticas que surgen a partir de la ocupación irregular y sobre todo, aquellas prácticas que a pesar de estar fuera de la legalidad deterioran </w:t>
      </w:r>
      <w:r>
        <w:rPr>
          <w:spacing w:val="-4"/>
        </w:rPr>
        <w:t>el </w:t>
      </w:r>
      <w:r>
        <w:rPr/>
        <w:t>medio ambiente. Los análisis suelen priorizar </w:t>
      </w:r>
      <w:r>
        <w:rPr>
          <w:spacing w:val="-4"/>
        </w:rPr>
        <w:t>el </w:t>
      </w:r>
      <w:r>
        <w:rPr/>
        <w:t>entorno urbano y en fechas recientes, el entorno ambiental, las implicaciones a corto y mediano plazo, así como las políticas e instrumentos que deben adoptarse para frenar su expansión. No obstante, los estudios que además de englobar </w:t>
      </w:r>
      <w:r>
        <w:rPr>
          <w:spacing w:val="-3"/>
        </w:rPr>
        <w:t>estos </w:t>
      </w:r>
      <w:r>
        <w:rPr/>
        <w:t>aspectos, integran la variable tecnológica para </w:t>
      </w:r>
      <w:r>
        <w:rPr>
          <w:spacing w:val="-3"/>
        </w:rPr>
        <w:t>su </w:t>
      </w:r>
      <w:r>
        <w:rPr/>
        <w:t>análisis pueden resultar limitados.</w:t>
      </w:r>
    </w:p>
    <w:p>
      <w:pPr>
        <w:pStyle w:val="BodyText"/>
        <w:spacing w:line="360" w:lineRule="auto" w:before="167"/>
        <w:ind w:left="119" w:right="120"/>
        <w:jc w:val="both"/>
      </w:pPr>
      <w:r>
        <w:rPr/>
        <w:t>Existen diversos estudios urbanos, sociológicos y ambientales (Duhau, Emilio y Giglia, Ángela 2008; Bazant, Jan 2004; Rébora, Alberto 2000; Hoffmann, Odile y Salmerón, Fernando 1997) que han llevado a cabo una descripción de las formas de habitar la ciudad y entender la complejidad de las metrópolis contemporáneas, en muchos casos, tratando de focalizar las fallas importantes en la gestión del territorio articulando lo urbano con lo medioambiental.</w:t>
      </w:r>
    </w:p>
    <w:p>
      <w:pPr>
        <w:spacing w:line="360" w:lineRule="auto" w:before="163"/>
        <w:ind w:left="119" w:right="120" w:firstLine="0"/>
        <w:jc w:val="both"/>
        <w:rPr>
          <w:sz w:val="22"/>
        </w:rPr>
      </w:pPr>
      <w:r>
        <w:rPr>
          <w:sz w:val="22"/>
        </w:rPr>
        <w:t>Pablo Wong González (2010), escribe qué sucede con los programas de desarrollo sustentable en México, en su obra </w:t>
      </w:r>
      <w:r>
        <w:rPr>
          <w:i/>
          <w:sz w:val="22"/>
        </w:rPr>
        <w:t>Ordenamiento ecológico y ordenamiento territorial: retos para la gestión del </w:t>
      </w:r>
      <w:r>
        <w:rPr>
          <w:i/>
          <w:sz w:val="22"/>
        </w:rPr>
        <w:t>desarrollo regional sustentable en el siglo XXI. </w:t>
      </w:r>
      <w:r>
        <w:rPr>
          <w:sz w:val="22"/>
        </w:rPr>
        <w:t>El autor contribuye a la discusión de alternativas   a</w:t>
      </w:r>
    </w:p>
    <w:p>
      <w:pPr>
        <w:spacing w:after="0" w:line="360" w:lineRule="auto"/>
        <w:jc w:val="both"/>
        <w:rPr>
          <w:sz w:val="22"/>
        </w:rPr>
        <w:sectPr>
          <w:pgSz w:w="12240" w:h="15840"/>
          <w:pgMar w:top="1360" w:bottom="280" w:left="1580" w:right="1580"/>
        </w:sectPr>
      </w:pPr>
    </w:p>
    <w:p>
      <w:pPr>
        <w:pStyle w:val="BodyText"/>
        <w:spacing w:line="360" w:lineRule="auto" w:before="52"/>
        <w:ind w:left="119" w:right="115"/>
        <w:jc w:val="both"/>
      </w:pPr>
      <w:r>
        <w:rPr/>
        <w:t>partir de dos cuestionamientos: ¿cuál debería ser el enfoque, el nivel de interacción socio- institucional y el punto de intersección de los procesos e instrumentos de gestión regional-territorial, considerando la perspectiva de desarrollo existente en el siglo XXI? y ¿cómo compatibilizar un política de desarrollo regional-local sustentable con los programas de ordenamiento ecológico y territorial?, esto, tomando como referencia los principales programas de ordenamiento ligados al territorio en México: el Ordenamiento Ecológico y el Ordenamiento Territorial.</w:t>
      </w:r>
    </w:p>
    <w:p>
      <w:pPr>
        <w:pStyle w:val="BodyText"/>
        <w:spacing w:line="360" w:lineRule="auto" w:before="168"/>
        <w:ind w:left="119" w:right="120"/>
        <w:jc w:val="both"/>
      </w:pPr>
      <w:r>
        <w:rPr/>
        <w:t>La aportación </w:t>
      </w:r>
      <w:r>
        <w:rPr>
          <w:spacing w:val="-2"/>
        </w:rPr>
        <w:t>más </w:t>
      </w:r>
      <w:r>
        <w:rPr/>
        <w:t>importante que podríamos destacar </w:t>
      </w:r>
      <w:r>
        <w:rPr>
          <w:spacing w:val="-4"/>
        </w:rPr>
        <w:t>es </w:t>
      </w:r>
      <w:r>
        <w:rPr/>
        <w:t>la aseveración que hace el autor respecto  al desafío de incorporar nuevas tecnologías y modelos organizativos en el plano de la gestión provocando un cambio radical respecto a la gestión tradicional. Wong señala que </w:t>
      </w:r>
      <w:r>
        <w:rPr>
          <w:spacing w:val="2"/>
        </w:rPr>
        <w:t>se </w:t>
      </w:r>
      <w:r>
        <w:rPr/>
        <w:t>trata de adoptar esquemas de complejidad sistémica, transdisciplinarios, descentralizados, participativos, autogenerativos e informacionales (sistemas de información geográfica, por ejemplo), que permitan, en conjunto, comprender, organizar y manejar </w:t>
      </w:r>
      <w:r>
        <w:rPr>
          <w:spacing w:val="-4"/>
        </w:rPr>
        <w:t>más </w:t>
      </w:r>
      <w:r>
        <w:rPr/>
        <w:t>atinadamente la complejidad de los territorios (Wong,</w:t>
      </w:r>
      <w:r>
        <w:rPr>
          <w:spacing w:val="-3"/>
        </w:rPr>
        <w:t> </w:t>
      </w:r>
      <w:r>
        <w:rPr/>
        <w:t>2010).</w:t>
      </w:r>
    </w:p>
    <w:p>
      <w:pPr>
        <w:pStyle w:val="BodyText"/>
        <w:spacing w:line="360" w:lineRule="auto" w:before="168"/>
        <w:ind w:left="119" w:right="124"/>
        <w:jc w:val="both"/>
      </w:pPr>
      <w:r>
        <w:rPr/>
        <w:t>El análisis que realiza el autor respecto a los programas de ordenamiento ecológico y territorial resulta una contribución importante al caso de estudio, pues engloba diversos aspectos acerca del esquema nacional de política regional y gestión ambiental, las experiencias en los procesos de planeación y la conformación de los programas de desarrollo sustentable.</w:t>
      </w:r>
    </w:p>
    <w:p>
      <w:pPr>
        <w:pStyle w:val="BodyText"/>
        <w:spacing w:line="360" w:lineRule="auto" w:before="163"/>
        <w:ind w:left="119" w:right="117"/>
        <w:jc w:val="both"/>
      </w:pPr>
      <w:r>
        <w:rPr/>
        <w:t>Por otro lado, Guillermo Olivera (2002) en su texto sobre </w:t>
      </w:r>
      <w:r>
        <w:rPr>
          <w:i/>
        </w:rPr>
        <w:t>La gestión del suelo para el desarrollo </w:t>
      </w:r>
      <w:r>
        <w:rPr>
          <w:i/>
        </w:rPr>
        <w:t>urbano en México, </w:t>
      </w:r>
      <w:r>
        <w:rPr/>
        <w:t>aborda la ocupación irregular desde los procedimientos que </w:t>
      </w:r>
      <w:r>
        <w:rPr>
          <w:spacing w:val="2"/>
        </w:rPr>
        <w:t>se </w:t>
      </w:r>
      <w:r>
        <w:rPr/>
        <w:t>han realizado  para incorporar suelo de propiedad social al crecimiento ordenado de las ciudades. Dicho estudio parte de la Reforma Municipal de 1983 para plantear </w:t>
      </w:r>
      <w:r>
        <w:rPr>
          <w:spacing w:val="-4"/>
        </w:rPr>
        <w:t>dos </w:t>
      </w:r>
      <w:r>
        <w:rPr/>
        <w:t>razones principales por las cuáles continúa siendo un fenómeno de dimensiones</w:t>
      </w:r>
      <w:r>
        <w:rPr>
          <w:spacing w:val="-20"/>
        </w:rPr>
        <w:t> </w:t>
      </w:r>
      <w:r>
        <w:rPr/>
        <w:t>importantes.</w:t>
      </w:r>
    </w:p>
    <w:p>
      <w:pPr>
        <w:pStyle w:val="BodyText"/>
        <w:spacing w:line="360" w:lineRule="auto" w:before="167"/>
        <w:ind w:left="119" w:right="122"/>
        <w:jc w:val="both"/>
      </w:pPr>
      <w:r>
        <w:rPr/>
        <w:t>Si bien, se habla de la necesidad de eliminar la sobrerregulación del Estado sobre los propietarios de las tierras ejidales y comunales; y por otro, la limitante capacidad de los gobiernos municipales para ordenar y planificar el desarrollo urbano. El objetivo principal del autor es sugerir, en nuevos </w:t>
      </w:r>
      <w:r>
        <w:rPr>
          <w:w w:val="100"/>
        </w:rPr>
        <w:t>t</w:t>
      </w:r>
      <w:r>
        <w:rPr>
          <w:w w:val="100"/>
        </w:rPr>
        <w:t>é</w:t>
      </w:r>
      <w:r>
        <w:rPr>
          <w:w w:val="100"/>
        </w:rPr>
        <w:t>r</w:t>
      </w:r>
      <w:r>
        <w:rPr>
          <w:w w:val="100"/>
        </w:rPr>
        <w:t>m</w:t>
      </w:r>
      <w:r>
        <w:rPr>
          <w:w w:val="100"/>
        </w:rPr>
        <w:t>i</w:t>
      </w:r>
      <w:r>
        <w:rPr>
          <w:w w:val="100"/>
        </w:rPr>
        <w:t>no</w:t>
      </w:r>
      <w:r>
        <w:rPr>
          <w:w w:val="100"/>
        </w:rPr>
        <w:t>s,</w:t>
      </w:r>
      <w:r>
        <w:rPr/>
        <w:t> </w:t>
      </w:r>
      <w:r>
        <w:rPr>
          <w:w w:val="100"/>
        </w:rPr>
        <w:t>l</w:t>
      </w:r>
      <w:r>
        <w:rPr>
          <w:w w:val="100"/>
        </w:rPr>
        <w:t>a</w:t>
      </w:r>
      <w:r>
        <w:rPr/>
        <w:t> </w:t>
      </w:r>
      <w:r>
        <w:rPr>
          <w:w w:val="100"/>
        </w:rPr>
        <w:t>no</w:t>
      </w:r>
      <w:r>
        <w:rPr>
          <w:w w:val="100"/>
        </w:rPr>
        <w:t>c</w:t>
      </w:r>
      <w:r>
        <w:rPr>
          <w:w w:val="100"/>
        </w:rPr>
        <w:t>i</w:t>
      </w:r>
      <w:r>
        <w:rPr>
          <w:w w:val="100"/>
        </w:rPr>
        <w:t>ón</w:t>
      </w:r>
      <w:r>
        <w:rPr/>
        <w:t> </w:t>
      </w:r>
      <w:r>
        <w:rPr>
          <w:w w:val="100"/>
        </w:rPr>
        <w:t>de</w:t>
      </w:r>
      <w:r>
        <w:rPr/>
        <w:t> </w:t>
      </w:r>
      <w:r>
        <w:rPr>
          <w:w w:val="44"/>
        </w:rPr>
        <w:t>―</w:t>
      </w:r>
      <w:r>
        <w:rPr>
          <w:w w:val="100"/>
        </w:rPr>
        <w:t>r</w:t>
      </w:r>
      <w:r>
        <w:rPr>
          <w:w w:val="100"/>
        </w:rPr>
        <w:t>e</w:t>
      </w:r>
      <w:r>
        <w:rPr>
          <w:w w:val="100"/>
        </w:rPr>
        <w:t>s</w:t>
      </w:r>
      <w:r>
        <w:rPr>
          <w:w w:val="100"/>
        </w:rPr>
        <w:t>e</w:t>
      </w:r>
      <w:r>
        <w:rPr>
          <w:w w:val="100"/>
        </w:rPr>
        <w:t>rv</w:t>
      </w:r>
      <w:r>
        <w:rPr>
          <w:w w:val="100"/>
        </w:rPr>
        <w:t>a</w:t>
      </w:r>
      <w:r>
        <w:rPr>
          <w:w w:val="100"/>
        </w:rPr>
        <w:t>s</w:t>
      </w:r>
      <w:r>
        <w:rPr/>
        <w:t> </w:t>
      </w:r>
      <w:r>
        <w:rPr>
          <w:w w:val="100"/>
        </w:rPr>
        <w:t>t</w:t>
      </w:r>
      <w:r>
        <w:rPr>
          <w:w w:val="100"/>
        </w:rPr>
        <w:t>e</w:t>
      </w:r>
      <w:r>
        <w:rPr>
          <w:w w:val="100"/>
        </w:rPr>
        <w:t>rr</w:t>
      </w:r>
      <w:r>
        <w:rPr>
          <w:w w:val="100"/>
        </w:rPr>
        <w:t>it</w:t>
      </w:r>
      <w:r>
        <w:rPr>
          <w:w w:val="100"/>
        </w:rPr>
        <w:t>or</w:t>
      </w:r>
      <w:r>
        <w:rPr>
          <w:w w:val="100"/>
        </w:rPr>
        <w:t>i</w:t>
      </w:r>
      <w:r>
        <w:rPr>
          <w:w w:val="100"/>
        </w:rPr>
        <w:t>a</w:t>
      </w:r>
      <w:r>
        <w:rPr>
          <w:w w:val="100"/>
        </w:rPr>
        <w:t>l</w:t>
      </w:r>
      <w:r>
        <w:rPr>
          <w:w w:val="100"/>
        </w:rPr>
        <w:t>e</w:t>
      </w:r>
      <w:r>
        <w:rPr>
          <w:w w:val="124"/>
        </w:rPr>
        <w:t>s‖</w:t>
      </w:r>
      <w:r>
        <w:rPr/>
        <w:t> </w:t>
      </w:r>
      <w:r>
        <w:rPr>
          <w:w w:val="100"/>
        </w:rPr>
        <w:t>a</w:t>
      </w:r>
      <w:r>
        <w:rPr/>
        <w:t> </w:t>
      </w:r>
      <w:r>
        <w:rPr>
          <w:w w:val="100"/>
        </w:rPr>
        <w:t>t</w:t>
      </w:r>
      <w:r>
        <w:rPr>
          <w:w w:val="100"/>
        </w:rPr>
        <w:t>r</w:t>
      </w:r>
      <w:r>
        <w:rPr>
          <w:w w:val="100"/>
        </w:rPr>
        <w:t>a</w:t>
      </w:r>
      <w:r>
        <w:rPr>
          <w:w w:val="100"/>
        </w:rPr>
        <w:t>v</w:t>
      </w:r>
      <w:r>
        <w:rPr>
          <w:w w:val="100"/>
        </w:rPr>
        <w:t>é</w:t>
      </w:r>
      <w:r>
        <w:rPr>
          <w:w w:val="100"/>
        </w:rPr>
        <w:t>s</w:t>
      </w:r>
      <w:r>
        <w:rPr/>
        <w:t> </w:t>
      </w:r>
      <w:r>
        <w:rPr>
          <w:w w:val="100"/>
        </w:rPr>
        <w:t>de</w:t>
      </w:r>
      <w:r>
        <w:rPr/>
        <w:t> </w:t>
      </w:r>
      <w:r>
        <w:rPr>
          <w:w w:val="100"/>
        </w:rPr>
        <w:t>la</w:t>
      </w:r>
      <w:r>
        <w:rPr/>
        <w:t> </w:t>
      </w:r>
      <w:r>
        <w:rPr>
          <w:w w:val="100"/>
        </w:rPr>
        <w:t>ubicación</w:t>
      </w:r>
      <w:r>
        <w:rPr/>
        <w:t> </w:t>
      </w:r>
      <w:r>
        <w:rPr>
          <w:w w:val="100"/>
        </w:rPr>
        <w:t>de</w:t>
      </w:r>
      <w:r>
        <w:rPr/>
        <w:t> </w:t>
      </w:r>
      <w:r>
        <w:rPr>
          <w:w w:val="100"/>
        </w:rPr>
        <w:t>área</w:t>
      </w:r>
      <w:r>
        <w:rPr>
          <w:w w:val="100"/>
        </w:rPr>
        <w:t>s</w:t>
      </w:r>
      <w:r>
        <w:rPr/>
        <w:t> </w:t>
      </w:r>
      <w:r>
        <w:rPr>
          <w:w w:val="100"/>
        </w:rPr>
        <w:t>de</w:t>
      </w:r>
      <w:r>
        <w:rPr/>
        <w:t> </w:t>
      </w:r>
      <w:r>
        <w:rPr>
          <w:w w:val="100"/>
        </w:rPr>
        <w:t>la</w:t>
      </w:r>
      <w:r>
        <w:rPr/>
        <w:t> </w:t>
      </w:r>
      <w:r>
        <w:rPr>
          <w:w w:val="100"/>
        </w:rPr>
        <w:t>admini</w:t>
      </w:r>
      <w:r>
        <w:rPr>
          <w:w w:val="100"/>
        </w:rPr>
        <w:t>st</w:t>
      </w:r>
      <w:r>
        <w:rPr>
          <w:w w:val="100"/>
        </w:rPr>
        <w:t>ración </w:t>
      </w:r>
      <w:r>
        <w:rPr/>
        <w:t>municipal en las que es necesario centrar esfuerzos (Olivera, 2002).</w:t>
      </w:r>
    </w:p>
    <w:p>
      <w:pPr>
        <w:pStyle w:val="BodyText"/>
        <w:spacing w:line="360" w:lineRule="auto" w:before="163"/>
        <w:ind w:left="119" w:right="118"/>
        <w:jc w:val="both"/>
      </w:pPr>
      <w:r>
        <w:rPr/>
        <w:t>El autor hace especial énfasis en las dimensiones que deben incorporarse en la planeación urbana, desde la política, cultural y ambiental, para el entendimiento de las ciudades. Es cierto, que uno de los principales problemas de la urbanización del país es la falta de suelo para el desarrollo urbano ordenado y más específicamente, el asunto de las reservas territoriales para el crecimiento urbano planificado,  menciona  Olivera.  Este estudio se retoma a  partir  de  los antecedentes acerca  de   la</w:t>
      </w:r>
    </w:p>
    <w:p>
      <w:pPr>
        <w:spacing w:after="0" w:line="360" w:lineRule="auto"/>
        <w:jc w:val="both"/>
        <w:sectPr>
          <w:pgSz w:w="12240" w:h="15840"/>
          <w:pgMar w:top="1360" w:bottom="280" w:left="1580" w:right="1580"/>
        </w:sectPr>
      </w:pPr>
    </w:p>
    <w:p>
      <w:pPr>
        <w:pStyle w:val="BodyText"/>
        <w:spacing w:line="360" w:lineRule="auto" w:before="52"/>
        <w:ind w:left="119" w:right="121"/>
        <w:jc w:val="both"/>
      </w:pPr>
      <w:r>
        <w:rPr/>
        <w:t>gestión del suelo en México y los devenires del crecimiento poblacional en las ciudades mexicanas, tales como los asentamientos irregulares sobre terrenos ejidales y comunales. Este texto permite conocer los elementos de la gestión pública ambiental, saber cuánto han avanzado y qué obstáculos enfrentan aquellos programas que incorporan las reservas territoriales al desarrollo urbano.</w:t>
      </w:r>
    </w:p>
    <w:p>
      <w:pPr>
        <w:spacing w:line="360" w:lineRule="auto" w:before="167"/>
        <w:ind w:left="119" w:right="115" w:firstLine="0"/>
        <w:jc w:val="both"/>
        <w:rPr>
          <w:sz w:val="22"/>
        </w:rPr>
      </w:pPr>
      <w:r>
        <w:rPr>
          <w:sz w:val="22"/>
        </w:rPr>
        <w:t>Finalmente, Diego Sánchez (2011) en su ensayo sobre: </w:t>
      </w:r>
      <w:r>
        <w:rPr>
          <w:i/>
          <w:sz w:val="22"/>
        </w:rPr>
        <w:t>Aproximaciones a los conflictos sociales y </w:t>
      </w:r>
      <w:r>
        <w:rPr>
          <w:i/>
          <w:sz w:val="22"/>
        </w:rPr>
        <w:t>propuestas sostenibles de urbanismo y ordenación del territorio en México; </w:t>
      </w:r>
      <w:r>
        <w:rPr>
          <w:sz w:val="22"/>
        </w:rPr>
        <w:t>describe los problemas derivados de la falta de planificación urbana y ordenación del territorio en México, y su repercusión en la progresiva pérdida de calidad de vida de los ciudadanos (Sánchez, 2011).</w:t>
      </w:r>
    </w:p>
    <w:p>
      <w:pPr>
        <w:pStyle w:val="BodyText"/>
        <w:spacing w:line="360" w:lineRule="auto" w:before="163"/>
        <w:ind w:left="119" w:right="121"/>
        <w:jc w:val="both"/>
      </w:pPr>
      <w:r>
        <w:rPr/>
        <w:t>El autor lleva a cabo un debate teórico y metodológico sobre las tendencias a seguir en el urbanismo y planificación urbana con la finalidad de enfatizar los desafíos que enfrentan los urbanistas y planificadores en la construcción de ciudades con calidad de vida, mismos que deben dar respuestas a las necesidades locales brindando desarrollo a comunidades que comparten el mismo espacio urbano. La reflexión realizada por Sánchez plantea diversas cuestiones sobre el desarrollo urbano en México que habría de retomarse y que, además permitirá entender y focalizar las dificultades en el momento de planificar una ciudad con estricto orden urbano.</w:t>
      </w:r>
    </w:p>
    <w:p>
      <w:pPr>
        <w:pStyle w:val="BodyText"/>
        <w:spacing w:line="360" w:lineRule="auto" w:before="163"/>
        <w:ind w:left="119" w:right="117"/>
        <w:jc w:val="both"/>
      </w:pPr>
      <w:r>
        <w:rPr/>
        <w:t>Los trabajos aquí presentados, desde su dimensión de análisis (la planeación urbana, planificación territorial y la gestión del uso de suelo), han contribuido notablemente para el entendimiento del escenario de gestión ambiental y ocupación irregular. No obstante, la revisión de literatura sobre riesgos naturales, procesos de remoción en masa y Tecnologías de Información Geográfica, resulta pertinente en el seguimiento de esta investigación, buscando construir un puente entre cada enfoque que nos lleve al desarrollo y comprensión de los impactos sociales y ambientales de la ocupación ilegal del territorio y al mismo tiempo, el conocimiento de sus implicaciones en el suelo de conservación.</w:t>
      </w:r>
    </w:p>
    <w:p>
      <w:pPr>
        <w:spacing w:after="0" w:line="360" w:lineRule="auto"/>
        <w:jc w:val="both"/>
        <w:sectPr>
          <w:pgSz w:w="12240" w:h="15840"/>
          <w:pgMar w:top="1360" w:bottom="280" w:left="1580" w:right="1580"/>
        </w:sectPr>
      </w:pPr>
    </w:p>
    <w:p>
      <w:pPr>
        <w:pStyle w:val="Heading1"/>
        <w:numPr>
          <w:ilvl w:val="1"/>
          <w:numId w:val="8"/>
        </w:numPr>
        <w:tabs>
          <w:tab w:pos="509" w:val="left" w:leader="none"/>
        </w:tabs>
        <w:spacing w:line="240" w:lineRule="auto" w:before="52" w:after="0"/>
        <w:ind w:left="508" w:right="0" w:hanging="389"/>
        <w:jc w:val="both"/>
      </w:pPr>
      <w:bookmarkStart w:name="_bookmark10" w:id="14"/>
      <w:bookmarkEnd w:id="14"/>
      <w:r>
        <w:rPr>
          <w:b w:val="0"/>
        </w:rPr>
      </w:r>
      <w:bookmarkStart w:name="_bookmark10" w:id="15"/>
      <w:bookmarkEnd w:id="15"/>
      <w:r>
        <w:rPr>
          <w:spacing w:val="-3"/>
        </w:rPr>
        <w:t>M</w:t>
      </w:r>
      <w:r>
        <w:rPr>
          <w:spacing w:val="-3"/>
        </w:rPr>
        <w:t>arco</w:t>
      </w:r>
      <w:r>
        <w:rPr>
          <w:spacing w:val="-2"/>
        </w:rPr>
        <w:t> </w:t>
      </w:r>
      <w:r>
        <w:rPr/>
        <w:t>teórico-epistemológico</w:t>
      </w:r>
    </w:p>
    <w:p>
      <w:pPr>
        <w:pStyle w:val="BodyText"/>
        <w:rPr>
          <w:b/>
        </w:rPr>
      </w:pPr>
    </w:p>
    <w:p>
      <w:pPr>
        <w:pStyle w:val="BodyText"/>
        <w:rPr>
          <w:b/>
          <w:sz w:val="19"/>
        </w:rPr>
      </w:pPr>
    </w:p>
    <w:p>
      <w:pPr>
        <w:pStyle w:val="BodyText"/>
        <w:spacing w:line="360" w:lineRule="auto" w:before="1"/>
        <w:ind w:left="119" w:right="102"/>
        <w:jc w:val="both"/>
      </w:pPr>
      <w:r>
        <w:rPr/>
        <w:t>En los últimos años han incrementado notablemente </w:t>
      </w:r>
      <w:r>
        <w:rPr>
          <w:spacing w:val="-3"/>
        </w:rPr>
        <w:t>los </w:t>
      </w:r>
      <w:r>
        <w:rPr/>
        <w:t>procesos de deterioro ambiental como consecuencia de las transformaciones que están teniendo lugar en el medio natural. La Geografía como una ciencia ocupada y preocupada por las cuestiones ambientales permite hacer conexiones teóricas y conceptuales con el estudio de la problemática ambiental. Es decir, las relaciones entre  </w:t>
      </w:r>
      <w:r>
        <w:rPr>
          <w:spacing w:val="-3"/>
        </w:rPr>
        <w:t>ser </w:t>
      </w:r>
      <w:r>
        <w:rPr/>
        <w:t>humano y naturaleza no han sido ajenas a </w:t>
      </w:r>
      <w:r>
        <w:rPr>
          <w:spacing w:val="-3"/>
        </w:rPr>
        <w:t>los </w:t>
      </w:r>
      <w:r>
        <w:rPr/>
        <w:t>estudios</w:t>
      </w:r>
      <w:r>
        <w:rPr>
          <w:spacing w:val="-6"/>
        </w:rPr>
        <w:t> </w:t>
      </w:r>
      <w:r>
        <w:rPr/>
        <w:t>geográficos.</w:t>
      </w:r>
    </w:p>
    <w:p>
      <w:pPr>
        <w:pStyle w:val="BodyText"/>
        <w:spacing w:line="360" w:lineRule="auto" w:before="163"/>
        <w:ind w:left="119" w:right="100"/>
        <w:jc w:val="both"/>
      </w:pPr>
      <w:r>
        <w:rPr/>
        <w:t>En este sentido, el interés de la Geografía va dirigido a comprender la intervención del ser humano sobre el medio ecológico y viceversa, y no éste de manera aislada (Toro, 2011, p. 36). Si bien es cierto, la línea ambientalista a pesar de perder presencia a mediados del siglo XX, retoma importancia a partir de la preocupación ecológica entendida como la sobreexplotación de los recursos, los problemas de contaminación, las transformaciones del medio físico a un medio </w:t>
      </w:r>
      <w:r>
        <w:rPr>
          <w:i/>
        </w:rPr>
        <w:t>antropizado</w:t>
      </w:r>
      <w:r>
        <w:rPr/>
        <w:t>, los impactos ejercidos por el ser humano sobre el medio natural y la necesidad de generar sostenibilidad con la naturaleza. Sin embargo, estos temas son de constante debate para la ciencia geográfica donde se advierte el limitado alcance para consolidarse como una de las principales líneas geográficas; ello aún con la celebración de la primera conferencia de las Naciones Unidas sobre </w:t>
      </w:r>
      <w:r>
        <w:rPr>
          <w:i/>
        </w:rPr>
        <w:t>desarrollo </w:t>
      </w:r>
      <w:r>
        <w:rPr/>
        <w:t>(Estocolmo, 1972, citado en Toro, 2011) cuando el interés y la sensibilidad por todo lo relacionado con la naturaleza y el medio ambiente comenzó a tener mayor relevancia.</w:t>
      </w:r>
    </w:p>
    <w:p>
      <w:pPr>
        <w:pStyle w:val="BodyText"/>
        <w:spacing w:line="360" w:lineRule="auto" w:before="163"/>
        <w:ind w:left="119" w:right="98"/>
        <w:jc w:val="both"/>
      </w:pPr>
      <w:r>
        <w:rPr/>
        <w:t>El incremento de la presión demográfica sobre el territorio, junto a la progresiva capacidad industrial y tecnológica de la humanidad, han acarreado una creciente degradación de la naturaleza traducida en alteraciones de procesos naturales, en deterioro de ecosistemas, agotamiento de recursos, etcétera (López, 2002). Por lo tanto, los problemas ambientales son la base para abordar los procesos y formas de organización del espacio geográfico y de las sociedades humanas sobre el territorio. A partir de estas preocupaciones, y principalmente de los problemas derivados de la interacción de las relaciones entre naturaleza y sociedad, </w:t>
      </w:r>
      <w:r>
        <w:rPr>
          <w:spacing w:val="2"/>
        </w:rPr>
        <w:t>se </w:t>
      </w:r>
      <w:r>
        <w:rPr>
          <w:spacing w:val="-3"/>
        </w:rPr>
        <w:t>ha </w:t>
      </w:r>
      <w:r>
        <w:rPr/>
        <w:t>situado al medio ambiente como objeto de estudio donde las variaciones ambientales </w:t>
      </w:r>
      <w:r>
        <w:rPr>
          <w:spacing w:val="2"/>
        </w:rPr>
        <w:t>se </w:t>
      </w:r>
      <w:r>
        <w:rPr/>
        <w:t>abordan desde distintos ángulos, retomando el aspecto</w:t>
      </w:r>
      <w:r>
        <w:rPr>
          <w:spacing w:val="-13"/>
        </w:rPr>
        <w:t> </w:t>
      </w:r>
      <w:r>
        <w:rPr/>
        <w:t>social.</w:t>
      </w:r>
    </w:p>
    <w:p>
      <w:pPr>
        <w:pStyle w:val="BodyText"/>
        <w:spacing w:line="360" w:lineRule="auto" w:before="163"/>
        <w:ind w:left="119" w:right="101"/>
        <w:jc w:val="both"/>
      </w:pPr>
      <w:r>
        <w:rPr/>
        <w:t>Hoy en día, las cuestiones ambientales interesan a diversas disciplinas que precisan la comprensión de los procesos naturales y las prácticas sociales, en busca de profundizar las técnicas que permitan adoptar y dar soluciones en un determinado contexto. No obstante, la ciencia geográfica desde su perspectiva aporta una visión integradora en el entendimiento de los problemas ambientales  surgidos de la relación naturaleza-sociedad. Sumando así, el enfoque de la Geografía ambiental </w:t>
      </w:r>
      <w:r>
        <w:rPr>
          <w:spacing w:val="-2"/>
          <w:w w:val="100"/>
        </w:rPr>
        <w:t>c</w:t>
      </w:r>
      <w:r>
        <w:rPr>
          <w:w w:val="100"/>
        </w:rPr>
        <w:t>o</w:t>
      </w:r>
      <w:r>
        <w:rPr>
          <w:spacing w:val="-4"/>
          <w:w w:val="100"/>
        </w:rPr>
        <w:t>m</w:t>
      </w:r>
      <w:r>
        <w:rPr>
          <w:w w:val="100"/>
        </w:rPr>
        <w:t>o</w:t>
      </w:r>
      <w:r>
        <w:rPr>
          <w:spacing w:val="-3"/>
        </w:rPr>
        <w:t> </w:t>
      </w:r>
      <w:r>
        <w:rPr>
          <w:spacing w:val="4"/>
          <w:w w:val="100"/>
        </w:rPr>
        <w:t>u</w:t>
      </w:r>
      <w:r>
        <w:rPr>
          <w:spacing w:val="-5"/>
          <w:w w:val="100"/>
        </w:rPr>
        <w:t>n</w:t>
      </w:r>
      <w:r>
        <w:rPr>
          <w:w w:val="100"/>
        </w:rPr>
        <w:t>a</w:t>
      </w:r>
      <w:r>
        <w:rPr>
          <w:spacing w:val="5"/>
        </w:rPr>
        <w:t> </w:t>
      </w:r>
      <w:r>
        <w:rPr>
          <w:spacing w:val="2"/>
          <w:w w:val="44"/>
        </w:rPr>
        <w:t>―</w:t>
      </w:r>
      <w:r>
        <w:rPr>
          <w:spacing w:val="-4"/>
          <w:w w:val="100"/>
        </w:rPr>
        <w:t>m</w:t>
      </w:r>
      <w:r>
        <w:rPr>
          <w:spacing w:val="-4"/>
          <w:w w:val="100"/>
        </w:rPr>
        <w:t>i</w:t>
      </w:r>
      <w:r>
        <w:rPr>
          <w:spacing w:val="3"/>
          <w:w w:val="100"/>
        </w:rPr>
        <w:t>r</w:t>
      </w:r>
      <w:r>
        <w:rPr>
          <w:spacing w:val="2"/>
          <w:w w:val="100"/>
        </w:rPr>
        <w:t>a</w:t>
      </w:r>
      <w:r>
        <w:rPr>
          <w:spacing w:val="-5"/>
          <w:w w:val="100"/>
        </w:rPr>
        <w:t>d</w:t>
      </w:r>
      <w:r>
        <w:rPr>
          <w:spacing w:val="2"/>
          <w:w w:val="100"/>
        </w:rPr>
        <w:t>a</w:t>
      </w:r>
      <w:r>
        <w:rPr>
          <w:w w:val="158"/>
        </w:rPr>
        <w:t>‖</w:t>
      </w:r>
      <w:r>
        <w:rPr/>
        <w:t> </w:t>
      </w:r>
      <w:r>
        <w:rPr>
          <w:spacing w:val="-5"/>
          <w:w w:val="100"/>
        </w:rPr>
        <w:t>q</w:t>
      </w:r>
      <w:r>
        <w:rPr>
          <w:w w:val="100"/>
        </w:rPr>
        <w:t>ue</w:t>
      </w:r>
      <w:r>
        <w:rPr>
          <w:spacing w:val="-5"/>
        </w:rPr>
        <w:t> </w:t>
      </w:r>
      <w:r>
        <w:rPr>
          <w:spacing w:val="5"/>
          <w:w w:val="100"/>
        </w:rPr>
        <w:t>s</w:t>
      </w:r>
      <w:r>
        <w:rPr>
          <w:w w:val="100"/>
        </w:rPr>
        <w:t>e</w:t>
      </w:r>
      <w:r>
        <w:rPr>
          <w:spacing w:val="-5"/>
        </w:rPr>
        <w:t> </w:t>
      </w:r>
      <w:r>
        <w:rPr>
          <w:w w:val="100"/>
        </w:rPr>
        <w:t>ub</w:t>
      </w:r>
      <w:r>
        <w:rPr>
          <w:spacing w:val="-4"/>
          <w:w w:val="100"/>
        </w:rPr>
        <w:t>i</w:t>
      </w:r>
      <w:r>
        <w:rPr>
          <w:spacing w:val="-2"/>
          <w:w w:val="100"/>
        </w:rPr>
        <w:t>c</w:t>
      </w:r>
      <w:r>
        <w:rPr>
          <w:w w:val="100"/>
        </w:rPr>
        <w:t>a</w:t>
      </w:r>
      <w:r>
        <w:rPr>
          <w:spacing w:val="9"/>
        </w:rPr>
        <w:t> </w:t>
      </w:r>
      <w:r>
        <w:rPr>
          <w:spacing w:val="-7"/>
          <w:w w:val="100"/>
        </w:rPr>
        <w:t>e</w:t>
      </w:r>
      <w:r>
        <w:rPr>
          <w:spacing w:val="-5"/>
          <w:w w:val="100"/>
        </w:rPr>
        <w:t>n</w:t>
      </w:r>
      <w:r>
        <w:rPr>
          <w:w w:val="100"/>
        </w:rPr>
        <w:t>t</w:t>
      </w:r>
      <w:r>
        <w:rPr>
          <w:spacing w:val="7"/>
          <w:w w:val="100"/>
        </w:rPr>
        <w:t>r</w:t>
      </w:r>
      <w:r>
        <w:rPr>
          <w:w w:val="100"/>
        </w:rPr>
        <w:t>e</w:t>
      </w:r>
      <w:r>
        <w:rPr>
          <w:spacing w:val="-5"/>
        </w:rPr>
        <w:t> </w:t>
      </w:r>
      <w:r>
        <w:rPr>
          <w:w w:val="100"/>
        </w:rPr>
        <w:t>l</w:t>
      </w:r>
      <w:r>
        <w:rPr>
          <w:spacing w:val="-5"/>
          <w:w w:val="100"/>
        </w:rPr>
        <w:t>o</w:t>
      </w:r>
      <w:r>
        <w:rPr>
          <w:w w:val="100"/>
        </w:rPr>
        <w:t>s</w:t>
      </w:r>
      <w:r>
        <w:rPr>
          <w:spacing w:val="2"/>
        </w:rPr>
        <w:t> </w:t>
      </w:r>
      <w:r>
        <w:rPr>
          <w:spacing w:val="-4"/>
          <w:w w:val="100"/>
        </w:rPr>
        <w:t>l</w:t>
      </w:r>
      <w:r>
        <w:rPr>
          <w:spacing w:val="5"/>
          <w:w w:val="100"/>
        </w:rPr>
        <w:t>í</w:t>
      </w:r>
      <w:r>
        <w:rPr>
          <w:spacing w:val="-4"/>
          <w:w w:val="100"/>
        </w:rPr>
        <w:t>m</w:t>
      </w:r>
      <w:r>
        <w:rPr>
          <w:spacing w:val="-4"/>
          <w:w w:val="100"/>
        </w:rPr>
        <w:t>i</w:t>
      </w:r>
      <w:r>
        <w:rPr>
          <w:spacing w:val="5"/>
          <w:w w:val="100"/>
        </w:rPr>
        <w:t>t</w:t>
      </w:r>
      <w:r>
        <w:rPr>
          <w:spacing w:val="-7"/>
          <w:w w:val="100"/>
        </w:rPr>
        <w:t>e</w:t>
      </w:r>
      <w:r>
        <w:rPr>
          <w:w w:val="100"/>
        </w:rPr>
        <w:t>s</w:t>
      </w:r>
      <w:r>
        <w:rPr>
          <w:spacing w:val="2"/>
        </w:rPr>
        <w:t> </w:t>
      </w:r>
      <w:r>
        <w:rPr>
          <w:w w:val="100"/>
        </w:rPr>
        <w:t>de</w:t>
      </w:r>
      <w:r>
        <w:rPr/>
        <w:t> </w:t>
      </w:r>
      <w:r>
        <w:rPr>
          <w:spacing w:val="-4"/>
          <w:w w:val="100"/>
        </w:rPr>
        <w:t>l</w:t>
      </w:r>
      <w:r>
        <w:rPr>
          <w:w w:val="100"/>
        </w:rPr>
        <w:t>a</w:t>
      </w:r>
      <w:r>
        <w:rPr>
          <w:spacing w:val="5"/>
        </w:rPr>
        <w:t> </w:t>
      </w:r>
      <w:r>
        <w:rPr>
          <w:spacing w:val="-2"/>
          <w:w w:val="100"/>
        </w:rPr>
        <w:t>G</w:t>
      </w:r>
      <w:r>
        <w:rPr>
          <w:spacing w:val="-2"/>
          <w:w w:val="100"/>
        </w:rPr>
        <w:t>e</w:t>
      </w:r>
      <w:r>
        <w:rPr>
          <w:w w:val="100"/>
        </w:rPr>
        <w:t>o</w:t>
      </w:r>
      <w:r>
        <w:rPr>
          <w:spacing w:val="-5"/>
          <w:w w:val="100"/>
        </w:rPr>
        <w:t>g</w:t>
      </w:r>
      <w:r>
        <w:rPr>
          <w:spacing w:val="3"/>
          <w:w w:val="100"/>
        </w:rPr>
        <w:t>r</w:t>
      </w:r>
      <w:r>
        <w:rPr>
          <w:spacing w:val="2"/>
          <w:w w:val="100"/>
        </w:rPr>
        <w:t>a</w:t>
      </w:r>
      <w:r>
        <w:rPr>
          <w:spacing w:val="-2"/>
          <w:w w:val="100"/>
        </w:rPr>
        <w:t>f</w:t>
      </w:r>
      <w:r>
        <w:rPr>
          <w:w w:val="100"/>
        </w:rPr>
        <w:t>í</w:t>
      </w:r>
      <w:r>
        <w:rPr>
          <w:w w:val="100"/>
        </w:rPr>
        <w:t>a</w:t>
      </w:r>
      <w:r>
        <w:rPr>
          <w:spacing w:val="5"/>
        </w:rPr>
        <w:t> </w:t>
      </w:r>
      <w:r>
        <w:rPr>
          <w:spacing w:val="-2"/>
          <w:w w:val="100"/>
        </w:rPr>
        <w:t>f</w:t>
      </w:r>
      <w:r>
        <w:rPr>
          <w:spacing w:val="-4"/>
          <w:w w:val="100"/>
        </w:rPr>
        <w:t>í</w:t>
      </w:r>
      <w:r>
        <w:rPr>
          <w:w w:val="100"/>
        </w:rPr>
        <w:t>s</w:t>
      </w:r>
      <w:r>
        <w:rPr>
          <w:spacing w:val="-4"/>
          <w:w w:val="100"/>
        </w:rPr>
        <w:t>i</w:t>
      </w:r>
      <w:r>
        <w:rPr>
          <w:spacing w:val="-2"/>
          <w:w w:val="100"/>
        </w:rPr>
        <w:t>c</w:t>
      </w:r>
      <w:r>
        <w:rPr>
          <w:w w:val="100"/>
        </w:rPr>
        <w:t>a</w:t>
      </w:r>
      <w:r>
        <w:rPr>
          <w:spacing w:val="5"/>
        </w:rPr>
        <w:t> </w:t>
      </w:r>
      <w:r>
        <w:rPr>
          <w:w w:val="100"/>
        </w:rPr>
        <w:t>y</w:t>
      </w:r>
      <w:r>
        <w:rPr>
          <w:spacing w:val="-3"/>
        </w:rPr>
        <w:t> </w:t>
      </w:r>
      <w:r>
        <w:rPr>
          <w:spacing w:val="-4"/>
          <w:w w:val="100"/>
        </w:rPr>
        <w:t>l</w:t>
      </w:r>
      <w:r>
        <w:rPr>
          <w:w w:val="100"/>
        </w:rPr>
        <w:t>a</w:t>
      </w:r>
      <w:r>
        <w:rPr>
          <w:spacing w:val="5"/>
        </w:rPr>
        <w:t> </w:t>
      </w:r>
      <w:r>
        <w:rPr>
          <w:spacing w:val="-2"/>
          <w:w w:val="100"/>
        </w:rPr>
        <w:t>G</w:t>
      </w:r>
      <w:r>
        <w:rPr>
          <w:spacing w:val="-2"/>
          <w:w w:val="100"/>
        </w:rPr>
        <w:t>e</w:t>
      </w:r>
      <w:r>
        <w:rPr>
          <w:w w:val="100"/>
        </w:rPr>
        <w:t>o</w:t>
      </w:r>
      <w:r>
        <w:rPr>
          <w:spacing w:val="-5"/>
          <w:w w:val="100"/>
        </w:rPr>
        <w:t>g</w:t>
      </w:r>
      <w:r>
        <w:rPr>
          <w:spacing w:val="3"/>
          <w:w w:val="100"/>
        </w:rPr>
        <w:t>r</w:t>
      </w:r>
      <w:r>
        <w:rPr>
          <w:spacing w:val="2"/>
          <w:w w:val="100"/>
        </w:rPr>
        <w:t>a</w:t>
      </w:r>
      <w:r>
        <w:rPr>
          <w:spacing w:val="-2"/>
          <w:w w:val="100"/>
        </w:rPr>
        <w:t>f</w:t>
      </w:r>
      <w:r>
        <w:rPr>
          <w:spacing w:val="-4"/>
          <w:w w:val="100"/>
        </w:rPr>
        <w:t>í</w:t>
      </w:r>
      <w:r>
        <w:rPr>
          <w:w w:val="100"/>
        </w:rPr>
        <w:t>a</w:t>
      </w:r>
      <w:r>
        <w:rPr>
          <w:spacing w:val="5"/>
        </w:rPr>
        <w:t> </w:t>
      </w:r>
      <w:r>
        <w:rPr>
          <w:spacing w:val="-5"/>
          <w:w w:val="100"/>
        </w:rPr>
        <w:t>h</w:t>
      </w:r>
      <w:r>
        <w:rPr>
          <w:w w:val="100"/>
        </w:rPr>
        <w:t>u</w:t>
      </w:r>
      <w:r>
        <w:rPr>
          <w:spacing w:val="1"/>
          <w:w w:val="100"/>
        </w:rPr>
        <w:t>m</w:t>
      </w:r>
      <w:r>
        <w:rPr>
          <w:spacing w:val="7"/>
          <w:w w:val="100"/>
        </w:rPr>
        <w:t>a</w:t>
      </w:r>
      <w:r>
        <w:rPr>
          <w:spacing w:val="-5"/>
          <w:w w:val="100"/>
        </w:rPr>
        <w:t>n</w:t>
      </w:r>
      <w:r>
        <w:rPr>
          <w:spacing w:val="2"/>
          <w:w w:val="100"/>
        </w:rPr>
        <w:t>a</w:t>
      </w:r>
      <w:r>
        <w:rPr>
          <w:w w:val="100"/>
        </w:rPr>
        <w:t>.</w:t>
      </w:r>
    </w:p>
    <w:p>
      <w:pPr>
        <w:spacing w:after="0" w:line="360" w:lineRule="auto"/>
        <w:jc w:val="both"/>
        <w:sectPr>
          <w:pgSz w:w="12240" w:h="15840"/>
          <w:pgMar w:top="1360" w:bottom="280" w:left="1580" w:right="1600"/>
        </w:sectPr>
      </w:pPr>
    </w:p>
    <w:p>
      <w:pPr>
        <w:pStyle w:val="BodyText"/>
        <w:rPr>
          <w:sz w:val="20"/>
        </w:rPr>
      </w:pPr>
    </w:p>
    <w:p>
      <w:pPr>
        <w:pStyle w:val="BodyText"/>
        <w:spacing w:line="357" w:lineRule="auto" w:before="225"/>
        <w:ind w:left="119" w:right="117"/>
        <w:jc w:val="both"/>
        <w:rPr>
          <w:sz w:val="14"/>
        </w:rPr>
      </w:pPr>
      <w:r>
        <w:rPr/>
        <w:t>Lo anterior es el precedente para incorporar esta investigación dentro del plano geográfico. La zona poniente de la Ciudad de México ha tenido un importante crecimiento demográfico y de expansión urbana debido al aumento de las inversiones inmobiliarias en las últimas décadas. Este proceso sin duda ha acelerado el deterioro ambiental como consecuencia de las dinámicas económicas  y sociales presentes en el área. Entre los principales problemas (en la actualidad visibles) se encuentran la falta de ordenación del territorio y la existencia de constantes cambios en los usos de suelo. Lo más notable en ese sentido ha sido es la pérdida de suelo de conservación y el aumento de la ocupación irregular. Esto último es la esencia de la investigación, pero que sin el aporte geográfico desde la perspectiva ecológica quedaría incompleto.</w:t>
      </w:r>
      <w:r>
        <w:rPr>
          <w:position w:val="10"/>
          <w:sz w:val="14"/>
        </w:rPr>
        <w:t>1</w:t>
      </w:r>
    </w:p>
    <w:p>
      <w:pPr>
        <w:pStyle w:val="BodyText"/>
        <w:spacing w:line="360" w:lineRule="auto" w:before="151"/>
        <w:ind w:left="119" w:right="121"/>
        <w:jc w:val="both"/>
      </w:pPr>
      <w:r>
        <w:rPr/>
        <w:t>Desde este punto de vista, se busca aportar al entendimiento de los procesos que ocurren en el entorno inmediato y que podrían posibilitar una mejora social a nivel local, con base en esta lógica se espera que este primer capítulo proporcione un panorama que posicione a la dinámica espacial de los asentamientos irregulares en suelo de conservación como un proceso de importancia crítica por la localización y las repercusiones que este proceso conlleva en la actualidad, tanto en el contexto social como en el ambiental.</w:t>
      </w:r>
    </w:p>
    <w:p>
      <w:pPr>
        <w:pStyle w:val="BodyText"/>
        <w:spacing w:line="360" w:lineRule="auto" w:before="163"/>
        <w:ind w:left="119" w:right="118"/>
        <w:jc w:val="both"/>
      </w:pPr>
      <w:r>
        <w:rPr/>
        <w:t>En los siguientes apartados se muestran una serie de conceptualizaciones necesarias como parte del análisis geográfico en la investigación, asimismo se realiza una revisión detallada de los enfoques geográficos aplicados a la cuestión medioambiental. Posteriormente, se plantea un espacio de análisis para el estudio del medio ambiente como objeto de estudio geográfico. Así también, se muestra un apartado para el análisis de la geografía aplicada a la planificación y a la gestión. Finalmente, el capítulo concluye con la reflexión del problema territorial desde la perspectiva geográfica, la legislación, la estructura jurídica y la organización administrativa para la regulación de los asentamientos humanos irregulares, y por último, se integra un breve espacio para el conocimiento del </w:t>
      </w:r>
      <w:r>
        <w:rPr>
          <w:i/>
        </w:rPr>
        <w:t>Programa de Vivienda en Riesgo </w:t>
      </w:r>
      <w:r>
        <w:rPr/>
        <w:t>emitido por el Gobierno del Distrito 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1048;mso-wrap-distance-left:0;mso-wrap-distance-right:0" from="84.984001pt,15.648552pt" to="229.054001pt,15.648552pt" stroked="true" strokeweight=".72003pt" strokecolor="#000000">
            <w10:wrap type="topAndBottom"/>
          </v:line>
        </w:pict>
      </w:r>
    </w:p>
    <w:p>
      <w:pPr>
        <w:spacing w:before="57"/>
        <w:ind w:left="119" w:right="115" w:firstLine="0"/>
        <w:jc w:val="both"/>
        <w:rPr>
          <w:sz w:val="16"/>
        </w:rPr>
      </w:pPr>
      <w:r>
        <w:rPr>
          <w:position w:val="7"/>
          <w:sz w:val="10"/>
        </w:rPr>
        <w:t>1</w:t>
      </w:r>
      <w:r>
        <w:rPr>
          <w:sz w:val="16"/>
        </w:rPr>
        <w:t>Tradicionalmente el abordaje geográfico ha sido desde dos perspectivas principales: como estudio de la relación hombre-medio (perspectiva ecológica) y como estudio de la diferenciación de espacios sobre la superficie terrestre (perspectiva  corológica) (Buzai, 2011). Esta investigación se adscribe dentro de la primera perspectiva.</w:t>
      </w:r>
    </w:p>
    <w:p>
      <w:pPr>
        <w:spacing w:after="0"/>
        <w:jc w:val="both"/>
        <w:rPr>
          <w:sz w:val="16"/>
        </w:rPr>
        <w:sectPr>
          <w:pgSz w:w="12240" w:h="15840"/>
          <w:pgMar w:top="1500" w:bottom="280" w:left="1580" w:right="1580"/>
        </w:sectPr>
      </w:pPr>
    </w:p>
    <w:p>
      <w:pPr>
        <w:pStyle w:val="Heading1"/>
        <w:numPr>
          <w:ilvl w:val="2"/>
          <w:numId w:val="8"/>
        </w:numPr>
        <w:tabs>
          <w:tab w:pos="620" w:val="left" w:leader="none"/>
        </w:tabs>
        <w:spacing w:line="240" w:lineRule="auto" w:before="52" w:after="0"/>
        <w:ind w:left="619" w:right="0" w:hanging="500"/>
        <w:jc w:val="both"/>
      </w:pPr>
      <w:bookmarkStart w:name="_bookmark11" w:id="16"/>
      <w:bookmarkEnd w:id="16"/>
      <w:r>
        <w:rPr>
          <w:b w:val="0"/>
        </w:rPr>
      </w:r>
      <w:bookmarkStart w:name="_bookmark11" w:id="17"/>
      <w:bookmarkEnd w:id="17"/>
      <w:r>
        <w:rPr/>
        <w:t>C</w:t>
      </w:r>
      <w:r>
        <w:rPr/>
        <w:t>onceptualizaciones</w:t>
      </w:r>
    </w:p>
    <w:p>
      <w:pPr>
        <w:pStyle w:val="BodyText"/>
        <w:rPr>
          <w:b/>
        </w:rPr>
      </w:pPr>
    </w:p>
    <w:p>
      <w:pPr>
        <w:pStyle w:val="BodyText"/>
        <w:spacing w:before="4"/>
        <w:rPr>
          <w:b/>
          <w:sz w:val="17"/>
        </w:rPr>
      </w:pPr>
    </w:p>
    <w:p>
      <w:pPr>
        <w:pStyle w:val="BodyText"/>
        <w:spacing w:line="360" w:lineRule="auto"/>
        <w:ind w:left="119" w:right="106"/>
        <w:jc w:val="both"/>
      </w:pPr>
      <w:r>
        <w:rPr/>
        <w:t>La Geografía aparece como un método, o sí se prefiere, una manera de considerar las cosas y </w:t>
      </w:r>
      <w:r>
        <w:rPr>
          <w:spacing w:val="-3"/>
        </w:rPr>
        <w:t>los  </w:t>
      </w:r>
      <w:r>
        <w:rPr/>
        <w:t>seres en su relación con la tierra. Por un </w:t>
      </w:r>
      <w:r>
        <w:rPr>
          <w:spacing w:val="-3"/>
        </w:rPr>
        <w:t>lado, </w:t>
      </w:r>
      <w:r>
        <w:rPr/>
        <w:t>el estudio del espacio geográfico comprende las acciones de ordenación de ese espacio a partir </w:t>
      </w:r>
      <w:r>
        <w:rPr>
          <w:spacing w:val="-3"/>
        </w:rPr>
        <w:t>de </w:t>
      </w:r>
      <w:r>
        <w:rPr/>
        <w:t>dos principales preocupaciones: primera, la </w:t>
      </w:r>
      <w:r>
        <w:rPr>
          <w:spacing w:val="-3"/>
        </w:rPr>
        <w:t>de </w:t>
      </w:r>
      <w:r>
        <w:rPr/>
        <w:t>los medios de vida, con la localización de las actividades y los empleos </w:t>
      </w:r>
      <w:r>
        <w:rPr>
          <w:spacing w:val="-3"/>
        </w:rPr>
        <w:t>y; </w:t>
      </w:r>
      <w:r>
        <w:rPr/>
        <w:t>segunda, la </w:t>
      </w:r>
      <w:r>
        <w:rPr>
          <w:spacing w:val="-3"/>
        </w:rPr>
        <w:t>del </w:t>
      </w:r>
      <w:r>
        <w:rPr/>
        <w:t>marco de vida, que tiene un contenido sociológico con la comunidad que plantea el problema de las  relaciones de </w:t>
      </w:r>
      <w:r>
        <w:rPr>
          <w:spacing w:val="-3"/>
        </w:rPr>
        <w:t>los </w:t>
      </w:r>
      <w:r>
        <w:rPr/>
        <w:t>hombres entre sí, y un contenido biológico y estético, con las relaciones de los hombres y el medio</w:t>
      </w:r>
      <w:r>
        <w:rPr>
          <w:spacing w:val="-7"/>
        </w:rPr>
        <w:t> </w:t>
      </w:r>
      <w:r>
        <w:rPr/>
        <w:t>natural.</w:t>
      </w:r>
    </w:p>
    <w:p>
      <w:pPr>
        <w:pStyle w:val="BodyText"/>
        <w:spacing w:line="360" w:lineRule="auto" w:before="163"/>
        <w:ind w:left="119" w:right="108"/>
        <w:jc w:val="both"/>
      </w:pPr>
      <w:r>
        <w:rPr/>
        <w:t>Para ello, el análisis geográfico permite la comprensión de las relaciones entre el lugar y la posición de los elementos que integran el espacio geográfico, mismos que llevan al conocimiento de las estructuras y de los sistemas que lo rigen. Esto, entendiendo a una estructura como elemento del espacio, individualizado y localizado pero cuya evolución se rige por sistemas que la organizan, tanto desde el interior como desde el exterior.</w:t>
      </w:r>
    </w:p>
    <w:p>
      <w:pPr>
        <w:pStyle w:val="BodyText"/>
        <w:spacing w:line="360" w:lineRule="auto" w:before="168"/>
        <w:ind w:left="119" w:right="104"/>
        <w:jc w:val="both"/>
      </w:pPr>
      <w:r>
        <w:rPr/>
        <w:t>En el análisis espacial, </w:t>
      </w:r>
      <w:r>
        <w:rPr>
          <w:spacing w:val="2"/>
        </w:rPr>
        <w:t>se </w:t>
      </w:r>
      <w:r>
        <w:rPr/>
        <w:t>aplican una serie de técnicas estadísticas y matemáticas para </w:t>
      </w:r>
      <w:r>
        <w:rPr>
          <w:spacing w:val="-4"/>
        </w:rPr>
        <w:t>el </w:t>
      </w:r>
      <w:r>
        <w:rPr/>
        <w:t>estudio de los datos distribuidos sobre el espacio geográfico. De acuerdo con Buzai (2010), el análisis espacial </w:t>
      </w:r>
      <w:r>
        <w:rPr>
          <w:spacing w:val="-4"/>
        </w:rPr>
        <w:t>es </w:t>
      </w:r>
      <w:r>
        <w:rPr/>
        <w:t>el núcleo de </w:t>
      </w:r>
      <w:r>
        <w:rPr>
          <w:spacing w:val="-3"/>
        </w:rPr>
        <w:t>los </w:t>
      </w:r>
      <w:r>
        <w:rPr/>
        <w:t>Sistemas de Información Geográfica (SIG) porque permiten trabajar </w:t>
      </w:r>
      <w:r>
        <w:rPr>
          <w:spacing w:val="-3"/>
        </w:rPr>
        <w:t>con </w:t>
      </w:r>
      <w:r>
        <w:rPr/>
        <w:t>las relaciones espaciales de las entidades contenidas </w:t>
      </w:r>
      <w:r>
        <w:rPr>
          <w:spacing w:val="-4"/>
        </w:rPr>
        <w:t>en </w:t>
      </w:r>
      <w:r>
        <w:rPr/>
        <w:t>cada capa temática de una base de datos geográfica. En la actualidad, los SIG han demostrado ser importantes herramientas de análisis espacial, tanto para estimar variables y comportamientos, como para la distribución geográfica. En esta investigación el análisis espacial permite el desarrollo metodológico mediante Sistemas de Información Geográfica a través de la espacialización de las zonas susceptibles a deslizamientos y la construcción de un escenario prospectivo de crecimiento</w:t>
      </w:r>
      <w:r>
        <w:rPr>
          <w:spacing w:val="-18"/>
        </w:rPr>
        <w:t> </w:t>
      </w:r>
      <w:r>
        <w:rPr/>
        <w:t>irregular.</w:t>
      </w:r>
    </w:p>
    <w:p>
      <w:pPr>
        <w:pStyle w:val="BodyText"/>
        <w:spacing w:before="163"/>
        <w:ind w:left="119"/>
        <w:jc w:val="both"/>
      </w:pPr>
      <w:r>
        <w:rPr/>
        <w:t>Al respecto del análisis espacial y en palabras de Buzai (2010):</w:t>
      </w:r>
    </w:p>
    <w:p>
      <w:pPr>
        <w:pStyle w:val="BodyText"/>
        <w:spacing w:before="1"/>
        <w:rPr>
          <w:sz w:val="25"/>
        </w:rPr>
      </w:pPr>
    </w:p>
    <w:p>
      <w:pPr>
        <w:pStyle w:val="BodyText"/>
        <w:spacing w:line="360" w:lineRule="auto" w:before="1"/>
        <w:ind w:left="119" w:right="98" w:firstLine="706"/>
        <w:jc w:val="both"/>
      </w:pPr>
      <w:r>
        <w:rPr/>
        <w:t>Cuando se lo enfoca desde un punto de vista temático, el Análisis Espacial constituye una serie de técnicas matemáticas y estadísticas aplicadas a los datos distribuidos sobre el espacio geográfico. Cuando se lo enfoca desde la tecnología de los Sistemas de Información Geográfica se considera sinónimo de su subsistema de tratamiento que aparece como su núcleo de especificidad por contener las herramientas que permitirá la aplicación de procedimientos.</w:t>
      </w:r>
    </w:p>
    <w:p>
      <w:pPr>
        <w:pStyle w:val="BodyText"/>
        <w:spacing w:line="364" w:lineRule="auto" w:before="163"/>
        <w:ind w:left="119" w:right="98"/>
        <w:jc w:val="both"/>
      </w:pPr>
      <w:r>
        <w:rPr/>
        <w:t>En ese sentido, </w:t>
      </w:r>
      <w:r>
        <w:rPr>
          <w:spacing w:val="2"/>
        </w:rPr>
        <w:t>se </w:t>
      </w:r>
      <w:r>
        <w:rPr/>
        <w:t>considera necesaria la revisión de </w:t>
      </w:r>
      <w:r>
        <w:rPr>
          <w:spacing w:val="-3"/>
        </w:rPr>
        <w:t>los </w:t>
      </w:r>
      <w:r>
        <w:rPr/>
        <w:t>principales conceptos del análisis geográfico, así como de las temáticas relacionadas al estudio del espacio geográfico y por tanto, </w:t>
      </w:r>
      <w:r>
        <w:rPr>
          <w:spacing w:val="52"/>
        </w:rPr>
        <w:t> </w:t>
      </w:r>
      <w:r>
        <w:rPr/>
        <w:t>de</w:t>
      </w:r>
    </w:p>
    <w:p>
      <w:pPr>
        <w:spacing w:after="0" w:line="364" w:lineRule="auto"/>
        <w:jc w:val="both"/>
        <w:sectPr>
          <w:pgSz w:w="12240" w:h="15840"/>
          <w:pgMar w:top="1360" w:bottom="280" w:left="1580" w:right="1600"/>
        </w:sectPr>
      </w:pPr>
    </w:p>
    <w:p>
      <w:pPr>
        <w:pStyle w:val="BodyText"/>
        <w:spacing w:line="360" w:lineRule="auto" w:before="52"/>
        <w:ind w:left="119" w:right="110"/>
        <w:jc w:val="both"/>
      </w:pPr>
      <w:r>
        <w:rPr/>
        <w:t>las estructuras geográficas. Este será un primer acercamiento como base para el análisis de la relación del hombre y el medio.</w:t>
      </w:r>
    </w:p>
    <w:p>
      <w:pPr>
        <w:pStyle w:val="Heading1"/>
        <w:numPr>
          <w:ilvl w:val="2"/>
          <w:numId w:val="8"/>
        </w:numPr>
        <w:tabs>
          <w:tab w:pos="620" w:val="left" w:leader="none"/>
        </w:tabs>
        <w:spacing w:line="240" w:lineRule="auto" w:before="168" w:after="0"/>
        <w:ind w:left="619" w:right="0" w:hanging="500"/>
        <w:jc w:val="both"/>
      </w:pPr>
      <w:bookmarkStart w:name="_bookmark12" w:id="18"/>
      <w:bookmarkEnd w:id="18"/>
      <w:r>
        <w:rPr>
          <w:b w:val="0"/>
        </w:rPr>
      </w:r>
      <w:bookmarkStart w:name="_bookmark12" w:id="19"/>
      <w:bookmarkEnd w:id="19"/>
      <w:r>
        <w:rPr/>
        <w:t>G</w:t>
      </w:r>
      <w:r>
        <w:rPr/>
        <w:t>eografía y espacio</w:t>
      </w:r>
      <w:r>
        <w:rPr>
          <w:spacing w:val="-17"/>
        </w:rPr>
        <w:t> </w:t>
      </w:r>
      <w:r>
        <w:rPr/>
        <w:t>geográfico</w:t>
      </w:r>
    </w:p>
    <w:p>
      <w:pPr>
        <w:pStyle w:val="BodyText"/>
        <w:rPr>
          <w:b/>
        </w:rPr>
      </w:pPr>
    </w:p>
    <w:p>
      <w:pPr>
        <w:pStyle w:val="BodyText"/>
        <w:spacing w:before="7"/>
        <w:rPr>
          <w:b/>
          <w:sz w:val="18"/>
        </w:rPr>
      </w:pPr>
    </w:p>
    <w:p>
      <w:pPr>
        <w:pStyle w:val="BodyText"/>
        <w:spacing w:line="357" w:lineRule="auto"/>
        <w:ind w:left="119" w:right="100"/>
        <w:jc w:val="both"/>
      </w:pPr>
      <w:r>
        <w:rPr/>
        <w:t>En este apartado </w:t>
      </w:r>
      <w:r>
        <w:rPr>
          <w:spacing w:val="2"/>
        </w:rPr>
        <w:t>se </w:t>
      </w:r>
      <w:r>
        <w:rPr/>
        <w:t>tomarán en cuenta dos principales conceptos, mismos que nos serán de utilidad a lo largo de la investigación. El concepto de </w:t>
      </w:r>
      <w:r>
        <w:rPr>
          <w:i/>
        </w:rPr>
        <w:t>geografía</w:t>
      </w:r>
      <w:r>
        <w:rPr/>
        <w:t>, entendido según la expresión de Pierre </w:t>
      </w:r>
      <w:r>
        <w:rPr>
          <w:spacing w:val="-2"/>
          <w:w w:val="100"/>
        </w:rPr>
        <w:t>G</w:t>
      </w:r>
      <w:r>
        <w:rPr>
          <w:spacing w:val="-5"/>
          <w:w w:val="100"/>
        </w:rPr>
        <w:t>o</w:t>
      </w:r>
      <w:r>
        <w:rPr>
          <w:w w:val="100"/>
        </w:rPr>
        <w:t>u</w:t>
      </w:r>
      <w:r>
        <w:rPr>
          <w:spacing w:val="3"/>
          <w:w w:val="100"/>
        </w:rPr>
        <w:t>r</w:t>
      </w:r>
      <w:r>
        <w:rPr>
          <w:spacing w:val="-5"/>
          <w:w w:val="100"/>
        </w:rPr>
        <w:t>o</w:t>
      </w:r>
      <w:r>
        <w:rPr>
          <w:w w:val="100"/>
        </w:rPr>
        <w:t>u,</w:t>
      </w:r>
      <w:r>
        <w:rPr>
          <w:spacing w:val="4"/>
        </w:rPr>
        <w:t> </w:t>
      </w:r>
      <w:r>
        <w:rPr>
          <w:spacing w:val="2"/>
          <w:w w:val="44"/>
        </w:rPr>
        <w:t>―</w:t>
      </w:r>
      <w:r>
        <w:rPr>
          <w:spacing w:val="-7"/>
          <w:w w:val="100"/>
        </w:rPr>
        <w:t>e</w:t>
      </w:r>
      <w:r>
        <w:rPr>
          <w:w w:val="100"/>
        </w:rPr>
        <w:t>l</w:t>
      </w:r>
      <w:r>
        <w:rPr>
          <w:spacing w:val="-2"/>
        </w:rPr>
        <w:t> </w:t>
      </w:r>
      <w:r>
        <w:rPr>
          <w:spacing w:val="2"/>
          <w:w w:val="100"/>
        </w:rPr>
        <w:t>c</w:t>
      </w:r>
      <w:r>
        <w:rPr>
          <w:w w:val="100"/>
        </w:rPr>
        <w:t>on</w:t>
      </w:r>
      <w:r>
        <w:rPr>
          <w:spacing w:val="-4"/>
          <w:w w:val="100"/>
        </w:rPr>
        <w:t>j</w:t>
      </w:r>
      <w:r>
        <w:rPr>
          <w:spacing w:val="4"/>
          <w:w w:val="100"/>
        </w:rPr>
        <w:t>u</w:t>
      </w:r>
      <w:r>
        <w:rPr>
          <w:spacing w:val="-5"/>
          <w:w w:val="100"/>
        </w:rPr>
        <w:t>n</w:t>
      </w:r>
      <w:r>
        <w:rPr>
          <w:w w:val="100"/>
        </w:rPr>
        <w:t>t</w:t>
      </w:r>
      <w:r>
        <w:rPr>
          <w:w w:val="100"/>
        </w:rPr>
        <w:t>o</w:t>
      </w:r>
      <w:r>
        <w:rPr>
          <w:spacing w:val="2"/>
        </w:rPr>
        <w:t> </w:t>
      </w:r>
      <w:r>
        <w:rPr>
          <w:w w:val="100"/>
        </w:rPr>
        <w:t>de</w:t>
      </w:r>
      <w:r>
        <w:rPr>
          <w:spacing w:val="-5"/>
        </w:rPr>
        <w:t> </w:t>
      </w:r>
      <w:r>
        <w:rPr>
          <w:w w:val="100"/>
        </w:rPr>
        <w:t>t</w:t>
      </w:r>
      <w:r>
        <w:rPr>
          <w:spacing w:val="-2"/>
          <w:w w:val="100"/>
        </w:rPr>
        <w:t>é</w:t>
      </w:r>
      <w:r>
        <w:rPr>
          <w:spacing w:val="2"/>
          <w:w w:val="100"/>
        </w:rPr>
        <w:t>c</w:t>
      </w:r>
      <w:r>
        <w:rPr>
          <w:w w:val="100"/>
        </w:rPr>
        <w:t>n</w:t>
      </w:r>
      <w:r>
        <w:rPr>
          <w:spacing w:val="-4"/>
          <w:w w:val="100"/>
        </w:rPr>
        <w:t>i</w:t>
      </w:r>
      <w:r>
        <w:rPr>
          <w:spacing w:val="-2"/>
          <w:w w:val="100"/>
        </w:rPr>
        <w:t>c</w:t>
      </w:r>
      <w:r>
        <w:rPr>
          <w:spacing w:val="2"/>
          <w:w w:val="100"/>
        </w:rPr>
        <w:t>a</w:t>
      </w:r>
      <w:r>
        <w:rPr>
          <w:w w:val="100"/>
        </w:rPr>
        <w:t>s</w:t>
      </w:r>
      <w:r>
        <w:rPr>
          <w:spacing w:val="7"/>
        </w:rPr>
        <w:t> </w:t>
      </w:r>
      <w:r>
        <w:rPr>
          <w:spacing w:val="-4"/>
          <w:w w:val="100"/>
        </w:rPr>
        <w:t>m</w:t>
      </w:r>
      <w:r>
        <w:rPr>
          <w:spacing w:val="-2"/>
          <w:w w:val="100"/>
        </w:rPr>
        <w:t>e</w:t>
      </w:r>
      <w:r>
        <w:rPr>
          <w:w w:val="100"/>
        </w:rPr>
        <w:t>d</w:t>
      </w:r>
      <w:r>
        <w:rPr>
          <w:spacing w:val="-4"/>
          <w:w w:val="100"/>
        </w:rPr>
        <w:t>i</w:t>
      </w:r>
      <w:r>
        <w:rPr>
          <w:spacing w:val="2"/>
          <w:w w:val="100"/>
        </w:rPr>
        <w:t>a</w:t>
      </w:r>
      <w:r>
        <w:rPr>
          <w:spacing w:val="-5"/>
          <w:w w:val="100"/>
        </w:rPr>
        <w:t>n</w:t>
      </w:r>
      <w:r>
        <w:rPr>
          <w:spacing w:val="5"/>
          <w:w w:val="100"/>
        </w:rPr>
        <w:t>t</w:t>
      </w:r>
      <w:r>
        <w:rPr>
          <w:w w:val="100"/>
        </w:rPr>
        <w:t>e</w:t>
      </w:r>
      <w:r>
        <w:rPr>
          <w:spacing w:val="-5"/>
        </w:rPr>
        <w:t> </w:t>
      </w:r>
      <w:r>
        <w:rPr>
          <w:spacing w:val="-4"/>
          <w:w w:val="100"/>
        </w:rPr>
        <w:t>l</w:t>
      </w:r>
      <w:r>
        <w:rPr>
          <w:spacing w:val="2"/>
          <w:w w:val="100"/>
        </w:rPr>
        <w:t>a</w:t>
      </w:r>
      <w:r>
        <w:rPr>
          <w:w w:val="100"/>
        </w:rPr>
        <w:t>s</w:t>
      </w:r>
      <w:r>
        <w:rPr>
          <w:spacing w:val="2"/>
        </w:rPr>
        <w:t> </w:t>
      </w:r>
      <w:r>
        <w:rPr>
          <w:spacing w:val="-2"/>
          <w:w w:val="100"/>
        </w:rPr>
        <w:t>c</w:t>
      </w:r>
      <w:r>
        <w:rPr>
          <w:w w:val="100"/>
        </w:rPr>
        <w:t>u</w:t>
      </w:r>
      <w:r>
        <w:rPr>
          <w:spacing w:val="2"/>
          <w:w w:val="100"/>
        </w:rPr>
        <w:t>a</w:t>
      </w:r>
      <w:r>
        <w:rPr>
          <w:w w:val="100"/>
        </w:rPr>
        <w:t>l</w:t>
      </w:r>
      <w:r>
        <w:rPr>
          <w:spacing w:val="-7"/>
          <w:w w:val="100"/>
        </w:rPr>
        <w:t>e</w:t>
      </w:r>
      <w:r>
        <w:rPr>
          <w:w w:val="100"/>
        </w:rPr>
        <w:t>s</w:t>
      </w:r>
      <w:r>
        <w:rPr>
          <w:spacing w:val="2"/>
        </w:rPr>
        <w:t> </w:t>
      </w:r>
      <w:r>
        <w:rPr>
          <w:w w:val="100"/>
        </w:rPr>
        <w:t>se</w:t>
      </w:r>
      <w:r>
        <w:rPr/>
        <w:t> </w:t>
      </w:r>
      <w:r>
        <w:rPr>
          <w:spacing w:val="3"/>
          <w:w w:val="100"/>
        </w:rPr>
        <w:t>r</w:t>
      </w:r>
      <w:r>
        <w:rPr>
          <w:spacing w:val="-7"/>
          <w:w w:val="100"/>
        </w:rPr>
        <w:t>e</w:t>
      </w:r>
      <w:r>
        <w:rPr>
          <w:spacing w:val="-5"/>
          <w:w w:val="100"/>
        </w:rPr>
        <w:t>g</w:t>
      </w:r>
      <w:r>
        <w:rPr>
          <w:spacing w:val="4"/>
          <w:w w:val="100"/>
        </w:rPr>
        <w:t>u</w:t>
      </w:r>
      <w:r>
        <w:rPr>
          <w:spacing w:val="2"/>
          <w:w w:val="100"/>
        </w:rPr>
        <w:t>l</w:t>
      </w:r>
      <w:r>
        <w:rPr>
          <w:spacing w:val="2"/>
          <w:w w:val="100"/>
        </w:rPr>
        <w:t>a</w:t>
      </w:r>
      <w:r>
        <w:rPr>
          <w:w w:val="100"/>
        </w:rPr>
        <w:t>n</w:t>
      </w:r>
      <w:r>
        <w:rPr>
          <w:spacing w:val="-3"/>
        </w:rPr>
        <w:t> </w:t>
      </w:r>
      <w:r>
        <w:rPr>
          <w:spacing w:val="-4"/>
          <w:w w:val="100"/>
        </w:rPr>
        <w:t>l</w:t>
      </w:r>
      <w:r>
        <w:rPr>
          <w:spacing w:val="2"/>
          <w:w w:val="100"/>
        </w:rPr>
        <w:t>a</w:t>
      </w:r>
      <w:r>
        <w:rPr>
          <w:w w:val="100"/>
        </w:rPr>
        <w:t>s</w:t>
      </w:r>
      <w:r>
        <w:rPr>
          <w:spacing w:val="2"/>
        </w:rPr>
        <w:t> </w:t>
      </w:r>
      <w:r>
        <w:rPr>
          <w:spacing w:val="3"/>
          <w:w w:val="100"/>
        </w:rPr>
        <w:t>r</w:t>
      </w:r>
      <w:r>
        <w:rPr>
          <w:spacing w:val="-7"/>
          <w:w w:val="100"/>
        </w:rPr>
        <w:t>e</w:t>
      </w:r>
      <w:r>
        <w:rPr>
          <w:spacing w:val="-4"/>
          <w:w w:val="100"/>
        </w:rPr>
        <w:t>l</w:t>
      </w:r>
      <w:r>
        <w:rPr>
          <w:spacing w:val="2"/>
          <w:w w:val="100"/>
        </w:rPr>
        <w:t>ac</w:t>
      </w:r>
      <w:r>
        <w:rPr>
          <w:w w:val="100"/>
        </w:rPr>
        <w:t>ion</w:t>
      </w:r>
      <w:r>
        <w:rPr>
          <w:spacing w:val="-7"/>
          <w:w w:val="100"/>
        </w:rPr>
        <w:t>e</w:t>
      </w:r>
      <w:r>
        <w:rPr>
          <w:w w:val="100"/>
        </w:rPr>
        <w:t>s</w:t>
      </w:r>
      <w:r>
        <w:rPr>
          <w:spacing w:val="2"/>
        </w:rPr>
        <w:t> </w:t>
      </w:r>
      <w:r>
        <w:rPr>
          <w:w w:val="100"/>
        </w:rPr>
        <w:t>de</w:t>
      </w:r>
      <w:r>
        <w:rPr/>
        <w:t> </w:t>
      </w:r>
      <w:r>
        <w:rPr>
          <w:w w:val="100"/>
        </w:rPr>
        <w:t>l</w:t>
      </w:r>
      <w:r>
        <w:rPr>
          <w:spacing w:val="-5"/>
          <w:w w:val="100"/>
        </w:rPr>
        <w:t>o</w:t>
      </w:r>
      <w:r>
        <w:rPr>
          <w:w w:val="100"/>
        </w:rPr>
        <w:t>s</w:t>
      </w:r>
      <w:r>
        <w:rPr>
          <w:spacing w:val="2"/>
        </w:rPr>
        <w:t> </w:t>
      </w:r>
      <w:r>
        <w:rPr>
          <w:w w:val="100"/>
        </w:rPr>
        <w:t>ho</w:t>
      </w:r>
      <w:r>
        <w:rPr>
          <w:spacing w:val="-4"/>
          <w:w w:val="100"/>
        </w:rPr>
        <w:t>m</w:t>
      </w:r>
      <w:r>
        <w:rPr>
          <w:w w:val="100"/>
        </w:rPr>
        <w:t>b</w:t>
      </w:r>
      <w:r>
        <w:rPr>
          <w:spacing w:val="3"/>
          <w:w w:val="100"/>
        </w:rPr>
        <w:t>r</w:t>
      </w:r>
      <w:r>
        <w:rPr>
          <w:spacing w:val="-7"/>
          <w:w w:val="100"/>
        </w:rPr>
        <w:t>e</w:t>
      </w:r>
      <w:r>
        <w:rPr>
          <w:w w:val="100"/>
        </w:rPr>
        <w:t>s</w:t>
      </w:r>
      <w:r>
        <w:rPr>
          <w:spacing w:val="2"/>
        </w:rPr>
        <w:t> </w:t>
      </w:r>
      <w:r>
        <w:rPr>
          <w:spacing w:val="2"/>
          <w:w w:val="100"/>
        </w:rPr>
        <w:t>c</w:t>
      </w:r>
      <w:r>
        <w:rPr>
          <w:w w:val="100"/>
        </w:rPr>
        <w:t>on</w:t>
      </w:r>
      <w:r>
        <w:rPr>
          <w:spacing w:val="2"/>
        </w:rPr>
        <w:t> </w:t>
      </w:r>
      <w:r>
        <w:rPr>
          <w:spacing w:val="-2"/>
          <w:w w:val="100"/>
        </w:rPr>
        <w:t>e</w:t>
      </w:r>
      <w:r>
        <w:rPr>
          <w:w w:val="100"/>
        </w:rPr>
        <w:t>l </w:t>
      </w:r>
      <w:r>
        <w:rPr/>
        <w:t>medio</w:t>
      </w:r>
      <w:r>
        <w:rPr>
          <w:position w:val="10"/>
          <w:sz w:val="14"/>
        </w:rPr>
        <w:t>2 </w:t>
      </w:r>
      <w:r>
        <w:rPr/>
        <w:t>y las relaciones de los hombres entre sí‖ (Dollfus, 1978). Esta observación </w:t>
      </w:r>
      <w:r>
        <w:rPr>
          <w:spacing w:val="-4"/>
        </w:rPr>
        <w:t>es </w:t>
      </w:r>
      <w:r>
        <w:rPr/>
        <w:t>interesante porque las bases para entender el espacio geográfico y por tanto su análisis supone el tomar en cuenta el ámbito fundamental de la geografía como aquella ciencia dedicada al estudio de los  grupos humanos, de las poblaciones que ordenan el espacio donde viven y del cual viven, en  función de su civilización (Dollfus, 1978, </w:t>
      </w:r>
      <w:r>
        <w:rPr>
          <w:spacing w:val="-3"/>
        </w:rPr>
        <w:t>p. 8).</w:t>
      </w:r>
    </w:p>
    <w:p>
      <w:pPr>
        <w:pStyle w:val="BodyText"/>
        <w:spacing w:line="360" w:lineRule="auto" w:before="165"/>
        <w:ind w:left="119" w:right="101"/>
        <w:jc w:val="both"/>
      </w:pPr>
      <w:r>
        <w:rPr/>
        <w:t>Mientras que el </w:t>
      </w:r>
      <w:r>
        <w:rPr>
          <w:i/>
        </w:rPr>
        <w:t>espacio geográfico </w:t>
      </w:r>
      <w:r>
        <w:rPr/>
        <w:t>está impregnado de historia. Este espacio concreto y localizable es un espacio cuya apariencia —el paisaje— se describe. Vidal de La Blache, uno de los fundadores de la geografía francesa a principios del siglo XX, para nombrar al paisaje empleó igualmente la </w:t>
      </w:r>
      <w:r>
        <w:rPr>
          <w:w w:val="100"/>
        </w:rPr>
        <w:t>palabra</w:t>
      </w:r>
      <w:r>
        <w:rPr/>
        <w:t> </w:t>
      </w:r>
      <w:r>
        <w:rPr>
          <w:i/>
          <w:w w:val="100"/>
        </w:rPr>
        <w:t>fi</w:t>
      </w:r>
      <w:r>
        <w:rPr>
          <w:i/>
          <w:w w:val="100"/>
        </w:rPr>
        <w:t>sonom</w:t>
      </w:r>
      <w:r>
        <w:rPr>
          <w:i/>
          <w:w w:val="100"/>
        </w:rPr>
        <w:t>ía</w:t>
      </w:r>
      <w:r>
        <w:rPr>
          <w:w w:val="100"/>
        </w:rPr>
        <w:t>.</w:t>
      </w:r>
      <w:r>
        <w:rPr/>
        <w:t>  </w:t>
      </w:r>
      <w:r>
        <w:rPr>
          <w:w w:val="100"/>
        </w:rPr>
        <w:t>En</w:t>
      </w:r>
      <w:r>
        <w:rPr>
          <w:w w:val="100"/>
        </w:rPr>
        <w:t>t</w:t>
      </w:r>
      <w:r>
        <w:rPr>
          <w:w w:val="100"/>
        </w:rPr>
        <w:t>on</w:t>
      </w:r>
      <w:r>
        <w:rPr>
          <w:w w:val="100"/>
        </w:rPr>
        <w:t>ce</w:t>
      </w:r>
      <w:r>
        <w:rPr>
          <w:w w:val="100"/>
        </w:rPr>
        <w:t>s,</w:t>
      </w:r>
      <w:r>
        <w:rPr/>
        <w:t>  </w:t>
      </w:r>
      <w:r>
        <w:rPr>
          <w:w w:val="44"/>
        </w:rPr>
        <w:t>―</w:t>
      </w:r>
      <w:r>
        <w:rPr>
          <w:w w:val="100"/>
        </w:rPr>
        <w:t>l</w:t>
      </w:r>
      <w:r>
        <w:rPr>
          <w:w w:val="100"/>
        </w:rPr>
        <w:t>a</w:t>
      </w:r>
      <w:r>
        <w:rPr/>
        <w:t>  </w:t>
      </w:r>
      <w:r>
        <w:rPr>
          <w:w w:val="100"/>
        </w:rPr>
        <w:t>or</w:t>
      </w:r>
      <w:r>
        <w:rPr>
          <w:w w:val="100"/>
        </w:rPr>
        <w:t>i</w:t>
      </w:r>
      <w:r>
        <w:rPr>
          <w:w w:val="100"/>
        </w:rPr>
        <w:t>gi</w:t>
      </w:r>
      <w:r>
        <w:rPr>
          <w:w w:val="100"/>
        </w:rPr>
        <w:t>n</w:t>
      </w:r>
      <w:r>
        <w:rPr>
          <w:w w:val="100"/>
        </w:rPr>
        <w:t>a</w:t>
      </w:r>
      <w:r>
        <w:rPr>
          <w:w w:val="100"/>
        </w:rPr>
        <w:t>li</w:t>
      </w:r>
      <w:r>
        <w:rPr>
          <w:w w:val="100"/>
        </w:rPr>
        <w:t>d</w:t>
      </w:r>
      <w:r>
        <w:rPr>
          <w:w w:val="100"/>
        </w:rPr>
        <w:t>a</w:t>
      </w:r>
      <w:r>
        <w:rPr>
          <w:w w:val="100"/>
        </w:rPr>
        <w:t>d</w:t>
      </w:r>
      <w:r>
        <w:rPr/>
        <w:t> </w:t>
      </w:r>
      <w:r>
        <w:rPr>
          <w:w w:val="100"/>
        </w:rPr>
        <w:t>de</w:t>
      </w:r>
      <w:r>
        <w:rPr/>
        <w:t> </w:t>
      </w:r>
      <w:r>
        <w:rPr>
          <w:w w:val="100"/>
        </w:rPr>
        <w:t>un</w:t>
      </w:r>
      <w:r>
        <w:rPr>
          <w:w w:val="100"/>
        </w:rPr>
        <w:t>a</w:t>
      </w:r>
      <w:r>
        <w:rPr/>
        <w:t>  </w:t>
      </w:r>
      <w:r>
        <w:rPr>
          <w:w w:val="100"/>
        </w:rPr>
        <w:t>pa</w:t>
      </w:r>
      <w:r>
        <w:rPr>
          <w:w w:val="100"/>
        </w:rPr>
        <w:t>r</w:t>
      </w:r>
      <w:r>
        <w:rPr>
          <w:w w:val="100"/>
        </w:rPr>
        <w:t>t</w:t>
      </w:r>
      <w:r>
        <w:rPr>
          <w:w w:val="100"/>
        </w:rPr>
        <w:t>e</w:t>
      </w:r>
      <w:r>
        <w:rPr/>
        <w:t> </w:t>
      </w:r>
      <w:r>
        <w:rPr>
          <w:w w:val="100"/>
        </w:rPr>
        <w:t>de</w:t>
      </w:r>
      <w:r>
        <w:rPr>
          <w:w w:val="100"/>
        </w:rPr>
        <w:t>l</w:t>
      </w:r>
      <w:r>
        <w:rPr/>
        <w:t> </w:t>
      </w:r>
      <w:r>
        <w:rPr>
          <w:w w:val="100"/>
        </w:rPr>
        <w:t>e</w:t>
      </w:r>
      <w:r>
        <w:rPr>
          <w:w w:val="100"/>
        </w:rPr>
        <w:t>spa</w:t>
      </w:r>
      <w:r>
        <w:rPr>
          <w:w w:val="100"/>
        </w:rPr>
        <w:t>c</w:t>
      </w:r>
      <w:r>
        <w:rPr>
          <w:w w:val="100"/>
        </w:rPr>
        <w:t>i</w:t>
      </w:r>
      <w:r>
        <w:rPr>
          <w:w w:val="100"/>
        </w:rPr>
        <w:t>o</w:t>
      </w:r>
      <w:r>
        <w:rPr/>
        <w:t> </w:t>
      </w:r>
      <w:r>
        <w:rPr>
          <w:w w:val="100"/>
        </w:rPr>
        <w:t>t</w:t>
      </w:r>
      <w:r>
        <w:rPr>
          <w:w w:val="100"/>
        </w:rPr>
        <w:t>e</w:t>
      </w:r>
      <w:r>
        <w:rPr>
          <w:w w:val="100"/>
        </w:rPr>
        <w:t>rr</w:t>
      </w:r>
      <w:r>
        <w:rPr>
          <w:w w:val="100"/>
        </w:rPr>
        <w:t>e</w:t>
      </w:r>
      <w:r>
        <w:rPr>
          <w:w w:val="100"/>
        </w:rPr>
        <w:t>str</w:t>
      </w:r>
      <w:r>
        <w:rPr>
          <w:w w:val="100"/>
        </w:rPr>
        <w:t>e</w:t>
      </w:r>
      <w:r>
        <w:rPr/>
        <w:t> </w:t>
      </w:r>
      <w:r>
        <w:rPr>
          <w:w w:val="100"/>
        </w:rPr>
        <w:t>s</w:t>
      </w:r>
      <w:r>
        <w:rPr>
          <w:w w:val="100"/>
        </w:rPr>
        <w:t>e</w:t>
      </w:r>
      <w:r>
        <w:rPr/>
        <w:t> </w:t>
      </w:r>
      <w:r>
        <w:rPr>
          <w:w w:val="100"/>
        </w:rPr>
        <w:t>e</w:t>
      </w:r>
      <w:r>
        <w:rPr>
          <w:w w:val="100"/>
        </w:rPr>
        <w:t>xpr</w:t>
      </w:r>
      <w:r>
        <w:rPr>
          <w:w w:val="100"/>
        </w:rPr>
        <w:t>e</w:t>
      </w:r>
      <w:r>
        <w:rPr>
          <w:w w:val="100"/>
        </w:rPr>
        <w:t>sa</w:t>
      </w:r>
      <w:r>
        <w:rPr/>
        <w:t>  </w:t>
      </w:r>
      <w:r>
        <w:rPr>
          <w:w w:val="100"/>
        </w:rPr>
        <w:t>por</w:t>
      </w:r>
      <w:r>
        <w:rPr/>
        <w:t>  </w:t>
      </w:r>
      <w:r>
        <w:rPr>
          <w:w w:val="100"/>
        </w:rPr>
        <w:t>su </w:t>
      </w:r>
      <w:r>
        <w:rPr>
          <w:i/>
        </w:rPr>
        <w:t>fisonomía </w:t>
      </w:r>
      <w:r>
        <w:rPr/>
        <w:t>en un estilo particular de organización espacial nacido de la unión de la naturaleza y de la historia‖ (E. Julliard, citado en Dollfus, 1976). Es importante destacar este planteamiento ya que la explicación del espacio necesariamente sugiere la descripción del mismo, cuya representación valora, clasifica y ordena los elementos del paisaje que son motivo de análisis.</w:t>
      </w:r>
    </w:p>
    <w:p>
      <w:pPr>
        <w:pStyle w:val="BodyText"/>
        <w:spacing w:line="360" w:lineRule="auto" w:before="167"/>
        <w:ind w:left="119" w:right="98"/>
        <w:jc w:val="both"/>
      </w:pPr>
      <w:r>
        <w:rPr/>
        <w:t>Es cierto que el análisis del espacio geográfico parte de lo que está presente, de lo que es visible, para aquilatar la importancia de las herencias y la velocidad de las evoluciones, para descifrar los sistemas que son las estructuras que actúan sobre el espacio. Dentro de esta perspectiva se pone en primer plano las relaciones entre la localización, la organización, y las diferencias espaciales.</w:t>
      </w:r>
    </w:p>
    <w:p>
      <w:pPr>
        <w:pStyle w:val="BodyText"/>
        <w:spacing w:line="360" w:lineRule="auto" w:before="163"/>
        <w:ind w:left="119" w:right="104"/>
        <w:jc w:val="both"/>
      </w:pPr>
      <w:r>
        <w:rPr/>
        <w:t>De esta manera, las conceptualizaciones permiten una mejor comprensión de la investigación. Principalmente, porque la descripción de los patrones de ocupación irregular en la zona de estudio, permiten hacer un análisis espacial a través de las tipologías de ocupación y las estructuras urbanas presentes en el área. A partir del análisis fotointerpretativo es posible conocer el sistema de un conjunto de asentamientos humanos irregulares, su localización y las diferencias espaciales.</w:t>
      </w: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072;mso-wrap-distance-left:0;mso-wrap-distance-right:0" from="84.984001pt,11.658731pt" to="229.054001pt,11.658731pt" stroked="true" strokeweight=".71997pt" strokecolor="#000000">
            <w10:wrap type="topAndBottom"/>
          </v:line>
        </w:pict>
      </w:r>
    </w:p>
    <w:p>
      <w:pPr>
        <w:spacing w:before="57"/>
        <w:ind w:left="119" w:right="107" w:firstLine="0"/>
        <w:jc w:val="left"/>
        <w:rPr>
          <w:sz w:val="16"/>
        </w:rPr>
      </w:pPr>
      <w:r>
        <w:rPr>
          <w:position w:val="7"/>
          <w:sz w:val="10"/>
        </w:rPr>
        <w:t>2 </w:t>
      </w:r>
      <w:r>
        <w:rPr>
          <w:sz w:val="16"/>
        </w:rPr>
        <w:t>En este caso </w:t>
      </w:r>
      <w:r>
        <w:rPr>
          <w:i/>
          <w:sz w:val="16"/>
        </w:rPr>
        <w:t>medio </w:t>
      </w:r>
      <w:r>
        <w:rPr>
          <w:sz w:val="16"/>
        </w:rPr>
        <w:t>es sinónimo de entorno natural. Quizás sea preferible reservar el término </w:t>
      </w:r>
      <w:r>
        <w:rPr>
          <w:i/>
          <w:sz w:val="16"/>
        </w:rPr>
        <w:t>medio </w:t>
      </w:r>
      <w:r>
        <w:rPr>
          <w:sz w:val="16"/>
        </w:rPr>
        <w:t>a un conjunto dominado y determinado por un elemento: la tierra, las aguas, el aire, o incluso la ciudad, el campo.</w:t>
      </w:r>
    </w:p>
    <w:p>
      <w:pPr>
        <w:spacing w:after="0"/>
        <w:jc w:val="left"/>
        <w:rPr>
          <w:sz w:val="16"/>
        </w:rPr>
        <w:sectPr>
          <w:pgSz w:w="12240" w:h="15840"/>
          <w:pgMar w:top="1360" w:bottom="280" w:left="1580" w:right="1600"/>
        </w:sectPr>
      </w:pPr>
    </w:p>
    <w:p>
      <w:pPr>
        <w:pStyle w:val="Heading1"/>
        <w:numPr>
          <w:ilvl w:val="2"/>
          <w:numId w:val="8"/>
        </w:numPr>
        <w:tabs>
          <w:tab w:pos="620" w:val="left" w:leader="none"/>
        </w:tabs>
        <w:spacing w:line="240" w:lineRule="auto" w:before="52" w:after="0"/>
        <w:ind w:left="619" w:right="0" w:hanging="500"/>
        <w:jc w:val="both"/>
      </w:pPr>
      <w:bookmarkStart w:name="_bookmark13" w:id="20"/>
      <w:bookmarkEnd w:id="20"/>
      <w:r>
        <w:rPr>
          <w:b w:val="0"/>
        </w:rPr>
      </w:r>
      <w:bookmarkStart w:name="_bookmark13" w:id="21"/>
      <w:bookmarkEnd w:id="21"/>
      <w:r>
        <w:rPr/>
        <w:t>O</w:t>
      </w:r>
      <w:r>
        <w:rPr/>
        <w:t>rganización del espacio</w:t>
      </w:r>
      <w:r>
        <w:rPr>
          <w:spacing w:val="-20"/>
        </w:rPr>
        <w:t> </w:t>
      </w:r>
      <w:r>
        <w:rPr/>
        <w:t>geográfico</w:t>
      </w:r>
    </w:p>
    <w:p>
      <w:pPr>
        <w:pStyle w:val="BodyText"/>
        <w:rPr>
          <w:b/>
        </w:rPr>
      </w:pPr>
    </w:p>
    <w:p>
      <w:pPr>
        <w:pStyle w:val="BodyText"/>
        <w:rPr>
          <w:b/>
          <w:sz w:val="19"/>
        </w:rPr>
      </w:pPr>
    </w:p>
    <w:p>
      <w:pPr>
        <w:pStyle w:val="BodyText"/>
        <w:spacing w:line="360" w:lineRule="auto" w:before="1"/>
        <w:ind w:left="119" w:right="106"/>
        <w:jc w:val="both"/>
      </w:pPr>
      <w:r>
        <w:rPr/>
        <w:t>La Geografía pone </w:t>
      </w:r>
      <w:r>
        <w:rPr>
          <w:spacing w:val="-4"/>
        </w:rPr>
        <w:t>en </w:t>
      </w:r>
      <w:r>
        <w:rPr/>
        <w:t>primer plano de sus formas de expresión la representación cartográfica que permite situar </w:t>
      </w:r>
      <w:r>
        <w:rPr>
          <w:spacing w:val="-3"/>
        </w:rPr>
        <w:t>los </w:t>
      </w:r>
      <w:r>
        <w:rPr/>
        <w:t>procesos y esquematizar </w:t>
      </w:r>
      <w:r>
        <w:rPr>
          <w:spacing w:val="-3"/>
        </w:rPr>
        <w:t>los </w:t>
      </w:r>
      <w:r>
        <w:rPr/>
        <w:t>componentes del espacio. En los ámbitos de la geografía natural se estudian las relaciones entre el elemento geográfico y su lugar. Existen tres operaciones a efectuarse en un estudio de localización: establecer los elementos de un  lugar, estudiar las relaciones que justifican la posición, y la confección del balance de las correspondencias entre el lugar y la posición, las cuales </w:t>
      </w:r>
      <w:r>
        <w:rPr>
          <w:spacing w:val="2"/>
        </w:rPr>
        <w:t>se </w:t>
      </w:r>
      <w:r>
        <w:rPr/>
        <w:t>pueden modificar en el curso de la historia (Dollfus, 1968 </w:t>
      </w:r>
      <w:r>
        <w:rPr>
          <w:spacing w:val="-3"/>
        </w:rPr>
        <w:t>p.</w:t>
      </w:r>
      <w:r>
        <w:rPr>
          <w:spacing w:val="-1"/>
        </w:rPr>
        <w:t> </w:t>
      </w:r>
      <w:r>
        <w:rPr/>
        <w:t>24).</w:t>
      </w:r>
    </w:p>
    <w:p>
      <w:pPr>
        <w:pStyle w:val="BodyText"/>
        <w:spacing w:line="360" w:lineRule="auto" w:before="167"/>
        <w:ind w:left="119" w:right="101"/>
        <w:jc w:val="both"/>
      </w:pPr>
      <w:r>
        <w:rPr/>
        <w:t>Esto último, en referencia al estudio de los umbrales cuya comprensión es tan importante para entender los procesos que intervienen para modificar el medio natural como para los que rigen la organización de los elementos que ocupan el espacio; el ordenamiento territorial toma relevancia al mencionar que los problemas de localización de los hombres y de las actividades permiten estudiar la lógica de los sistemas organizativos del espacio.</w:t>
      </w:r>
    </w:p>
    <w:p>
      <w:pPr>
        <w:pStyle w:val="BodyText"/>
        <w:spacing w:line="360" w:lineRule="auto" w:before="163"/>
        <w:ind w:left="119" w:right="102"/>
        <w:jc w:val="both"/>
      </w:pPr>
      <w:r>
        <w:rPr/>
        <w:t>El análisis de cualquier espacio geográfico, de cualquier elemento que interviene en su  composición, y de cualquier combinación de procesos que actúan en y sobre el espacio, no deviene inteligible </w:t>
      </w:r>
      <w:r>
        <w:rPr>
          <w:spacing w:val="-2"/>
        </w:rPr>
        <w:t>más </w:t>
      </w:r>
      <w:r>
        <w:rPr/>
        <w:t>que sí tiene lugar en el interior de un sistema de escalas de magnitud. Si la localización </w:t>
      </w:r>
      <w:r>
        <w:rPr>
          <w:spacing w:val="-4"/>
        </w:rPr>
        <w:t>es </w:t>
      </w:r>
      <w:r>
        <w:rPr/>
        <w:t>un factor importante tanto para la geografía como para </w:t>
      </w:r>
      <w:r>
        <w:rPr>
          <w:spacing w:val="-4"/>
        </w:rPr>
        <w:t>el </w:t>
      </w:r>
      <w:r>
        <w:rPr/>
        <w:t>estudio del espacio geográfico, </w:t>
      </w:r>
      <w:r>
        <w:rPr>
          <w:spacing w:val="-4"/>
        </w:rPr>
        <w:t>es </w:t>
      </w:r>
      <w:r>
        <w:rPr/>
        <w:t>necesario añadir la noción de los recursos naturales de un espacio determinado y que van en función de una sociedad, época, y de unas técnicas de producción determinadas; </w:t>
      </w:r>
      <w:r>
        <w:rPr>
          <w:spacing w:val="-4"/>
        </w:rPr>
        <w:t>es </w:t>
      </w:r>
      <w:r>
        <w:rPr/>
        <w:t>decir, la noción de los recursos naturales supone las relaciones entre el hombre y medio. Un recurso únicamente es utilizable con relación a cierto nivel de desarrollo técnico y a la situación geográfica de un espacio (Dollfus, 1976</w:t>
      </w:r>
      <w:r>
        <w:rPr>
          <w:spacing w:val="-6"/>
        </w:rPr>
        <w:t> </w:t>
      </w:r>
      <w:r>
        <w:rPr/>
        <w:t>p.39).</w:t>
      </w:r>
    </w:p>
    <w:p>
      <w:pPr>
        <w:pStyle w:val="BodyText"/>
        <w:spacing w:line="360" w:lineRule="auto" w:before="163"/>
        <w:ind w:left="119" w:right="102"/>
        <w:jc w:val="both"/>
      </w:pPr>
      <w:r>
        <w:rPr/>
        <w:t>La organización del espacio </w:t>
      </w:r>
      <w:r>
        <w:rPr>
          <w:spacing w:val="-4"/>
        </w:rPr>
        <w:t>es </w:t>
      </w:r>
      <w:r>
        <w:rPr/>
        <w:t>el acondicionamiento para responder a las necesidades de la comunidad local, del mosaico constituido por el espacio bruto diferenciado (George, P., 1968). A cada tipo de sociedad, y a cada etapa de la evolución histórica, corresponden unas formas de organización del espacio. La utilización del espacio </w:t>
      </w:r>
      <w:r>
        <w:rPr>
          <w:spacing w:val="-4"/>
        </w:rPr>
        <w:t>es </w:t>
      </w:r>
      <w:r>
        <w:rPr/>
        <w:t>el reflejo de la civilización a la que pertenece el grupo. Desde hace varios años algunos geógrafos recurren a modelos para </w:t>
      </w:r>
      <w:r>
        <w:rPr>
          <w:spacing w:val="-4"/>
        </w:rPr>
        <w:t>el </w:t>
      </w:r>
      <w:r>
        <w:rPr/>
        <w:t>tratamiento de los </w:t>
      </w:r>
      <w:r>
        <w:rPr>
          <w:w w:val="100"/>
        </w:rPr>
        <w:t>p</w:t>
      </w:r>
      <w:r>
        <w:rPr>
          <w:spacing w:val="3"/>
          <w:w w:val="100"/>
        </w:rPr>
        <w:t>r</w:t>
      </w:r>
      <w:r>
        <w:rPr>
          <w:spacing w:val="-5"/>
          <w:w w:val="100"/>
        </w:rPr>
        <w:t>o</w:t>
      </w:r>
      <w:r>
        <w:rPr>
          <w:w w:val="100"/>
        </w:rPr>
        <w:t>bl</w:t>
      </w:r>
      <w:r>
        <w:rPr>
          <w:spacing w:val="-2"/>
          <w:w w:val="100"/>
        </w:rPr>
        <w:t>e</w:t>
      </w:r>
      <w:r>
        <w:rPr>
          <w:spacing w:val="-9"/>
          <w:w w:val="100"/>
        </w:rPr>
        <w:t>m</w:t>
      </w:r>
      <w:r>
        <w:rPr>
          <w:spacing w:val="2"/>
          <w:w w:val="100"/>
        </w:rPr>
        <w:t>a</w:t>
      </w:r>
      <w:r>
        <w:rPr>
          <w:w w:val="100"/>
        </w:rPr>
        <w:t>s</w:t>
      </w:r>
      <w:r>
        <w:rPr/>
        <w:t>  </w:t>
      </w:r>
      <w:r>
        <w:rPr>
          <w:w w:val="100"/>
        </w:rPr>
        <w:t>de</w:t>
      </w:r>
      <w:r>
        <w:rPr/>
        <w:t> </w:t>
      </w:r>
      <w:r>
        <w:rPr>
          <w:spacing w:val="-7"/>
        </w:rPr>
        <w:t> </w:t>
      </w:r>
      <w:r>
        <w:rPr>
          <w:spacing w:val="-4"/>
          <w:w w:val="100"/>
        </w:rPr>
        <w:t>l</w:t>
      </w:r>
      <w:r>
        <w:rPr>
          <w:w w:val="100"/>
        </w:rPr>
        <w:t>a</w:t>
      </w:r>
      <w:r>
        <w:rPr/>
        <w:t> </w:t>
      </w:r>
      <w:r>
        <w:rPr>
          <w:spacing w:val="-3"/>
        </w:rPr>
        <w:t> </w:t>
      </w:r>
      <w:r>
        <w:rPr>
          <w:spacing w:val="-5"/>
          <w:w w:val="100"/>
        </w:rPr>
        <w:t>o</w:t>
      </w:r>
      <w:r>
        <w:rPr>
          <w:spacing w:val="3"/>
          <w:w w:val="100"/>
        </w:rPr>
        <w:t>r</w:t>
      </w:r>
      <w:r>
        <w:rPr>
          <w:spacing w:val="-5"/>
          <w:w w:val="100"/>
        </w:rPr>
        <w:t>g</w:t>
      </w:r>
      <w:r>
        <w:rPr>
          <w:spacing w:val="2"/>
          <w:w w:val="100"/>
        </w:rPr>
        <w:t>a</w:t>
      </w:r>
      <w:r>
        <w:rPr>
          <w:w w:val="100"/>
        </w:rPr>
        <w:t>n</w:t>
      </w:r>
      <w:r>
        <w:rPr>
          <w:spacing w:val="-4"/>
          <w:w w:val="100"/>
        </w:rPr>
        <w:t>i</w:t>
      </w:r>
      <w:r>
        <w:rPr>
          <w:spacing w:val="-2"/>
          <w:w w:val="100"/>
        </w:rPr>
        <w:t>z</w:t>
      </w:r>
      <w:r>
        <w:rPr>
          <w:spacing w:val="2"/>
          <w:w w:val="100"/>
        </w:rPr>
        <w:t>ac</w:t>
      </w:r>
      <w:r>
        <w:rPr>
          <w:spacing w:val="-4"/>
          <w:w w:val="100"/>
        </w:rPr>
        <w:t>i</w:t>
      </w:r>
      <w:r>
        <w:rPr>
          <w:spacing w:val="4"/>
          <w:w w:val="100"/>
        </w:rPr>
        <w:t>ó</w:t>
      </w:r>
      <w:r>
        <w:rPr>
          <w:w w:val="100"/>
        </w:rPr>
        <w:t>n</w:t>
      </w:r>
      <w:r>
        <w:rPr/>
        <w:t> </w:t>
      </w:r>
      <w:r>
        <w:rPr>
          <w:spacing w:val="-5"/>
        </w:rPr>
        <w:t> </w:t>
      </w:r>
      <w:r>
        <w:rPr>
          <w:spacing w:val="-7"/>
          <w:w w:val="100"/>
        </w:rPr>
        <w:t>e</w:t>
      </w:r>
      <w:r>
        <w:rPr>
          <w:w w:val="100"/>
        </w:rPr>
        <w:t>sp</w:t>
      </w:r>
      <w:r>
        <w:rPr>
          <w:spacing w:val="3"/>
          <w:w w:val="100"/>
        </w:rPr>
        <w:t>a</w:t>
      </w:r>
      <w:r>
        <w:rPr>
          <w:spacing w:val="-2"/>
          <w:w w:val="100"/>
        </w:rPr>
        <w:t>c</w:t>
      </w:r>
      <w:r>
        <w:rPr>
          <w:spacing w:val="-4"/>
          <w:w w:val="100"/>
        </w:rPr>
        <w:t>i</w:t>
      </w:r>
      <w:r>
        <w:rPr>
          <w:spacing w:val="2"/>
          <w:w w:val="100"/>
        </w:rPr>
        <w:t>a</w:t>
      </w:r>
      <w:r>
        <w:rPr>
          <w:spacing w:val="-4"/>
          <w:w w:val="100"/>
        </w:rPr>
        <w:t>l</w:t>
      </w:r>
      <w:r>
        <w:rPr>
          <w:w w:val="100"/>
        </w:rPr>
        <w:t>.</w:t>
      </w:r>
      <w:r>
        <w:rPr/>
        <w:t> </w:t>
      </w:r>
      <w:r>
        <w:rPr>
          <w:spacing w:val="-3"/>
        </w:rPr>
        <w:t> </w:t>
      </w:r>
      <w:r>
        <w:rPr>
          <w:spacing w:val="3"/>
          <w:w w:val="100"/>
        </w:rPr>
        <w:t>E</w:t>
      </w:r>
      <w:r>
        <w:rPr>
          <w:w w:val="100"/>
        </w:rPr>
        <w:t>n</w:t>
      </w:r>
      <w:r>
        <w:rPr/>
        <w:t> </w:t>
      </w:r>
      <w:r>
        <w:rPr>
          <w:spacing w:val="-10"/>
        </w:rPr>
        <w:t> </w:t>
      </w:r>
      <w:r>
        <w:rPr>
          <w:w w:val="100"/>
        </w:rPr>
        <w:t>p</w:t>
      </w:r>
      <w:r>
        <w:rPr>
          <w:spacing w:val="2"/>
          <w:w w:val="100"/>
        </w:rPr>
        <w:t>a</w:t>
      </w:r>
      <w:r>
        <w:rPr>
          <w:spacing w:val="-4"/>
          <w:w w:val="100"/>
        </w:rPr>
        <w:t>l</w:t>
      </w:r>
      <w:r>
        <w:rPr>
          <w:spacing w:val="2"/>
          <w:w w:val="100"/>
        </w:rPr>
        <w:t>a</w:t>
      </w:r>
      <w:r>
        <w:rPr>
          <w:w w:val="100"/>
        </w:rPr>
        <w:t>b</w:t>
      </w:r>
      <w:r>
        <w:rPr>
          <w:spacing w:val="-2"/>
          <w:w w:val="100"/>
        </w:rPr>
        <w:t>r</w:t>
      </w:r>
      <w:r>
        <w:rPr>
          <w:spacing w:val="2"/>
          <w:w w:val="100"/>
        </w:rPr>
        <w:t>a</w:t>
      </w:r>
      <w:r>
        <w:rPr>
          <w:w w:val="100"/>
        </w:rPr>
        <w:t>s</w:t>
      </w:r>
      <w:r>
        <w:rPr/>
        <w:t> </w:t>
      </w:r>
      <w:r>
        <w:rPr>
          <w:spacing w:val="-9"/>
        </w:rPr>
        <w:t> </w:t>
      </w:r>
      <w:r>
        <w:rPr>
          <w:w w:val="100"/>
        </w:rPr>
        <w:t>de</w:t>
      </w:r>
      <w:r>
        <w:rPr/>
        <w:t> </w:t>
      </w:r>
      <w:r>
        <w:rPr>
          <w:spacing w:val="-12"/>
        </w:rPr>
        <w:t> </w:t>
      </w:r>
      <w:r>
        <w:rPr>
          <w:spacing w:val="-2"/>
          <w:w w:val="100"/>
        </w:rPr>
        <w:t>N</w:t>
      </w:r>
      <w:r>
        <w:rPr>
          <w:spacing w:val="7"/>
          <w:w w:val="100"/>
        </w:rPr>
        <w:t>a</w:t>
      </w:r>
      <w:r>
        <w:rPr>
          <w:w w:val="100"/>
        </w:rPr>
        <w:t>d</w:t>
      </w:r>
      <w:r>
        <w:rPr>
          <w:spacing w:val="-2"/>
          <w:w w:val="100"/>
        </w:rPr>
        <w:t>e</w:t>
      </w:r>
      <w:r>
        <w:rPr>
          <w:spacing w:val="-4"/>
          <w:w w:val="100"/>
        </w:rPr>
        <w:t>l</w:t>
      </w:r>
      <w:r>
        <w:rPr>
          <w:w w:val="100"/>
        </w:rPr>
        <w:t>,</w:t>
      </w:r>
      <w:r>
        <w:rPr/>
        <w:t> </w:t>
      </w:r>
      <w:r>
        <w:rPr>
          <w:spacing w:val="-3"/>
        </w:rPr>
        <w:t> </w:t>
      </w:r>
      <w:r>
        <w:rPr>
          <w:spacing w:val="2"/>
          <w:w w:val="44"/>
        </w:rPr>
        <w:t>―</w:t>
      </w:r>
      <w:r>
        <w:rPr>
          <w:spacing w:val="-7"/>
          <w:w w:val="100"/>
        </w:rPr>
        <w:t>e</w:t>
      </w:r>
      <w:r>
        <w:rPr>
          <w:w w:val="100"/>
        </w:rPr>
        <w:t>l</w:t>
      </w:r>
      <w:r>
        <w:rPr/>
        <w:t> </w:t>
      </w:r>
      <w:r>
        <w:rPr>
          <w:spacing w:val="-4"/>
        </w:rPr>
        <w:t> </w:t>
      </w:r>
      <w:r>
        <w:rPr>
          <w:spacing w:val="-4"/>
          <w:w w:val="100"/>
        </w:rPr>
        <w:t>m</w:t>
      </w:r>
      <w:r>
        <w:rPr>
          <w:w w:val="100"/>
        </w:rPr>
        <w:t>od</w:t>
      </w:r>
      <w:r>
        <w:rPr>
          <w:spacing w:val="-2"/>
          <w:w w:val="100"/>
        </w:rPr>
        <w:t>e</w:t>
      </w:r>
      <w:r>
        <w:rPr>
          <w:w w:val="100"/>
        </w:rPr>
        <w:t>l</w:t>
      </w:r>
      <w:r>
        <w:rPr>
          <w:w w:val="100"/>
        </w:rPr>
        <w:t>o</w:t>
      </w:r>
      <w:r>
        <w:rPr/>
        <w:t>  </w:t>
      </w:r>
      <w:r>
        <w:rPr>
          <w:w w:val="100"/>
        </w:rPr>
        <w:t>no</w:t>
      </w:r>
      <w:r>
        <w:rPr/>
        <w:t> </w:t>
      </w:r>
      <w:r>
        <w:rPr>
          <w:spacing w:val="-5"/>
        </w:rPr>
        <w:t> </w:t>
      </w:r>
      <w:r>
        <w:rPr>
          <w:spacing w:val="-7"/>
          <w:w w:val="100"/>
        </w:rPr>
        <w:t>e</w:t>
      </w:r>
      <w:r>
        <w:rPr>
          <w:w w:val="100"/>
        </w:rPr>
        <w:t>s</w:t>
      </w:r>
      <w:r>
        <w:rPr/>
        <w:t>  </w:t>
      </w:r>
      <w:r>
        <w:rPr>
          <w:spacing w:val="-4"/>
          <w:w w:val="100"/>
        </w:rPr>
        <w:t>m</w:t>
      </w:r>
      <w:r>
        <w:rPr>
          <w:spacing w:val="-2"/>
          <w:w w:val="100"/>
        </w:rPr>
        <w:t>á</w:t>
      </w:r>
      <w:r>
        <w:rPr>
          <w:w w:val="100"/>
        </w:rPr>
        <w:t>s</w:t>
      </w:r>
      <w:r>
        <w:rPr/>
        <w:t> </w:t>
      </w:r>
      <w:r>
        <w:rPr>
          <w:spacing w:val="-4"/>
        </w:rPr>
        <w:t> </w:t>
      </w:r>
      <w:r>
        <w:rPr>
          <w:spacing w:val="-5"/>
          <w:w w:val="100"/>
        </w:rPr>
        <w:t>q</w:t>
      </w:r>
      <w:r>
        <w:rPr>
          <w:spacing w:val="4"/>
          <w:w w:val="100"/>
        </w:rPr>
        <w:t>u</w:t>
      </w:r>
      <w:r>
        <w:rPr>
          <w:w w:val="100"/>
        </w:rPr>
        <w:t>e</w:t>
      </w:r>
      <w:r>
        <w:rPr/>
        <w:t> </w:t>
      </w:r>
      <w:r>
        <w:rPr>
          <w:spacing w:val="-7"/>
        </w:rPr>
        <w:t> </w:t>
      </w:r>
      <w:r>
        <w:rPr>
          <w:w w:val="100"/>
        </w:rPr>
        <w:t>u</w:t>
      </w:r>
      <w:r>
        <w:rPr>
          <w:spacing w:val="-5"/>
          <w:w w:val="100"/>
        </w:rPr>
        <w:t>n</w:t>
      </w:r>
      <w:r>
        <w:rPr>
          <w:w w:val="100"/>
        </w:rPr>
        <w:t>a </w:t>
      </w:r>
      <w:r>
        <w:rPr/>
        <w:t>reducción de una realidad múltiple con un cuadro simple y coherente, cuya simplicidad y  coherencia le vendrían del hecho de que solamente representa una manera de considerar la realidad‖ (citado en Dollfus,</w:t>
      </w:r>
      <w:r>
        <w:rPr>
          <w:spacing w:val="-7"/>
        </w:rPr>
        <w:t> </w:t>
      </w:r>
      <w:r>
        <w:rPr/>
        <w:t>1978).</w:t>
      </w:r>
    </w:p>
    <w:p>
      <w:pPr>
        <w:spacing w:after="0" w:line="360" w:lineRule="auto"/>
        <w:jc w:val="both"/>
        <w:sectPr>
          <w:pgSz w:w="12240" w:h="15840"/>
          <w:pgMar w:top="1360" w:bottom="280" w:left="1580" w:right="1600"/>
        </w:sectPr>
      </w:pPr>
    </w:p>
    <w:p>
      <w:pPr>
        <w:pStyle w:val="BodyText"/>
        <w:spacing w:line="360" w:lineRule="auto" w:before="52"/>
        <w:ind w:left="119" w:right="98"/>
        <w:jc w:val="both"/>
      </w:pPr>
      <w:r>
        <w:rPr>
          <w:w w:val="100"/>
        </w:rPr>
        <w:t>P</w:t>
      </w:r>
      <w:r>
        <w:rPr>
          <w:w w:val="100"/>
        </w:rPr>
        <w:t>a</w:t>
      </w:r>
      <w:r>
        <w:rPr>
          <w:w w:val="100"/>
        </w:rPr>
        <w:t>r</w:t>
      </w:r>
      <w:r>
        <w:rPr>
          <w:w w:val="100"/>
        </w:rPr>
        <w:t>a</w:t>
      </w:r>
      <w:r>
        <w:rPr/>
        <w:t> </w:t>
      </w:r>
      <w:r>
        <w:rPr>
          <w:w w:val="100"/>
        </w:rPr>
        <w:t>A</w:t>
      </w:r>
      <w:r>
        <w:rPr>
          <w:w w:val="100"/>
        </w:rPr>
        <w:t>.</w:t>
      </w:r>
      <w:r>
        <w:rPr/>
        <w:t> </w:t>
      </w:r>
      <w:r>
        <w:rPr>
          <w:w w:val="100"/>
        </w:rPr>
        <w:t>R</w:t>
      </w:r>
      <w:r>
        <w:rPr>
          <w:w w:val="100"/>
        </w:rPr>
        <w:t>é</w:t>
      </w:r>
      <w:r>
        <w:rPr>
          <w:w w:val="100"/>
        </w:rPr>
        <w:t>gni</w:t>
      </w:r>
      <w:r>
        <w:rPr>
          <w:w w:val="100"/>
        </w:rPr>
        <w:t>e</w:t>
      </w:r>
      <w:r>
        <w:rPr>
          <w:w w:val="100"/>
        </w:rPr>
        <w:t>r,</w:t>
      </w:r>
      <w:r>
        <w:rPr/>
        <w:t> </w:t>
      </w:r>
      <w:r>
        <w:rPr>
          <w:w w:val="44"/>
        </w:rPr>
        <w:t>―</w:t>
      </w:r>
      <w:r>
        <w:rPr>
          <w:w w:val="100"/>
        </w:rPr>
        <w:t>e</w:t>
      </w:r>
      <w:r>
        <w:rPr>
          <w:w w:val="100"/>
        </w:rPr>
        <w:t>l</w:t>
      </w:r>
      <w:r>
        <w:rPr/>
        <w:t> </w:t>
      </w:r>
      <w:r>
        <w:rPr>
          <w:w w:val="100"/>
        </w:rPr>
        <w:t>m</w:t>
      </w:r>
      <w:r>
        <w:rPr>
          <w:w w:val="100"/>
        </w:rPr>
        <w:t>ode</w:t>
      </w:r>
      <w:r>
        <w:rPr>
          <w:w w:val="100"/>
        </w:rPr>
        <w:t>l</w:t>
      </w:r>
      <w:r>
        <w:rPr>
          <w:w w:val="100"/>
        </w:rPr>
        <w:t>o</w:t>
      </w:r>
      <w:r>
        <w:rPr/>
        <w:t> </w:t>
      </w:r>
      <w:r>
        <w:rPr>
          <w:w w:val="100"/>
        </w:rPr>
        <w:t>c</w:t>
      </w:r>
      <w:r>
        <w:rPr>
          <w:w w:val="100"/>
        </w:rPr>
        <w:t>onst</w:t>
      </w:r>
      <w:r>
        <w:rPr>
          <w:w w:val="100"/>
        </w:rPr>
        <w:t>it</w:t>
      </w:r>
      <w:r>
        <w:rPr>
          <w:w w:val="100"/>
        </w:rPr>
        <w:t>uye</w:t>
      </w:r>
      <w:r>
        <w:rPr/>
        <w:t> </w:t>
      </w:r>
      <w:r>
        <w:rPr>
          <w:w w:val="100"/>
        </w:rPr>
        <w:t>un</w:t>
      </w:r>
      <w:r>
        <w:rPr>
          <w:w w:val="100"/>
        </w:rPr>
        <w:t>a</w:t>
      </w:r>
      <w:r>
        <w:rPr/>
        <w:t> </w:t>
      </w:r>
      <w:r>
        <w:rPr>
          <w:w w:val="100"/>
        </w:rPr>
        <w:t>r</w:t>
      </w:r>
      <w:r>
        <w:rPr>
          <w:w w:val="100"/>
        </w:rPr>
        <w:t>e</w:t>
      </w:r>
      <w:r>
        <w:rPr>
          <w:w w:val="100"/>
        </w:rPr>
        <w:t>pr</w:t>
      </w:r>
      <w:r>
        <w:rPr>
          <w:w w:val="100"/>
        </w:rPr>
        <w:t>e</w:t>
      </w:r>
      <w:r>
        <w:rPr>
          <w:w w:val="100"/>
        </w:rPr>
        <w:t>s</w:t>
      </w:r>
      <w:r>
        <w:rPr>
          <w:w w:val="100"/>
        </w:rPr>
        <w:t>e</w:t>
      </w:r>
      <w:r>
        <w:rPr>
          <w:w w:val="100"/>
        </w:rPr>
        <w:t>n</w:t>
      </w:r>
      <w:r>
        <w:rPr>
          <w:w w:val="100"/>
        </w:rPr>
        <w:t>t</w:t>
      </w:r>
      <w:r>
        <w:rPr>
          <w:w w:val="100"/>
        </w:rPr>
        <w:t>ac</w:t>
      </w:r>
      <w:r>
        <w:rPr>
          <w:w w:val="100"/>
        </w:rPr>
        <w:t>i</w:t>
      </w:r>
      <w:r>
        <w:rPr>
          <w:w w:val="100"/>
        </w:rPr>
        <w:t>ón</w:t>
      </w:r>
      <w:r>
        <w:rPr/>
        <w:t> </w:t>
      </w:r>
      <w:r>
        <w:rPr>
          <w:w w:val="100"/>
        </w:rPr>
        <w:t>de</w:t>
      </w:r>
      <w:r>
        <w:rPr>
          <w:w w:val="100"/>
        </w:rPr>
        <w:t>l</w:t>
      </w:r>
      <w:r>
        <w:rPr/>
        <w:t> </w:t>
      </w:r>
      <w:r>
        <w:rPr>
          <w:w w:val="100"/>
        </w:rPr>
        <w:t>fenómeno,</w:t>
      </w:r>
      <w:r>
        <w:rPr/>
        <w:t> </w:t>
      </w:r>
      <w:r>
        <w:rPr>
          <w:w w:val="100"/>
        </w:rPr>
        <w:t>a</w:t>
      </w:r>
      <w:r>
        <w:rPr/>
        <w:t> </w:t>
      </w:r>
      <w:r>
        <w:rPr>
          <w:w w:val="100"/>
        </w:rPr>
        <w:t>la</w:t>
      </w:r>
      <w:r>
        <w:rPr/>
        <w:t>  </w:t>
      </w:r>
      <w:r>
        <w:rPr>
          <w:w w:val="100"/>
        </w:rPr>
        <w:t>vez</w:t>
      </w:r>
      <w:r>
        <w:rPr/>
        <w:t> </w:t>
      </w:r>
      <w:r>
        <w:rPr>
          <w:w w:val="100"/>
        </w:rPr>
        <w:t>s</w:t>
      </w:r>
      <w:r>
        <w:rPr>
          <w:w w:val="100"/>
        </w:rPr>
        <w:t>implificada</w:t>
      </w:r>
      <w:r>
        <w:rPr/>
        <w:t>  </w:t>
      </w:r>
      <w:r>
        <w:rPr>
          <w:w w:val="100"/>
        </w:rPr>
        <w:t>y </w:t>
      </w:r>
      <w:r>
        <w:rPr/>
        <w:t>global. Un modelo no se hace para representar todas las propiedades de un fenómeno, todas las relaciones que los seres mantienen entre sí, todos los aspectos de un hecho concreto […] sino que se abstraen ciertos aspectos de lo concreto, lo que lo simplifica‖. Los modelos dinámicos permiten prever, si no las evoluciones, por lo menos determinar unas posibles tendencias en función de unas acciones dadas. Aquí, el análisis geográfico que consiste en conocer —que es más que prever— lo que será, incluso aunque la previsión del futuro se basa en el conocimiento del presente y la densidad de un pasado significativo.</w:t>
      </w:r>
    </w:p>
    <w:p>
      <w:pPr>
        <w:pStyle w:val="BodyText"/>
        <w:spacing w:line="360" w:lineRule="auto" w:before="163"/>
        <w:ind w:left="119" w:right="101"/>
        <w:jc w:val="both"/>
      </w:pPr>
      <w:r>
        <w:rPr/>
        <w:t>Lo anterior es un panorama bastante descriptivo y hasta cierto punto ilustrativo sobre las dinámicas que ocurren en el espacio y las formas de interpretación. La geografía como un método para considerar las cosas y los seres en su relación con la tierra necesariamente van a precisar el estudio de los múltiples factores que influyen en ese paisaje, y que, también se organizan y vinculan al medio natural y, algunos de estos, a las aspiraciones humanas.</w:t>
      </w:r>
    </w:p>
    <w:p>
      <w:pPr>
        <w:pStyle w:val="BodyText"/>
        <w:spacing w:line="360" w:lineRule="auto" w:before="168"/>
        <w:ind w:left="119" w:right="98"/>
        <w:jc w:val="both"/>
      </w:pPr>
      <w:r>
        <w:rPr/>
        <w:t>En razón de ello, el espacio geográfico siempre será una de las variables más importantes en el análisis de cualquier estudio geográfico, mismo que será llevado de la mano de un análisis geográfico que compagine los elementos del primero con las demandas de estudio del segundo. Por tanto, el espacio y el análisis geográfico son, en primera instancia, lo primordial en el quehacer geográfico. Es decir, cualquier estudio espacial necesariamente hará referencia a las estructuras y sistemas que comprenden a ese determinado espacio.</w:t>
      </w:r>
    </w:p>
    <w:p>
      <w:pPr>
        <w:spacing w:after="0" w:line="360" w:lineRule="auto"/>
        <w:jc w:val="both"/>
        <w:sectPr>
          <w:pgSz w:w="12240" w:h="15840"/>
          <w:pgMar w:top="1360" w:bottom="280" w:left="1580" w:right="1600"/>
        </w:sectPr>
      </w:pPr>
    </w:p>
    <w:p>
      <w:pPr>
        <w:pStyle w:val="Heading1"/>
        <w:numPr>
          <w:ilvl w:val="1"/>
          <w:numId w:val="9"/>
        </w:numPr>
        <w:tabs>
          <w:tab w:pos="452" w:val="left" w:leader="none"/>
        </w:tabs>
        <w:spacing w:line="240" w:lineRule="auto" w:before="52" w:after="0"/>
        <w:ind w:left="451" w:right="0" w:hanging="332"/>
        <w:jc w:val="both"/>
      </w:pPr>
      <w:bookmarkStart w:name="_bookmark14" w:id="22"/>
      <w:bookmarkEnd w:id="22"/>
      <w:r>
        <w:rPr>
          <w:b w:val="0"/>
        </w:rPr>
      </w:r>
      <w:bookmarkStart w:name="_bookmark14" w:id="23"/>
      <w:bookmarkEnd w:id="23"/>
      <w:r>
        <w:rPr/>
        <w:t>E</w:t>
      </w:r>
      <w:r>
        <w:rPr/>
        <w:t>nfoques geográficos aplicados a la cuestión</w:t>
      </w:r>
      <w:r>
        <w:rPr>
          <w:spacing w:val="-29"/>
        </w:rPr>
        <w:t> </w:t>
      </w:r>
      <w:r>
        <w:rPr/>
        <w:t>medioambiental</w:t>
      </w:r>
    </w:p>
    <w:p>
      <w:pPr>
        <w:pStyle w:val="BodyText"/>
        <w:rPr>
          <w:b/>
        </w:rPr>
      </w:pPr>
    </w:p>
    <w:p>
      <w:pPr>
        <w:pStyle w:val="BodyText"/>
        <w:rPr>
          <w:b/>
          <w:sz w:val="19"/>
        </w:rPr>
      </w:pPr>
    </w:p>
    <w:p>
      <w:pPr>
        <w:pStyle w:val="BodyText"/>
        <w:spacing w:line="360" w:lineRule="auto" w:before="1"/>
        <w:ind w:left="119" w:right="117"/>
        <w:jc w:val="both"/>
      </w:pPr>
      <w:r>
        <w:rPr/>
        <w:t>A partir del siglo XIX el estudio de las relaciones naturaleza-sociedad comenzaron a especializarse en la ciencia geográfica (Gómez y Ortega, 1982). La llamada geografía clásica reafirma la tendencia a considerar que su objeto de estudio son las relaciones existentes entre los hechos naturales y humanos (García, 2000). Sin embargo, los nuevos planteamientos en la geografía surgen con el cambio de siglo. Por un lado, Toro (2011) menciona que:</w:t>
      </w:r>
    </w:p>
    <w:p>
      <w:pPr>
        <w:pStyle w:val="BodyText"/>
      </w:pPr>
    </w:p>
    <w:p>
      <w:pPr>
        <w:pStyle w:val="BodyText"/>
      </w:pPr>
    </w:p>
    <w:p>
      <w:pPr>
        <w:pStyle w:val="BodyText"/>
        <w:spacing w:before="3"/>
        <w:rPr>
          <w:sz w:val="17"/>
        </w:rPr>
      </w:pPr>
    </w:p>
    <w:p>
      <w:pPr>
        <w:pStyle w:val="BodyText"/>
        <w:spacing w:line="360" w:lineRule="auto"/>
        <w:ind w:left="825" w:right="119"/>
        <w:jc w:val="both"/>
      </w:pPr>
      <w:r>
        <w:rPr/>
        <w:t>A mediados del siglo XX la Geografía experimenta una sensible revolución conceptual y metodológica a raíz de la influencia de la corriente neopositivista. El propósito de una parte de la comunidad geográfica por aproximar la Geografía a la vanguardia científica del momento supondrá, por un lado, la ruptura con la tradición ambientalista y con el enfoque corológico  y,  por  otra  parte,  el  desarrollo  del análisis  espacial como  identidad  de  esta</w:t>
      </w:r>
    </w:p>
    <w:p>
      <w:pPr>
        <w:pStyle w:val="BodyText"/>
        <w:spacing w:before="4"/>
        <w:ind w:left="825"/>
        <w:jc w:val="both"/>
      </w:pPr>
      <w:r>
        <w:rPr>
          <w:spacing w:val="2"/>
          <w:w w:val="44"/>
        </w:rPr>
        <w:t>―</w:t>
      </w:r>
      <w:r>
        <w:rPr>
          <w:spacing w:val="-2"/>
          <w:w w:val="100"/>
        </w:rPr>
        <w:t>N</w:t>
      </w:r>
      <w:r>
        <w:rPr>
          <w:w w:val="100"/>
        </w:rPr>
        <w:t>u</w:t>
      </w:r>
      <w:r>
        <w:rPr>
          <w:spacing w:val="-2"/>
          <w:w w:val="100"/>
        </w:rPr>
        <w:t>e</w:t>
      </w:r>
      <w:r>
        <w:rPr>
          <w:spacing w:val="-5"/>
          <w:w w:val="100"/>
        </w:rPr>
        <w:t>v</w:t>
      </w:r>
      <w:r>
        <w:rPr>
          <w:spacing w:val="2"/>
          <w:w w:val="100"/>
        </w:rPr>
        <w:t>a</w:t>
      </w:r>
      <w:r>
        <w:rPr>
          <w:w w:val="158"/>
        </w:rPr>
        <w:t>‖</w:t>
      </w:r>
      <w:r>
        <w:rPr/>
        <w:t> </w:t>
      </w:r>
      <w:r>
        <w:rPr>
          <w:spacing w:val="-2"/>
          <w:w w:val="100"/>
        </w:rPr>
        <w:t>G</w:t>
      </w:r>
      <w:r>
        <w:rPr>
          <w:spacing w:val="-2"/>
          <w:w w:val="100"/>
        </w:rPr>
        <w:t>e</w:t>
      </w:r>
      <w:r>
        <w:rPr>
          <w:w w:val="100"/>
        </w:rPr>
        <w:t>o</w:t>
      </w:r>
      <w:r>
        <w:rPr>
          <w:spacing w:val="-5"/>
          <w:w w:val="100"/>
        </w:rPr>
        <w:t>g</w:t>
      </w:r>
      <w:r>
        <w:rPr>
          <w:spacing w:val="3"/>
          <w:w w:val="100"/>
        </w:rPr>
        <w:t>r</w:t>
      </w:r>
      <w:r>
        <w:rPr>
          <w:spacing w:val="2"/>
          <w:w w:val="100"/>
        </w:rPr>
        <w:t>a</w:t>
      </w:r>
      <w:r>
        <w:rPr>
          <w:spacing w:val="-2"/>
          <w:w w:val="100"/>
        </w:rPr>
        <w:t>f</w:t>
      </w:r>
      <w:r>
        <w:rPr>
          <w:w w:val="100"/>
        </w:rPr>
        <w:t>í</w:t>
      </w:r>
      <w:r>
        <w:rPr>
          <w:spacing w:val="-2"/>
          <w:w w:val="100"/>
        </w:rPr>
        <w:t>a</w:t>
      </w:r>
      <w:r>
        <w:rPr>
          <w:w w:val="100"/>
        </w:rPr>
        <w:t>.</w:t>
      </w:r>
    </w:p>
    <w:p>
      <w:pPr>
        <w:pStyle w:val="BodyText"/>
      </w:pPr>
    </w:p>
    <w:p>
      <w:pPr>
        <w:pStyle w:val="BodyText"/>
      </w:pPr>
    </w:p>
    <w:p>
      <w:pPr>
        <w:pStyle w:val="BodyText"/>
        <w:spacing w:before="11"/>
        <w:rPr>
          <w:sz w:val="27"/>
        </w:rPr>
      </w:pPr>
    </w:p>
    <w:p>
      <w:pPr>
        <w:pStyle w:val="BodyText"/>
        <w:spacing w:line="360" w:lineRule="auto"/>
        <w:ind w:left="119" w:right="127"/>
        <w:jc w:val="both"/>
      </w:pPr>
      <w:r>
        <w:rPr/>
        <w:t>En este sentido, </w:t>
      </w:r>
      <w:r>
        <w:rPr>
          <w:spacing w:val="2"/>
        </w:rPr>
        <w:t>se </w:t>
      </w:r>
      <w:r>
        <w:rPr/>
        <w:t>pensó que la Geografía </w:t>
      </w:r>
      <w:r>
        <w:rPr>
          <w:spacing w:val="-3"/>
        </w:rPr>
        <w:t>debía </w:t>
      </w:r>
      <w:r>
        <w:rPr/>
        <w:t>orientarse a la elaboración de leyes generales sobre pautas espaciales y distributivas que </w:t>
      </w:r>
      <w:r>
        <w:rPr>
          <w:spacing w:val="2"/>
        </w:rPr>
        <w:t>se </w:t>
      </w:r>
      <w:r>
        <w:rPr/>
        <w:t>dan en la superficie terrestre (Gómez, 1988). En esos momentos, </w:t>
      </w:r>
      <w:r>
        <w:rPr>
          <w:spacing w:val="2"/>
        </w:rPr>
        <w:t>se </w:t>
      </w:r>
      <w:r>
        <w:rPr/>
        <w:t>consideró a la Geografía como una ciencia del espacio, encargada del estudio de los atributos espaciales de los fenómenos, lo cual dejaba a la </w:t>
      </w:r>
      <w:r>
        <w:rPr>
          <w:spacing w:val="-3"/>
        </w:rPr>
        <w:t>línea </w:t>
      </w:r>
      <w:r>
        <w:rPr/>
        <w:t>ambiental fuera de las prioridades  por definir el verdadero quehacer geográfico (Turner,</w:t>
      </w:r>
      <w:r>
        <w:rPr>
          <w:spacing w:val="-16"/>
        </w:rPr>
        <w:t> </w:t>
      </w:r>
      <w:r>
        <w:rPr/>
        <w:t>2002).</w:t>
      </w:r>
    </w:p>
    <w:p>
      <w:pPr>
        <w:pStyle w:val="BodyText"/>
        <w:spacing w:line="360" w:lineRule="auto" w:before="163"/>
        <w:ind w:left="119" w:right="116"/>
        <w:jc w:val="both"/>
      </w:pPr>
      <w:r>
        <w:rPr/>
        <w:t>Precisamente, la literatura menciona que en los años sesenta la preocupación por las cuestiones ambientales permite el nacimiento de los distintos enfoques geográficos como consecuencia de la crítica al neopositivismo. No obstante, las corrientes geográficas continuaban teniendo  discrepancias respecto al abordaje de la temática medioambiental. En un primer momento, los geógrafos radicales realizaron una dura crítica a la contribución de la geografía clásica por proporcionar argumentos que justificaban el dominio del mundo por parte de los pueblos asentados en medios físicos superiores. El principal problema con los argumentos planteados por la geografía clásica, afirman los geógrafos radicales, </w:t>
      </w:r>
      <w:r>
        <w:rPr>
          <w:spacing w:val="-4"/>
        </w:rPr>
        <w:t>es </w:t>
      </w:r>
      <w:r>
        <w:rPr/>
        <w:t>que habían reducido la relación sociedad-naturaleza a casi tan sólo el aspecto natural. Desde este punto de vista, la geografía radical basó su crítica en el deseo de generar una reconstrucción de la geografía sobre las bases estudiadas a partir </w:t>
      </w:r>
      <w:r>
        <w:rPr>
          <w:spacing w:val="-3"/>
        </w:rPr>
        <w:t>de </w:t>
      </w:r>
      <w:r>
        <w:rPr/>
        <w:t>las interrelaciones entre la sociedad y el medio ambiente, dando un nuevo protagonismo al medio físico pero privilegiando la dimensión</w:t>
      </w:r>
      <w:r>
        <w:rPr>
          <w:spacing w:val="-21"/>
        </w:rPr>
        <w:t> </w:t>
      </w:r>
      <w:r>
        <w:rPr/>
        <w:t>social.</w:t>
      </w:r>
    </w:p>
    <w:p>
      <w:pPr>
        <w:spacing w:after="0" w:line="360" w:lineRule="auto"/>
        <w:jc w:val="both"/>
        <w:sectPr>
          <w:pgSz w:w="12240" w:h="15840"/>
          <w:pgMar w:top="1360" w:bottom="280" w:left="1580" w:right="1580"/>
        </w:sectPr>
      </w:pPr>
    </w:p>
    <w:p>
      <w:pPr>
        <w:pStyle w:val="BodyText"/>
        <w:spacing w:line="360" w:lineRule="auto" w:before="52"/>
        <w:ind w:left="119" w:right="106"/>
        <w:jc w:val="both"/>
      </w:pPr>
      <w:r>
        <w:rPr/>
        <w:t>De acuerdo con García (2000), en la década de los ochenta, el creciente dualismo entre geografía humana y geografía física, en relación con el estudio de temas como el medio ambiente y el paisaje, hizo que en cierta medida la Geografía quedara al margen de la temática medioambiental, misma que ya iba progresando, situación que parecía ilógica por la trayectoria de esta ciencia en la explicación y compresión de las relaciones sociedad-naturaleza.</w:t>
      </w:r>
    </w:p>
    <w:p>
      <w:pPr>
        <w:pStyle w:val="BodyText"/>
        <w:spacing w:line="360" w:lineRule="auto" w:before="167"/>
        <w:ind w:left="119" w:right="99"/>
        <w:jc w:val="both"/>
      </w:pPr>
      <w:r>
        <w:rPr/>
        <w:t>Por otro lado, la geografía contemporánea continúa con esta línea, la del entendimiento y explicación de las relaciones hombre-medio, sociedad-naturaleza. Si </w:t>
      </w:r>
      <w:r>
        <w:rPr>
          <w:spacing w:val="-3"/>
        </w:rPr>
        <w:t>bien, </w:t>
      </w:r>
      <w:r>
        <w:rPr/>
        <w:t>la tradición que </w:t>
      </w:r>
      <w:r>
        <w:rPr>
          <w:spacing w:val="-3"/>
        </w:rPr>
        <w:t>ha </w:t>
      </w:r>
      <w:r>
        <w:rPr/>
        <w:t>definido a la disciplina, en la que la naturaleza </w:t>
      </w:r>
      <w:r>
        <w:rPr>
          <w:spacing w:val="-3"/>
        </w:rPr>
        <w:t>ha </w:t>
      </w:r>
      <w:r>
        <w:rPr/>
        <w:t>jugado un papel significativo, permite  identificarla como una ciencia que </w:t>
      </w:r>
      <w:r>
        <w:rPr>
          <w:spacing w:val="-3"/>
        </w:rPr>
        <w:t>ha </w:t>
      </w:r>
      <w:r>
        <w:rPr/>
        <w:t>servido como puente entre las ciencias de la naturaleza y las ciencias</w:t>
      </w:r>
      <w:r>
        <w:rPr>
          <w:spacing w:val="-13"/>
        </w:rPr>
        <w:t> </w:t>
      </w:r>
      <w:r>
        <w:rPr/>
        <w:t>sociales.</w:t>
      </w:r>
    </w:p>
    <w:p>
      <w:pPr>
        <w:pStyle w:val="BodyText"/>
      </w:pPr>
    </w:p>
    <w:p>
      <w:pPr>
        <w:pStyle w:val="BodyText"/>
      </w:pPr>
    </w:p>
    <w:p>
      <w:pPr>
        <w:pStyle w:val="BodyText"/>
        <w:spacing w:before="4"/>
        <w:rPr>
          <w:sz w:val="17"/>
        </w:rPr>
      </w:pPr>
    </w:p>
    <w:p>
      <w:pPr>
        <w:pStyle w:val="Heading1"/>
        <w:numPr>
          <w:ilvl w:val="2"/>
          <w:numId w:val="9"/>
        </w:numPr>
        <w:tabs>
          <w:tab w:pos="620" w:val="left" w:leader="none"/>
        </w:tabs>
        <w:spacing w:line="240" w:lineRule="auto" w:before="0" w:after="0"/>
        <w:ind w:left="619" w:right="0" w:hanging="500"/>
        <w:jc w:val="both"/>
      </w:pPr>
      <w:bookmarkStart w:name="_bookmark15" w:id="24"/>
      <w:bookmarkEnd w:id="24"/>
      <w:r>
        <w:rPr>
          <w:b w:val="0"/>
        </w:rPr>
      </w:r>
      <w:bookmarkStart w:name="_bookmark15" w:id="25"/>
      <w:bookmarkEnd w:id="25"/>
      <w:r>
        <w:rPr/>
        <w:t>E</w:t>
      </w:r>
      <w:r>
        <w:rPr/>
        <w:t>l </w:t>
      </w:r>
      <w:r>
        <w:rPr>
          <w:spacing w:val="-3"/>
        </w:rPr>
        <w:t>medio </w:t>
      </w:r>
      <w:r>
        <w:rPr/>
        <w:t>ambiente </w:t>
      </w:r>
      <w:r>
        <w:rPr>
          <w:spacing w:val="-3"/>
        </w:rPr>
        <w:t>como </w:t>
      </w:r>
      <w:r>
        <w:rPr/>
        <w:t>objeto de estudio</w:t>
      </w:r>
      <w:r>
        <w:rPr>
          <w:spacing w:val="3"/>
        </w:rPr>
        <w:t> </w:t>
      </w:r>
      <w:r>
        <w:rPr/>
        <w:t>geográfico</w:t>
      </w:r>
    </w:p>
    <w:p>
      <w:pPr>
        <w:pStyle w:val="BodyText"/>
        <w:rPr>
          <w:b/>
        </w:rPr>
      </w:pPr>
    </w:p>
    <w:p>
      <w:pPr>
        <w:pStyle w:val="BodyText"/>
        <w:spacing w:before="7"/>
        <w:rPr>
          <w:b/>
          <w:sz w:val="18"/>
        </w:rPr>
      </w:pPr>
    </w:p>
    <w:p>
      <w:pPr>
        <w:pStyle w:val="BodyText"/>
        <w:spacing w:line="360" w:lineRule="auto"/>
        <w:ind w:left="119" w:right="98"/>
        <w:jc w:val="both"/>
      </w:pPr>
      <w:r>
        <w:rPr/>
        <w:t>Una de sus principales líneas de investigación de la Geografía moderna es el estudio de las relaciones entre el ser humano y el medio físico. El análisis espacial también constituye una línea importante dentro de la Geografía moderna al abordar los procesos de interacción espacial y la variación de una propiedad o propiedades del espacio. Entre los problemas globales a los que se enfrentan las sociedades en el siglo XXI, está la llamada cuestión ambiental, crisis ambiental y en general toda la problemática suscitada en torno al medio ambiente y a sus diversas maneras de entenderlo (García, 2000). La disciplina geográfica, como se ha subrayado, se ocupa de estudiar cómo las sociedades humanas se adaptan a unos entornos ambientales determinados, cómo estos entornos son, a su vez, modificados por los humanos y cómo estas modificaciones pueden afectar el futuro de las relaciones entre naturaleza y sociedad (Saurí, 2003).</w:t>
      </w:r>
    </w:p>
    <w:p>
      <w:pPr>
        <w:pStyle w:val="BodyText"/>
        <w:spacing w:line="360" w:lineRule="auto" w:before="163"/>
        <w:ind w:left="119" w:right="103"/>
        <w:jc w:val="both"/>
      </w:pPr>
      <w:r>
        <w:rPr/>
        <w:t>La noción de ambiente ha estado vinculada de forma estrecha con el campo disciplinario de la Geografía desde sus orígenes. La trascendencia de las problemáticas ambientales contemporáneas y sus consecuencias o respuestas en sus diferentes escalas, han permitido reformular los objetivos y contenidos de investigación dentro de la ciencia geográfica. En palabras de Urquijo y Bocco (2013):</w:t>
      </w:r>
    </w:p>
    <w:p>
      <w:pPr>
        <w:pStyle w:val="BodyText"/>
        <w:spacing w:line="360" w:lineRule="auto" w:before="167"/>
        <w:ind w:left="119" w:right="106"/>
        <w:jc w:val="both"/>
      </w:pPr>
      <w:r>
        <w:rPr>
          <w:w w:val="100"/>
        </w:rPr>
        <w:t>La</w:t>
      </w:r>
      <w:r>
        <w:rPr/>
        <w:t> </w:t>
      </w:r>
      <w:r>
        <w:rPr>
          <w:spacing w:val="-22"/>
        </w:rPr>
        <w:t> </w:t>
      </w:r>
      <w:r>
        <w:rPr>
          <w:w w:val="100"/>
        </w:rPr>
        <w:t>g</w:t>
      </w:r>
      <w:r>
        <w:rPr>
          <w:spacing w:val="-2"/>
          <w:w w:val="100"/>
        </w:rPr>
        <w:t>e</w:t>
      </w:r>
      <w:r>
        <w:rPr>
          <w:w w:val="100"/>
        </w:rPr>
        <w:t>o</w:t>
      </w:r>
      <w:r>
        <w:rPr>
          <w:spacing w:val="-5"/>
          <w:w w:val="100"/>
        </w:rPr>
        <w:t>g</w:t>
      </w:r>
      <w:r>
        <w:rPr>
          <w:spacing w:val="3"/>
          <w:w w:val="100"/>
        </w:rPr>
        <w:t>r</w:t>
      </w:r>
      <w:r>
        <w:rPr>
          <w:spacing w:val="2"/>
          <w:w w:val="100"/>
        </w:rPr>
        <w:t>a</w:t>
      </w:r>
      <w:r>
        <w:rPr>
          <w:spacing w:val="-2"/>
          <w:w w:val="100"/>
        </w:rPr>
        <w:t>f</w:t>
      </w:r>
      <w:r>
        <w:rPr>
          <w:w w:val="100"/>
        </w:rPr>
        <w:t>í</w:t>
      </w:r>
      <w:r>
        <w:rPr>
          <w:w w:val="100"/>
        </w:rPr>
        <w:t>a</w:t>
      </w:r>
      <w:r>
        <w:rPr/>
        <w:t> </w:t>
      </w:r>
      <w:r>
        <w:rPr>
          <w:spacing w:val="-26"/>
        </w:rPr>
        <w:t> </w:t>
      </w:r>
      <w:r>
        <w:rPr>
          <w:spacing w:val="2"/>
          <w:w w:val="100"/>
        </w:rPr>
        <w:t>a</w:t>
      </w:r>
      <w:r>
        <w:rPr>
          <w:spacing w:val="-9"/>
          <w:w w:val="100"/>
        </w:rPr>
        <w:t>m</w:t>
      </w:r>
      <w:r>
        <w:rPr>
          <w:spacing w:val="4"/>
          <w:w w:val="100"/>
        </w:rPr>
        <w:t>b</w:t>
      </w:r>
      <w:r>
        <w:rPr>
          <w:w w:val="100"/>
        </w:rPr>
        <w:t>i</w:t>
      </w:r>
      <w:r>
        <w:rPr>
          <w:spacing w:val="-2"/>
          <w:w w:val="100"/>
        </w:rPr>
        <w:t>e</w:t>
      </w:r>
      <w:r>
        <w:rPr>
          <w:spacing w:val="-5"/>
          <w:w w:val="100"/>
        </w:rPr>
        <w:t>n</w:t>
      </w:r>
      <w:r>
        <w:rPr>
          <w:w w:val="100"/>
        </w:rPr>
        <w:t>t</w:t>
      </w:r>
      <w:r>
        <w:rPr>
          <w:spacing w:val="2"/>
          <w:w w:val="100"/>
        </w:rPr>
        <w:t>a</w:t>
      </w:r>
      <w:r>
        <w:rPr>
          <w:spacing w:val="-4"/>
          <w:w w:val="100"/>
        </w:rPr>
        <w:t>l</w:t>
      </w:r>
      <w:r>
        <w:rPr>
          <w:w w:val="100"/>
        </w:rPr>
        <w:t>,</w:t>
      </w:r>
      <w:r>
        <w:rPr/>
        <w:t> </w:t>
      </w:r>
      <w:r>
        <w:rPr>
          <w:spacing w:val="-17"/>
        </w:rPr>
        <w:t> </w:t>
      </w:r>
      <w:r>
        <w:rPr>
          <w:spacing w:val="-9"/>
          <w:w w:val="100"/>
        </w:rPr>
        <w:t>m</w:t>
      </w:r>
      <w:r>
        <w:rPr>
          <w:spacing w:val="-2"/>
          <w:w w:val="100"/>
        </w:rPr>
        <w:t>á</w:t>
      </w:r>
      <w:r>
        <w:rPr>
          <w:w w:val="100"/>
        </w:rPr>
        <w:t>s</w:t>
      </w:r>
      <w:r>
        <w:rPr/>
        <w:t> </w:t>
      </w:r>
      <w:r>
        <w:rPr>
          <w:spacing w:val="-19"/>
        </w:rPr>
        <w:t> </w:t>
      </w:r>
      <w:r>
        <w:rPr>
          <w:spacing w:val="-5"/>
          <w:w w:val="100"/>
        </w:rPr>
        <w:t>q</w:t>
      </w:r>
      <w:r>
        <w:rPr>
          <w:spacing w:val="4"/>
          <w:w w:val="100"/>
        </w:rPr>
        <w:t>u</w:t>
      </w:r>
      <w:r>
        <w:rPr>
          <w:w w:val="100"/>
        </w:rPr>
        <w:t>e</w:t>
      </w:r>
      <w:r>
        <w:rPr/>
        <w:t> </w:t>
      </w:r>
      <w:r>
        <w:rPr>
          <w:spacing w:val="-26"/>
        </w:rPr>
        <w:t> </w:t>
      </w:r>
      <w:r>
        <w:rPr>
          <w:spacing w:val="4"/>
          <w:w w:val="100"/>
        </w:rPr>
        <w:t>u</w:t>
      </w:r>
      <w:r>
        <w:rPr>
          <w:w w:val="100"/>
        </w:rPr>
        <w:t>n</w:t>
      </w:r>
      <w:r>
        <w:rPr>
          <w:spacing w:val="26"/>
        </w:rPr>
        <w:t> </w:t>
      </w:r>
      <w:r>
        <w:rPr>
          <w:spacing w:val="-2"/>
          <w:w w:val="100"/>
        </w:rPr>
        <w:t>c</w:t>
      </w:r>
      <w:r>
        <w:rPr>
          <w:spacing w:val="7"/>
          <w:w w:val="100"/>
        </w:rPr>
        <w:t>a</w:t>
      </w:r>
      <w:r>
        <w:rPr>
          <w:spacing w:val="-9"/>
          <w:w w:val="100"/>
        </w:rPr>
        <w:t>m</w:t>
      </w:r>
      <w:r>
        <w:rPr>
          <w:spacing w:val="4"/>
          <w:w w:val="100"/>
        </w:rPr>
        <w:t>p</w:t>
      </w:r>
      <w:r>
        <w:rPr>
          <w:w w:val="100"/>
        </w:rPr>
        <w:t>o</w:t>
      </w:r>
      <w:r>
        <w:rPr/>
        <w:t> </w:t>
      </w:r>
      <w:r>
        <w:rPr>
          <w:spacing w:val="-24"/>
        </w:rPr>
        <w:t> </w:t>
      </w:r>
      <w:r>
        <w:rPr>
          <w:w w:val="100"/>
        </w:rPr>
        <w:t>d</w:t>
      </w:r>
      <w:r>
        <w:rPr>
          <w:spacing w:val="-4"/>
          <w:w w:val="100"/>
        </w:rPr>
        <w:t>i</w:t>
      </w:r>
      <w:r>
        <w:rPr>
          <w:w w:val="100"/>
        </w:rPr>
        <w:t>s</w:t>
      </w:r>
      <w:r>
        <w:rPr>
          <w:spacing w:val="3"/>
          <w:w w:val="100"/>
        </w:rPr>
        <w:t>c</w:t>
      </w:r>
      <w:r>
        <w:rPr>
          <w:spacing w:val="-4"/>
          <w:w w:val="100"/>
        </w:rPr>
        <w:t>i</w:t>
      </w:r>
      <w:r>
        <w:rPr>
          <w:spacing w:val="4"/>
          <w:w w:val="100"/>
        </w:rPr>
        <w:t>p</w:t>
      </w:r>
      <w:r>
        <w:rPr>
          <w:spacing w:val="-4"/>
          <w:w w:val="100"/>
        </w:rPr>
        <w:t>l</w:t>
      </w:r>
      <w:r>
        <w:rPr>
          <w:w w:val="100"/>
        </w:rPr>
        <w:t>i</w:t>
      </w:r>
      <w:r>
        <w:rPr>
          <w:w w:val="100"/>
        </w:rPr>
        <w:t>n</w:t>
      </w:r>
      <w:r>
        <w:rPr>
          <w:spacing w:val="2"/>
          <w:w w:val="100"/>
        </w:rPr>
        <w:t>a</w:t>
      </w:r>
      <w:r>
        <w:rPr>
          <w:spacing w:val="3"/>
          <w:w w:val="100"/>
        </w:rPr>
        <w:t>r</w:t>
      </w:r>
      <w:r>
        <w:rPr>
          <w:spacing w:val="-4"/>
          <w:w w:val="100"/>
        </w:rPr>
        <w:t>i</w:t>
      </w:r>
      <w:r>
        <w:rPr>
          <w:spacing w:val="-5"/>
          <w:w w:val="100"/>
        </w:rPr>
        <w:t>o</w:t>
      </w:r>
      <w:r>
        <w:rPr>
          <w:w w:val="100"/>
        </w:rPr>
        <w:t>,</w:t>
      </w:r>
      <w:r>
        <w:rPr/>
        <w:t> </w:t>
      </w:r>
      <w:r>
        <w:rPr>
          <w:spacing w:val="-22"/>
        </w:rPr>
        <w:t> </w:t>
      </w:r>
      <w:r>
        <w:rPr>
          <w:spacing w:val="-7"/>
          <w:w w:val="100"/>
        </w:rPr>
        <w:t>e</w:t>
      </w:r>
      <w:r>
        <w:rPr>
          <w:w w:val="100"/>
        </w:rPr>
        <w:t>s</w:t>
      </w:r>
      <w:r>
        <w:rPr/>
        <w:t> </w:t>
      </w:r>
      <w:r>
        <w:rPr>
          <w:spacing w:val="-24"/>
        </w:rPr>
        <w:t> </w:t>
      </w:r>
      <w:r>
        <w:rPr>
          <w:spacing w:val="4"/>
          <w:w w:val="100"/>
        </w:rPr>
        <w:t>u</w:t>
      </w:r>
      <w:r>
        <w:rPr>
          <w:w w:val="100"/>
        </w:rPr>
        <w:t>n</w:t>
      </w:r>
      <w:r>
        <w:rPr/>
        <w:t> </w:t>
      </w:r>
      <w:r>
        <w:rPr>
          <w:spacing w:val="-24"/>
        </w:rPr>
        <w:t> </w:t>
      </w:r>
      <w:r>
        <w:rPr>
          <w:spacing w:val="2"/>
          <w:w w:val="100"/>
        </w:rPr>
        <w:t>é</w:t>
      </w:r>
      <w:r>
        <w:rPr>
          <w:spacing w:val="-5"/>
          <w:w w:val="100"/>
        </w:rPr>
        <w:t>n</w:t>
      </w:r>
      <w:r>
        <w:rPr>
          <w:spacing w:val="-2"/>
          <w:w w:val="100"/>
        </w:rPr>
        <w:t>f</w:t>
      </w:r>
      <w:r>
        <w:rPr>
          <w:spacing w:val="2"/>
          <w:w w:val="100"/>
        </w:rPr>
        <w:t>a</w:t>
      </w:r>
      <w:r>
        <w:rPr>
          <w:w w:val="100"/>
        </w:rPr>
        <w:t>s</w:t>
      </w:r>
      <w:r>
        <w:rPr>
          <w:spacing w:val="-4"/>
          <w:w w:val="100"/>
        </w:rPr>
        <w:t>i</w:t>
      </w:r>
      <w:r>
        <w:rPr>
          <w:w w:val="100"/>
        </w:rPr>
        <w:t>s,</w:t>
      </w:r>
      <w:r>
        <w:rPr/>
        <w:t> </w:t>
      </w:r>
      <w:r>
        <w:rPr>
          <w:spacing w:val="-22"/>
        </w:rPr>
        <w:t> </w:t>
      </w:r>
      <w:r>
        <w:rPr>
          <w:w w:val="100"/>
        </w:rPr>
        <w:t>u</w:t>
      </w:r>
      <w:r>
        <w:rPr>
          <w:spacing w:val="-5"/>
          <w:w w:val="100"/>
        </w:rPr>
        <w:t>n</w:t>
      </w:r>
      <w:r>
        <w:rPr>
          <w:w w:val="100"/>
        </w:rPr>
        <w:t>a</w:t>
      </w:r>
      <w:r>
        <w:rPr/>
        <w:t> </w:t>
      </w:r>
      <w:r>
        <w:rPr>
          <w:spacing w:val="-22"/>
        </w:rPr>
        <w:t> </w:t>
      </w:r>
      <w:r>
        <w:rPr>
          <w:spacing w:val="7"/>
          <w:w w:val="44"/>
        </w:rPr>
        <w:t>―</w:t>
      </w:r>
      <w:r>
        <w:rPr>
          <w:spacing w:val="-4"/>
          <w:w w:val="100"/>
        </w:rPr>
        <w:t>m</w:t>
      </w:r>
      <w:r>
        <w:rPr>
          <w:spacing w:val="-4"/>
          <w:w w:val="100"/>
        </w:rPr>
        <w:t>i</w:t>
      </w:r>
      <w:r>
        <w:rPr>
          <w:spacing w:val="3"/>
          <w:w w:val="100"/>
        </w:rPr>
        <w:t>r</w:t>
      </w:r>
      <w:r>
        <w:rPr>
          <w:spacing w:val="2"/>
          <w:w w:val="100"/>
        </w:rPr>
        <w:t>a</w:t>
      </w:r>
      <w:r>
        <w:rPr>
          <w:spacing w:val="-5"/>
          <w:w w:val="100"/>
        </w:rPr>
        <w:t>d</w:t>
      </w:r>
      <w:r>
        <w:rPr>
          <w:spacing w:val="2"/>
          <w:w w:val="100"/>
        </w:rPr>
        <w:t>a</w:t>
      </w:r>
      <w:r>
        <w:rPr>
          <w:w w:val="158"/>
        </w:rPr>
        <w:t>‖</w:t>
      </w:r>
      <w:r>
        <w:rPr/>
        <w:t> </w:t>
      </w:r>
      <w:r>
        <w:rPr>
          <w:spacing w:val="-26"/>
        </w:rPr>
        <w:t> </w:t>
      </w:r>
      <w:r>
        <w:rPr>
          <w:w w:val="100"/>
        </w:rPr>
        <w:t>nov</w:t>
      </w:r>
      <w:r>
        <w:rPr>
          <w:spacing w:val="-2"/>
          <w:w w:val="100"/>
        </w:rPr>
        <w:t>e</w:t>
      </w:r>
      <w:r>
        <w:rPr>
          <w:w w:val="100"/>
        </w:rPr>
        <w:t>d</w:t>
      </w:r>
      <w:r>
        <w:rPr>
          <w:spacing w:val="-5"/>
          <w:w w:val="100"/>
        </w:rPr>
        <w:t>o</w:t>
      </w:r>
      <w:r>
        <w:rPr>
          <w:w w:val="100"/>
        </w:rPr>
        <w:t>s</w:t>
      </w:r>
      <w:r>
        <w:rPr>
          <w:spacing w:val="3"/>
          <w:w w:val="100"/>
        </w:rPr>
        <w:t>a</w:t>
      </w:r>
      <w:r>
        <w:rPr>
          <w:w w:val="100"/>
        </w:rPr>
        <w:t>, </w:t>
      </w:r>
      <w:r>
        <w:rPr/>
        <w:t>pertinente y necesaria de la ciencia geográfica. Es decir, </w:t>
      </w:r>
      <w:r>
        <w:rPr>
          <w:spacing w:val="-3"/>
        </w:rPr>
        <w:t>no </w:t>
      </w:r>
      <w:r>
        <w:rPr/>
        <w:t>basta </w:t>
      </w:r>
      <w:r>
        <w:rPr>
          <w:spacing w:val="-3"/>
        </w:rPr>
        <w:t>con </w:t>
      </w:r>
      <w:r>
        <w:rPr/>
        <w:t>el estudio detallado de </w:t>
      </w:r>
      <w:r>
        <w:rPr>
          <w:spacing w:val="-3"/>
        </w:rPr>
        <w:t>los  </w:t>
      </w:r>
      <w:r>
        <w:rPr/>
        <w:t>elementos que configuran el espacio geográfico, hay que comprender también las interrelaciones que surgen entre ellos. Se requieren nuevas posturas críticas que contribuyan a entender la interdisciplinariedad</w:t>
      </w:r>
      <w:r>
        <w:rPr>
          <w:spacing w:val="-19"/>
        </w:rPr>
        <w:t> </w:t>
      </w:r>
      <w:r>
        <w:rPr/>
        <w:t>ambiental.</w:t>
      </w:r>
    </w:p>
    <w:p>
      <w:pPr>
        <w:spacing w:after="0" w:line="360" w:lineRule="auto"/>
        <w:jc w:val="both"/>
        <w:sectPr>
          <w:pgSz w:w="12240" w:h="15840"/>
          <w:pgMar w:top="1360" w:bottom="280" w:left="1580" w:right="1600"/>
        </w:sectPr>
      </w:pPr>
    </w:p>
    <w:p>
      <w:pPr>
        <w:pStyle w:val="BodyText"/>
        <w:spacing w:line="360" w:lineRule="auto" w:before="52"/>
        <w:ind w:left="119" w:right="124"/>
        <w:jc w:val="both"/>
      </w:pPr>
      <w:r>
        <w:rPr/>
        <w:t>Dichos autores mencionan que la Geografía con el adjetivo ambiental ha permitido matizar los límites o diferencias entre los campos socioculturales y biofísicos. Por lo que, la Geografía cobra una relevancia especial en el contexto actual en el que aparecen muchos estudios ambientales interesados en el análisis del espacio. De tal manera, la geografía ambiental, como una propuesta integradora, ha permitido la perfecta vinculación entre geografía y ambiente.</w:t>
      </w:r>
    </w:p>
    <w:p>
      <w:pPr>
        <w:pStyle w:val="BodyText"/>
        <w:spacing w:line="360" w:lineRule="auto" w:before="167"/>
        <w:ind w:left="119" w:right="127"/>
        <w:jc w:val="both"/>
      </w:pPr>
      <w:r>
        <w:rPr/>
        <w:t>Es importante resaltar, entonces, el papel fundamental que cumple la Geografía </w:t>
      </w:r>
      <w:r>
        <w:rPr>
          <w:spacing w:val="-4"/>
        </w:rPr>
        <w:t>en </w:t>
      </w:r>
      <w:r>
        <w:rPr/>
        <w:t>el abordaje de  los estudios ambientales. Esto permite afirmar que la disciplina no permanece ajena a </w:t>
      </w:r>
      <w:r>
        <w:rPr>
          <w:spacing w:val="-3"/>
        </w:rPr>
        <w:t>los </w:t>
      </w:r>
      <w:r>
        <w:rPr/>
        <w:t>mismos, aborda la temática ambiental, y contribuye junto con otras ciencias a la interpretación de los principales</w:t>
      </w:r>
      <w:r>
        <w:rPr>
          <w:spacing w:val="1"/>
        </w:rPr>
        <w:t> </w:t>
      </w:r>
      <w:r>
        <w:rPr/>
        <w:t>elementos</w:t>
      </w:r>
      <w:r>
        <w:rPr>
          <w:spacing w:val="1"/>
        </w:rPr>
        <w:t> </w:t>
      </w:r>
      <w:r>
        <w:rPr/>
        <w:t>que</w:t>
      </w:r>
      <w:r>
        <w:rPr>
          <w:spacing w:val="-10"/>
        </w:rPr>
        <w:t> </w:t>
      </w:r>
      <w:r>
        <w:rPr>
          <w:spacing w:val="2"/>
        </w:rPr>
        <w:t>se</w:t>
      </w:r>
      <w:r>
        <w:rPr>
          <w:spacing w:val="-10"/>
        </w:rPr>
        <w:t> </w:t>
      </w:r>
      <w:r>
        <w:rPr/>
        <w:t>entrelazan</w:t>
      </w:r>
      <w:r>
        <w:rPr>
          <w:spacing w:val="-4"/>
        </w:rPr>
        <w:t> </w:t>
      </w:r>
      <w:r>
        <w:rPr/>
        <w:t>y</w:t>
      </w:r>
      <w:r>
        <w:rPr>
          <w:spacing w:val="-8"/>
        </w:rPr>
        <w:t> </w:t>
      </w:r>
      <w:r>
        <w:rPr/>
        <w:t>provocan</w:t>
      </w:r>
      <w:r>
        <w:rPr>
          <w:spacing w:val="-8"/>
        </w:rPr>
        <w:t> </w:t>
      </w:r>
      <w:r>
        <w:rPr/>
        <w:t>los</w:t>
      </w:r>
      <w:r>
        <w:rPr>
          <w:spacing w:val="-4"/>
        </w:rPr>
        <w:t> </w:t>
      </w:r>
      <w:r>
        <w:rPr/>
        <w:t>problemas</w:t>
      </w:r>
      <w:r>
        <w:rPr>
          <w:spacing w:val="-4"/>
        </w:rPr>
        <w:t> </w:t>
      </w:r>
      <w:r>
        <w:rPr/>
        <w:t>ambientales</w:t>
      </w:r>
      <w:r>
        <w:rPr>
          <w:spacing w:val="-4"/>
        </w:rPr>
        <w:t> </w:t>
      </w:r>
      <w:r>
        <w:rPr/>
        <w:t>actuales.</w:t>
      </w:r>
    </w:p>
    <w:p>
      <w:pPr>
        <w:pStyle w:val="BodyText"/>
      </w:pPr>
    </w:p>
    <w:p>
      <w:pPr>
        <w:pStyle w:val="BodyText"/>
        <w:spacing w:before="5"/>
        <w:rPr>
          <w:sz w:val="31"/>
        </w:rPr>
      </w:pPr>
    </w:p>
    <w:p>
      <w:pPr>
        <w:pStyle w:val="Heading1"/>
        <w:numPr>
          <w:ilvl w:val="2"/>
          <w:numId w:val="9"/>
        </w:numPr>
        <w:tabs>
          <w:tab w:pos="620" w:val="left" w:leader="none"/>
        </w:tabs>
        <w:spacing w:line="240" w:lineRule="auto" w:before="0" w:after="0"/>
        <w:ind w:left="619" w:right="0" w:hanging="500"/>
        <w:jc w:val="both"/>
      </w:pPr>
      <w:bookmarkStart w:name="_bookmark16" w:id="26"/>
      <w:bookmarkEnd w:id="26"/>
      <w:r>
        <w:rPr>
          <w:b w:val="0"/>
        </w:rPr>
      </w:r>
      <w:bookmarkStart w:name="_bookmark16" w:id="27"/>
      <w:bookmarkEnd w:id="27"/>
      <w:r>
        <w:rPr/>
        <w:t>L</w:t>
      </w:r>
      <w:r>
        <w:rPr/>
        <w:t>as relaciones entre el </w:t>
      </w:r>
      <w:r>
        <w:rPr>
          <w:spacing w:val="-2"/>
        </w:rPr>
        <w:t>hombre </w:t>
      </w:r>
      <w:r>
        <w:rPr/>
        <w:t>y el </w:t>
      </w:r>
      <w:r>
        <w:rPr>
          <w:spacing w:val="-3"/>
        </w:rPr>
        <w:t>medio</w:t>
      </w:r>
      <w:r>
        <w:rPr>
          <w:spacing w:val="7"/>
        </w:rPr>
        <w:t> </w:t>
      </w:r>
      <w:r>
        <w:rPr/>
        <w:t>físico</w:t>
      </w:r>
    </w:p>
    <w:p>
      <w:pPr>
        <w:pStyle w:val="BodyText"/>
        <w:rPr>
          <w:b/>
        </w:rPr>
      </w:pPr>
    </w:p>
    <w:p>
      <w:pPr>
        <w:pStyle w:val="BodyText"/>
        <w:rPr>
          <w:b/>
          <w:sz w:val="19"/>
        </w:rPr>
      </w:pPr>
    </w:p>
    <w:p>
      <w:pPr>
        <w:pStyle w:val="BodyText"/>
        <w:spacing w:line="360" w:lineRule="auto"/>
        <w:ind w:left="119" w:right="124"/>
        <w:jc w:val="both"/>
      </w:pPr>
      <w:r>
        <w:rPr/>
        <w:t>Uno de los problemas planteados por el análisis del espacio geográfico </w:t>
      </w:r>
      <w:r>
        <w:rPr>
          <w:spacing w:val="-4"/>
        </w:rPr>
        <w:t>es </w:t>
      </w:r>
      <w:r>
        <w:rPr/>
        <w:t>el de las relaciones entre el hombre y el medio físico que lo rodea. El principal cuestionamiento que Dolffus (1976) desarrolla </w:t>
      </w:r>
      <w:r>
        <w:rPr>
          <w:spacing w:val="-4"/>
        </w:rPr>
        <w:t>en </w:t>
      </w:r>
      <w:r>
        <w:rPr/>
        <w:t>este punto, </w:t>
      </w:r>
      <w:r>
        <w:rPr>
          <w:spacing w:val="-3"/>
        </w:rPr>
        <w:t>va </w:t>
      </w:r>
      <w:r>
        <w:rPr/>
        <w:t>encaminado sobre todo a estudiar </w:t>
      </w:r>
      <w:r>
        <w:rPr>
          <w:spacing w:val="-4"/>
        </w:rPr>
        <w:t>en </w:t>
      </w:r>
      <w:r>
        <w:rPr/>
        <w:t>qué medida el medio físico ejerce una acción sobre el hombre al actuar sobre su fisiología y su comportamiento, y cómo responde la sociedad a las coacciones del medio natural. Aunque podría pensarse que el hombre es aquel actor que siempre </w:t>
      </w:r>
      <w:r>
        <w:rPr>
          <w:spacing w:val="2"/>
        </w:rPr>
        <w:t>se </w:t>
      </w:r>
      <w:r>
        <w:rPr/>
        <w:t>adapta al medio y sus características, resulta también cómo el hombre adapta </w:t>
      </w:r>
      <w:r>
        <w:rPr>
          <w:spacing w:val="-4"/>
        </w:rPr>
        <w:t>el </w:t>
      </w:r>
      <w:r>
        <w:rPr/>
        <w:t>medio a sus</w:t>
      </w:r>
      <w:r>
        <w:rPr>
          <w:spacing w:val="-10"/>
        </w:rPr>
        <w:t> </w:t>
      </w:r>
      <w:r>
        <w:rPr/>
        <w:t>necesidades.</w:t>
      </w:r>
    </w:p>
    <w:p>
      <w:pPr>
        <w:pStyle w:val="BodyText"/>
        <w:spacing w:line="360" w:lineRule="auto" w:before="163"/>
        <w:ind w:left="119" w:right="120"/>
        <w:jc w:val="both"/>
      </w:pPr>
      <w:r>
        <w:rPr/>
        <w:t>El medio modificado, creado y segregado tanto por el hombre como por las sociedades que lo componen representa un estudio complejo, sin embargo, al analizar un espacio se deben integrar un conjunto de datos, buscar correlaciones en los distintos niveles, medir las interacciones. Los elementos que intervienen en el espacio geográfico suelen ser difícilmente cuantificables y las aproximaciones más cualitativas a ciertas cuestiones, y una interpretación más histórica de los fenómenos puede ser el tratamiento al análisis del espacio geográfico.</w:t>
      </w:r>
    </w:p>
    <w:p>
      <w:pPr>
        <w:pStyle w:val="BodyText"/>
        <w:spacing w:line="360" w:lineRule="auto" w:before="163"/>
        <w:ind w:left="119" w:right="116"/>
        <w:jc w:val="both"/>
      </w:pPr>
      <w:r>
        <w:rPr/>
        <w:t>Es cierto que el espacio geográfico se ha considerado como una construcción social, debido a que expresa la organización que las sociedades realizan sobre un marco natural o naturaleza. Es decir, la naturaleza no se contrapone a sociedad, ni pueden entenderse una separadamente de la otra. En el mismo sentido que L. Febvre realiza, al sostener que se trata de una naturaleza social, en tanto implica la transformación —real o posible— que las sociedades realizan sobre ella (Ortega, 2000 citado en Lorda, 2011).</w:t>
      </w:r>
    </w:p>
    <w:p>
      <w:pPr>
        <w:spacing w:after="0" w:line="360" w:lineRule="auto"/>
        <w:jc w:val="both"/>
        <w:sectPr>
          <w:pgSz w:w="12240" w:h="15840"/>
          <w:pgMar w:top="1360" w:bottom="280" w:left="1580" w:right="1580"/>
        </w:sectPr>
      </w:pPr>
    </w:p>
    <w:p>
      <w:pPr>
        <w:pStyle w:val="BodyText"/>
        <w:spacing w:line="360" w:lineRule="auto" w:before="52"/>
        <w:ind w:left="119" w:right="98"/>
        <w:jc w:val="both"/>
      </w:pPr>
      <w:r>
        <w:rPr>
          <w:spacing w:val="1"/>
          <w:w w:val="100"/>
        </w:rPr>
        <w:t>S</w:t>
      </w:r>
      <w:r>
        <w:rPr>
          <w:spacing w:val="-4"/>
          <w:w w:val="100"/>
        </w:rPr>
        <w:t>i</w:t>
      </w:r>
      <w:r>
        <w:rPr>
          <w:w w:val="100"/>
        </w:rPr>
        <w:t>n</w:t>
      </w:r>
      <w:r>
        <w:rPr/>
        <w:t> </w:t>
      </w:r>
      <w:r>
        <w:rPr>
          <w:spacing w:val="-24"/>
        </w:rPr>
        <w:t> </w:t>
      </w:r>
      <w:r>
        <w:rPr>
          <w:spacing w:val="-2"/>
          <w:w w:val="100"/>
        </w:rPr>
        <w:t>e</w:t>
      </w:r>
      <w:r>
        <w:rPr>
          <w:spacing w:val="-4"/>
          <w:w w:val="100"/>
        </w:rPr>
        <w:t>m</w:t>
      </w:r>
      <w:r>
        <w:rPr>
          <w:w w:val="100"/>
        </w:rPr>
        <w:t>b</w:t>
      </w:r>
      <w:r>
        <w:rPr>
          <w:spacing w:val="2"/>
          <w:w w:val="100"/>
        </w:rPr>
        <w:t>a</w:t>
      </w:r>
      <w:r>
        <w:rPr>
          <w:spacing w:val="3"/>
          <w:w w:val="100"/>
        </w:rPr>
        <w:t>r</w:t>
      </w:r>
      <w:r>
        <w:rPr>
          <w:spacing w:val="-5"/>
          <w:w w:val="100"/>
        </w:rPr>
        <w:t>go</w:t>
      </w:r>
      <w:r>
        <w:rPr>
          <w:w w:val="100"/>
        </w:rPr>
        <w:t>,</w:t>
      </w:r>
      <w:r>
        <w:rPr/>
        <w:t> </w:t>
      </w:r>
      <w:r>
        <w:rPr>
          <w:spacing w:val="-22"/>
        </w:rPr>
        <w:t> </w:t>
      </w:r>
      <w:r>
        <w:rPr>
          <w:spacing w:val="-2"/>
          <w:w w:val="100"/>
        </w:rPr>
        <w:t>c</w:t>
      </w:r>
      <w:r>
        <w:rPr>
          <w:w w:val="100"/>
        </w:rPr>
        <w:t>o</w:t>
      </w:r>
      <w:r>
        <w:rPr>
          <w:spacing w:val="-4"/>
          <w:w w:val="100"/>
        </w:rPr>
        <w:t>m</w:t>
      </w:r>
      <w:r>
        <w:rPr>
          <w:w w:val="100"/>
        </w:rPr>
        <w:t>o</w:t>
      </w:r>
      <w:r>
        <w:rPr/>
        <w:t> </w:t>
      </w:r>
      <w:r>
        <w:rPr>
          <w:spacing w:val="-20"/>
        </w:rPr>
        <w:t> </w:t>
      </w:r>
      <w:r>
        <w:rPr>
          <w:spacing w:val="-4"/>
          <w:w w:val="100"/>
        </w:rPr>
        <w:t>m</w:t>
      </w:r>
      <w:r>
        <w:rPr>
          <w:spacing w:val="-2"/>
          <w:w w:val="100"/>
        </w:rPr>
        <w:t>e</w:t>
      </w:r>
      <w:r>
        <w:rPr>
          <w:w w:val="100"/>
        </w:rPr>
        <w:t>n</w:t>
      </w:r>
      <w:r>
        <w:rPr>
          <w:spacing w:val="2"/>
          <w:w w:val="100"/>
        </w:rPr>
        <w:t>c</w:t>
      </w:r>
      <w:r>
        <w:rPr>
          <w:spacing w:val="-4"/>
          <w:w w:val="100"/>
        </w:rPr>
        <w:t>i</w:t>
      </w:r>
      <w:r>
        <w:rPr>
          <w:w w:val="100"/>
        </w:rPr>
        <w:t>o</w:t>
      </w:r>
      <w:r>
        <w:rPr>
          <w:spacing w:val="-5"/>
          <w:w w:val="100"/>
        </w:rPr>
        <w:t>n</w:t>
      </w:r>
      <w:r>
        <w:rPr>
          <w:w w:val="100"/>
        </w:rPr>
        <w:t>a</w:t>
      </w:r>
      <w:r>
        <w:rPr/>
        <w:t> </w:t>
      </w:r>
      <w:r>
        <w:rPr>
          <w:spacing w:val="-22"/>
        </w:rPr>
        <w:t> </w:t>
      </w:r>
      <w:r>
        <w:rPr>
          <w:spacing w:val="-2"/>
          <w:w w:val="100"/>
        </w:rPr>
        <w:t>G</w:t>
      </w:r>
      <w:r>
        <w:rPr>
          <w:w w:val="100"/>
        </w:rPr>
        <w:t>.</w:t>
      </w:r>
      <w:r>
        <w:rPr/>
        <w:t> </w:t>
      </w:r>
      <w:r>
        <w:rPr>
          <w:spacing w:val="-22"/>
        </w:rPr>
        <w:t> </w:t>
      </w:r>
      <w:r>
        <w:rPr>
          <w:spacing w:val="-4"/>
          <w:w w:val="100"/>
        </w:rPr>
        <w:t>B</w:t>
      </w:r>
      <w:r>
        <w:rPr>
          <w:spacing w:val="-7"/>
          <w:w w:val="100"/>
        </w:rPr>
        <w:t>e</w:t>
      </w:r>
      <w:r>
        <w:rPr>
          <w:spacing w:val="3"/>
          <w:w w:val="100"/>
        </w:rPr>
        <w:t>r</w:t>
      </w:r>
      <w:r>
        <w:rPr>
          <w:w w:val="100"/>
        </w:rPr>
        <w:t>t</w:t>
      </w:r>
      <w:r>
        <w:rPr>
          <w:spacing w:val="3"/>
          <w:w w:val="100"/>
        </w:rPr>
        <w:t>r</w:t>
      </w:r>
      <w:r>
        <w:rPr>
          <w:spacing w:val="2"/>
          <w:w w:val="100"/>
        </w:rPr>
        <w:t>a</w:t>
      </w:r>
      <w:r>
        <w:rPr>
          <w:spacing w:val="-5"/>
          <w:w w:val="100"/>
        </w:rPr>
        <w:t>n</w:t>
      </w:r>
      <w:r>
        <w:rPr>
          <w:w w:val="100"/>
        </w:rPr>
        <w:t>d:</w:t>
      </w:r>
      <w:r>
        <w:rPr>
          <w:spacing w:val="27"/>
        </w:rPr>
        <w:t> </w:t>
      </w:r>
      <w:r>
        <w:rPr>
          <w:spacing w:val="2"/>
          <w:w w:val="44"/>
        </w:rPr>
        <w:t>―</w:t>
      </w:r>
      <w:r>
        <w:rPr>
          <w:w w:val="100"/>
        </w:rPr>
        <w:t>La</w:t>
      </w:r>
      <w:r>
        <w:rPr/>
        <w:t> </w:t>
      </w:r>
      <w:r>
        <w:rPr>
          <w:spacing w:val="-27"/>
        </w:rPr>
        <w:t> </w:t>
      </w:r>
      <w:r>
        <w:rPr>
          <w:spacing w:val="-5"/>
          <w:w w:val="100"/>
        </w:rPr>
        <w:t>n</w:t>
      </w:r>
      <w:r>
        <w:rPr>
          <w:spacing w:val="2"/>
          <w:w w:val="100"/>
        </w:rPr>
        <w:t>a</w:t>
      </w:r>
      <w:r>
        <w:rPr>
          <w:w w:val="100"/>
        </w:rPr>
        <w:t>t</w:t>
      </w:r>
      <w:r>
        <w:rPr>
          <w:w w:val="100"/>
        </w:rPr>
        <w:t>u</w:t>
      </w:r>
      <w:r>
        <w:rPr>
          <w:spacing w:val="-2"/>
          <w:w w:val="100"/>
        </w:rPr>
        <w:t>r</w:t>
      </w:r>
      <w:r>
        <w:rPr>
          <w:spacing w:val="2"/>
          <w:w w:val="100"/>
        </w:rPr>
        <w:t>a</w:t>
      </w:r>
      <w:r>
        <w:rPr>
          <w:spacing w:val="-4"/>
          <w:w w:val="100"/>
        </w:rPr>
        <w:t>l</w:t>
      </w:r>
      <w:r>
        <w:rPr>
          <w:spacing w:val="-2"/>
          <w:w w:val="100"/>
        </w:rPr>
        <w:t>ez</w:t>
      </w:r>
      <w:r>
        <w:rPr>
          <w:w w:val="100"/>
        </w:rPr>
        <w:t>a</w:t>
      </w:r>
      <w:r>
        <w:rPr/>
        <w:t> </w:t>
      </w:r>
      <w:r>
        <w:rPr>
          <w:spacing w:val="-22"/>
        </w:rPr>
        <w:t> </w:t>
      </w:r>
      <w:r>
        <w:rPr>
          <w:spacing w:val="-2"/>
          <w:w w:val="100"/>
        </w:rPr>
        <w:t>e</w:t>
      </w:r>
      <w:r>
        <w:rPr>
          <w:w w:val="100"/>
        </w:rPr>
        <w:t>n</w:t>
      </w:r>
      <w:r>
        <w:rPr>
          <w:spacing w:val="26"/>
        </w:rPr>
        <w:t> </w:t>
      </w:r>
      <w:r>
        <w:rPr>
          <w:w w:val="100"/>
        </w:rPr>
        <w:t>g</w:t>
      </w:r>
      <w:r>
        <w:rPr>
          <w:spacing w:val="-2"/>
          <w:w w:val="100"/>
        </w:rPr>
        <w:t>e</w:t>
      </w:r>
      <w:r>
        <w:rPr>
          <w:w w:val="100"/>
        </w:rPr>
        <w:t>o</w:t>
      </w:r>
      <w:r>
        <w:rPr>
          <w:spacing w:val="-5"/>
          <w:w w:val="100"/>
        </w:rPr>
        <w:t>g</w:t>
      </w:r>
      <w:r>
        <w:rPr>
          <w:spacing w:val="3"/>
          <w:w w:val="100"/>
        </w:rPr>
        <w:t>r</w:t>
      </w:r>
      <w:r>
        <w:rPr>
          <w:spacing w:val="2"/>
          <w:w w:val="100"/>
        </w:rPr>
        <w:t>a</w:t>
      </w:r>
      <w:r>
        <w:rPr>
          <w:spacing w:val="-2"/>
          <w:w w:val="100"/>
        </w:rPr>
        <w:t>f</w:t>
      </w:r>
      <w:r>
        <w:rPr>
          <w:w w:val="100"/>
        </w:rPr>
        <w:t>í</w:t>
      </w:r>
      <w:r>
        <w:rPr>
          <w:w w:val="100"/>
        </w:rPr>
        <w:t>a</w:t>
      </w:r>
      <w:r>
        <w:rPr/>
        <w:t> </w:t>
      </w:r>
      <w:r>
        <w:rPr>
          <w:spacing w:val="-22"/>
        </w:rPr>
        <w:t> </w:t>
      </w:r>
      <w:r>
        <w:rPr>
          <w:spacing w:val="-7"/>
          <w:w w:val="100"/>
        </w:rPr>
        <w:t>e</w:t>
      </w:r>
      <w:r>
        <w:rPr>
          <w:w w:val="100"/>
        </w:rPr>
        <w:t>s</w:t>
      </w:r>
      <w:r>
        <w:rPr/>
        <w:t> </w:t>
      </w:r>
      <w:r>
        <w:rPr>
          <w:spacing w:val="-24"/>
        </w:rPr>
        <w:t> </w:t>
      </w:r>
      <w:r>
        <w:rPr>
          <w:spacing w:val="2"/>
          <w:w w:val="100"/>
        </w:rPr>
        <w:t>a</w:t>
      </w:r>
      <w:r>
        <w:rPr>
          <w:spacing w:val="-5"/>
          <w:w w:val="100"/>
        </w:rPr>
        <w:t>n</w:t>
      </w:r>
      <w:r>
        <w:rPr>
          <w:w w:val="100"/>
        </w:rPr>
        <w:t>t</w:t>
      </w:r>
      <w:r>
        <w:rPr>
          <w:w w:val="100"/>
        </w:rPr>
        <w:t>e</w:t>
      </w:r>
      <w:r>
        <w:rPr>
          <w:spacing w:val="24"/>
        </w:rPr>
        <w:t> </w:t>
      </w:r>
      <w:r>
        <w:rPr>
          <w:spacing w:val="5"/>
          <w:w w:val="100"/>
        </w:rPr>
        <w:t>t</w:t>
      </w:r>
      <w:r>
        <w:rPr>
          <w:spacing w:val="-5"/>
          <w:w w:val="100"/>
        </w:rPr>
        <w:t>o</w:t>
      </w:r>
      <w:r>
        <w:rPr>
          <w:w w:val="100"/>
        </w:rPr>
        <w:t>do</w:t>
      </w:r>
      <w:r>
        <w:rPr/>
        <w:t> </w:t>
      </w:r>
      <w:r>
        <w:rPr>
          <w:spacing w:val="-24"/>
        </w:rPr>
        <w:t> </w:t>
      </w:r>
      <w:r>
        <w:rPr>
          <w:spacing w:val="-7"/>
          <w:w w:val="100"/>
        </w:rPr>
        <w:t>e</w:t>
      </w:r>
      <w:r>
        <w:rPr>
          <w:w w:val="100"/>
        </w:rPr>
        <w:t>sp</w:t>
      </w:r>
      <w:r>
        <w:rPr>
          <w:spacing w:val="3"/>
          <w:w w:val="100"/>
        </w:rPr>
        <w:t>a</w:t>
      </w:r>
      <w:r>
        <w:rPr>
          <w:spacing w:val="2"/>
          <w:w w:val="100"/>
        </w:rPr>
        <w:t>c</w:t>
      </w:r>
      <w:r>
        <w:rPr>
          <w:spacing w:val="-4"/>
          <w:w w:val="100"/>
        </w:rPr>
        <w:t>i</w:t>
      </w:r>
      <w:r>
        <w:rPr>
          <w:spacing w:val="-5"/>
          <w:w w:val="100"/>
        </w:rPr>
        <w:t>o</w:t>
      </w:r>
      <w:r>
        <w:rPr>
          <w:w w:val="100"/>
        </w:rPr>
        <w:t>,</w:t>
      </w:r>
      <w:r>
        <w:rPr/>
        <w:t> </w:t>
      </w:r>
      <w:r>
        <w:rPr>
          <w:spacing w:val="-22"/>
        </w:rPr>
        <w:t> </w:t>
      </w:r>
      <w:r>
        <w:rPr>
          <w:spacing w:val="11"/>
          <w:w w:val="100"/>
        </w:rPr>
        <w:t>u</w:t>
      </w:r>
      <w:r>
        <w:rPr>
          <w:w w:val="100"/>
        </w:rPr>
        <w:t>n </w:t>
      </w:r>
      <w:r>
        <w:rPr/>
        <w:t>espacio cada </w:t>
      </w:r>
      <w:r>
        <w:rPr>
          <w:spacing w:val="-3"/>
        </w:rPr>
        <w:t>vez </w:t>
      </w:r>
      <w:r>
        <w:rPr/>
        <w:t>menos natural y </w:t>
      </w:r>
      <w:r>
        <w:rPr>
          <w:spacing w:val="-2"/>
        </w:rPr>
        <w:t>más </w:t>
      </w:r>
      <w:r>
        <w:rPr/>
        <w:t>antropizado‖ (Bertrand y Bertrand, 2006). Donde las transformaciones históricas que el hombre efectúa sobre el medio físico-ambiental, como los cambios en los usos del suelo o la presión creciente sobre ciertos recursos, son indicadores del cambio ambiental. Y como </w:t>
      </w:r>
      <w:r>
        <w:rPr>
          <w:spacing w:val="2"/>
        </w:rPr>
        <w:t>se </w:t>
      </w:r>
      <w:r>
        <w:rPr>
          <w:spacing w:val="-3"/>
        </w:rPr>
        <w:t>ha </w:t>
      </w:r>
      <w:r>
        <w:rPr/>
        <w:t>señalado, la problemática ambiental </w:t>
      </w:r>
      <w:r>
        <w:rPr>
          <w:spacing w:val="-4"/>
        </w:rPr>
        <w:t>es </w:t>
      </w:r>
      <w:r>
        <w:rPr/>
        <w:t>el resultado de las alteraciones negativas que </w:t>
      </w:r>
      <w:r>
        <w:rPr>
          <w:spacing w:val="2"/>
        </w:rPr>
        <w:t>se </w:t>
      </w:r>
      <w:r>
        <w:rPr/>
        <w:t>producen en la relación sociedad-naturaleza. Lleva impreso un  carácter social, y resulta de la irracionalidad </w:t>
      </w:r>
      <w:r>
        <w:rPr>
          <w:spacing w:val="2"/>
        </w:rPr>
        <w:t>con </w:t>
      </w:r>
      <w:r>
        <w:rPr/>
        <w:t>la que la sociedad construye su ambiente y provoca cambios tanto en los sistemas sociales como en los naturales, que de modo directo e indirecto afectan a la sustentabilidad del mismo (Lorda,</w:t>
      </w:r>
      <w:r>
        <w:rPr>
          <w:spacing w:val="-18"/>
        </w:rPr>
        <w:t> </w:t>
      </w:r>
      <w:r>
        <w:rPr/>
        <w:t>2011).</w:t>
      </w:r>
    </w:p>
    <w:p>
      <w:pPr>
        <w:pStyle w:val="BodyText"/>
        <w:spacing w:line="360" w:lineRule="auto" w:before="163"/>
        <w:ind w:left="119" w:right="99"/>
        <w:jc w:val="both"/>
      </w:pPr>
      <w:r>
        <w:rPr/>
        <w:t>La manifestación de los problemas ambientales que afectan a la sociedad de manera inmediata, reclama un tratamiento urgente para establecer acciones que contribuyan a disminuir lo avanzado del deterioro ambiental y de sus efectos en el ordenamiento del espacio geográfico. Los  fundamentos teóricos y metodológicos de la disciplina geográfica posibilitan acciones que favorezcan la explicación argumentada de la relación sociedad-naturaleza en el entorno habitado. Es importante destacar que cada estudio —cualquiera que </w:t>
      </w:r>
      <w:r>
        <w:rPr>
          <w:spacing w:val="-3"/>
        </w:rPr>
        <w:t>sea </w:t>
      </w:r>
      <w:r>
        <w:rPr/>
        <w:t>su punto de aplicación—, debe analizar los intercambios y las transferencias, esforzándose por determinar su naturaleza, su </w:t>
      </w:r>
      <w:r>
        <w:rPr>
          <w:spacing w:val="-3"/>
        </w:rPr>
        <w:t>volumen, </w:t>
      </w:r>
      <w:r>
        <w:rPr/>
        <w:t>por conocer su ritmo, y por medir sus consecuencias en el</w:t>
      </w:r>
      <w:r>
        <w:rPr>
          <w:spacing w:val="-25"/>
        </w:rPr>
        <w:t> </w:t>
      </w:r>
      <w:r>
        <w:rPr/>
        <w:t>espacio.</w:t>
      </w:r>
    </w:p>
    <w:p>
      <w:pPr>
        <w:pStyle w:val="BodyText"/>
      </w:pPr>
    </w:p>
    <w:p>
      <w:pPr>
        <w:pStyle w:val="BodyText"/>
        <w:spacing w:before="9"/>
        <w:rPr>
          <w:sz w:val="31"/>
        </w:rPr>
      </w:pPr>
    </w:p>
    <w:p>
      <w:pPr>
        <w:pStyle w:val="Heading1"/>
        <w:numPr>
          <w:ilvl w:val="1"/>
          <w:numId w:val="10"/>
        </w:numPr>
        <w:tabs>
          <w:tab w:pos="452" w:val="left" w:leader="none"/>
        </w:tabs>
        <w:spacing w:line="240" w:lineRule="auto" w:before="0" w:after="0"/>
        <w:ind w:left="451" w:right="0" w:hanging="332"/>
        <w:jc w:val="both"/>
      </w:pPr>
      <w:bookmarkStart w:name="_bookmark17" w:id="28"/>
      <w:bookmarkEnd w:id="28"/>
      <w:r>
        <w:rPr>
          <w:b w:val="0"/>
        </w:rPr>
      </w:r>
      <w:bookmarkStart w:name="_bookmark17" w:id="29"/>
      <w:bookmarkEnd w:id="29"/>
      <w:r>
        <w:rPr/>
        <w:t>G</w:t>
      </w:r>
      <w:r>
        <w:rPr/>
        <w:t>eografía aplicada a la planificación y a la</w:t>
      </w:r>
      <w:r>
        <w:rPr>
          <w:spacing w:val="-24"/>
        </w:rPr>
        <w:t> </w:t>
      </w:r>
      <w:r>
        <w:rPr/>
        <w:t>gestión</w:t>
      </w:r>
    </w:p>
    <w:p>
      <w:pPr>
        <w:pStyle w:val="BodyText"/>
        <w:rPr>
          <w:b/>
        </w:rPr>
      </w:pPr>
    </w:p>
    <w:p>
      <w:pPr>
        <w:pStyle w:val="BodyText"/>
        <w:spacing w:before="7"/>
        <w:rPr>
          <w:b/>
          <w:sz w:val="18"/>
        </w:rPr>
      </w:pPr>
    </w:p>
    <w:p>
      <w:pPr>
        <w:pStyle w:val="BodyText"/>
        <w:spacing w:line="360" w:lineRule="auto"/>
        <w:ind w:left="119" w:right="100"/>
        <w:jc w:val="both"/>
      </w:pPr>
      <w:r>
        <w:rPr/>
        <w:t>Las estructuras de las grandes ciudades están pasando por transformaciones físicas, sociales y económicas que obligan a la reorientación de los instrumentos de planificación y gestión del territorio. El análisis de la dinámica espacial de los asentamientos irregulares en suelo de conservación permite abrir un paréntesis hacia los actuales mecanismos de protección ambiental y vulnerabilidad social. Históricamente la planificación de las ciudades ha sido un importante motivo de debate teórico y metodológico, en una preocupación social por parte de distintos investigadores y disciplinas, entre ellas la Geografía.</w:t>
      </w:r>
    </w:p>
    <w:p>
      <w:pPr>
        <w:pStyle w:val="BodyText"/>
        <w:spacing w:line="360" w:lineRule="auto" w:before="167"/>
        <w:ind w:left="119" w:right="102"/>
        <w:jc w:val="both"/>
      </w:pPr>
      <w:r>
        <w:rPr/>
        <w:t>Buzai (2014), menciona que la década de 1970 es el momento de un cambio paradigmático en la Geografía hacia nuevas posturas, así como de la aparición de las primeras grandes críticas hacia la aplicación y los resultados de la planificación urbana y regional. Las nuevas herramientas para la gestión del territorio a partir del uso de tecnologías digitales le han permitido a la Geografía incorporarse y actuar ante las situaciones cambiantes de la actualidad. Mediante técnicas lo suficientemente   objetivas   y   metodológicas   para   la   investigación   es   posible   analizar      la</w:t>
      </w:r>
    </w:p>
    <w:p>
      <w:pPr>
        <w:spacing w:after="0" w:line="360" w:lineRule="auto"/>
        <w:jc w:val="both"/>
        <w:sectPr>
          <w:pgSz w:w="12240" w:h="15840"/>
          <w:pgMar w:top="1360" w:bottom="280" w:left="1580" w:right="1600"/>
        </w:sectPr>
      </w:pPr>
    </w:p>
    <w:p>
      <w:pPr>
        <w:pStyle w:val="BodyText"/>
        <w:spacing w:line="360" w:lineRule="auto" w:before="52"/>
        <w:ind w:left="119" w:right="102"/>
        <w:jc w:val="both"/>
      </w:pPr>
      <w:r>
        <w:rPr/>
        <w:t>homogeneidad y heterogeneidad dentro de áreas o regiones </w:t>
      </w:r>
      <w:r>
        <w:rPr>
          <w:spacing w:val="-3"/>
        </w:rPr>
        <w:t>ya </w:t>
      </w:r>
      <w:r>
        <w:rPr/>
        <w:t>definidas, como también para analizar la posibilidad de detectar y construir regiones. Este hecho </w:t>
      </w:r>
      <w:r>
        <w:rPr>
          <w:spacing w:val="-4"/>
        </w:rPr>
        <w:t>es </w:t>
      </w:r>
      <w:r>
        <w:rPr/>
        <w:t>de suma importancia para la planificación urbana y regional especialmente para la instancia del diagnóstico, también en el uso  de técnicas estadísticas que permiten la planificación y regulación de los espacios urbanos y regionales.</w:t>
      </w:r>
    </w:p>
    <w:p>
      <w:pPr>
        <w:pStyle w:val="BodyText"/>
        <w:spacing w:line="360" w:lineRule="auto" w:before="167"/>
        <w:ind w:left="119" w:right="101"/>
        <w:jc w:val="both"/>
      </w:pPr>
      <w:r>
        <w:rPr/>
        <w:t>En ese sentido, los Sistemas de Información Geográfica (SIG) han permitido un gran desarrollo de la denominada geografía automatizada para resolver automáticamente, problemas geográficos a través de las técnicas de análisis espacial. La importancia de estos sistemas para la planificación urbana o regional </w:t>
      </w:r>
      <w:r>
        <w:rPr>
          <w:spacing w:val="-4"/>
        </w:rPr>
        <w:t>es </w:t>
      </w:r>
      <w:r>
        <w:rPr/>
        <w:t>hoy incuestionable ante el gran desarrollo de la información y la posibilidad de almacenarla y realizar tratamientos y análisis</w:t>
      </w:r>
      <w:r>
        <w:rPr>
          <w:spacing w:val="-26"/>
        </w:rPr>
        <w:t> </w:t>
      </w:r>
      <w:r>
        <w:rPr/>
        <w:t>espaciales.</w:t>
      </w:r>
    </w:p>
    <w:p>
      <w:pPr>
        <w:pStyle w:val="BodyText"/>
        <w:spacing w:line="360" w:lineRule="auto" w:before="163"/>
        <w:ind w:left="119" w:right="98"/>
        <w:jc w:val="both"/>
      </w:pPr>
      <w:r>
        <w:rPr/>
        <w:t>Siguiendo con esta </w:t>
      </w:r>
      <w:r>
        <w:rPr>
          <w:spacing w:val="-3"/>
        </w:rPr>
        <w:t>línea </w:t>
      </w:r>
      <w:r>
        <w:rPr/>
        <w:t>de investigación, valdría la pena señalar algunas de las características </w:t>
      </w:r>
      <w:r>
        <w:rPr>
          <w:spacing w:val="-4"/>
        </w:rPr>
        <w:t>más </w:t>
      </w:r>
      <w:r>
        <w:rPr/>
        <w:t>significativas de la planificación estratégica de ciudades y que han sido planteadas por Fernández Güell (Citado en Baxandale, 2014): (a) la visión a largo plazo; (b) su carácter plurilegislativo por tratarse de un proyecto común de la comunidad que será realizado por varios gobiernos; (c) la consideración del entorno al ayudar a una comunidad a identificar sus ventajas </w:t>
      </w:r>
      <w:r>
        <w:rPr>
          <w:spacing w:val="-4"/>
        </w:rPr>
        <w:t>en </w:t>
      </w:r>
      <w:r>
        <w:rPr/>
        <w:t>relación al  entorno exterior </w:t>
      </w:r>
      <w:r>
        <w:rPr>
          <w:spacing w:val="-2"/>
        </w:rPr>
        <w:t>(la </w:t>
      </w:r>
      <w:r>
        <w:rPr/>
        <w:t>región, la nación y el mundo); (d) la visión integral de la realidad urbana donde se considera la dimensión física del territorio y la complejidad socioeconómica y política de la comunidad analizada; (e) la concentración en temas críticos, oportunidades y problemas que afronta una comunidad ayudando a distinguir entre decisiones verdaderamente importantes de aquéllas que tienen un impacto sólo temporal; (f) una orientación hacia la acción buscando asegurar la viabilidad de sus propuestas; </w:t>
      </w:r>
      <w:r>
        <w:rPr>
          <w:spacing w:val="-3"/>
        </w:rPr>
        <w:t>(g) </w:t>
      </w:r>
      <w:r>
        <w:rPr/>
        <w:t>fomento y coordinación de la participación de todos los agentes sociales y (h) modernidad de la</w:t>
      </w:r>
      <w:r>
        <w:rPr>
          <w:spacing w:val="-14"/>
        </w:rPr>
        <w:t> </w:t>
      </w:r>
      <w:r>
        <w:rPr/>
        <w:t>Administración.</w:t>
      </w:r>
    </w:p>
    <w:p>
      <w:pPr>
        <w:pStyle w:val="BodyText"/>
        <w:spacing w:line="360" w:lineRule="auto" w:before="163"/>
        <w:ind w:left="119" w:right="108"/>
        <w:jc w:val="both"/>
      </w:pPr>
      <w:r>
        <w:rPr/>
        <w:t>Buzai (2014), considera que la relación entre Geografía y Planificación Urbana no debe quedar agotada en la actual planificación estratégica, misma que no debe reemplazar a la planificación urbana, sino que por el contrario, debería ser un complemento que le permita mejorar las estrategias de gestión; en estas estrategias el habitante urbano debería ocupar un lugar más importante que el mercado.</w:t>
      </w:r>
    </w:p>
    <w:p>
      <w:pPr>
        <w:pStyle w:val="BodyText"/>
        <w:spacing w:line="360" w:lineRule="auto" w:before="163"/>
        <w:ind w:left="119" w:right="102"/>
        <w:jc w:val="both"/>
      </w:pPr>
      <w:r>
        <w:rPr/>
        <w:t>Los grandes acontecimientos contextuales han generado cambios y discusiones en el ámbito de la planificación urbana y regional. De acuerdo con Kullock et al. (citado en Baxandale, 2014), son cinco las líneas principales al respecto:</w:t>
      </w:r>
    </w:p>
    <w:p>
      <w:pPr>
        <w:spacing w:after="0" w:line="360" w:lineRule="auto"/>
        <w:jc w:val="both"/>
        <w:sectPr>
          <w:pgSz w:w="12240" w:h="15840"/>
          <w:pgMar w:top="1360" w:bottom="280" w:left="1580" w:right="1600"/>
        </w:sectPr>
      </w:pPr>
    </w:p>
    <w:p>
      <w:pPr>
        <w:pStyle w:val="ListParagraph"/>
        <w:numPr>
          <w:ilvl w:val="2"/>
          <w:numId w:val="10"/>
        </w:numPr>
        <w:tabs>
          <w:tab w:pos="701" w:val="left" w:leader="none"/>
        </w:tabs>
        <w:spacing w:line="360" w:lineRule="auto" w:before="52" w:after="0"/>
        <w:ind w:left="700" w:right="121" w:hanging="360"/>
        <w:jc w:val="both"/>
        <w:rPr>
          <w:i/>
          <w:sz w:val="22"/>
        </w:rPr>
      </w:pPr>
      <w:r>
        <w:rPr>
          <w:i/>
          <w:sz w:val="22"/>
        </w:rPr>
        <w:t>De la planificación autónoma (planificación “libro”) comienza a considerarse la </w:t>
      </w:r>
      <w:r>
        <w:rPr>
          <w:i/>
          <w:sz w:val="22"/>
        </w:rPr>
        <w:t>planificación como proceso en donde se liga con la gestión dentro del cambiante sistema  de toma de decisión, donde la dinámica social quizá demande la elaboración de “documentos de planeamiento” mucho más flexibles y que permitan actuar sobre los acontecimientos de gran</w:t>
      </w:r>
      <w:r>
        <w:rPr>
          <w:i/>
          <w:spacing w:val="-5"/>
          <w:sz w:val="22"/>
        </w:rPr>
        <w:t> </w:t>
      </w:r>
      <w:r>
        <w:rPr>
          <w:i/>
          <w:sz w:val="22"/>
        </w:rPr>
        <w:t>dinamismo.</w:t>
      </w:r>
    </w:p>
    <w:p>
      <w:pPr>
        <w:pStyle w:val="ListParagraph"/>
        <w:numPr>
          <w:ilvl w:val="2"/>
          <w:numId w:val="10"/>
        </w:numPr>
        <w:tabs>
          <w:tab w:pos="701" w:val="left" w:leader="none"/>
        </w:tabs>
        <w:spacing w:line="360" w:lineRule="auto" w:before="167" w:after="0"/>
        <w:ind w:left="700" w:right="113" w:hanging="360"/>
        <w:jc w:val="both"/>
        <w:rPr>
          <w:i/>
          <w:sz w:val="22"/>
        </w:rPr>
      </w:pPr>
      <w:r>
        <w:rPr>
          <w:i/>
          <w:sz w:val="22"/>
        </w:rPr>
        <w:t>De la planificación sectorial a través de los aspectos físicos (zonificación, densificación y </w:t>
      </w:r>
      <w:r>
        <w:rPr>
          <w:i/>
          <w:sz w:val="22"/>
        </w:rPr>
        <w:t>control de crecimiento urbano), medioambientales (recursos naturales), infraestructura económica (transporte y comunicaciones) y sociales (salud, educación y vivienda) se tiende a una “planificación integral” y de allí a una integración que lleva a una “planificación urbana</w:t>
      </w:r>
      <w:r>
        <w:rPr>
          <w:i/>
          <w:spacing w:val="-3"/>
          <w:sz w:val="22"/>
        </w:rPr>
        <w:t> </w:t>
      </w:r>
      <w:r>
        <w:rPr>
          <w:i/>
          <w:sz w:val="22"/>
        </w:rPr>
        <w:t>contextualizada”.</w:t>
      </w:r>
    </w:p>
    <w:p>
      <w:pPr>
        <w:pStyle w:val="ListParagraph"/>
        <w:numPr>
          <w:ilvl w:val="2"/>
          <w:numId w:val="10"/>
        </w:numPr>
        <w:tabs>
          <w:tab w:pos="701" w:val="left" w:leader="none"/>
        </w:tabs>
        <w:spacing w:line="360" w:lineRule="auto" w:before="163" w:after="0"/>
        <w:ind w:left="700" w:right="118" w:hanging="360"/>
        <w:jc w:val="both"/>
        <w:rPr>
          <w:i/>
          <w:sz w:val="22"/>
        </w:rPr>
      </w:pPr>
      <w:r>
        <w:rPr>
          <w:i/>
          <w:sz w:val="22"/>
        </w:rPr>
        <w:t>Aparece la discusión del tema ambiental como novedosa dimensión de lo urbano, ya que </w:t>
      </w:r>
      <w:r>
        <w:rPr>
          <w:i/>
          <w:sz w:val="22"/>
        </w:rPr>
        <w:t>según Fernández (1999) puede rastrearse que desde la conferencia sobre Medio Ambiente de Estocolmo 1972, los conceptos de “ecodesarrollo” o “desarrollo sustentable” se referían al mundo total y no eran tenidas en cuenta las áreas urbanas; al respecto Kullock (1995) manifiesta que esta temática no puede ser tomada como una dimensión separada, sino que posibilita un corte transversal que permite su vinculación a todas las problemáticas urbanas posible de ser</w:t>
      </w:r>
      <w:r>
        <w:rPr>
          <w:i/>
          <w:spacing w:val="-12"/>
          <w:sz w:val="22"/>
        </w:rPr>
        <w:t> </w:t>
      </w:r>
      <w:r>
        <w:rPr>
          <w:i/>
          <w:sz w:val="22"/>
        </w:rPr>
        <w:t>analizadas.</w:t>
      </w:r>
    </w:p>
    <w:p>
      <w:pPr>
        <w:pStyle w:val="ListParagraph"/>
        <w:numPr>
          <w:ilvl w:val="2"/>
          <w:numId w:val="10"/>
        </w:numPr>
        <w:tabs>
          <w:tab w:pos="701" w:val="left" w:leader="none"/>
        </w:tabs>
        <w:spacing w:line="360" w:lineRule="auto" w:before="163" w:after="0"/>
        <w:ind w:left="700" w:right="115" w:hanging="360"/>
        <w:jc w:val="both"/>
        <w:rPr>
          <w:i/>
          <w:sz w:val="22"/>
        </w:rPr>
      </w:pPr>
      <w:r>
        <w:rPr>
          <w:i/>
          <w:sz w:val="22"/>
        </w:rPr>
        <w:t>Se produce un debate sobre el tema de la participación ciudadana y, en este sentido, desde </w:t>
      </w:r>
      <w:r>
        <w:rPr>
          <w:i/>
          <w:sz w:val="22"/>
        </w:rPr>
        <w:t>la “participación consultativa” que simplemente busca opiniones de diferentes actores sociales, se pasa a una “participación protagónica” </w:t>
      </w:r>
      <w:r>
        <w:rPr>
          <w:i/>
          <w:spacing w:val="-4"/>
          <w:sz w:val="22"/>
        </w:rPr>
        <w:t>en </w:t>
      </w:r>
      <w:r>
        <w:rPr>
          <w:i/>
          <w:sz w:val="22"/>
        </w:rPr>
        <w:t>la que se busca un similar nivel de decisión en los actores involucrados, en este sentido, aparece de forma articuladora la “participación conciliadora” en la búsqueda de</w:t>
      </w:r>
      <w:r>
        <w:rPr>
          <w:i/>
          <w:spacing w:val="-11"/>
          <w:sz w:val="22"/>
        </w:rPr>
        <w:t> </w:t>
      </w:r>
      <w:r>
        <w:rPr>
          <w:i/>
          <w:sz w:val="22"/>
        </w:rPr>
        <w:t>consensos.</w:t>
      </w:r>
    </w:p>
    <w:p>
      <w:pPr>
        <w:pStyle w:val="ListParagraph"/>
        <w:numPr>
          <w:ilvl w:val="2"/>
          <w:numId w:val="10"/>
        </w:numPr>
        <w:tabs>
          <w:tab w:pos="701" w:val="left" w:leader="none"/>
        </w:tabs>
        <w:spacing w:line="360" w:lineRule="auto" w:before="167" w:after="0"/>
        <w:ind w:left="700" w:right="113" w:hanging="360"/>
        <w:jc w:val="both"/>
        <w:rPr>
          <w:i/>
          <w:sz w:val="22"/>
        </w:rPr>
      </w:pPr>
      <w:r>
        <w:rPr>
          <w:i/>
          <w:sz w:val="22"/>
        </w:rPr>
        <w:t>Comienza a desaparecer la hegemonía de la escala urbana ante la consideración de “lo </w:t>
      </w:r>
      <w:r>
        <w:rPr>
          <w:i/>
          <w:sz w:val="22"/>
        </w:rPr>
        <w:t>local” a partir de los procesos de descentralización político-administrativa que se  producen en diversas escalas territoriales. Si bien este proceso se ha difundido como la posibilidad de repartir la capacidad de toma de decisiones a las instancias </w:t>
      </w:r>
      <w:r>
        <w:rPr>
          <w:i/>
          <w:spacing w:val="-3"/>
          <w:sz w:val="22"/>
        </w:rPr>
        <w:t>más </w:t>
      </w:r>
      <w:r>
        <w:rPr>
          <w:i/>
          <w:sz w:val="22"/>
        </w:rPr>
        <w:t>cercanas a los ciudadanos, en la realidad ha evolucionado como traspaso de “crisis” </w:t>
      </w:r>
      <w:r>
        <w:rPr>
          <w:i/>
          <w:spacing w:val="3"/>
          <w:sz w:val="22"/>
        </w:rPr>
        <w:t>de </w:t>
      </w:r>
      <w:r>
        <w:rPr>
          <w:i/>
          <w:sz w:val="22"/>
        </w:rPr>
        <w:t>un organismo de gestión superior a otro inferior (Sánchez y Buzai, 1991, citado en Buzai, 2014)</w:t>
      </w:r>
      <w:r>
        <w:rPr>
          <w:sz w:val="22"/>
        </w:rPr>
        <w:t>. </w:t>
      </w:r>
      <w:r>
        <w:rPr>
          <w:i/>
          <w:sz w:val="22"/>
        </w:rPr>
        <w:t>La </w:t>
      </w:r>
      <w:r>
        <w:rPr>
          <w:i/>
          <w:sz w:val="22"/>
        </w:rPr>
        <w:t>situación articuladora aquí pasaría a ser una fuerte vinculación político-administrativa entre las escalas</w:t>
      </w:r>
      <w:r>
        <w:rPr>
          <w:i/>
          <w:spacing w:val="-7"/>
          <w:sz w:val="22"/>
        </w:rPr>
        <w:t> </w:t>
      </w:r>
      <w:r>
        <w:rPr>
          <w:i/>
          <w:sz w:val="22"/>
        </w:rPr>
        <w:t>urbano-locales.</w:t>
      </w:r>
    </w:p>
    <w:p>
      <w:pPr>
        <w:spacing w:after="0" w:line="360" w:lineRule="auto"/>
        <w:jc w:val="both"/>
        <w:rPr>
          <w:sz w:val="22"/>
        </w:rPr>
        <w:sectPr>
          <w:pgSz w:w="12240" w:h="15840"/>
          <w:pgMar w:top="1360" w:bottom="280" w:left="1720" w:right="1580"/>
        </w:sectPr>
      </w:pPr>
    </w:p>
    <w:p>
      <w:pPr>
        <w:pStyle w:val="BodyText"/>
        <w:spacing w:line="360" w:lineRule="auto" w:before="52"/>
        <w:ind w:left="119" w:right="117"/>
        <w:jc w:val="both"/>
      </w:pPr>
      <w:r>
        <w:rPr/>
        <w:t>Un análisis de las características actuales de la planificación nos lleva a </w:t>
      </w:r>
      <w:r>
        <w:rPr>
          <w:spacing w:val="-3"/>
        </w:rPr>
        <w:t>no </w:t>
      </w:r>
      <w:r>
        <w:rPr/>
        <w:t>dudar sobre la  necesidad, como señala Kullock (citado en Baxandale, 2014), de articular las críticas y </w:t>
      </w:r>
      <w:r>
        <w:rPr>
          <w:spacing w:val="-3"/>
        </w:rPr>
        <w:t>los </w:t>
      </w:r>
      <w:r>
        <w:rPr/>
        <w:t>aportes </w:t>
      </w:r>
      <w:r>
        <w:rPr>
          <w:spacing w:val="-5"/>
          <w:w w:val="100"/>
        </w:rPr>
        <w:t>q</w:t>
      </w:r>
      <w:r>
        <w:rPr>
          <w:spacing w:val="4"/>
          <w:w w:val="100"/>
        </w:rPr>
        <w:t>u</w:t>
      </w:r>
      <w:r>
        <w:rPr>
          <w:w w:val="100"/>
        </w:rPr>
        <w:t>e</w:t>
      </w:r>
      <w:r>
        <w:rPr>
          <w:spacing w:val="14"/>
        </w:rPr>
        <w:t> </w:t>
      </w:r>
      <w:r>
        <w:rPr>
          <w:spacing w:val="-4"/>
          <w:w w:val="100"/>
        </w:rPr>
        <w:t>l</w:t>
      </w:r>
      <w:r>
        <w:rPr>
          <w:w w:val="100"/>
        </w:rPr>
        <w:t>a</w:t>
      </w:r>
      <w:r>
        <w:rPr>
          <w:spacing w:val="24"/>
        </w:rPr>
        <w:t> </w:t>
      </w:r>
      <w:r>
        <w:rPr>
          <w:w w:val="100"/>
        </w:rPr>
        <w:t>p</w:t>
      </w:r>
      <w:r>
        <w:rPr>
          <w:spacing w:val="-4"/>
          <w:w w:val="100"/>
        </w:rPr>
        <w:t>l</w:t>
      </w:r>
      <w:r>
        <w:rPr>
          <w:spacing w:val="2"/>
          <w:w w:val="100"/>
        </w:rPr>
        <w:t>a</w:t>
      </w:r>
      <w:r>
        <w:rPr>
          <w:w w:val="100"/>
        </w:rPr>
        <w:t>n</w:t>
      </w:r>
      <w:r>
        <w:rPr>
          <w:spacing w:val="-4"/>
          <w:w w:val="100"/>
        </w:rPr>
        <w:t>i</w:t>
      </w:r>
      <w:r>
        <w:rPr>
          <w:spacing w:val="3"/>
          <w:w w:val="100"/>
        </w:rPr>
        <w:t>f</w:t>
      </w:r>
      <w:r>
        <w:rPr>
          <w:spacing w:val="-4"/>
          <w:w w:val="100"/>
        </w:rPr>
        <w:t>i</w:t>
      </w:r>
      <w:r>
        <w:rPr>
          <w:spacing w:val="-2"/>
          <w:w w:val="100"/>
        </w:rPr>
        <w:t>c</w:t>
      </w:r>
      <w:r>
        <w:rPr>
          <w:spacing w:val="2"/>
          <w:w w:val="100"/>
        </w:rPr>
        <w:t>ac</w:t>
      </w:r>
      <w:r>
        <w:rPr>
          <w:spacing w:val="-4"/>
          <w:w w:val="100"/>
        </w:rPr>
        <w:t>i</w:t>
      </w:r>
      <w:r>
        <w:rPr>
          <w:w w:val="100"/>
        </w:rPr>
        <w:t>ón</w:t>
      </w:r>
      <w:r>
        <w:rPr>
          <w:spacing w:val="16"/>
        </w:rPr>
        <w:t> </w:t>
      </w:r>
      <w:r>
        <w:rPr>
          <w:spacing w:val="2"/>
          <w:w w:val="44"/>
        </w:rPr>
        <w:t>―</w:t>
      </w:r>
      <w:r>
        <w:rPr>
          <w:w w:val="100"/>
        </w:rPr>
        <w:t>t</w:t>
      </w:r>
      <w:r>
        <w:rPr>
          <w:spacing w:val="3"/>
          <w:w w:val="100"/>
        </w:rPr>
        <w:t>r</w:t>
      </w:r>
      <w:r>
        <w:rPr>
          <w:spacing w:val="2"/>
          <w:w w:val="100"/>
        </w:rPr>
        <w:t>a</w:t>
      </w:r>
      <w:r>
        <w:rPr>
          <w:spacing w:val="-5"/>
          <w:w w:val="100"/>
        </w:rPr>
        <w:t>d</w:t>
      </w:r>
      <w:r>
        <w:rPr>
          <w:spacing w:val="-4"/>
          <w:w w:val="100"/>
        </w:rPr>
        <w:t>i</w:t>
      </w:r>
      <w:r>
        <w:rPr>
          <w:spacing w:val="-2"/>
          <w:w w:val="100"/>
        </w:rPr>
        <w:t>c</w:t>
      </w:r>
      <w:r>
        <w:rPr>
          <w:w w:val="100"/>
        </w:rPr>
        <w:t>i</w:t>
      </w:r>
      <w:r>
        <w:rPr>
          <w:w w:val="100"/>
        </w:rPr>
        <w:t>o</w:t>
      </w:r>
      <w:r>
        <w:rPr>
          <w:spacing w:val="-5"/>
          <w:w w:val="100"/>
        </w:rPr>
        <w:t>n</w:t>
      </w:r>
      <w:r>
        <w:rPr>
          <w:spacing w:val="2"/>
          <w:w w:val="100"/>
        </w:rPr>
        <w:t>a</w:t>
      </w:r>
      <w:r>
        <w:rPr>
          <w:w w:val="100"/>
        </w:rPr>
        <w:t>l</w:t>
      </w:r>
      <w:r>
        <w:rPr>
          <w:w w:val="158"/>
        </w:rPr>
        <w:t>‖</w:t>
      </w:r>
      <w:r>
        <w:rPr>
          <w:spacing w:val="19"/>
        </w:rPr>
        <w:t> </w:t>
      </w:r>
      <w:r>
        <w:rPr>
          <w:spacing w:val="-5"/>
          <w:w w:val="100"/>
        </w:rPr>
        <w:t>q</w:t>
      </w:r>
      <w:r>
        <w:rPr>
          <w:spacing w:val="4"/>
          <w:w w:val="100"/>
        </w:rPr>
        <w:t>u</w:t>
      </w:r>
      <w:r>
        <w:rPr>
          <w:w w:val="100"/>
        </w:rPr>
        <w:t>e</w:t>
      </w:r>
      <w:r>
        <w:rPr>
          <w:spacing w:val="19"/>
        </w:rPr>
        <w:t> </w:t>
      </w:r>
      <w:r>
        <w:rPr>
          <w:spacing w:val="-5"/>
          <w:w w:val="100"/>
        </w:rPr>
        <w:t>h</w:t>
      </w:r>
      <w:r>
        <w:rPr>
          <w:w w:val="100"/>
        </w:rPr>
        <w:t>a</w:t>
      </w:r>
      <w:r>
        <w:rPr>
          <w:spacing w:val="24"/>
        </w:rPr>
        <w:t> </w:t>
      </w:r>
      <w:r>
        <w:rPr>
          <w:spacing w:val="3"/>
          <w:w w:val="100"/>
        </w:rPr>
        <w:t>r</w:t>
      </w:r>
      <w:r>
        <w:rPr>
          <w:spacing w:val="-7"/>
          <w:w w:val="100"/>
        </w:rPr>
        <w:t>e</w:t>
      </w:r>
      <w:r>
        <w:rPr>
          <w:spacing w:val="-2"/>
          <w:w w:val="100"/>
        </w:rPr>
        <w:t>c</w:t>
      </w:r>
      <w:r>
        <w:rPr>
          <w:spacing w:val="-4"/>
          <w:w w:val="100"/>
        </w:rPr>
        <w:t>i</w:t>
      </w:r>
      <w:r>
        <w:rPr>
          <w:spacing w:val="4"/>
          <w:w w:val="100"/>
        </w:rPr>
        <w:t>b</w:t>
      </w:r>
      <w:r>
        <w:rPr>
          <w:w w:val="100"/>
        </w:rPr>
        <w:t>i</w:t>
      </w:r>
      <w:r>
        <w:rPr>
          <w:w w:val="100"/>
        </w:rPr>
        <w:t>do</w:t>
      </w:r>
      <w:r>
        <w:rPr>
          <w:spacing w:val="21"/>
        </w:rPr>
        <w:t> </w:t>
      </w:r>
      <w:r>
        <w:rPr>
          <w:spacing w:val="-7"/>
          <w:w w:val="100"/>
        </w:rPr>
        <w:t>e</w:t>
      </w:r>
      <w:r>
        <w:rPr>
          <w:w w:val="100"/>
        </w:rPr>
        <w:t>n</w:t>
      </w:r>
      <w:r>
        <w:rPr>
          <w:spacing w:val="21"/>
        </w:rPr>
        <w:t> </w:t>
      </w:r>
      <w:r>
        <w:rPr>
          <w:w w:val="100"/>
        </w:rPr>
        <w:t>l</w:t>
      </w:r>
      <w:r>
        <w:rPr>
          <w:spacing w:val="2"/>
          <w:w w:val="100"/>
        </w:rPr>
        <w:t>a</w:t>
      </w:r>
      <w:r>
        <w:rPr>
          <w:w w:val="100"/>
        </w:rPr>
        <w:t>s</w:t>
      </w:r>
      <w:r>
        <w:rPr>
          <w:spacing w:val="22"/>
        </w:rPr>
        <w:t> </w:t>
      </w:r>
      <w:r>
        <w:rPr>
          <w:w w:val="100"/>
        </w:rPr>
        <w:t>ú</w:t>
      </w:r>
      <w:r>
        <w:rPr>
          <w:spacing w:val="-4"/>
          <w:w w:val="100"/>
        </w:rPr>
        <w:t>l</w:t>
      </w:r>
      <w:r>
        <w:rPr>
          <w:w w:val="100"/>
        </w:rPr>
        <w:t>t</w:t>
      </w:r>
      <w:r>
        <w:rPr>
          <w:spacing w:val="-4"/>
          <w:w w:val="100"/>
        </w:rPr>
        <w:t>i</w:t>
      </w:r>
      <w:r>
        <w:rPr>
          <w:spacing w:val="-9"/>
          <w:w w:val="100"/>
        </w:rPr>
        <w:t>m</w:t>
      </w:r>
      <w:r>
        <w:rPr>
          <w:spacing w:val="2"/>
          <w:w w:val="100"/>
        </w:rPr>
        <w:t>a</w:t>
      </w:r>
      <w:r>
        <w:rPr>
          <w:w w:val="100"/>
        </w:rPr>
        <w:t>s</w:t>
      </w:r>
      <w:r>
        <w:rPr>
          <w:spacing w:val="22"/>
        </w:rPr>
        <w:t> </w:t>
      </w:r>
      <w:r>
        <w:rPr>
          <w:spacing w:val="-5"/>
          <w:w w:val="100"/>
        </w:rPr>
        <w:t>d</w:t>
      </w:r>
      <w:r>
        <w:rPr>
          <w:spacing w:val="2"/>
          <w:w w:val="100"/>
        </w:rPr>
        <w:t>é</w:t>
      </w:r>
      <w:r>
        <w:rPr>
          <w:spacing w:val="-2"/>
          <w:w w:val="100"/>
        </w:rPr>
        <w:t>c</w:t>
      </w:r>
      <w:r>
        <w:rPr>
          <w:spacing w:val="2"/>
          <w:w w:val="100"/>
        </w:rPr>
        <w:t>a</w:t>
      </w:r>
      <w:r>
        <w:rPr>
          <w:spacing w:val="-5"/>
          <w:w w:val="100"/>
        </w:rPr>
        <w:t>d</w:t>
      </w:r>
      <w:r>
        <w:rPr>
          <w:spacing w:val="2"/>
          <w:w w:val="100"/>
        </w:rPr>
        <w:t>a</w:t>
      </w:r>
      <w:r>
        <w:rPr>
          <w:w w:val="100"/>
        </w:rPr>
        <w:t>s</w:t>
      </w:r>
      <w:r>
        <w:rPr>
          <w:spacing w:val="22"/>
        </w:rPr>
        <w:t> </w:t>
      </w:r>
      <w:r>
        <w:rPr>
          <w:w w:val="100"/>
        </w:rPr>
        <w:t>d</w:t>
      </w:r>
      <w:r>
        <w:rPr>
          <w:spacing w:val="-2"/>
          <w:w w:val="100"/>
        </w:rPr>
        <w:t>e</w:t>
      </w:r>
      <w:r>
        <w:rPr>
          <w:w w:val="100"/>
        </w:rPr>
        <w:t>l</w:t>
      </w:r>
      <w:r>
        <w:rPr>
          <w:spacing w:val="17"/>
        </w:rPr>
        <w:t> </w:t>
      </w:r>
      <w:r>
        <w:rPr>
          <w:w w:val="100"/>
        </w:rPr>
        <w:t>s</w:t>
      </w:r>
      <w:r>
        <w:rPr>
          <w:spacing w:val="1"/>
          <w:w w:val="100"/>
        </w:rPr>
        <w:t>i</w:t>
      </w:r>
      <w:r>
        <w:rPr>
          <w:spacing w:val="-5"/>
          <w:w w:val="100"/>
        </w:rPr>
        <w:t>g</w:t>
      </w:r>
      <w:r>
        <w:rPr>
          <w:w w:val="100"/>
        </w:rPr>
        <w:t>l</w:t>
      </w:r>
      <w:r>
        <w:rPr>
          <w:w w:val="100"/>
        </w:rPr>
        <w:t>o</w:t>
      </w:r>
      <w:r>
        <w:rPr>
          <w:spacing w:val="16"/>
        </w:rPr>
        <w:t> </w:t>
      </w:r>
      <w:r>
        <w:rPr>
          <w:spacing w:val="-2"/>
          <w:w w:val="100"/>
        </w:rPr>
        <w:t>X</w:t>
      </w:r>
      <w:r>
        <w:rPr>
          <w:w w:val="100"/>
        </w:rPr>
        <w:t>X</w:t>
      </w:r>
      <w:r>
        <w:rPr>
          <w:spacing w:val="20"/>
        </w:rPr>
        <w:t> </w:t>
      </w:r>
      <w:r>
        <w:rPr>
          <w:w w:val="100"/>
        </w:rPr>
        <w:t>p</w:t>
      </w:r>
      <w:r>
        <w:rPr>
          <w:spacing w:val="2"/>
          <w:w w:val="100"/>
        </w:rPr>
        <w:t>a</w:t>
      </w:r>
      <w:r>
        <w:rPr>
          <w:spacing w:val="-2"/>
          <w:w w:val="100"/>
        </w:rPr>
        <w:t>r</w:t>
      </w:r>
      <w:r>
        <w:rPr>
          <w:w w:val="100"/>
        </w:rPr>
        <w:t>a</w:t>
      </w:r>
      <w:r>
        <w:rPr/>
        <w:t> </w:t>
      </w:r>
      <w:r>
        <w:rPr>
          <w:spacing w:val="-21"/>
        </w:rPr>
        <w:t> </w:t>
      </w:r>
      <w:r>
        <w:rPr>
          <w:spacing w:val="-4"/>
          <w:w w:val="100"/>
        </w:rPr>
        <w:t>l</w:t>
      </w:r>
      <w:r>
        <w:rPr>
          <w:spacing w:val="-5"/>
          <w:w w:val="100"/>
        </w:rPr>
        <w:t>og</w:t>
      </w:r>
      <w:r>
        <w:rPr>
          <w:spacing w:val="3"/>
          <w:w w:val="100"/>
        </w:rPr>
        <w:t>r</w:t>
      </w:r>
      <w:r>
        <w:rPr>
          <w:spacing w:val="2"/>
          <w:w w:val="100"/>
        </w:rPr>
        <w:t>a</w:t>
      </w:r>
      <w:r>
        <w:rPr>
          <w:w w:val="100"/>
        </w:rPr>
        <w:t>r </w:t>
      </w:r>
      <w:r>
        <w:rPr/>
        <w:t>una planificación donde sea considerando siempre el contexto, donde los alcances temáticos sean amplios para </w:t>
      </w:r>
      <w:r>
        <w:rPr>
          <w:spacing w:val="-3"/>
        </w:rPr>
        <w:t>poder </w:t>
      </w:r>
      <w:r>
        <w:rPr/>
        <w:t>actuar sobre las causas poniendo énfasis en aspectos significativos, permitiendo la validación del plan, del proyecto y de la gestión integradora, donde exista una participación de  los diferentes los grupos sociales según la escala de actuación para </w:t>
      </w:r>
      <w:r>
        <w:rPr>
          <w:spacing w:val="-3"/>
        </w:rPr>
        <w:t>llevar </w:t>
      </w:r>
      <w:r>
        <w:rPr/>
        <w:t>a cabo este tipo de planificación</w:t>
      </w:r>
      <w:r>
        <w:rPr>
          <w:spacing w:val="-10"/>
        </w:rPr>
        <w:t> </w:t>
      </w:r>
      <w:r>
        <w:rPr/>
        <w:t>(Kullock,1999).</w:t>
      </w:r>
    </w:p>
    <w:p>
      <w:pPr>
        <w:pStyle w:val="BodyText"/>
      </w:pPr>
    </w:p>
    <w:p>
      <w:pPr>
        <w:pStyle w:val="BodyText"/>
      </w:pPr>
    </w:p>
    <w:p>
      <w:pPr>
        <w:pStyle w:val="Heading1"/>
        <w:spacing w:before="195"/>
      </w:pPr>
      <w:bookmarkStart w:name="_bookmark18" w:id="30"/>
      <w:bookmarkEnd w:id="30"/>
      <w:r>
        <w:rPr>
          <w:b w:val="0"/>
        </w:rPr>
      </w:r>
      <w:r>
        <w:rPr/>
        <w:t>1.4.1 Planificación estratégica</w:t>
      </w:r>
    </w:p>
    <w:p>
      <w:pPr>
        <w:pStyle w:val="BodyText"/>
        <w:rPr>
          <w:b/>
        </w:rPr>
      </w:pPr>
    </w:p>
    <w:p>
      <w:pPr>
        <w:pStyle w:val="BodyText"/>
        <w:rPr>
          <w:b/>
          <w:sz w:val="19"/>
        </w:rPr>
      </w:pPr>
    </w:p>
    <w:p>
      <w:pPr>
        <w:pStyle w:val="BodyText"/>
        <w:spacing w:line="360" w:lineRule="auto"/>
        <w:ind w:left="119" w:right="124"/>
        <w:jc w:val="both"/>
      </w:pPr>
      <w:r>
        <w:rPr/>
        <w:t>Dentro del marco que brinda la reciente planificación estratégica, que ante la creciente complejidad de la problemática urbana y gran incertidumbre en cuanto al desarrollo sociopolítico de los países, ha sabido evolucionar según las demandas actuales; la Geografía de principios del siglo XXI ha hecho coincidir diferentes perspectivas de actualización paradigmática para el análisis de la realidad socioespacial en constante cambio.</w:t>
      </w:r>
    </w:p>
    <w:p>
      <w:pPr>
        <w:pStyle w:val="BodyText"/>
        <w:spacing w:line="360" w:lineRule="auto" w:before="167"/>
        <w:ind w:left="119" w:right="118"/>
        <w:jc w:val="both"/>
      </w:pPr>
      <w:r>
        <w:rPr/>
        <w:t>De esta manera, la relación entre Geografía y Planificación Urbana cobra sentido al  intentar resolver problemas actuales y generar escenarios futuros que mejoren la calidad de vida de las comunidades urbanas. No obstante la gran incertidumbre creada por los entornos dinámicos y la creciente complejidad de los procesos urbanos, apunta hacia una planificación estratégica desde un enfoque sistémico dado que la estructuración espacial de los asentamientos puede entenderse </w:t>
      </w:r>
      <w:r>
        <w:rPr>
          <w:spacing w:val="-3"/>
        </w:rPr>
        <w:t>mejor </w:t>
      </w:r>
      <w:r>
        <w:rPr/>
        <w:t>si éstos </w:t>
      </w:r>
      <w:r>
        <w:rPr>
          <w:spacing w:val="2"/>
        </w:rPr>
        <w:t>se </w:t>
      </w:r>
      <w:r>
        <w:rPr/>
        <w:t>contemplan desde una perspectiva de conjunto que considere tanto las características de cada </w:t>
      </w:r>
      <w:r>
        <w:rPr>
          <w:spacing w:val="-3"/>
        </w:rPr>
        <w:t>uno, </w:t>
      </w:r>
      <w:r>
        <w:rPr/>
        <w:t>las relaciones entre </w:t>
      </w:r>
      <w:r>
        <w:rPr>
          <w:spacing w:val="-3"/>
        </w:rPr>
        <w:t>ellos </w:t>
      </w:r>
      <w:r>
        <w:rPr/>
        <w:t>y con su</w:t>
      </w:r>
      <w:r>
        <w:rPr>
          <w:spacing w:val="15"/>
        </w:rPr>
        <w:t> </w:t>
      </w:r>
      <w:r>
        <w:rPr/>
        <w:t>entorno.</w:t>
      </w:r>
    </w:p>
    <w:p>
      <w:pPr>
        <w:pStyle w:val="BodyText"/>
        <w:spacing w:line="360" w:lineRule="auto" w:before="163"/>
        <w:ind w:left="119" w:right="123"/>
        <w:jc w:val="both"/>
      </w:pPr>
      <w:r>
        <w:rPr/>
        <w:t>La consideración del entorno exterior con base en la escala regional, nacional o mundial, y la concentración en temas críticos como pueden ser algunas problemáticas ambientales o problemas de localización, permite que los estudios geográficos puedan nuevamente ofrecer interesantes aportes al urbanismo y la planificación urbana y regional al rescatarse la visión integral de la ciudad (considerándose la dimensión física del territorio y la complejidad socioeconómica). La planificación estratégica abarca diferentes escalas de análisis y diferentes aspectos (económicos, sociales, político, ambientales, etc.) por lo cual posibilita que todos los enfoques geográficos o tradiciones geográficas sean válidos para su accionar auxiliándose de técnicas tan diversas como los análisis</w:t>
      </w:r>
      <w:r>
        <w:rPr>
          <w:spacing w:val="-16"/>
        </w:rPr>
        <w:t> </w:t>
      </w:r>
      <w:r>
        <w:rPr/>
        <w:t>cuantitativos.</w:t>
      </w:r>
    </w:p>
    <w:p>
      <w:pPr>
        <w:spacing w:after="0" w:line="360" w:lineRule="auto"/>
        <w:jc w:val="both"/>
        <w:sectPr>
          <w:pgSz w:w="12240" w:h="15840"/>
          <w:pgMar w:top="1360" w:bottom="280" w:left="1580" w:right="1580"/>
        </w:sectPr>
      </w:pPr>
    </w:p>
    <w:p>
      <w:pPr>
        <w:pStyle w:val="Heading1"/>
        <w:numPr>
          <w:ilvl w:val="1"/>
          <w:numId w:val="11"/>
        </w:numPr>
        <w:tabs>
          <w:tab w:pos="548" w:val="left" w:leader="none"/>
        </w:tabs>
        <w:spacing w:line="259" w:lineRule="auto" w:before="52" w:after="0"/>
        <w:ind w:left="119" w:right="131" w:firstLine="0"/>
        <w:jc w:val="both"/>
      </w:pPr>
      <w:bookmarkStart w:name="_bookmark19" w:id="31"/>
      <w:bookmarkEnd w:id="31"/>
      <w:r>
        <w:rPr>
          <w:b w:val="0"/>
        </w:rPr>
      </w:r>
      <w:bookmarkStart w:name="_bookmark19" w:id="32"/>
      <w:bookmarkEnd w:id="32"/>
      <w:r>
        <w:rPr>
          <w:spacing w:val="-3"/>
        </w:rPr>
        <w:t>M</w:t>
      </w:r>
      <w:r>
        <w:rPr>
          <w:spacing w:val="-3"/>
        </w:rPr>
        <w:t>arco </w:t>
      </w:r>
      <w:r>
        <w:rPr/>
        <w:t>normativo aplicado al problema territorial de los asentamientos humanos irregulares en suelo de</w:t>
      </w:r>
      <w:r>
        <w:rPr>
          <w:spacing w:val="-14"/>
        </w:rPr>
        <w:t> </w:t>
      </w:r>
      <w:r>
        <w:rPr/>
        <w:t>conservación</w:t>
      </w:r>
    </w:p>
    <w:p>
      <w:pPr>
        <w:pStyle w:val="BodyText"/>
        <w:rPr>
          <w:b/>
        </w:rPr>
      </w:pPr>
    </w:p>
    <w:p>
      <w:pPr>
        <w:pStyle w:val="BodyText"/>
        <w:spacing w:before="4"/>
        <w:rPr>
          <w:b/>
          <w:sz w:val="17"/>
        </w:rPr>
      </w:pPr>
    </w:p>
    <w:p>
      <w:pPr>
        <w:pStyle w:val="BodyText"/>
        <w:spacing w:line="360" w:lineRule="auto"/>
        <w:ind w:left="119" w:right="120"/>
        <w:jc w:val="both"/>
      </w:pPr>
      <w:r>
        <w:rPr/>
        <w:t>La perspectiva geográfica permite precisar el contexto y el entendimiento de la problemática de estudio. Partiendo del enfoque geográfico y ambiental se buscan construir argumentos y dar  sustento al análisis de la dinámica espacial de los asentamientos irregulares sobre suelo de conservación. Las siguientes líneas otorgan un panorama específico de la dimensión espacial de las relaciones hombre-medio en el contexto</w:t>
      </w:r>
      <w:r>
        <w:rPr>
          <w:spacing w:val="-19"/>
        </w:rPr>
        <w:t> </w:t>
      </w:r>
      <w:r>
        <w:rPr/>
        <w:t>local.</w:t>
      </w:r>
    </w:p>
    <w:p>
      <w:pPr>
        <w:pStyle w:val="BodyText"/>
        <w:spacing w:line="360" w:lineRule="auto" w:before="163"/>
        <w:ind w:left="119" w:right="118"/>
        <w:jc w:val="both"/>
      </w:pPr>
      <w:r>
        <w:rPr/>
        <w:t>En la actualidad, las relaciones hombre-naturaleza —como se ha señalado anteriormente— han modificado el entorno acentuando riesgos y vulnerabilidades, es aquí, precisamente donde esta investigación toma su curso. El problema territorial relacionado con la pérdida gradual de zonas forestales en el suelo de conservación es un proceso constante, se estiman que alrededor de 250 hectáreas por tala clandestina, incendios forestales, ocupación irregular y cambios de uso de suelo (GDF, 2005). El suelo de conservación de la Ciudad de México es el que provee importantes servicios ambientales a la ciudad, a pesar de su importancia, pocos la conocen.</w:t>
      </w:r>
    </w:p>
    <w:p>
      <w:pPr>
        <w:pStyle w:val="BodyText"/>
        <w:spacing w:line="360" w:lineRule="auto" w:before="163"/>
        <w:ind w:left="119" w:right="120"/>
        <w:jc w:val="both"/>
      </w:pPr>
      <w:r>
        <w:rPr/>
        <w:t>Se considera que el suelo de conservación en el Distrito Federal ocupa una extensión de 85,554 ha, ubicadas en ocho delegaciones. De acuerdo con el Programa General de Ordenamiento Ecológico del Distrito Federal (2002-2003) la distribución es la siguiente: Álvaro Obregón (2,268 ha), Cuajimalpa (6,473 ha), Iztapalapa (852 ha), Magdalena Contreras (4,397 ha), Milpa Alta (28,375 ha), Tláhuac (7,351 ha), Tlalpan (25,426 ha), y Xochimilco (10,012 ha).</w:t>
      </w:r>
    </w:p>
    <w:p>
      <w:pPr>
        <w:pStyle w:val="BodyText"/>
        <w:spacing w:line="360" w:lineRule="auto" w:before="167"/>
        <w:ind w:left="119" w:right="116"/>
        <w:jc w:val="both"/>
      </w:pPr>
      <w:r>
        <w:rPr/>
        <w:t>Los ecosistemas del suelo de conservación generan servicios ambientales vitales y de gran valor para la </w:t>
      </w:r>
      <w:r>
        <w:rPr>
          <w:spacing w:val="-3"/>
        </w:rPr>
        <w:t>Zona </w:t>
      </w:r>
      <w:r>
        <w:rPr/>
        <w:t>Metropolitana de la Ciudad de México (ZMCM). El servicio ambiental </w:t>
      </w:r>
      <w:r>
        <w:rPr>
          <w:spacing w:val="-2"/>
        </w:rPr>
        <w:t>más</w:t>
      </w:r>
      <w:r>
        <w:rPr>
          <w:spacing w:val="51"/>
        </w:rPr>
        <w:t> </w:t>
      </w:r>
      <w:r>
        <w:rPr/>
        <w:t>reconocido </w:t>
      </w:r>
      <w:r>
        <w:rPr>
          <w:spacing w:val="-4"/>
        </w:rPr>
        <w:t>es </w:t>
      </w:r>
      <w:r>
        <w:rPr/>
        <w:t>la recarga del acuífero, de la que </w:t>
      </w:r>
      <w:r>
        <w:rPr>
          <w:spacing w:val="2"/>
        </w:rPr>
        <w:t>se </w:t>
      </w:r>
      <w:r>
        <w:rPr/>
        <w:t>obtiene el 71% del agua potable para la ciudad (Centro GEO, 2003). Asimismo, el suelo de conservación tiene una capacidad promedio </w:t>
      </w:r>
      <w:r>
        <w:rPr>
          <w:spacing w:val="4"/>
        </w:rPr>
        <w:t>de </w:t>
      </w:r>
      <w:r>
        <w:rPr/>
        <w:t>captura de carbono de 90 ton/ha; indispensable para contener y mitigar el impacto del cambio climático (Centro GEO, 2002). Otros servicios ambientales que proporcionan los ecosistemas del suelo de conservación son la estabilización relativa </w:t>
      </w:r>
      <w:r>
        <w:rPr>
          <w:spacing w:val="-3"/>
        </w:rPr>
        <w:t>del </w:t>
      </w:r>
      <w:r>
        <w:rPr/>
        <w:t>microclima, la contención de las emisiones de contaminantes y de partículas suspendidas, la protección de suelos dada por la cubierta vegetal que se traduce en la reducción de la erosión y de azolves en presas, red de desagüe, entre muchos otros (Centro GEO,</w:t>
      </w:r>
      <w:r>
        <w:rPr>
          <w:spacing w:val="-4"/>
        </w:rPr>
        <w:t> </w:t>
      </w:r>
      <w:r>
        <w:rPr/>
        <w:t>2002).</w:t>
      </w:r>
    </w:p>
    <w:p>
      <w:pPr>
        <w:pStyle w:val="BodyText"/>
        <w:spacing w:line="360" w:lineRule="auto" w:before="167"/>
        <w:ind w:left="119" w:right="121"/>
        <w:jc w:val="both"/>
      </w:pPr>
      <w:r>
        <w:rPr/>
        <w:t>Los asentamientos irregulares en suelo de conservación, el incremento de la expansión  de  la mancha urbana, así como la falta de aplicación de los instrumentos de regulación han tenido como consecuencia la pérdida gradual del ecosistema. De acuerdo con algunos registros, hasta el año</w:t>
      </w:r>
    </w:p>
    <w:p>
      <w:pPr>
        <w:spacing w:after="0" w:line="360" w:lineRule="auto"/>
        <w:jc w:val="both"/>
        <w:sectPr>
          <w:pgSz w:w="12240" w:h="15840"/>
          <w:pgMar w:top="1360" w:bottom="280" w:left="1580" w:right="1580"/>
        </w:sectPr>
      </w:pPr>
    </w:p>
    <w:p>
      <w:pPr>
        <w:pStyle w:val="BodyText"/>
        <w:spacing w:line="360" w:lineRule="auto" w:before="52"/>
        <w:ind w:left="119" w:right="129"/>
        <w:jc w:val="both"/>
      </w:pPr>
      <w:r>
        <w:rPr/>
        <w:t>2002 se detectaron 399 asentamientos irregulares que incluyen a 22,929 familias que ocupan una superficie total de 1,587 ha. Además, muchos de ellos ubicados en zonas con altas pendientes y en barrancas de alto riesgo (Robles y Ojeda 2010).</w:t>
      </w:r>
    </w:p>
    <w:p>
      <w:pPr>
        <w:pStyle w:val="BodyText"/>
        <w:spacing w:line="360" w:lineRule="auto" w:before="167"/>
        <w:ind w:left="119" w:right="129"/>
        <w:jc w:val="both"/>
      </w:pPr>
      <w:r>
        <w:rPr/>
        <w:t>En el año 2003 se estimó que vivían alrededor de 850,000 personas, distribuidas en 35 núcleos poblacionales, en asentamientos humanos regulares e irregulares; 28 ejidos y siete comunidades y propietarios de parcelas privadas dentro del suelo de conservación (Centro GEO, 2003). </w:t>
      </w:r>
      <w:r>
        <w:rPr>
          <w:spacing w:val="-3"/>
        </w:rPr>
        <w:t>Buena  </w:t>
      </w:r>
      <w:r>
        <w:rPr/>
        <w:t>parte de estos habitantes trabajan y viven de la agricultura, aunque la superficie agrícola tendió a reducirse, al pasar de 35,910 </w:t>
      </w:r>
      <w:r>
        <w:rPr>
          <w:spacing w:val="-3"/>
        </w:rPr>
        <w:t>ha </w:t>
      </w:r>
      <w:r>
        <w:rPr/>
        <w:t>en 1970 a 31,000 </w:t>
      </w:r>
      <w:r>
        <w:rPr>
          <w:spacing w:val="-3"/>
        </w:rPr>
        <w:t>ha </w:t>
      </w:r>
      <w:r>
        <w:rPr/>
        <w:t>en 1997 (PGOEDF, 2000). Los datos para </w:t>
      </w:r>
      <w:r>
        <w:rPr>
          <w:spacing w:val="-4"/>
        </w:rPr>
        <w:t>el </w:t>
      </w:r>
      <w:r>
        <w:rPr/>
        <w:t>año 2005 indican una estabilización con una superficie de 30,785.79 </w:t>
      </w:r>
      <w:r>
        <w:rPr>
          <w:spacing w:val="-3"/>
        </w:rPr>
        <w:t>ha </w:t>
      </w:r>
      <w:r>
        <w:rPr/>
        <w:t>(SMA, GDF y SAGARPA, 2006).</w:t>
      </w:r>
    </w:p>
    <w:p>
      <w:pPr>
        <w:pStyle w:val="BodyText"/>
        <w:spacing w:line="360" w:lineRule="auto" w:before="163"/>
        <w:ind w:left="119" w:right="116"/>
        <w:jc w:val="both"/>
      </w:pPr>
      <w:r>
        <w:rPr/>
        <w:t>Actualmente, esta dinámica de crecimiento de la zona urbana continúa e invade superficies importantes del suelo de conservación. La existencia de asentamientos humanos en este tipo de  suelo hace que </w:t>
      </w:r>
      <w:r>
        <w:rPr>
          <w:spacing w:val="2"/>
        </w:rPr>
        <w:t>se </w:t>
      </w:r>
      <w:r>
        <w:rPr/>
        <w:t>realicen actividades de carácter productivo o recreativo donde las áreas se ven sujetas a constantes procesos de degradación. El proceso de ocupación irregular además de considerarse un problema característico en los países en vías de desarrollo y surgido de la necesidad de adquirir vivienda y caracterizado peculiarmente por una </w:t>
      </w:r>
      <w:r>
        <w:rPr>
          <w:spacing w:val="-3"/>
        </w:rPr>
        <w:t>densa </w:t>
      </w:r>
      <w:r>
        <w:rPr/>
        <w:t>proliferación de viviendas autoconstruidas, también tiende a generar importantes problemas de degradación ambiental en </w:t>
      </w:r>
      <w:r>
        <w:rPr>
          <w:spacing w:val="-4"/>
        </w:rPr>
        <w:t>el </w:t>
      </w:r>
      <w:r>
        <w:rPr/>
        <w:t>ecosistema</w:t>
      </w:r>
      <w:r>
        <w:rPr>
          <w:spacing w:val="-8"/>
        </w:rPr>
        <w:t> </w:t>
      </w:r>
      <w:r>
        <w:rPr/>
        <w:t>local.</w:t>
      </w:r>
    </w:p>
    <w:p>
      <w:pPr>
        <w:pStyle w:val="BodyText"/>
        <w:spacing w:line="360" w:lineRule="auto" w:before="163"/>
        <w:ind w:left="119" w:right="120"/>
        <w:jc w:val="both"/>
      </w:pPr>
      <w:r>
        <w:rPr/>
        <w:t>De esta manera, se puede señalar que las alteraciones al suelo de conservación por la paulatina urbanización, también gira en torno a dos principales problemáticas; por un lado, la pérdida de ecosistemas necesarios para la ciudad y por otro lado, la exposición de la población a sufrir algún tipo de riesgo natural. Este primer reconocimiento de la relación hombre-naturaleza y la perspectiva geográfica permite contextualizar el caso de estudio.</w:t>
      </w:r>
    </w:p>
    <w:p>
      <w:pPr>
        <w:pStyle w:val="BodyText"/>
        <w:spacing w:line="360" w:lineRule="auto" w:before="167"/>
        <w:ind w:left="119" w:right="121"/>
        <w:jc w:val="both"/>
      </w:pPr>
      <w:r>
        <w:rPr/>
        <w:t>En las siguientes líneas se presenta el marco legal de la vivienda y el suelo de conservación en el Distrito Federal. En él se abordan el papel de la política urbano-ambiental en el control de la ocupación ilegal en suelo de conservación ecológica, así como la evolución de las políticas ambientales, así como la estructura jurídica y organización administrativa para la regulación de los asentamientos humanos.</w:t>
      </w:r>
    </w:p>
    <w:p>
      <w:pPr>
        <w:spacing w:after="0" w:line="360" w:lineRule="auto"/>
        <w:jc w:val="both"/>
        <w:sectPr>
          <w:pgSz w:w="12240" w:h="15840"/>
          <w:pgMar w:top="1360" w:bottom="280" w:left="1580" w:right="1580"/>
        </w:sectPr>
      </w:pPr>
    </w:p>
    <w:p>
      <w:pPr>
        <w:pStyle w:val="Heading1"/>
        <w:numPr>
          <w:ilvl w:val="2"/>
          <w:numId w:val="11"/>
        </w:numPr>
        <w:tabs>
          <w:tab w:pos="620" w:val="left" w:leader="none"/>
        </w:tabs>
        <w:spacing w:line="240" w:lineRule="auto" w:before="52" w:after="0"/>
        <w:ind w:left="119" w:right="0" w:firstLine="0"/>
        <w:jc w:val="both"/>
      </w:pPr>
      <w:bookmarkStart w:name="_bookmark20" w:id="33"/>
      <w:bookmarkEnd w:id="33"/>
      <w:r>
        <w:rPr>
          <w:b w:val="0"/>
        </w:rPr>
      </w:r>
      <w:bookmarkStart w:name="_bookmark20" w:id="34"/>
      <w:bookmarkEnd w:id="34"/>
      <w:r>
        <w:rPr/>
        <w:t>L</w:t>
      </w:r>
      <w:r>
        <w:rPr/>
        <w:t>ey General de Asentamientos</w:t>
      </w:r>
      <w:r>
        <w:rPr>
          <w:spacing w:val="-23"/>
        </w:rPr>
        <w:t> </w:t>
      </w:r>
      <w:r>
        <w:rPr/>
        <w:t>Humanos</w:t>
      </w:r>
    </w:p>
    <w:p>
      <w:pPr>
        <w:pStyle w:val="BodyText"/>
        <w:rPr>
          <w:b/>
        </w:rPr>
      </w:pPr>
    </w:p>
    <w:p>
      <w:pPr>
        <w:pStyle w:val="BodyText"/>
        <w:rPr>
          <w:b/>
          <w:sz w:val="19"/>
        </w:rPr>
      </w:pPr>
    </w:p>
    <w:p>
      <w:pPr>
        <w:pStyle w:val="BodyText"/>
        <w:spacing w:line="360" w:lineRule="auto" w:before="1"/>
        <w:ind w:left="119" w:right="125"/>
        <w:jc w:val="both"/>
      </w:pPr>
      <w:r>
        <w:rPr/>
        <w:t>La institucionalización de la Planeación Urbana en México inicio a partir de la publicación de la Ley General de Asentamientos Humanos (LGAH) y </w:t>
      </w:r>
      <w:r>
        <w:rPr>
          <w:spacing w:val="-4"/>
        </w:rPr>
        <w:t>el </w:t>
      </w:r>
      <w:r>
        <w:rPr/>
        <w:t>primer Plan Nacional de Desarrollo Urbano (Olivera, 2002, </w:t>
      </w:r>
      <w:r>
        <w:rPr>
          <w:spacing w:val="-3"/>
        </w:rPr>
        <w:t>p. </w:t>
      </w:r>
      <w:r>
        <w:rPr/>
        <w:t>169). El año 1976 marca </w:t>
      </w:r>
      <w:r>
        <w:rPr>
          <w:spacing w:val="-4"/>
        </w:rPr>
        <w:t>el </w:t>
      </w:r>
      <w:r>
        <w:rPr/>
        <w:t>inicio de la institucionalización con la promulgación de la LGAH. Con </w:t>
      </w:r>
      <w:r>
        <w:rPr>
          <w:spacing w:val="-3"/>
        </w:rPr>
        <w:t>ello, </w:t>
      </w:r>
      <w:r>
        <w:rPr/>
        <w:t>se favoreció </w:t>
      </w:r>
      <w:r>
        <w:rPr>
          <w:spacing w:val="-4"/>
        </w:rPr>
        <w:t>el </w:t>
      </w:r>
      <w:r>
        <w:rPr/>
        <w:t>establecimiento de las bases para crear leyes, planes y reglamentos urbanos. A pesar que en las principales ciudades del país </w:t>
      </w:r>
      <w:r>
        <w:rPr>
          <w:spacing w:val="-3"/>
        </w:rPr>
        <w:t>ya </w:t>
      </w:r>
      <w:r>
        <w:rPr/>
        <w:t>existían ordenamientos de esta naturaleza, </w:t>
      </w:r>
      <w:r>
        <w:rPr>
          <w:spacing w:val="-4"/>
        </w:rPr>
        <w:t>el </w:t>
      </w:r>
      <w:r>
        <w:rPr/>
        <w:t>desarrollo de esta </w:t>
      </w:r>
      <w:r>
        <w:rPr>
          <w:spacing w:val="-3"/>
        </w:rPr>
        <w:t>ley </w:t>
      </w:r>
      <w:r>
        <w:rPr>
          <w:spacing w:val="2"/>
        </w:rPr>
        <w:t>se </w:t>
      </w:r>
      <w:r>
        <w:rPr/>
        <w:t>consideró albergaría un mayor</w:t>
      </w:r>
      <w:r>
        <w:rPr>
          <w:spacing w:val="-20"/>
        </w:rPr>
        <w:t> </w:t>
      </w:r>
      <w:r>
        <w:rPr/>
        <w:t>impacto.</w:t>
      </w:r>
    </w:p>
    <w:p>
      <w:pPr>
        <w:pStyle w:val="BodyText"/>
        <w:spacing w:line="364" w:lineRule="auto" w:before="163"/>
        <w:ind w:left="119" w:right="40" w:firstLine="706"/>
      </w:pPr>
      <w:r>
        <w:rPr/>
        <w:t>La Ley General de Asentamientos Humanos en su artículo 2º define a un asentamiento humano como:</w:t>
      </w:r>
    </w:p>
    <w:p>
      <w:pPr>
        <w:spacing w:line="360" w:lineRule="auto" w:before="158"/>
        <w:ind w:left="119" w:right="119" w:firstLine="0"/>
        <w:jc w:val="both"/>
        <w:rPr>
          <w:i/>
          <w:sz w:val="22"/>
        </w:rPr>
      </w:pPr>
      <w:r>
        <w:rPr>
          <w:i/>
          <w:sz w:val="22"/>
        </w:rPr>
        <w:t>El establecimiento de un conglomerado demográfico, con el conjunto de sus sistemas de </w:t>
      </w:r>
      <w:r>
        <w:rPr>
          <w:i/>
          <w:sz w:val="22"/>
        </w:rPr>
        <w:t>convivencia, en un área físicamente localizada, considerando dentro de la misma los elementos naturales y las obras materiales que lo integran.</w:t>
      </w:r>
    </w:p>
    <w:p>
      <w:pPr>
        <w:pStyle w:val="BodyText"/>
        <w:spacing w:before="163"/>
        <w:ind w:left="825" w:right="40"/>
      </w:pPr>
      <w:r>
        <w:rPr/>
        <w:t>Y al respecto de la ocupación irregular, la misma ley menciona en su artículo 39 que:</w:t>
      </w:r>
    </w:p>
    <w:p>
      <w:pPr>
        <w:pStyle w:val="BodyText"/>
        <w:spacing w:before="1"/>
        <w:rPr>
          <w:sz w:val="25"/>
        </w:rPr>
      </w:pPr>
    </w:p>
    <w:p>
      <w:pPr>
        <w:spacing w:line="360" w:lineRule="auto" w:before="1"/>
        <w:ind w:left="119" w:right="115" w:firstLine="0"/>
        <w:jc w:val="both"/>
        <w:rPr>
          <w:i/>
          <w:sz w:val="22"/>
        </w:rPr>
      </w:pPr>
      <w:r>
        <w:rPr>
          <w:i/>
          <w:sz w:val="22"/>
        </w:rPr>
        <w:t>Para constituir, ampliar y delimitar la zona de urbanización ejidal y su reserva de crecimiento; así </w:t>
      </w:r>
      <w:r>
        <w:rPr>
          <w:i/>
          <w:sz w:val="22"/>
        </w:rPr>
        <w:t>como para regularizar la tenencia de predios en los que se hayan constituido asentamientos humanos irregulares, la asamblea ejidal o de comuneros respectiva deberá ajustarse a las disposiciones jurídicas locales de desarrollo urbano y a la zonificación contenida en los planes o programas aplicables en la materia. En estos casos, se requiere la autorización del municipio en que se encuentre ubicado el ejido o comunidad.</w:t>
      </w:r>
    </w:p>
    <w:p>
      <w:pPr>
        <w:pStyle w:val="BodyText"/>
        <w:spacing w:line="360" w:lineRule="auto" w:before="163"/>
        <w:ind w:left="119" w:right="123"/>
        <w:jc w:val="both"/>
      </w:pPr>
      <w:r>
        <w:rPr/>
        <w:t>Actualmente, la planeación urbana incorpora dimensiones tales como la política, la cultura y el tema ambiental. En el plano nacional, las ciudades más grandes presentan un mayor crecimiento urbano mostrando un déficit importante de terrenos adecuados para la construcción de la vivienda, infraestructura y equipamiento. No obstante, una de las características del crecimiento de las ciudades mexicanas ha sido el predominio de asentamientos irregulares sobre terrenos ejidales y comunales, y así también presentándose sobre zonas de conservación ecológica.</w:t>
      </w:r>
    </w:p>
    <w:p>
      <w:pPr>
        <w:spacing w:after="0" w:line="360" w:lineRule="auto"/>
        <w:jc w:val="both"/>
        <w:sectPr>
          <w:pgSz w:w="12240" w:h="15840"/>
          <w:pgMar w:top="1360" w:bottom="280" w:left="1580" w:right="1580"/>
        </w:sectPr>
      </w:pPr>
    </w:p>
    <w:p>
      <w:pPr>
        <w:pStyle w:val="Heading1"/>
        <w:numPr>
          <w:ilvl w:val="2"/>
          <w:numId w:val="11"/>
        </w:numPr>
        <w:tabs>
          <w:tab w:pos="620" w:val="left" w:leader="none"/>
        </w:tabs>
        <w:spacing w:line="240" w:lineRule="auto" w:before="52" w:after="0"/>
        <w:ind w:left="619" w:right="0" w:hanging="500"/>
        <w:jc w:val="both"/>
      </w:pPr>
      <w:bookmarkStart w:name="_bookmark21" w:id="35"/>
      <w:bookmarkEnd w:id="35"/>
      <w:r>
        <w:rPr>
          <w:b w:val="0"/>
        </w:rPr>
      </w:r>
      <w:bookmarkStart w:name="_bookmark21" w:id="36"/>
      <w:bookmarkEnd w:id="36"/>
      <w:r>
        <w:rPr>
          <w:spacing w:val="-3"/>
        </w:rPr>
        <w:t>M</w:t>
      </w:r>
      <w:r>
        <w:rPr>
          <w:spacing w:val="-3"/>
        </w:rPr>
        <w:t>arco </w:t>
      </w:r>
      <w:r>
        <w:rPr/>
        <w:t>legal de la vivienda y el suelo de conservación en el Distrito</w:t>
      </w:r>
      <w:r>
        <w:rPr>
          <w:spacing w:val="-21"/>
        </w:rPr>
        <w:t> </w:t>
      </w:r>
      <w:r>
        <w:rPr/>
        <w:t>Federal</w:t>
      </w:r>
    </w:p>
    <w:p>
      <w:pPr>
        <w:pStyle w:val="BodyText"/>
        <w:rPr>
          <w:b/>
        </w:rPr>
      </w:pPr>
    </w:p>
    <w:p>
      <w:pPr>
        <w:pStyle w:val="BodyText"/>
        <w:rPr>
          <w:b/>
          <w:sz w:val="19"/>
        </w:rPr>
      </w:pPr>
    </w:p>
    <w:p>
      <w:pPr>
        <w:pStyle w:val="BodyText"/>
        <w:spacing w:line="360" w:lineRule="auto" w:before="1"/>
        <w:ind w:left="119" w:right="98"/>
        <w:jc w:val="both"/>
      </w:pPr>
      <w:r>
        <w:rPr/>
        <w:t>La descripción de los procesos de ocupación del territorio es un paso esencial  para  su entendimiento, posibilitando su explicación con base en distintos tipos de factores con el objeto de generar elementos de intervención mediante alguna forma de ordenación del territorio. El aumento de la población y la expansión física de la Ciudad de México ha tenido impactos en la organización socioespacial y ambiental de la misma.</w:t>
      </w:r>
    </w:p>
    <w:p>
      <w:pPr>
        <w:pStyle w:val="BodyText"/>
        <w:spacing w:line="360" w:lineRule="auto" w:before="163"/>
        <w:ind w:left="119" w:right="100"/>
        <w:jc w:val="both"/>
      </w:pPr>
      <w:r>
        <w:rPr/>
        <w:t>El crecimiento urbano, tanto regular como irregular, es un proceso que se ha intensificado en el territorio. En este sentido, el desequilibrio entre asentamientos humanos y medio ambiente requiere de un análisis a la política urbana y ambiental del Gobierno del Distrito Federal. La ordenación territorial, como instrumento para regular y organizar el uso, ocupación y transformación del territorio con fines de aprovechamiento óptimo (Massiris, 2002 p. 2), es un proceso que implica la vinculación de factores políticos, económicos, sociales, culturales y ambientales para que éste sea exitoso (RIZOMA, 2008).</w:t>
      </w:r>
    </w:p>
    <w:p>
      <w:pPr>
        <w:pStyle w:val="BodyText"/>
        <w:spacing w:line="360" w:lineRule="auto" w:before="163"/>
        <w:ind w:left="119" w:right="102"/>
        <w:jc w:val="both"/>
      </w:pPr>
      <w:r>
        <w:rPr/>
        <w:t>Antes de abordar algunos de los lineamientos de los planes de desarrollo urbano a nivel federal y delegacional, es importante hacer un paréntesis acerca de la percepción internacional que tienen las comisiones para mitigar los problemas de acceso al suelo. Algunas medidas sugeridas por la Comisión para América Latina y el Caribe (CEPAL) y las cuales debería tomar el gobierno local para facilitar a personas de bajos ingresos el acceso al suelo son las siguientes:</w:t>
      </w:r>
    </w:p>
    <w:p>
      <w:pPr>
        <w:pStyle w:val="ListParagraph"/>
        <w:numPr>
          <w:ilvl w:val="3"/>
          <w:numId w:val="11"/>
        </w:numPr>
        <w:tabs>
          <w:tab w:pos="841" w:val="left" w:leader="none"/>
        </w:tabs>
        <w:spacing w:line="360" w:lineRule="auto" w:before="167" w:after="0"/>
        <w:ind w:left="840" w:right="104" w:hanging="360"/>
        <w:jc w:val="left"/>
        <w:rPr>
          <w:sz w:val="22"/>
        </w:rPr>
      </w:pPr>
      <w:r>
        <w:rPr>
          <w:sz w:val="22"/>
        </w:rPr>
        <w:t>Disponer y/o actualizar catastros de las tierras </w:t>
      </w:r>
      <w:r>
        <w:rPr>
          <w:spacing w:val="-3"/>
          <w:sz w:val="22"/>
        </w:rPr>
        <w:t>de </w:t>
      </w:r>
      <w:r>
        <w:rPr>
          <w:sz w:val="22"/>
        </w:rPr>
        <w:t>propiedad pública y privada para </w:t>
      </w:r>
      <w:r>
        <w:rPr>
          <w:spacing w:val="-3"/>
          <w:sz w:val="22"/>
        </w:rPr>
        <w:t>ver </w:t>
      </w:r>
      <w:r>
        <w:rPr>
          <w:sz w:val="22"/>
        </w:rPr>
        <w:t>posibilidades de consolidación de los</w:t>
      </w:r>
      <w:r>
        <w:rPr>
          <w:spacing w:val="-30"/>
          <w:sz w:val="22"/>
        </w:rPr>
        <w:t> </w:t>
      </w:r>
      <w:r>
        <w:rPr>
          <w:sz w:val="22"/>
        </w:rPr>
        <w:t>asentamientos;</w:t>
      </w:r>
    </w:p>
    <w:p>
      <w:pPr>
        <w:pStyle w:val="ListParagraph"/>
        <w:numPr>
          <w:ilvl w:val="3"/>
          <w:numId w:val="11"/>
        </w:numPr>
        <w:tabs>
          <w:tab w:pos="841" w:val="left" w:leader="none"/>
        </w:tabs>
        <w:spacing w:line="360" w:lineRule="auto" w:before="163" w:after="0"/>
        <w:ind w:left="840" w:right="104" w:hanging="360"/>
        <w:jc w:val="left"/>
        <w:rPr>
          <w:sz w:val="22"/>
        </w:rPr>
      </w:pPr>
      <w:r>
        <w:rPr>
          <w:sz w:val="22"/>
        </w:rPr>
        <w:t>Anticipar las necesidades de tierra urbanizada futura incorporándola en la agenda urbana y los planes de ordenamiento del</w:t>
      </w:r>
      <w:r>
        <w:rPr>
          <w:spacing w:val="-19"/>
          <w:sz w:val="22"/>
        </w:rPr>
        <w:t> </w:t>
      </w:r>
      <w:r>
        <w:rPr>
          <w:sz w:val="22"/>
        </w:rPr>
        <w:t>municipio;</w:t>
      </w:r>
    </w:p>
    <w:p>
      <w:pPr>
        <w:pStyle w:val="ListParagraph"/>
        <w:numPr>
          <w:ilvl w:val="3"/>
          <w:numId w:val="11"/>
        </w:numPr>
        <w:tabs>
          <w:tab w:pos="841" w:val="left" w:leader="none"/>
        </w:tabs>
        <w:spacing w:line="240" w:lineRule="auto" w:before="167" w:after="0"/>
        <w:ind w:left="840" w:right="0" w:hanging="360"/>
        <w:jc w:val="left"/>
        <w:rPr>
          <w:sz w:val="22"/>
        </w:rPr>
      </w:pPr>
      <w:r>
        <w:rPr>
          <w:sz w:val="22"/>
        </w:rPr>
        <w:t>Revisar reglamentaciones para incorporar y/o habilitar tierra para </w:t>
      </w:r>
      <w:r>
        <w:rPr>
          <w:spacing w:val="-3"/>
          <w:sz w:val="22"/>
        </w:rPr>
        <w:t>esos </w:t>
      </w:r>
      <w:r>
        <w:rPr>
          <w:sz w:val="22"/>
        </w:rPr>
        <w:t>grupos</w:t>
      </w:r>
      <w:r>
        <w:rPr>
          <w:spacing w:val="-16"/>
          <w:sz w:val="22"/>
        </w:rPr>
        <w:t> </w:t>
      </w:r>
      <w:r>
        <w:rPr>
          <w:sz w:val="22"/>
        </w:rPr>
        <w:t>urbanos;</w:t>
      </w:r>
    </w:p>
    <w:p>
      <w:pPr>
        <w:pStyle w:val="BodyText"/>
        <w:spacing w:before="9"/>
        <w:rPr>
          <w:sz w:val="24"/>
        </w:rPr>
      </w:pPr>
    </w:p>
    <w:p>
      <w:pPr>
        <w:pStyle w:val="ListParagraph"/>
        <w:numPr>
          <w:ilvl w:val="3"/>
          <w:numId w:val="11"/>
        </w:numPr>
        <w:tabs>
          <w:tab w:pos="841" w:val="left" w:leader="none"/>
        </w:tabs>
        <w:spacing w:line="360" w:lineRule="auto" w:before="0" w:after="0"/>
        <w:ind w:left="840" w:right="109" w:hanging="360"/>
        <w:jc w:val="left"/>
        <w:rPr>
          <w:sz w:val="22"/>
        </w:rPr>
      </w:pPr>
      <w:r>
        <w:rPr>
          <w:sz w:val="22"/>
        </w:rPr>
        <w:t>Prever procedimientos de subdivisión sencillos y de bajo costo para </w:t>
      </w:r>
      <w:r>
        <w:rPr>
          <w:spacing w:val="-3"/>
          <w:sz w:val="22"/>
        </w:rPr>
        <w:t>favorecer </w:t>
      </w:r>
      <w:r>
        <w:rPr>
          <w:sz w:val="22"/>
        </w:rPr>
        <w:t>su capital social y mitigar la expansión</w:t>
      </w:r>
      <w:r>
        <w:rPr>
          <w:spacing w:val="-10"/>
          <w:sz w:val="22"/>
        </w:rPr>
        <w:t> </w:t>
      </w:r>
      <w:r>
        <w:rPr>
          <w:sz w:val="22"/>
        </w:rPr>
        <w:t>urbana;</w:t>
      </w:r>
    </w:p>
    <w:p>
      <w:pPr>
        <w:pStyle w:val="ListParagraph"/>
        <w:numPr>
          <w:ilvl w:val="3"/>
          <w:numId w:val="11"/>
        </w:numPr>
        <w:tabs>
          <w:tab w:pos="841" w:val="left" w:leader="none"/>
        </w:tabs>
        <w:spacing w:line="364" w:lineRule="auto" w:before="163" w:after="0"/>
        <w:ind w:left="840" w:right="103" w:hanging="360"/>
        <w:jc w:val="left"/>
        <w:rPr>
          <w:sz w:val="22"/>
        </w:rPr>
      </w:pPr>
      <w:r>
        <w:rPr>
          <w:sz w:val="22"/>
        </w:rPr>
        <w:t>Optimizar y aumentar </w:t>
      </w:r>
      <w:r>
        <w:rPr>
          <w:spacing w:val="-3"/>
          <w:sz w:val="22"/>
        </w:rPr>
        <w:t>los </w:t>
      </w:r>
      <w:r>
        <w:rPr>
          <w:sz w:val="22"/>
        </w:rPr>
        <w:t>recursos para satisfacer la demanda de los asentamientos populares vía políticas fiscales que favorezcan a </w:t>
      </w:r>
      <w:r>
        <w:rPr>
          <w:spacing w:val="-3"/>
          <w:sz w:val="22"/>
        </w:rPr>
        <w:t>los </w:t>
      </w:r>
      <w:r>
        <w:rPr>
          <w:sz w:val="22"/>
        </w:rPr>
        <w:t>sectores económicos bajos</w:t>
      </w:r>
      <w:r>
        <w:rPr>
          <w:spacing w:val="-20"/>
          <w:sz w:val="22"/>
        </w:rPr>
        <w:t> </w:t>
      </w:r>
      <w:r>
        <w:rPr>
          <w:spacing w:val="-3"/>
          <w:sz w:val="22"/>
        </w:rPr>
        <w:t>y;</w:t>
      </w:r>
    </w:p>
    <w:p>
      <w:pPr>
        <w:pStyle w:val="ListParagraph"/>
        <w:numPr>
          <w:ilvl w:val="3"/>
          <w:numId w:val="11"/>
        </w:numPr>
        <w:tabs>
          <w:tab w:pos="840" w:val="left" w:leader="none"/>
          <w:tab w:pos="841" w:val="left" w:leader="none"/>
        </w:tabs>
        <w:spacing w:line="360" w:lineRule="auto" w:before="158" w:after="0"/>
        <w:ind w:left="840" w:right="108" w:hanging="360"/>
        <w:jc w:val="left"/>
        <w:rPr>
          <w:sz w:val="22"/>
        </w:rPr>
      </w:pPr>
      <w:r>
        <w:rPr>
          <w:sz w:val="22"/>
        </w:rPr>
        <w:t>Adecuar la estructura operativa de los municipios para habilitar y manejar </w:t>
      </w:r>
      <w:r>
        <w:rPr>
          <w:spacing w:val="-4"/>
          <w:sz w:val="22"/>
        </w:rPr>
        <w:t>el </w:t>
      </w:r>
      <w:r>
        <w:rPr>
          <w:sz w:val="22"/>
        </w:rPr>
        <w:t>suelo urbano articuladamente con todos los organismos y</w:t>
      </w:r>
      <w:r>
        <w:rPr>
          <w:spacing w:val="-27"/>
          <w:sz w:val="22"/>
        </w:rPr>
        <w:t> </w:t>
      </w:r>
      <w:r>
        <w:rPr>
          <w:sz w:val="22"/>
        </w:rPr>
        <w:t>niveles.</w:t>
      </w:r>
    </w:p>
    <w:p>
      <w:pPr>
        <w:spacing w:after="0" w:line="360" w:lineRule="auto"/>
        <w:jc w:val="left"/>
        <w:rPr>
          <w:sz w:val="22"/>
        </w:rPr>
        <w:sectPr>
          <w:pgSz w:w="12240" w:h="15840"/>
          <w:pgMar w:top="1360" w:bottom="280" w:left="1580" w:right="1600"/>
        </w:sectPr>
      </w:pPr>
    </w:p>
    <w:p>
      <w:pPr>
        <w:pStyle w:val="BodyText"/>
        <w:spacing w:line="360" w:lineRule="auto" w:before="52"/>
        <w:ind w:left="119" w:right="118"/>
        <w:jc w:val="both"/>
      </w:pPr>
      <w:r>
        <w:rPr/>
        <w:t>Los criterios institucionales para aplicar las regulaciones ambientales y de desarrollo urbano engloban diversas categorías dentro de la legislación urbana. En un primer momento, en </w:t>
      </w:r>
      <w:r>
        <w:rPr>
          <w:spacing w:val="-4"/>
        </w:rPr>
        <w:t>el </w:t>
      </w:r>
      <w:r>
        <w:rPr/>
        <w:t>suelo de conservación por su importancia ecológica se estableció como restricción para </w:t>
      </w:r>
      <w:r>
        <w:rPr>
          <w:spacing w:val="-4"/>
        </w:rPr>
        <w:t>el </w:t>
      </w:r>
      <w:r>
        <w:rPr/>
        <w:t>uso de suelo urbano, por sus características naturales y de sus ecosistemas. La legislación urbana en el Distrito Federal, aplicada a partir </w:t>
      </w:r>
      <w:r>
        <w:rPr>
          <w:spacing w:val="-3"/>
        </w:rPr>
        <w:t>de </w:t>
      </w:r>
      <w:r>
        <w:rPr/>
        <w:t>lo señalado en la Ley de Desarrollo Urbano de 1999 y su reglamento, establece como instrumentos básicos de planeación, los programas de desarrollo urbano, </w:t>
      </w:r>
      <w:r>
        <w:rPr>
          <w:spacing w:val="-2"/>
        </w:rPr>
        <w:t>mismos </w:t>
      </w:r>
      <w:r>
        <w:rPr/>
        <w:t>que </w:t>
      </w:r>
      <w:r>
        <w:rPr>
          <w:spacing w:val="2"/>
        </w:rPr>
        <w:t>se </w:t>
      </w:r>
      <w:r>
        <w:rPr/>
        <w:t>pueden clasificar en tres</w:t>
      </w:r>
      <w:r>
        <w:rPr>
          <w:spacing w:val="-24"/>
        </w:rPr>
        <w:t> </w:t>
      </w:r>
      <w:r>
        <w:rPr/>
        <w:t>niveles:</w:t>
      </w:r>
    </w:p>
    <w:p>
      <w:pPr>
        <w:pStyle w:val="ListParagraph"/>
        <w:numPr>
          <w:ilvl w:val="0"/>
          <w:numId w:val="12"/>
        </w:numPr>
        <w:tabs>
          <w:tab w:pos="840" w:val="left" w:leader="none"/>
          <w:tab w:pos="841" w:val="left" w:leader="none"/>
        </w:tabs>
        <w:spacing w:line="360" w:lineRule="auto" w:before="163" w:after="0"/>
        <w:ind w:left="840" w:right="117" w:hanging="360"/>
        <w:jc w:val="left"/>
        <w:rPr>
          <w:sz w:val="22"/>
        </w:rPr>
      </w:pPr>
      <w:r>
        <w:rPr>
          <w:sz w:val="22"/>
        </w:rPr>
        <w:t>En el primer nivel encontramos el </w:t>
      </w:r>
      <w:r>
        <w:rPr>
          <w:i/>
          <w:sz w:val="22"/>
        </w:rPr>
        <w:t>Programa General de Desarrollo Urbano del Distrito </w:t>
      </w:r>
      <w:r>
        <w:rPr>
          <w:i/>
          <w:sz w:val="22"/>
        </w:rPr>
        <w:t>Federal </w:t>
      </w:r>
      <w:r>
        <w:rPr>
          <w:sz w:val="22"/>
        </w:rPr>
        <w:t>(vigente, aprobado en</w:t>
      </w:r>
      <w:r>
        <w:rPr>
          <w:spacing w:val="-11"/>
          <w:sz w:val="22"/>
        </w:rPr>
        <w:t> </w:t>
      </w:r>
      <w:r>
        <w:rPr>
          <w:sz w:val="22"/>
        </w:rPr>
        <w:t>2003);</w:t>
      </w:r>
    </w:p>
    <w:p>
      <w:pPr>
        <w:pStyle w:val="ListParagraph"/>
        <w:numPr>
          <w:ilvl w:val="0"/>
          <w:numId w:val="12"/>
        </w:numPr>
        <w:tabs>
          <w:tab w:pos="840" w:val="left" w:leader="none"/>
          <w:tab w:pos="841" w:val="left" w:leader="none"/>
        </w:tabs>
        <w:spacing w:line="360" w:lineRule="auto" w:before="163" w:after="0"/>
        <w:ind w:left="840" w:right="130" w:hanging="360"/>
        <w:jc w:val="left"/>
        <w:rPr>
          <w:sz w:val="22"/>
        </w:rPr>
      </w:pPr>
      <w:r>
        <w:rPr>
          <w:sz w:val="22"/>
        </w:rPr>
        <w:t>En el segundo nivel </w:t>
      </w:r>
      <w:r>
        <w:rPr>
          <w:spacing w:val="2"/>
          <w:sz w:val="22"/>
        </w:rPr>
        <w:t>se </w:t>
      </w:r>
      <w:r>
        <w:rPr>
          <w:sz w:val="22"/>
        </w:rPr>
        <w:t>ubican los programas delegacionales (16 programas, uno por cada delegación)</w:t>
      </w:r>
      <w:r>
        <w:rPr>
          <w:spacing w:val="-4"/>
          <w:sz w:val="22"/>
        </w:rPr>
        <w:t> </w:t>
      </w:r>
      <w:r>
        <w:rPr>
          <w:spacing w:val="-3"/>
          <w:sz w:val="22"/>
        </w:rPr>
        <w:t>y;</w:t>
      </w:r>
    </w:p>
    <w:p>
      <w:pPr>
        <w:pStyle w:val="ListParagraph"/>
        <w:numPr>
          <w:ilvl w:val="0"/>
          <w:numId w:val="12"/>
        </w:numPr>
        <w:tabs>
          <w:tab w:pos="840" w:val="left" w:leader="none"/>
          <w:tab w:pos="841" w:val="left" w:leader="none"/>
        </w:tabs>
        <w:spacing w:line="360" w:lineRule="auto" w:before="167" w:after="0"/>
        <w:ind w:left="840" w:right="128" w:hanging="360"/>
        <w:jc w:val="left"/>
        <w:rPr>
          <w:sz w:val="22"/>
        </w:rPr>
      </w:pPr>
      <w:r>
        <w:rPr>
          <w:sz w:val="22"/>
        </w:rPr>
        <w:t>En un tercer nivel </w:t>
      </w:r>
      <w:r>
        <w:rPr>
          <w:spacing w:val="2"/>
          <w:sz w:val="22"/>
        </w:rPr>
        <w:t>se </w:t>
      </w:r>
      <w:r>
        <w:rPr>
          <w:sz w:val="22"/>
        </w:rPr>
        <w:t>ubican los programas parciales de desarrollo urbano, cuya planeación se establece con </w:t>
      </w:r>
      <w:r>
        <w:rPr>
          <w:spacing w:val="-3"/>
          <w:sz w:val="22"/>
        </w:rPr>
        <w:t>mayor</w:t>
      </w:r>
      <w:r>
        <w:rPr>
          <w:spacing w:val="-4"/>
          <w:sz w:val="22"/>
        </w:rPr>
        <w:t> </w:t>
      </w:r>
      <w:r>
        <w:rPr>
          <w:sz w:val="22"/>
        </w:rPr>
        <w:t>precisión.</w:t>
      </w:r>
    </w:p>
    <w:p>
      <w:pPr>
        <w:pStyle w:val="BodyText"/>
        <w:spacing w:line="360" w:lineRule="auto" w:before="163"/>
        <w:ind w:left="119" w:right="118"/>
        <w:jc w:val="both"/>
      </w:pPr>
      <w:r>
        <w:rPr/>
        <w:t>A lo anterior habría de sumarse un nivel de planeación superior a todos ellos, el </w:t>
      </w:r>
      <w:r>
        <w:rPr>
          <w:i/>
        </w:rPr>
        <w:t>Programa de </w:t>
      </w:r>
      <w:r>
        <w:rPr>
          <w:i/>
        </w:rPr>
        <w:t>Ordenación de la Zona Metropolitana del Valle de México </w:t>
      </w:r>
      <w:r>
        <w:rPr/>
        <w:t>(POZMVM), cuya versión oficial es de 1997 y su actualización en 2012; importante también, dado que desde el enfoque de la sustentabilidad ambiental del crecimiento urbano, prevé esquemas de integración metropolitana, cuyo medio natural es uno solo e integrado. Por su parte, el </w:t>
      </w:r>
      <w:r>
        <w:rPr>
          <w:i/>
        </w:rPr>
        <w:t>Programa General de Desarrollo </w:t>
      </w:r>
      <w:r>
        <w:rPr>
          <w:i/>
        </w:rPr>
        <w:t>Urbano del Distrito Federal </w:t>
      </w:r>
      <w:r>
        <w:rPr/>
        <w:t>establece como estrategia de desarrollo urbano y ordenamiento territorial la orientación prioritaria a la actuación de tratamientos específicos de suelo en diversas zonas con base en las políticas generales de desarrollo. Las áreas de actuación en suelo de conservación que clasifican se dividen en las siguientes subcategorías:</w:t>
      </w:r>
    </w:p>
    <w:p>
      <w:pPr>
        <w:pStyle w:val="ListParagraph"/>
        <w:numPr>
          <w:ilvl w:val="0"/>
          <w:numId w:val="12"/>
        </w:numPr>
        <w:tabs>
          <w:tab w:pos="840" w:val="left" w:leader="none"/>
          <w:tab w:pos="841" w:val="left" w:leader="none"/>
        </w:tabs>
        <w:spacing w:line="240" w:lineRule="auto" w:before="163" w:after="0"/>
        <w:ind w:left="840" w:right="0" w:hanging="360"/>
        <w:jc w:val="left"/>
        <w:rPr>
          <w:i/>
          <w:sz w:val="22"/>
        </w:rPr>
      </w:pPr>
      <w:r>
        <w:rPr>
          <w:i/>
          <w:sz w:val="22"/>
        </w:rPr>
        <w:t>De rescate</w:t>
      </w:r>
      <w:r>
        <w:rPr>
          <w:i/>
          <w:spacing w:val="-6"/>
          <w:sz w:val="22"/>
        </w:rPr>
        <w:t> </w:t>
      </w:r>
      <w:r>
        <w:rPr>
          <w:i/>
          <w:sz w:val="22"/>
        </w:rPr>
        <w:t>ecológico:</w:t>
      </w:r>
    </w:p>
    <w:p>
      <w:pPr>
        <w:pStyle w:val="BodyText"/>
        <w:spacing w:before="8"/>
        <w:rPr>
          <w:i/>
          <w:sz w:val="24"/>
        </w:rPr>
      </w:pPr>
    </w:p>
    <w:p>
      <w:pPr>
        <w:pStyle w:val="BodyText"/>
        <w:spacing w:line="360" w:lineRule="auto"/>
        <w:ind w:left="119" w:right="125"/>
        <w:jc w:val="both"/>
      </w:pPr>
      <w:r>
        <w:rPr/>
        <w:t>Son aquellas áreas cuyas condiciones naturales fueron alteradas por la presencia de usos inconvenientes o por el manejo indebido de recursos naturales y requieren de acciones para restablecer, en lo posible, su situación original. En estas áreas se ubican generalmente, los asentamientos humanos irregulares. Las obras que se realicen en estos espacios se orientarán a restablecer el equilibrio ecológico y se apegarán a la normatividad establecida en el Programa General de Ordenamiento Ecológico del Distrito Federal (PGOEDF).</w:t>
      </w:r>
    </w:p>
    <w:p>
      <w:pPr>
        <w:spacing w:after="0" w:line="360" w:lineRule="auto"/>
        <w:jc w:val="both"/>
        <w:sectPr>
          <w:pgSz w:w="12240" w:h="15840"/>
          <w:pgMar w:top="1360" w:bottom="280" w:left="1580" w:right="1580"/>
        </w:sectPr>
      </w:pPr>
    </w:p>
    <w:p>
      <w:pPr>
        <w:pStyle w:val="ListParagraph"/>
        <w:numPr>
          <w:ilvl w:val="0"/>
          <w:numId w:val="12"/>
        </w:numPr>
        <w:tabs>
          <w:tab w:pos="840" w:val="left" w:leader="none"/>
          <w:tab w:pos="841" w:val="left" w:leader="none"/>
        </w:tabs>
        <w:spacing w:line="240" w:lineRule="auto" w:before="52" w:after="0"/>
        <w:ind w:left="840" w:right="0" w:hanging="360"/>
        <w:jc w:val="left"/>
        <w:rPr>
          <w:i/>
          <w:sz w:val="22"/>
        </w:rPr>
      </w:pPr>
      <w:r>
        <w:rPr>
          <w:i/>
          <w:sz w:val="22"/>
        </w:rPr>
        <w:t>De preservación</w:t>
      </w:r>
      <w:r>
        <w:rPr>
          <w:i/>
          <w:spacing w:val="-6"/>
          <w:sz w:val="22"/>
        </w:rPr>
        <w:t> </w:t>
      </w:r>
      <w:r>
        <w:rPr>
          <w:i/>
          <w:sz w:val="22"/>
        </w:rPr>
        <w:t>ecológica:</w:t>
      </w:r>
    </w:p>
    <w:p>
      <w:pPr>
        <w:pStyle w:val="BodyText"/>
        <w:spacing w:before="1"/>
        <w:rPr>
          <w:i/>
          <w:sz w:val="25"/>
        </w:rPr>
      </w:pPr>
    </w:p>
    <w:p>
      <w:pPr>
        <w:pStyle w:val="BodyText"/>
        <w:spacing w:line="360" w:lineRule="auto" w:before="1"/>
        <w:ind w:left="119" w:right="100"/>
        <w:jc w:val="both"/>
      </w:pPr>
      <w:r>
        <w:rPr/>
        <w:t>Son extensiones naturales que no presentan alteraciones graves y que requieren medidas para el control del suelo, así como para desarrollar actividades compatibles con la función ambiental. No podrán realizarse obras y acciones de urbanización en estas áreas. Se regirán por la legislación ambiental federal, la Ley Ambiental del Distrito Federal y el PGOEDF.</w:t>
      </w:r>
    </w:p>
    <w:p>
      <w:pPr>
        <w:pStyle w:val="BodyText"/>
      </w:pPr>
    </w:p>
    <w:p>
      <w:pPr>
        <w:pStyle w:val="BodyText"/>
      </w:pPr>
    </w:p>
    <w:p>
      <w:pPr>
        <w:pStyle w:val="BodyText"/>
        <w:spacing w:before="4"/>
        <w:rPr>
          <w:sz w:val="17"/>
        </w:rPr>
      </w:pPr>
    </w:p>
    <w:p>
      <w:pPr>
        <w:pStyle w:val="BodyText"/>
        <w:spacing w:line="360" w:lineRule="auto"/>
        <w:ind w:left="119" w:right="104"/>
        <w:jc w:val="both"/>
      </w:pPr>
      <w:r>
        <w:rPr/>
        <w:t>No obstante, como menciona Aguilar (2009, pp.34-35), la zonificación que se deriva de la planeación ecológica muestra una regulación mucho más estricta basada en las características ecológicas y naturales de las diferentes zonas y aparentemente parece dejar de lado la complejidad social en el suelo de conservación, como es la presencia de asentamientos irregulares. Por ejemplo, se realiza en áreas homogéneas relacionadas a la capacidad de cada localidad para sostener actividades productivas, la recarga del acuífero, y la preservación de la biodiversidad.</w:t>
      </w:r>
    </w:p>
    <w:p>
      <w:pPr>
        <w:pStyle w:val="BodyText"/>
        <w:spacing w:line="360" w:lineRule="auto" w:before="163"/>
        <w:ind w:left="119" w:right="100"/>
        <w:jc w:val="both"/>
      </w:pPr>
      <w:r>
        <w:rPr/>
        <w:t>A nivel federal las medidas de carácter jurídico, administrativo y político para ordenar los asentamientos humanos en el territorio nacional, no han podido lograr un mejoramiento en la distribución espacial y en el reordenamiento territorial de la población. Por ello, el párrafo tercero del artículo 27 constitucional en su segunda parte dice:</w:t>
      </w:r>
    </w:p>
    <w:p>
      <w:pPr>
        <w:pStyle w:val="BodyText"/>
      </w:pPr>
    </w:p>
    <w:p>
      <w:pPr>
        <w:pStyle w:val="BodyText"/>
      </w:pPr>
    </w:p>
    <w:p>
      <w:pPr>
        <w:pStyle w:val="BodyText"/>
        <w:spacing w:before="4"/>
        <w:rPr>
          <w:sz w:val="17"/>
        </w:rPr>
      </w:pPr>
    </w:p>
    <w:p>
      <w:pPr>
        <w:pStyle w:val="BodyText"/>
        <w:spacing w:line="360" w:lineRule="auto"/>
        <w:ind w:left="825" w:right="108"/>
        <w:jc w:val="both"/>
      </w:pPr>
      <w:r>
        <w:rPr/>
        <w:t>[…] En consecuencia, se dictarán las medidas necesarias para ordenar los asentamientos humanos y establecer adecuadas provisiones, usos, reservas y destinos de tierras, aguas, y bosques, a efecto de ejecutar obras públicas y planear y regular la fundación, conservación, mejoramiento y crecimiento de los centros de población; para preservar y restaurar el equilibrio ecológico[….] (Citado en Pichardo, 2002).</w:t>
      </w:r>
    </w:p>
    <w:p>
      <w:pPr>
        <w:pStyle w:val="BodyText"/>
      </w:pPr>
    </w:p>
    <w:p>
      <w:pPr>
        <w:pStyle w:val="BodyText"/>
      </w:pPr>
    </w:p>
    <w:p>
      <w:pPr>
        <w:pStyle w:val="BodyText"/>
        <w:spacing w:before="4"/>
        <w:rPr>
          <w:sz w:val="17"/>
        </w:rPr>
      </w:pPr>
    </w:p>
    <w:p>
      <w:pPr>
        <w:pStyle w:val="BodyText"/>
        <w:spacing w:line="360" w:lineRule="auto"/>
        <w:ind w:left="119" w:right="102"/>
        <w:jc w:val="both"/>
      </w:pPr>
      <w:r>
        <w:rPr/>
        <w:t>También se creó una secretaría encargada de esa tarea, que se denominó Secretaría de Asentamientos Humanos y Obras Públicas (SAHOP). El Gobierno Federal ha  implantado programas destinados a disminuir la concentración demográfica, económica y social como parte fundamental del desenvolvimiento del país.</w:t>
      </w:r>
    </w:p>
    <w:p>
      <w:pPr>
        <w:pStyle w:val="BodyText"/>
        <w:spacing w:line="360" w:lineRule="auto" w:before="168"/>
        <w:ind w:left="119" w:right="104"/>
        <w:jc w:val="both"/>
      </w:pPr>
      <w:r>
        <w:rPr/>
        <w:t>La agenda pública con temas relacionados a la vivienda y el crecimiento del Distrito Federal, correspondió al </w:t>
      </w:r>
      <w:r>
        <w:rPr>
          <w:i/>
        </w:rPr>
        <w:t>Bando 2 </w:t>
      </w:r>
      <w:r>
        <w:rPr/>
        <w:t>emitido en el año 2000 que informó a toda la población las medidas que habrían  de  tomarse  acerca  de  los  temas  más  apremiantes  para  la  ciudad  y  cuáles  serían   los</w:t>
      </w:r>
    </w:p>
    <w:p>
      <w:pPr>
        <w:spacing w:after="0" w:line="360" w:lineRule="auto"/>
        <w:jc w:val="both"/>
        <w:sectPr>
          <w:pgSz w:w="12240" w:h="15840"/>
          <w:pgMar w:top="1360" w:bottom="280" w:left="1580" w:right="1600"/>
        </w:sectPr>
      </w:pPr>
    </w:p>
    <w:p>
      <w:pPr>
        <w:pStyle w:val="BodyText"/>
        <w:spacing w:line="360" w:lineRule="auto" w:before="52"/>
        <w:ind w:left="119" w:right="125"/>
        <w:jc w:val="both"/>
      </w:pPr>
      <w:r>
        <w:rPr/>
        <w:t>instrumentos para su aplicación. Por un lado, se promovió la construcción en determinadas delegaciones políticas y, por otro, restringió el crecimiento en ciertas áreas de la ciudad (Tamayo, 2007 p.11). A la fecha, en el Distrito Federal existen 61 Programas Parciales, de los cuales 26 se encuentran en el suelo de conservación, mismos que permitieron en algunos casos la regularización del uso del suelo de los asentamientos humanos.</w:t>
      </w:r>
    </w:p>
    <w:p>
      <w:pPr>
        <w:pStyle w:val="BodyText"/>
        <w:spacing w:line="360" w:lineRule="auto" w:before="167"/>
        <w:ind w:left="119" w:right="121"/>
        <w:jc w:val="both"/>
      </w:pPr>
      <w:r>
        <w:rPr/>
        <w:t>La introducción de servicios públicos en el suelo de conservación </w:t>
      </w:r>
      <w:r>
        <w:rPr>
          <w:spacing w:val="-3"/>
        </w:rPr>
        <w:t>ha </w:t>
      </w:r>
      <w:r>
        <w:rPr/>
        <w:t>sido un factor clave para el crecimiento y consolidación de asentamientos irregulares que </w:t>
      </w:r>
      <w:r>
        <w:rPr>
          <w:spacing w:val="2"/>
        </w:rPr>
        <w:t>se </w:t>
      </w:r>
      <w:r>
        <w:rPr/>
        <w:t>sitúan en los límites con el suelo urbano. El suministro de luz eléctrica, primer servicio que </w:t>
      </w:r>
      <w:r>
        <w:rPr>
          <w:spacing w:val="2"/>
        </w:rPr>
        <w:t>se </w:t>
      </w:r>
      <w:r>
        <w:rPr/>
        <w:t>introduce generalmente, propicia la especulación de predios y por tanto, las expectativas de consolidación de </w:t>
      </w:r>
      <w:r>
        <w:rPr>
          <w:spacing w:val="-3"/>
        </w:rPr>
        <w:t>dichos </w:t>
      </w:r>
      <w:r>
        <w:rPr/>
        <w:t>asentamientos. Según datos de la PAOT (2010), </w:t>
      </w:r>
      <w:r>
        <w:rPr>
          <w:spacing w:val="-4"/>
        </w:rPr>
        <w:t>el </w:t>
      </w:r>
      <w:r>
        <w:rPr/>
        <w:t>30% de los 835 asentamientos identificados en suelo de conservación cuentan con los 4 servicios básicos de infraestructura (agua potable, energía eléctrica, alumbrado público y drenaje). El 50% solamente cuenta </w:t>
      </w:r>
      <w:r>
        <w:rPr>
          <w:spacing w:val="-3"/>
        </w:rPr>
        <w:t>con </w:t>
      </w:r>
      <w:r>
        <w:rPr/>
        <w:t>energía eléctrica y alumbrado público  y </w:t>
      </w:r>
      <w:r>
        <w:rPr>
          <w:spacing w:val="-4"/>
        </w:rPr>
        <w:t>el </w:t>
      </w:r>
      <w:r>
        <w:rPr/>
        <w:t>20% carece totalmente de algún tipo de servicio, salvo los que consiguen en forma</w:t>
      </w:r>
      <w:r>
        <w:rPr>
          <w:spacing w:val="-33"/>
        </w:rPr>
        <w:t> </w:t>
      </w:r>
      <w:r>
        <w:rPr/>
        <w:t>clandestina.</w:t>
      </w:r>
    </w:p>
    <w:p>
      <w:pPr>
        <w:pStyle w:val="BodyText"/>
        <w:spacing w:line="360" w:lineRule="auto" w:before="168"/>
        <w:ind w:left="119" w:right="117"/>
        <w:jc w:val="both"/>
      </w:pPr>
      <w:r>
        <w:rPr/>
        <w:t>La falta de aplicación de acciones de control en </w:t>
      </w:r>
      <w:r>
        <w:rPr>
          <w:spacing w:val="-3"/>
        </w:rPr>
        <w:t>los </w:t>
      </w:r>
      <w:r>
        <w:rPr/>
        <w:t>asentamientos humanos irregulares por parte de las autoridades generan el crecimiento desordenado hacia zonas boscosas, barrancas y de alto riesgo, lo que dificulta y encarece la introducción de servicios y condiciones de bienestar (PAOT, 2010). Siguiendo el Programa de Ordenamiento Ecológico del Distrito Federal, el 71.1% de la superficie del D.F. corresponde a suelo de conservación, del cual el 9.3% corresponde a Áreas Naturales</w:t>
      </w:r>
      <w:r>
        <w:rPr>
          <w:spacing w:val="-14"/>
        </w:rPr>
        <w:t> </w:t>
      </w:r>
      <w:r>
        <w:rPr/>
        <w:t>Protegidas.</w:t>
      </w:r>
    </w:p>
    <w:p>
      <w:pPr>
        <w:pStyle w:val="BodyText"/>
        <w:spacing w:line="360" w:lineRule="auto" w:before="163"/>
        <w:ind w:left="119" w:right="125"/>
        <w:jc w:val="both"/>
      </w:pPr>
      <w:r>
        <w:rPr/>
        <w:t>De acuerdo con las normas vigentes, la Secretaría del Medio Ambiente (SMA) administra el suelo de conservación a través del Programa General de Ordenamiento Ecológico del D.F (PGOEDF),  por otro, la Secretaría </w:t>
      </w:r>
      <w:r>
        <w:rPr>
          <w:spacing w:val="-3"/>
        </w:rPr>
        <w:t>de </w:t>
      </w:r>
      <w:r>
        <w:rPr/>
        <w:t>Desarrollo Urbano y Vivienda (SEDUVI) lo hace con el Programa General de Desarrollo Urbano del D.F. (PGDUDF) y los Programas de Desarrollo Urbano de las Delegaciones (PDDU), los cuales intervienen cada uno con sus respectivos lineamientos (Robles y Ojeda,</w:t>
      </w:r>
      <w:r>
        <w:rPr>
          <w:spacing w:val="-1"/>
        </w:rPr>
        <w:t> </w:t>
      </w:r>
      <w:r>
        <w:rPr/>
        <w:t>2011).</w:t>
      </w:r>
    </w:p>
    <w:p>
      <w:pPr>
        <w:pStyle w:val="BodyText"/>
        <w:spacing w:line="360" w:lineRule="auto" w:before="163"/>
        <w:ind w:left="119" w:right="120"/>
        <w:jc w:val="both"/>
      </w:pPr>
      <w:r>
        <w:rPr/>
        <w:t>No obstante —como lo mencionan Robles y Ojeda— existen una serie de contradicciones al respecto de los programas. Por un lado, los Programas de Desarrollo Urbano abarcan las zonas comprendidas dentro del suelo de conservación, en ocasiones en franca contraposición con el PGOEDF. De esta forma, los asentamientos irregulares que se encuentran dentro del suelo de conservación son responsabilidad de la SMA, la que no tiene facultades para el desarrollo de vivienda, limitando su acción al desalojo de los mismos. Por lo que, las anteriores inconsecuencias, además de mostrar también confusión institucional sobre lo que es y vale el suelo de   conservación,</w:t>
      </w:r>
    </w:p>
    <w:p>
      <w:pPr>
        <w:spacing w:after="0" w:line="360" w:lineRule="auto"/>
        <w:jc w:val="both"/>
        <w:sectPr>
          <w:pgSz w:w="12240" w:h="15840"/>
          <w:pgMar w:top="1360" w:bottom="280" w:left="1580" w:right="1580"/>
        </w:sectPr>
      </w:pPr>
    </w:p>
    <w:p>
      <w:pPr>
        <w:pStyle w:val="BodyText"/>
        <w:spacing w:line="360" w:lineRule="auto" w:before="52"/>
        <w:ind w:left="119" w:right="130"/>
        <w:jc w:val="both"/>
      </w:pPr>
      <w:r>
        <w:rPr/>
        <w:t>aporta su cuota de mala información social, al ofrecer, en el ejercicio  cotidiano,  información confusa (Robles y Ojeda, 2011).</w:t>
      </w:r>
    </w:p>
    <w:p>
      <w:pPr>
        <w:pStyle w:val="BodyText"/>
        <w:spacing w:line="360" w:lineRule="auto" w:before="168"/>
        <w:ind w:left="119" w:right="121"/>
        <w:jc w:val="both"/>
      </w:pPr>
      <w:r>
        <w:rPr/>
        <w:t>Continuando con esta misma línea, las autoras señalan otra condición subrayable referente a la propia legislación y administración: en materia de usos del suelo del Distrito Federal, donde se refleja cómo la naturaleza y el medio rural son percibidos como espacios territoriales distintos, ajenos uno al otro y sin interrelaciones, y por lo tanto, sin influencia de uno sobre el otro. En este mismo sentido, Gutiérrez (2009) considera que durante los últimos 30 años no se ha avanzado en una reconceptualización, por lo que existe una planeación </w:t>
      </w:r>
      <w:r>
        <w:rPr>
          <w:i/>
        </w:rPr>
        <w:t>vieja </w:t>
      </w:r>
      <w:r>
        <w:rPr/>
        <w:t>que fue concebida para una realidad distinta y al considerar los caóticos procesos urbanos contemporáneos, se afirma que el modelo de Planeación Urbana vigente ya no opera en un país que también es distinto.</w:t>
      </w:r>
    </w:p>
    <w:p>
      <w:pPr>
        <w:pStyle w:val="BodyText"/>
      </w:pPr>
    </w:p>
    <w:p>
      <w:pPr>
        <w:pStyle w:val="BodyText"/>
        <w:spacing w:before="5"/>
        <w:rPr>
          <w:sz w:val="31"/>
        </w:rPr>
      </w:pPr>
    </w:p>
    <w:p>
      <w:pPr>
        <w:pStyle w:val="Heading1"/>
        <w:numPr>
          <w:ilvl w:val="2"/>
          <w:numId w:val="11"/>
        </w:numPr>
        <w:tabs>
          <w:tab w:pos="620" w:val="left" w:leader="none"/>
        </w:tabs>
        <w:spacing w:line="259" w:lineRule="auto" w:before="0" w:after="0"/>
        <w:ind w:left="119" w:right="1422" w:firstLine="0"/>
        <w:jc w:val="left"/>
      </w:pPr>
      <w:bookmarkStart w:name="_bookmark22" w:id="37"/>
      <w:bookmarkEnd w:id="37"/>
      <w:r>
        <w:rPr>
          <w:b w:val="0"/>
        </w:rPr>
      </w:r>
      <w:bookmarkStart w:name="_bookmark22" w:id="38"/>
      <w:bookmarkEnd w:id="38"/>
      <w:r>
        <w:rPr/>
        <w:t>E</w:t>
      </w:r>
      <w:r>
        <w:rPr/>
        <w:t>structura jurídica y organización administrativa para la regulación de</w:t>
      </w:r>
      <w:r>
        <w:rPr>
          <w:spacing w:val="-34"/>
        </w:rPr>
        <w:t> </w:t>
      </w:r>
      <w:r>
        <w:rPr/>
        <w:t>los asentamientos humanos</w:t>
      </w:r>
      <w:r>
        <w:rPr>
          <w:spacing w:val="-18"/>
        </w:rPr>
        <w:t> </w:t>
      </w:r>
      <w:r>
        <w:rPr/>
        <w:t>irregulares</w:t>
      </w:r>
    </w:p>
    <w:p>
      <w:pPr>
        <w:pStyle w:val="BodyText"/>
        <w:rPr>
          <w:b/>
        </w:rPr>
      </w:pPr>
    </w:p>
    <w:p>
      <w:pPr>
        <w:pStyle w:val="BodyText"/>
        <w:spacing w:before="4"/>
        <w:rPr>
          <w:b/>
          <w:sz w:val="17"/>
        </w:rPr>
      </w:pPr>
    </w:p>
    <w:p>
      <w:pPr>
        <w:pStyle w:val="BodyText"/>
        <w:spacing w:line="360" w:lineRule="auto"/>
        <w:ind w:left="119" w:right="118"/>
        <w:jc w:val="both"/>
      </w:pPr>
      <w:r>
        <w:rPr/>
        <w:t>La elaboración de políticas que contengan medidas para planear y regular las manifestaciones de los procesos de urbanización resultan útiles para ofrecer soluciones a los problemas que se presentan cuando el desarrollo urbano rebasa los límites preexistentes en determinadas áreas. El ritmo creciente de la tasa demográfica de la Ciudad de México, la migración de los habitantes de las zonas conurbadas a la ciudad, son, entre otros factores, los hechos fundamentales que han ocasionado problemáticas importantes tales como insuficiencia de servicios públicos; viviendas sin las condiciones satisfactorias mínimas; contaminación ambiental; deterioro ecológico; entre otros.</w:t>
      </w:r>
    </w:p>
    <w:p>
      <w:pPr>
        <w:pStyle w:val="BodyText"/>
        <w:spacing w:line="360" w:lineRule="auto" w:before="163"/>
        <w:ind w:left="119" w:right="116"/>
        <w:jc w:val="both"/>
      </w:pPr>
      <w:r>
        <w:rPr/>
        <w:t>La </w:t>
      </w:r>
      <w:r>
        <w:rPr>
          <w:i/>
        </w:rPr>
        <w:t>Ley de Desarrollo Urbano del Distrito Federal </w:t>
      </w:r>
      <w:r>
        <w:rPr/>
        <w:t>publicada en la Gaceta Oficial del Distrito Federal el 11 de agosto de 2006 en su artículo 2° destaca como prioridad la mejora y calidad de vida de la población tanto urbana como rural. Para ello, es necesario, según consta en el apartado IV de </w:t>
      </w:r>
      <w:r>
        <w:rPr>
          <w:w w:val="100"/>
        </w:rPr>
        <w:t>di</w:t>
      </w:r>
      <w:r>
        <w:rPr>
          <w:w w:val="100"/>
        </w:rPr>
        <w:t>c</w:t>
      </w:r>
      <w:r>
        <w:rPr>
          <w:w w:val="100"/>
        </w:rPr>
        <w:t>ho</w:t>
      </w:r>
      <w:r>
        <w:rPr/>
        <w:t> </w:t>
      </w:r>
      <w:r>
        <w:rPr>
          <w:w w:val="100"/>
        </w:rPr>
        <w:t>a</w:t>
      </w:r>
      <w:r>
        <w:rPr>
          <w:w w:val="100"/>
        </w:rPr>
        <w:t>r</w:t>
      </w:r>
      <w:r>
        <w:rPr>
          <w:w w:val="100"/>
        </w:rPr>
        <w:t>tí</w:t>
      </w:r>
      <w:r>
        <w:rPr>
          <w:w w:val="100"/>
        </w:rPr>
        <w:t>c</w:t>
      </w:r>
      <w:r>
        <w:rPr>
          <w:w w:val="100"/>
        </w:rPr>
        <w:t>ul</w:t>
      </w:r>
      <w:r>
        <w:rPr>
          <w:w w:val="100"/>
        </w:rPr>
        <w:t>o,</w:t>
      </w:r>
      <w:r>
        <w:rPr/>
        <w:t> </w:t>
      </w:r>
      <w:r>
        <w:rPr>
          <w:w w:val="44"/>
        </w:rPr>
        <w:t>―</w:t>
      </w:r>
      <w:r>
        <w:rPr>
          <w:w w:val="100"/>
        </w:rPr>
        <w:t>e</w:t>
      </w:r>
      <w:r>
        <w:rPr>
          <w:w w:val="100"/>
        </w:rPr>
        <w:t>vi</w:t>
      </w:r>
      <w:r>
        <w:rPr>
          <w:w w:val="100"/>
        </w:rPr>
        <w:t>t</w:t>
      </w:r>
      <w:r>
        <w:rPr>
          <w:w w:val="100"/>
        </w:rPr>
        <w:t>a</w:t>
      </w:r>
      <w:r>
        <w:rPr>
          <w:w w:val="100"/>
        </w:rPr>
        <w:t>r</w:t>
      </w:r>
      <w:r>
        <w:rPr/>
        <w:t> </w:t>
      </w:r>
      <w:r>
        <w:rPr>
          <w:w w:val="100"/>
        </w:rPr>
        <w:t>l</w:t>
      </w:r>
      <w:r>
        <w:rPr>
          <w:w w:val="100"/>
        </w:rPr>
        <w:t>o</w:t>
      </w:r>
      <w:r>
        <w:rPr>
          <w:w w:val="100"/>
        </w:rPr>
        <w:t>s</w:t>
      </w:r>
      <w:r>
        <w:rPr/>
        <w:t> </w:t>
      </w:r>
      <w:r>
        <w:rPr>
          <w:w w:val="100"/>
        </w:rPr>
        <w:t>a</w:t>
      </w:r>
      <w:r>
        <w:rPr>
          <w:w w:val="100"/>
        </w:rPr>
        <w:t>s</w:t>
      </w:r>
      <w:r>
        <w:rPr>
          <w:w w:val="100"/>
        </w:rPr>
        <w:t>e</w:t>
      </w:r>
      <w:r>
        <w:rPr>
          <w:w w:val="100"/>
        </w:rPr>
        <w:t>n</w:t>
      </w:r>
      <w:r>
        <w:rPr>
          <w:w w:val="100"/>
        </w:rPr>
        <w:t>t</w:t>
      </w:r>
      <w:r>
        <w:rPr>
          <w:w w:val="100"/>
        </w:rPr>
        <w:t>a</w:t>
      </w:r>
      <w:r>
        <w:rPr>
          <w:w w:val="100"/>
        </w:rPr>
        <w:t>m</w:t>
      </w:r>
      <w:r>
        <w:rPr>
          <w:w w:val="100"/>
        </w:rPr>
        <w:t>i</w:t>
      </w:r>
      <w:r>
        <w:rPr>
          <w:w w:val="100"/>
        </w:rPr>
        <w:t>e</w:t>
      </w:r>
      <w:r>
        <w:rPr>
          <w:w w:val="100"/>
        </w:rPr>
        <w:t>n</w:t>
      </w:r>
      <w:r>
        <w:rPr>
          <w:w w:val="100"/>
        </w:rPr>
        <w:t>t</w:t>
      </w:r>
      <w:r>
        <w:rPr>
          <w:w w:val="100"/>
        </w:rPr>
        <w:t>o</w:t>
      </w:r>
      <w:r>
        <w:rPr>
          <w:w w:val="100"/>
        </w:rPr>
        <w:t>s</w:t>
      </w:r>
      <w:r>
        <w:rPr/>
        <w:t> </w:t>
      </w:r>
      <w:r>
        <w:rPr>
          <w:w w:val="100"/>
        </w:rPr>
        <w:t>hu</w:t>
      </w:r>
      <w:r>
        <w:rPr>
          <w:w w:val="100"/>
        </w:rPr>
        <w:t>m</w:t>
      </w:r>
      <w:r>
        <w:rPr>
          <w:w w:val="100"/>
        </w:rPr>
        <w:t>a</w:t>
      </w:r>
      <w:r>
        <w:rPr>
          <w:w w:val="100"/>
        </w:rPr>
        <w:t>no</w:t>
      </w:r>
      <w:r>
        <w:rPr>
          <w:w w:val="100"/>
        </w:rPr>
        <w:t>s</w:t>
      </w:r>
      <w:r>
        <w:rPr/>
        <w:t> </w:t>
      </w:r>
      <w:r>
        <w:rPr>
          <w:w w:val="100"/>
        </w:rPr>
        <w:t>e</w:t>
      </w:r>
      <w:r>
        <w:rPr>
          <w:w w:val="100"/>
        </w:rPr>
        <w:t>n</w:t>
      </w:r>
      <w:r>
        <w:rPr/>
        <w:t> </w:t>
      </w:r>
      <w:r>
        <w:rPr>
          <w:w w:val="100"/>
        </w:rPr>
        <w:t>l</w:t>
      </w:r>
      <w:r>
        <w:rPr>
          <w:w w:val="100"/>
        </w:rPr>
        <w:t>a</w:t>
      </w:r>
      <w:r>
        <w:rPr>
          <w:w w:val="100"/>
        </w:rPr>
        <w:t>s</w:t>
      </w:r>
      <w:r>
        <w:rPr/>
        <w:t> </w:t>
      </w:r>
      <w:r>
        <w:rPr>
          <w:w w:val="100"/>
        </w:rPr>
        <w:t>á</w:t>
      </w:r>
      <w:r>
        <w:rPr>
          <w:w w:val="100"/>
        </w:rPr>
        <w:t>r</w:t>
      </w:r>
      <w:r>
        <w:rPr>
          <w:w w:val="100"/>
        </w:rPr>
        <w:t>ea</w:t>
      </w:r>
      <w:r>
        <w:rPr>
          <w:w w:val="100"/>
        </w:rPr>
        <w:t>s</w:t>
      </w:r>
      <w:r>
        <w:rPr/>
        <w:t> </w:t>
      </w:r>
      <w:r>
        <w:rPr>
          <w:w w:val="100"/>
        </w:rPr>
        <w:t>de</w:t>
      </w:r>
      <w:r>
        <w:rPr/>
        <w:t> </w:t>
      </w:r>
      <w:r>
        <w:rPr>
          <w:w w:val="100"/>
        </w:rPr>
        <w:t>m</w:t>
      </w:r>
      <w:r>
        <w:rPr>
          <w:w w:val="100"/>
        </w:rPr>
        <w:t>a</w:t>
      </w:r>
      <w:r>
        <w:rPr>
          <w:w w:val="100"/>
        </w:rPr>
        <w:t>yor</w:t>
      </w:r>
      <w:r>
        <w:rPr/>
        <w:t> </w:t>
      </w:r>
      <w:r>
        <w:rPr>
          <w:w w:val="100"/>
        </w:rPr>
        <w:t>vu</w:t>
      </w:r>
      <w:r>
        <w:rPr>
          <w:w w:val="100"/>
        </w:rPr>
        <w:t>l</w:t>
      </w:r>
      <w:r>
        <w:rPr>
          <w:w w:val="100"/>
        </w:rPr>
        <w:t>ne</w:t>
      </w:r>
      <w:r>
        <w:rPr>
          <w:w w:val="100"/>
        </w:rPr>
        <w:t>r</w:t>
      </w:r>
      <w:r>
        <w:rPr>
          <w:w w:val="100"/>
        </w:rPr>
        <w:t>a</w:t>
      </w:r>
      <w:r>
        <w:rPr>
          <w:w w:val="100"/>
        </w:rPr>
        <w:t>bi</w:t>
      </w:r>
      <w:r>
        <w:rPr>
          <w:w w:val="100"/>
        </w:rPr>
        <w:t>li</w:t>
      </w:r>
      <w:r>
        <w:rPr>
          <w:w w:val="100"/>
        </w:rPr>
        <w:t>d</w:t>
      </w:r>
      <w:r>
        <w:rPr>
          <w:w w:val="100"/>
        </w:rPr>
        <w:t>a</w:t>
      </w:r>
      <w:r>
        <w:rPr>
          <w:w w:val="100"/>
        </w:rPr>
        <w:t>d,</w:t>
      </w:r>
      <w:r>
        <w:rPr/>
        <w:t> </w:t>
      </w:r>
      <w:r>
        <w:rPr>
          <w:w w:val="100"/>
        </w:rPr>
        <w:t>e</w:t>
      </w:r>
      <w:r>
        <w:rPr>
          <w:w w:val="100"/>
        </w:rPr>
        <w:t>n</w:t>
      </w:r>
      <w:r>
        <w:rPr/>
        <w:t> </w:t>
      </w:r>
      <w:r>
        <w:rPr>
          <w:w w:val="100"/>
        </w:rPr>
        <w:t>l</w:t>
      </w:r>
      <w:r>
        <w:rPr>
          <w:w w:val="100"/>
        </w:rPr>
        <w:t>a</w:t>
      </w:r>
      <w:r>
        <w:rPr>
          <w:w w:val="100"/>
        </w:rPr>
        <w:t>s</w:t>
      </w:r>
      <w:r>
        <w:rPr/>
        <w:t> </w:t>
      </w:r>
      <w:r>
        <w:rPr>
          <w:w w:val="100"/>
        </w:rPr>
        <w:t>á</w:t>
      </w:r>
      <w:r>
        <w:rPr>
          <w:w w:val="100"/>
        </w:rPr>
        <w:t>r</w:t>
      </w:r>
      <w:r>
        <w:rPr>
          <w:w w:val="100"/>
        </w:rPr>
        <w:t>ea</w:t>
      </w:r>
      <w:r>
        <w:rPr>
          <w:w w:val="100"/>
        </w:rPr>
        <w:t>s </w:t>
      </w:r>
      <w:r>
        <w:rPr/>
        <w:t>riesgosas y en las áreas de conservación‖. Sin embargo, el suelo de conservación continúa ocupándose por viviendas irregulares a pesar de las leyes existentes en desarrollo urbano, mismas que no han logrado permear el crecimiento de los asentamientos humanos en estas áreas.</w:t>
      </w:r>
    </w:p>
    <w:p>
      <w:pPr>
        <w:pStyle w:val="BodyText"/>
        <w:spacing w:line="360" w:lineRule="auto" w:before="163"/>
        <w:ind w:left="119" w:right="117"/>
        <w:jc w:val="both"/>
      </w:pPr>
      <w:r>
        <w:rPr/>
        <w:t>La regularización de los predios se ha considerado como una estrategia para evitar el crecimiento de los asentamientos y permitir a la población que vive en ellos goce de una mejor calidad de vida pues implica el suministro de los principales servicios urbanos. Sin embargo, se menciona que para que un predio sea considerado como consolidado y sea susceptible a su regularización, deberá  presentar</w:t>
      </w:r>
    </w:p>
    <w:p>
      <w:pPr>
        <w:spacing w:after="0" w:line="360" w:lineRule="auto"/>
        <w:jc w:val="both"/>
        <w:sectPr>
          <w:pgSz w:w="12240" w:h="15840"/>
          <w:pgMar w:top="1360" w:bottom="280" w:left="1580" w:right="1580"/>
        </w:sectPr>
      </w:pPr>
    </w:p>
    <w:p>
      <w:pPr>
        <w:pStyle w:val="BodyText"/>
        <w:spacing w:line="360" w:lineRule="auto" w:before="52"/>
        <w:ind w:left="119" w:right="103"/>
        <w:jc w:val="both"/>
      </w:pPr>
      <w:r>
        <w:rPr/>
        <w:t>una estructura urbana. La </w:t>
      </w:r>
      <w:r>
        <w:rPr>
          <w:i/>
        </w:rPr>
        <w:t>Ley de Desarrollo urbano </w:t>
      </w:r>
      <w:r>
        <w:rPr/>
        <w:t>(Citado en Fernández, 2009) señala que un predio debe estar compuesto por los siguientes elementos:</w:t>
      </w:r>
    </w:p>
    <w:p>
      <w:pPr>
        <w:pStyle w:val="BodyText"/>
      </w:pPr>
    </w:p>
    <w:p>
      <w:pPr>
        <w:pStyle w:val="BodyText"/>
      </w:pPr>
    </w:p>
    <w:p>
      <w:pPr>
        <w:pStyle w:val="BodyText"/>
        <w:spacing w:before="4"/>
        <w:rPr>
          <w:sz w:val="17"/>
        </w:rPr>
      </w:pPr>
    </w:p>
    <w:p>
      <w:pPr>
        <w:pStyle w:val="ListParagraph"/>
        <w:numPr>
          <w:ilvl w:val="0"/>
          <w:numId w:val="13"/>
        </w:numPr>
        <w:tabs>
          <w:tab w:pos="841" w:val="left" w:leader="none"/>
        </w:tabs>
        <w:spacing w:line="360" w:lineRule="auto" w:before="0" w:after="0"/>
        <w:ind w:left="840" w:right="107" w:hanging="360"/>
        <w:jc w:val="both"/>
        <w:rPr>
          <w:sz w:val="22"/>
        </w:rPr>
      </w:pPr>
      <w:r>
        <w:rPr>
          <w:sz w:val="22"/>
        </w:rPr>
        <w:t>Antigüedad de las construcciones: que tengan un origen no de invasión, </w:t>
      </w:r>
      <w:r>
        <w:rPr>
          <w:spacing w:val="-4"/>
          <w:sz w:val="22"/>
        </w:rPr>
        <w:t>es </w:t>
      </w:r>
      <w:r>
        <w:rPr>
          <w:sz w:val="22"/>
        </w:rPr>
        <w:t>decir, que haya sido producto de reubicaciones por parte del mismo gobierno, y no de compras fraudulentas y de terrenos que han pasado de generación en</w:t>
      </w:r>
      <w:r>
        <w:rPr>
          <w:spacing w:val="-23"/>
          <w:sz w:val="22"/>
        </w:rPr>
        <w:t> </w:t>
      </w:r>
      <w:r>
        <w:rPr>
          <w:sz w:val="22"/>
        </w:rPr>
        <w:t>generación.</w:t>
      </w:r>
    </w:p>
    <w:p>
      <w:pPr>
        <w:pStyle w:val="ListParagraph"/>
        <w:numPr>
          <w:ilvl w:val="0"/>
          <w:numId w:val="13"/>
        </w:numPr>
        <w:tabs>
          <w:tab w:pos="841" w:val="left" w:leader="none"/>
        </w:tabs>
        <w:spacing w:line="360" w:lineRule="auto" w:before="167" w:after="0"/>
        <w:ind w:left="840" w:right="104" w:hanging="360"/>
        <w:jc w:val="both"/>
        <w:rPr>
          <w:sz w:val="22"/>
        </w:rPr>
      </w:pPr>
      <w:r>
        <w:rPr>
          <w:sz w:val="22"/>
        </w:rPr>
        <w:t>Que no </w:t>
      </w:r>
      <w:r>
        <w:rPr>
          <w:spacing w:val="2"/>
          <w:sz w:val="22"/>
        </w:rPr>
        <w:t>se </w:t>
      </w:r>
      <w:r>
        <w:rPr>
          <w:sz w:val="22"/>
        </w:rPr>
        <w:t>altere el medio ambiente y que no causen impacto urbano trascendente. Las medidas de mitigación </w:t>
      </w:r>
      <w:r>
        <w:rPr>
          <w:spacing w:val="2"/>
          <w:sz w:val="22"/>
        </w:rPr>
        <w:t>son </w:t>
      </w:r>
      <w:r>
        <w:rPr>
          <w:sz w:val="22"/>
        </w:rPr>
        <w:t>aquellas condiciones que deben cumplir las personas físicas o morales, que construyan o modifiquen una obra con el fin de prevenir, o compensar las alteraciones o afectaciones al entorno</w:t>
      </w:r>
      <w:r>
        <w:rPr>
          <w:spacing w:val="-22"/>
          <w:sz w:val="22"/>
        </w:rPr>
        <w:t> </w:t>
      </w:r>
      <w:r>
        <w:rPr>
          <w:sz w:val="22"/>
        </w:rPr>
        <w:t>urbano.</w:t>
      </w:r>
    </w:p>
    <w:p>
      <w:pPr>
        <w:pStyle w:val="ListParagraph"/>
        <w:numPr>
          <w:ilvl w:val="0"/>
          <w:numId w:val="13"/>
        </w:numPr>
        <w:tabs>
          <w:tab w:pos="841" w:val="left" w:leader="none"/>
        </w:tabs>
        <w:spacing w:line="360" w:lineRule="auto" w:before="163" w:after="0"/>
        <w:ind w:left="840" w:right="107" w:hanging="360"/>
        <w:jc w:val="both"/>
        <w:rPr>
          <w:sz w:val="22"/>
        </w:rPr>
      </w:pPr>
      <w:r>
        <w:rPr>
          <w:sz w:val="22"/>
        </w:rPr>
        <w:t>Optimizar el ordenamiento territorial y el aprovechamiento del suelo propiciando la regulación, protección, recuperación y conservación de los elementos del paisaje</w:t>
      </w:r>
      <w:r>
        <w:rPr>
          <w:spacing w:val="-33"/>
          <w:sz w:val="22"/>
        </w:rPr>
        <w:t> </w:t>
      </w:r>
      <w:r>
        <w:rPr>
          <w:sz w:val="22"/>
        </w:rPr>
        <w:t>urbano.</w:t>
      </w:r>
    </w:p>
    <w:p>
      <w:pPr>
        <w:pStyle w:val="BodyText"/>
        <w:spacing w:line="352" w:lineRule="auto" w:before="168"/>
        <w:ind w:left="119" w:right="107"/>
        <w:jc w:val="both"/>
      </w:pPr>
      <w:r>
        <w:rPr/>
        <w:t>Para una mejor compresión de lo escrito anteriormente, el siguiente esquema expone el sistema de planeación del Distrito Federal conformado por una jerarquía de intervención en ámbitos territoriales, el más general le corresponde al Plan Director, conformado por el Programa General y los Parciales,</w:t>
      </w:r>
      <w:r>
        <w:rPr>
          <w:position w:val="10"/>
          <w:sz w:val="14"/>
        </w:rPr>
        <w:t>3 </w:t>
      </w:r>
      <w:r>
        <w:rPr/>
        <w:t>y en una segunda instancia las ZEDEC, asimismo los Programas Especiales y Sectoriales continúan en el siguiente nivel de planeación (Cruz, 2006).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1096;mso-wrap-distance-left:0;mso-wrap-distance-right:0" from="84.984001pt,9.373698pt" to="229.054001pt,9.373698pt" stroked="true" strokeweight=".71997pt" strokecolor="#000000">
            <w10:wrap type="topAndBottom"/>
          </v:line>
        </w:pict>
      </w:r>
    </w:p>
    <w:p>
      <w:pPr>
        <w:spacing w:before="52"/>
        <w:ind w:left="119" w:right="0" w:firstLine="0"/>
        <w:jc w:val="left"/>
        <w:rPr>
          <w:sz w:val="16"/>
        </w:rPr>
      </w:pPr>
      <w:r>
        <w:rPr>
          <w:position w:val="7"/>
          <w:sz w:val="10"/>
        </w:rPr>
        <w:t>3 </w:t>
      </w:r>
      <w:r>
        <w:rPr>
          <w:sz w:val="16"/>
        </w:rPr>
        <w:t>Referidos al que actualmente se denomina Programa Delegacional, el equivalente a un municipio.</w:t>
      </w:r>
    </w:p>
    <w:p>
      <w:pPr>
        <w:spacing w:after="0"/>
        <w:jc w:val="left"/>
        <w:rPr>
          <w:sz w:val="16"/>
        </w:rPr>
        <w:sectPr>
          <w:pgSz w:w="12240" w:h="15840"/>
          <w:pgMar w:top="1360" w:bottom="280" w:left="1580" w:right="1600"/>
        </w:sectPr>
      </w:pPr>
    </w:p>
    <w:p>
      <w:pPr>
        <w:spacing w:before="52"/>
        <w:ind w:left="2281" w:right="2346" w:firstLine="0"/>
        <w:jc w:val="center"/>
        <w:rPr>
          <w:b/>
          <w:sz w:val="20"/>
        </w:rPr>
      </w:pPr>
      <w:r>
        <w:rPr/>
        <w:pict>
          <v:group style="position:absolute;margin-left:77.625pt;margin-top:33.820934pt;width:438.75pt;height:393.75pt;mso-position-horizontal-relative:page;mso-position-vertical-relative:paragraph;z-index:1360" coordorigin="1553,676" coordsize="8775,7875">
            <v:shape style="position:absolute;left:1553;top:7816;width:5325;height:735" type="#_x0000_t75" stroked="false">
              <v:imagedata r:id="rId8" o:title=""/>
            </v:shape>
            <v:shape style="position:absolute;left:2798;top:676;width:6450;height:569" type="#_x0000_t75" stroked="false">
              <v:imagedata r:id="rId9" o:title=""/>
            </v:shape>
            <v:shape style="position:absolute;left:1553;top:1816;width:4035;height:554" type="#_x0000_t75" stroked="false">
              <v:imagedata r:id="rId10" o:title=""/>
            </v:shape>
            <v:shape style="position:absolute;left:3959;top:1238;width:2;height:1755" coordorigin="3959,1238" coordsize="0,1755" path="m3959,1238l3959,1824m3959,2363l3959,2993e" filled="false" stroked="true" strokeweight=".75pt" strokecolor="#000000">
              <v:path arrowok="t"/>
            </v:shape>
            <v:shape style="position:absolute;left:7238;top:2475;width:3090;height:764" type="#_x0000_t75" stroked="false">
              <v:imagedata r:id="rId11" o:title=""/>
            </v:shape>
            <v:line style="position:absolute" from="3960,2992" to="7245,2992" stroked="true" strokeweight=".75pt" strokecolor="#000000"/>
            <v:shape style="position:absolute;left:7463;top:1740;width:2595;height:465" type="#_x0000_t75" stroked="false">
              <v:imagedata r:id="rId12" o:title=""/>
            </v:shape>
            <v:shape style="position:absolute;left:8729;top:1238;width:2;height:1245" coordorigin="8729,1238" coordsize="0,1245" path="m8729,1238l8729,1748m8729,2198l8729,2483e" filled="false" stroked="true" strokeweight=".75pt" strokecolor="#000000">
              <v:path arrowok="t"/>
            </v:shape>
            <v:shape style="position:absolute;left:6623;top:3465;width:3705;height:1035" type="#_x0000_t75" stroked="false">
              <v:imagedata r:id="rId13" o:title=""/>
            </v:shape>
            <v:line style="position:absolute" from="8729,3232" to="8729,3473" stroked="true" strokeweight=".75pt" strokecolor="#000000"/>
            <v:shape style="position:absolute;left:2438;top:4800;width:7215;height:555" type="#_x0000_t75" stroked="false">
              <v:imagedata r:id="rId14" o:title=""/>
            </v:shape>
            <v:line style="position:absolute" from="8729,4493" to="8729,4808" stroked="true" strokeweight=".75pt" strokecolor="#000000"/>
            <v:shape style="position:absolute;left:1553;top:3559;width:3120;height:806" type="#_x0000_t75" stroked="false">
              <v:imagedata r:id="rId15" o:title=""/>
            </v:shape>
            <v:line style="position:absolute" from="3119,4358" to="3119,4808" stroked="true" strokeweight=".75pt" strokecolor="#000000"/>
            <v:shape style="position:absolute;left:1823;top:5641;width:2850;height:1035" type="#_x0000_t75" stroked="false">
              <v:imagedata r:id="rId16" o:title=""/>
            </v:shape>
            <v:shape style="position:absolute;left:3119;top:5348;width:2;height:2476" coordorigin="3119,5348" coordsize="0,2476" path="m3119,5348l3119,5648m3119,6669l3119,7824e" filled="false" stroked="true" strokeweight=".75pt" strokecolor="#000000">
              <v:path arrowok="t"/>
            </v:shape>
            <v:rect style="position:absolute;left:8370;top:5724;width:720;height:2820" filled="false" stroked="true" strokeweight=".75pt" strokecolor="#000000"/>
            <v:shape style="position:absolute;left:8302;top:5871;width:850;height:2520" type="#_x0000_t75" stroked="false">
              <v:imagedata r:id="rId17" o:title=""/>
            </v:shape>
            <v:line style="position:absolute" from="8729,5348" to="8729,5723" stroked="true" strokeweight=".75pt" strokecolor="#000000"/>
            <v:shape style="position:absolute;left:5303;top:6196;width:1950;height:1035" type="#_x0000_t75" stroked="false">
              <v:imagedata r:id="rId18" o:title=""/>
            </v:shape>
            <v:shape style="position:absolute;left:4665;top:5348;width:3705;height:2476" coordorigin="4665,5348" coordsize="3705,2476" path="m8370,6668l7245,6668m6224,5348l6224,6203m4665,5963l8370,5963m5489,5964l5489,6204m6329,7224l6329,7824e" filled="false" stroked="true" strokeweight=".75pt" strokecolor="#000000">
              <v:path arrowok="t"/>
            </v:shape>
            <v:shapetype id="_x0000_t202" o:spt="202" coordsize="21600,21600" path="m,l,21600r21600,l21600,xe">
              <v:stroke joinstyle="miter"/>
              <v:path gradientshapeok="t" o:connecttype="rect"/>
            </v:shapetype>
            <v:shape style="position:absolute;left:3587;top:786;width:4868;height:221" type="#_x0000_t202" filled="false" stroked="false">
              <v:textbox inset="0,0,0,0">
                <w:txbxContent>
                  <w:p>
                    <w:pPr>
                      <w:spacing w:line="221" w:lineRule="exact" w:before="0"/>
                      <w:ind w:left="0" w:right="-4" w:firstLine="0"/>
                      <w:jc w:val="left"/>
                      <w:rPr>
                        <w:sz w:val="22"/>
                      </w:rPr>
                    </w:pPr>
                    <w:r>
                      <w:rPr>
                        <w:sz w:val="22"/>
                      </w:rPr>
                      <w:t>Constitución Política de los Estados Unidos</w:t>
                    </w:r>
                    <w:r>
                      <w:rPr>
                        <w:spacing w:val="-25"/>
                        <w:sz w:val="22"/>
                      </w:rPr>
                      <w:t> </w:t>
                    </w:r>
                    <w:r>
                      <w:rPr>
                        <w:sz w:val="22"/>
                      </w:rPr>
                      <w:t>Mexicanos</w:t>
                    </w:r>
                  </w:p>
                </w:txbxContent>
              </v:textbox>
              <w10:wrap type="none"/>
            </v:shape>
            <v:shape style="position:absolute;left:1709;top:1929;width:3613;height:221" type="#_x0000_t202" filled="false" stroked="false">
              <v:textbox inset="0,0,0,0">
                <w:txbxContent>
                  <w:p>
                    <w:pPr>
                      <w:spacing w:line="221" w:lineRule="exact" w:before="0"/>
                      <w:ind w:left="0" w:right="-8" w:firstLine="0"/>
                      <w:jc w:val="left"/>
                      <w:rPr>
                        <w:sz w:val="22"/>
                      </w:rPr>
                    </w:pPr>
                    <w:r>
                      <w:rPr>
                        <w:sz w:val="22"/>
                      </w:rPr>
                      <w:t>Ley General de Asentamientos</w:t>
                    </w:r>
                    <w:r>
                      <w:rPr>
                        <w:spacing w:val="-16"/>
                        <w:sz w:val="22"/>
                      </w:rPr>
                      <w:t> </w:t>
                    </w:r>
                    <w:r>
                      <w:rPr>
                        <w:sz w:val="22"/>
                      </w:rPr>
                      <w:t>Humanos</w:t>
                    </w:r>
                  </w:p>
                </w:txbxContent>
              </v:textbox>
              <w10:wrap type="none"/>
            </v:shape>
            <v:shape style="position:absolute;left:7952;top:1852;width:1622;height:221" type="#_x0000_t202" filled="false" stroked="false">
              <v:textbox inset="0,0,0,0">
                <w:txbxContent>
                  <w:p>
                    <w:pPr>
                      <w:spacing w:line="221" w:lineRule="exact" w:before="0"/>
                      <w:ind w:left="0" w:right="-14" w:firstLine="0"/>
                      <w:jc w:val="left"/>
                      <w:rPr>
                        <w:sz w:val="22"/>
                      </w:rPr>
                    </w:pPr>
                    <w:r>
                      <w:rPr>
                        <w:sz w:val="22"/>
                      </w:rPr>
                      <w:t>Ley de</w:t>
                    </w:r>
                    <w:r>
                      <w:rPr>
                        <w:spacing w:val="-9"/>
                        <w:sz w:val="22"/>
                      </w:rPr>
                      <w:t> </w:t>
                    </w:r>
                    <w:r>
                      <w:rPr>
                        <w:sz w:val="22"/>
                      </w:rPr>
                      <w:t>Planeación</w:t>
                    </w:r>
                  </w:p>
                </w:txbxContent>
              </v:textbox>
              <w10:wrap type="none"/>
            </v:shape>
            <v:shape style="position:absolute;left:7544;top:2592;width:2485;height:221" type="#_x0000_t202" filled="false" stroked="false">
              <v:textbox inset="0,0,0,0">
                <w:txbxContent>
                  <w:p>
                    <w:pPr>
                      <w:spacing w:line="221" w:lineRule="exact" w:before="0"/>
                      <w:ind w:left="0" w:right="-11" w:firstLine="0"/>
                      <w:jc w:val="left"/>
                      <w:rPr>
                        <w:sz w:val="22"/>
                      </w:rPr>
                    </w:pPr>
                    <w:r>
                      <w:rPr>
                        <w:sz w:val="22"/>
                      </w:rPr>
                      <w:t>Plan Nacional de</w:t>
                    </w:r>
                    <w:r>
                      <w:rPr>
                        <w:spacing w:val="-11"/>
                        <w:sz w:val="22"/>
                      </w:rPr>
                      <w:t> </w:t>
                    </w:r>
                    <w:r>
                      <w:rPr>
                        <w:sz w:val="22"/>
                      </w:rPr>
                      <w:t>Desarrollo</w:t>
                    </w:r>
                  </w:p>
                </w:txbxContent>
              </v:textbox>
              <w10:wrap type="none"/>
            </v:shape>
            <v:shape style="position:absolute;left:1800;top:3666;width:2631;height:501" type="#_x0000_t202" filled="false" stroked="false">
              <v:textbox inset="0,0,0,0">
                <w:txbxContent>
                  <w:p>
                    <w:pPr>
                      <w:spacing w:line="226" w:lineRule="exact" w:before="0"/>
                      <w:ind w:left="0" w:right="0" w:firstLine="0"/>
                      <w:jc w:val="center"/>
                      <w:rPr>
                        <w:sz w:val="22"/>
                      </w:rPr>
                    </w:pPr>
                    <w:r>
                      <w:rPr>
                        <w:sz w:val="22"/>
                      </w:rPr>
                      <w:t>Ley de Desarrollo Urbano del</w:t>
                    </w:r>
                  </w:p>
                  <w:p>
                    <w:pPr>
                      <w:spacing w:line="249" w:lineRule="exact" w:before="26"/>
                      <w:ind w:left="0" w:right="13" w:firstLine="0"/>
                      <w:jc w:val="center"/>
                      <w:rPr>
                        <w:sz w:val="22"/>
                      </w:rPr>
                    </w:pPr>
                    <w:r>
                      <w:rPr>
                        <w:sz w:val="22"/>
                      </w:rPr>
                      <w:t>Distrito Federal</w:t>
                    </w:r>
                  </w:p>
                </w:txbxContent>
              </v:textbox>
              <w10:wrap type="none"/>
            </v:shape>
            <v:shape style="position:absolute;left:6804;top:3570;width:3356;height:774" type="#_x0000_t202" filled="false" stroked="false">
              <v:textbox inset="0,0,0,0">
                <w:txbxContent>
                  <w:p>
                    <w:pPr>
                      <w:spacing w:line="226" w:lineRule="exact" w:before="0"/>
                      <w:ind w:left="122" w:right="134" w:firstLine="0"/>
                      <w:jc w:val="center"/>
                      <w:rPr>
                        <w:sz w:val="22"/>
                      </w:rPr>
                    </w:pPr>
                    <w:r>
                      <w:rPr>
                        <w:sz w:val="22"/>
                      </w:rPr>
                      <w:t>Programa de Desarrollo de la</w:t>
                    </w:r>
                    <w:r>
                      <w:rPr>
                        <w:spacing w:val="-9"/>
                        <w:sz w:val="22"/>
                      </w:rPr>
                      <w:t> </w:t>
                    </w:r>
                    <w:r>
                      <w:rPr>
                        <w:spacing w:val="-4"/>
                        <w:sz w:val="22"/>
                      </w:rPr>
                      <w:t>Zona</w:t>
                    </w:r>
                  </w:p>
                  <w:p>
                    <w:pPr>
                      <w:spacing w:line="264" w:lineRule="auto" w:before="21"/>
                      <w:ind w:left="-1" w:right="0" w:firstLine="0"/>
                      <w:jc w:val="center"/>
                      <w:rPr>
                        <w:sz w:val="22"/>
                      </w:rPr>
                    </w:pPr>
                    <w:r>
                      <w:rPr>
                        <w:sz w:val="22"/>
                      </w:rPr>
                      <w:t>Metropolitana de la ciudad de</w:t>
                    </w:r>
                    <w:r>
                      <w:rPr>
                        <w:spacing w:val="-9"/>
                        <w:sz w:val="22"/>
                      </w:rPr>
                      <w:t> </w:t>
                    </w:r>
                    <w:r>
                      <w:rPr>
                        <w:sz w:val="22"/>
                      </w:rPr>
                      <w:t>México y de la Región</w:t>
                    </w:r>
                    <w:r>
                      <w:rPr>
                        <w:spacing w:val="-8"/>
                        <w:sz w:val="22"/>
                      </w:rPr>
                      <w:t> </w:t>
                    </w:r>
                    <w:r>
                      <w:rPr>
                        <w:sz w:val="22"/>
                      </w:rPr>
                      <w:t>Centro</w:t>
                    </w:r>
                  </w:p>
                </w:txbxContent>
              </v:textbox>
              <w10:wrap type="none"/>
            </v:shape>
            <v:shape style="position:absolute;left:3390;top:4911;width:5303;height:221" type="#_x0000_t202" filled="false" stroked="false">
              <v:textbox inset="0,0,0,0">
                <w:txbxContent>
                  <w:p>
                    <w:pPr>
                      <w:spacing w:line="221" w:lineRule="exact" w:before="0"/>
                      <w:ind w:left="0" w:right="-3" w:firstLine="0"/>
                      <w:jc w:val="left"/>
                      <w:rPr>
                        <w:sz w:val="22"/>
                      </w:rPr>
                    </w:pPr>
                    <w:r>
                      <w:rPr>
                        <w:sz w:val="22"/>
                      </w:rPr>
                      <w:t>Programa Director de Desarrollo Urbano de Distrito</w:t>
                    </w:r>
                    <w:r>
                      <w:rPr>
                        <w:spacing w:val="-23"/>
                        <w:sz w:val="22"/>
                      </w:rPr>
                      <w:t> </w:t>
                    </w:r>
                    <w:r>
                      <w:rPr>
                        <w:sz w:val="22"/>
                      </w:rPr>
                      <w:t>Federal</w:t>
                    </w:r>
                  </w:p>
                </w:txbxContent>
              </v:textbox>
              <w10:wrap type="none"/>
            </v:shape>
            <v:shape style="position:absolute;left:2267;top:5751;width:1966;height:768" type="#_x0000_t202" filled="false" stroked="false">
              <v:textbox inset="0,0,0,0">
                <w:txbxContent>
                  <w:p>
                    <w:pPr>
                      <w:spacing w:line="225" w:lineRule="exact" w:before="0"/>
                      <w:ind w:left="0" w:right="-16" w:firstLine="52"/>
                      <w:jc w:val="left"/>
                      <w:rPr>
                        <w:sz w:val="22"/>
                      </w:rPr>
                    </w:pPr>
                    <w:r>
                      <w:rPr>
                        <w:sz w:val="22"/>
                      </w:rPr>
                      <w:t>Programa General de</w:t>
                    </w:r>
                  </w:p>
                  <w:p>
                    <w:pPr>
                      <w:spacing w:line="259" w:lineRule="auto" w:before="20"/>
                      <w:ind w:left="288" w:right="-16" w:hanging="288"/>
                      <w:jc w:val="left"/>
                      <w:rPr>
                        <w:sz w:val="22"/>
                      </w:rPr>
                    </w:pPr>
                    <w:r>
                      <w:rPr>
                        <w:sz w:val="22"/>
                      </w:rPr>
                      <w:t>Desarrollo Urbano</w:t>
                    </w:r>
                    <w:r>
                      <w:rPr>
                        <w:spacing w:val="-6"/>
                        <w:sz w:val="22"/>
                      </w:rPr>
                      <w:t> </w:t>
                    </w:r>
                    <w:r>
                      <w:rPr>
                        <w:sz w:val="22"/>
                      </w:rPr>
                      <w:t>del Distrito</w:t>
                    </w:r>
                    <w:r>
                      <w:rPr>
                        <w:spacing w:val="-8"/>
                        <w:sz w:val="22"/>
                      </w:rPr>
                      <w:t> </w:t>
                    </w:r>
                    <w:r>
                      <w:rPr>
                        <w:sz w:val="22"/>
                      </w:rPr>
                      <w:t>Federal</w:t>
                    </w:r>
                  </w:p>
                </w:txbxContent>
              </v:textbox>
              <w10:wrap type="none"/>
            </v:shape>
            <v:shape style="position:absolute;left:5536;top:6303;width:1479;height:795" type="#_x0000_t202" filled="false" stroked="false">
              <v:textbox inset="0,0,0,0">
                <w:txbxContent>
                  <w:p>
                    <w:pPr>
                      <w:spacing w:line="225" w:lineRule="exact" w:before="0"/>
                      <w:ind w:left="8" w:right="0" w:firstLine="0"/>
                      <w:jc w:val="center"/>
                      <w:rPr>
                        <w:sz w:val="22"/>
                      </w:rPr>
                    </w:pPr>
                    <w:r>
                      <w:rPr>
                        <w:sz w:val="22"/>
                      </w:rPr>
                      <w:t>Programas</w:t>
                    </w:r>
                  </w:p>
                  <w:p>
                    <w:pPr>
                      <w:spacing w:before="20"/>
                      <w:ind w:left="0" w:right="0" w:firstLine="0"/>
                      <w:jc w:val="center"/>
                      <w:rPr>
                        <w:sz w:val="22"/>
                      </w:rPr>
                    </w:pPr>
                    <w:r>
                      <w:rPr>
                        <w:sz w:val="22"/>
                      </w:rPr>
                      <w:t>Parciales</w:t>
                    </w:r>
                  </w:p>
                  <w:p>
                    <w:pPr>
                      <w:spacing w:line="265" w:lineRule="exact" w:before="31"/>
                      <w:ind w:left="0" w:right="0" w:firstLine="0"/>
                      <w:jc w:val="center"/>
                      <w:rPr>
                        <w:rFonts w:ascii="Calibri"/>
                        <w:sz w:val="22"/>
                      </w:rPr>
                    </w:pPr>
                    <w:r>
                      <w:rPr>
                        <w:spacing w:val="-1"/>
                        <w:sz w:val="22"/>
                      </w:rPr>
                      <w:t>(Delegacionales</w:t>
                    </w:r>
                    <w:r>
                      <w:rPr>
                        <w:rFonts w:ascii="Calibri"/>
                        <w:spacing w:val="-1"/>
                        <w:sz w:val="22"/>
                      </w:rPr>
                      <w:t>)</w:t>
                    </w:r>
                  </w:p>
                </w:txbxContent>
              </v:textbox>
              <w10:wrap type="none"/>
            </v:shape>
            <v:shape style="position:absolute;left:1810;top:7926;width:4815;height:500" type="#_x0000_t202" filled="false" stroked="false">
              <v:textbox inset="0,0,0,0">
                <w:txbxContent>
                  <w:p>
                    <w:pPr>
                      <w:spacing w:line="225" w:lineRule="exact" w:before="0"/>
                      <w:ind w:left="0" w:right="0" w:firstLine="0"/>
                      <w:jc w:val="center"/>
                      <w:rPr>
                        <w:sz w:val="22"/>
                      </w:rPr>
                    </w:pPr>
                    <w:r>
                      <w:rPr>
                        <w:sz w:val="22"/>
                      </w:rPr>
                      <w:t>Zonas Especiales de Desarrollo Controlado Programas</w:t>
                    </w:r>
                  </w:p>
                  <w:p>
                    <w:pPr>
                      <w:spacing w:line="249" w:lineRule="exact" w:before="25"/>
                      <w:ind w:left="0" w:right="18" w:firstLine="0"/>
                      <w:jc w:val="center"/>
                      <w:rPr>
                        <w:sz w:val="22"/>
                      </w:rPr>
                    </w:pPr>
                    <w:r>
                      <w:rPr>
                        <w:sz w:val="22"/>
                      </w:rPr>
                      <w:t>Especiales y Sectoriales</w:t>
                    </w:r>
                  </w:p>
                </w:txbxContent>
              </v:textbox>
              <w10:wrap type="none"/>
            </v:shape>
            <w10:wrap type="none"/>
          </v:group>
        </w:pict>
      </w:r>
      <w:r>
        <w:rPr>
          <w:b/>
          <w:sz w:val="20"/>
        </w:rPr>
        <w:t>Esquema 1. Planeación Urbana en el Distrito Federal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1"/>
        </w:rPr>
      </w:pPr>
    </w:p>
    <w:p>
      <w:pPr>
        <w:spacing w:before="0"/>
        <w:ind w:left="2275" w:right="2346" w:firstLine="0"/>
        <w:jc w:val="center"/>
        <w:rPr>
          <w:sz w:val="16"/>
        </w:rPr>
      </w:pPr>
      <w:r>
        <w:rPr/>
        <w:pict>
          <v:shape style="position:absolute;margin-left:422.886414pt;margin-top:-152.739334pt;width:27.2pt;height:115.5pt;mso-position-horizontal-relative:page;mso-position-vertical-relative:paragraph;z-index:1384" type="#_x0000_t202" filled="false" stroked="false">
            <v:textbox inset="0,0,0,0" style="layout-flow:vertical;mso-layout-flow-alt:bottom-to-top">
              <w:txbxContent>
                <w:p>
                  <w:pPr>
                    <w:pStyle w:val="BodyText"/>
                    <w:spacing w:line="268" w:lineRule="auto"/>
                    <w:ind w:left="658" w:right="18" w:hanging="639"/>
                  </w:pPr>
                  <w:r>
                    <w:rPr>
                      <w:spacing w:val="1"/>
                      <w:w w:val="100"/>
                    </w:rPr>
                    <w:t>S</w:t>
                  </w:r>
                  <w:r>
                    <w:rPr>
                      <w:w w:val="100"/>
                    </w:rPr>
                    <w:t>i</w:t>
                  </w:r>
                  <w:r>
                    <w:rPr>
                      <w:w w:val="100"/>
                    </w:rPr>
                    <w:t>s</w:t>
                  </w:r>
                  <w:r>
                    <w:rPr>
                      <w:spacing w:val="1"/>
                      <w:w w:val="100"/>
                    </w:rPr>
                    <w:t>t</w:t>
                  </w:r>
                  <w:r>
                    <w:rPr>
                      <w:spacing w:val="-2"/>
                      <w:w w:val="100"/>
                    </w:rPr>
                    <w:t>e</w:t>
                  </w:r>
                  <w:r>
                    <w:rPr>
                      <w:w w:val="100"/>
                    </w:rPr>
                    <w:t>ma</w:t>
                  </w:r>
                  <w:r>
                    <w:rPr>
                      <w:spacing w:val="-5"/>
                    </w:rPr>
                    <w:t> </w:t>
                  </w:r>
                  <w:r>
                    <w:rPr>
                      <w:w w:val="100"/>
                    </w:rPr>
                    <w:t>de</w:t>
                  </w:r>
                  <w:r>
                    <w:rPr/>
                    <w:t> </w:t>
                  </w:r>
                  <w:r>
                    <w:rPr>
                      <w:spacing w:val="-2"/>
                      <w:w w:val="100"/>
                    </w:rPr>
                    <w:t>I</w:t>
                  </w:r>
                  <w:r>
                    <w:rPr>
                      <w:w w:val="100"/>
                    </w:rPr>
                    <w:t>n</w:t>
                  </w:r>
                  <w:r>
                    <w:rPr>
                      <w:spacing w:val="-2"/>
                      <w:w w:val="100"/>
                    </w:rPr>
                    <w:t>f</w:t>
                  </w:r>
                  <w:r>
                    <w:rPr>
                      <w:w w:val="100"/>
                    </w:rPr>
                    <w:t>o</w:t>
                  </w:r>
                  <w:r>
                    <w:rPr>
                      <w:spacing w:val="-2"/>
                      <w:w w:val="100"/>
                    </w:rPr>
                    <w:t>r</w:t>
                  </w:r>
                  <w:r>
                    <w:rPr>
                      <w:w w:val="100"/>
                    </w:rPr>
                    <w:t>m</w:t>
                  </w:r>
                  <w:r>
                    <w:rPr>
                      <w:spacing w:val="-2"/>
                      <w:w w:val="100"/>
                    </w:rPr>
                    <w:t>ac</w:t>
                  </w:r>
                  <w:r>
                    <w:rPr>
                      <w:w w:val="100"/>
                    </w:rPr>
                    <w:t>ión</w:t>
                  </w:r>
                  <w:r>
                    <w:rPr>
                      <w:spacing w:val="2"/>
                    </w:rPr>
                    <w:t> </w:t>
                  </w:r>
                  <w:r>
                    <w:rPr>
                      <w:w w:val="100"/>
                    </w:rPr>
                    <w:t>y Ev</w:t>
                  </w:r>
                  <w:r>
                    <w:rPr>
                      <w:spacing w:val="-3"/>
                      <w:w w:val="100"/>
                    </w:rPr>
                    <w:t>a</w:t>
                  </w:r>
                  <w:r>
                    <w:rPr>
                      <w:w w:val="100"/>
                    </w:rPr>
                    <w:t>lu</w:t>
                  </w:r>
                  <w:r>
                    <w:rPr>
                      <w:spacing w:val="-2"/>
                      <w:w w:val="100"/>
                    </w:rPr>
                    <w:t>ac</w:t>
                  </w:r>
                  <w:r>
                    <w:rPr>
                      <w:w w:val="100"/>
                    </w:rPr>
                    <w:t>ión</w:t>
                  </w:r>
                </w:p>
              </w:txbxContent>
            </v:textbox>
            <w10:wrap type="none"/>
          </v:shape>
        </w:pict>
      </w:r>
      <w:r>
        <w:rPr>
          <w:sz w:val="16"/>
        </w:rPr>
        <w:t>Fuente: Cruz, M. (2006)</w:t>
      </w:r>
    </w:p>
    <w:p>
      <w:pPr>
        <w:pStyle w:val="BodyText"/>
        <w:rPr>
          <w:sz w:val="16"/>
        </w:rPr>
      </w:pPr>
    </w:p>
    <w:p>
      <w:pPr>
        <w:pStyle w:val="BodyText"/>
        <w:rPr>
          <w:sz w:val="16"/>
        </w:rPr>
      </w:pPr>
    </w:p>
    <w:p>
      <w:pPr>
        <w:pStyle w:val="BodyText"/>
        <w:spacing w:before="1"/>
        <w:rPr>
          <w:sz w:val="23"/>
        </w:rPr>
      </w:pPr>
    </w:p>
    <w:p>
      <w:pPr>
        <w:pStyle w:val="BodyText"/>
        <w:spacing w:line="362" w:lineRule="auto"/>
        <w:ind w:left="259" w:right="106"/>
        <w:jc w:val="both"/>
      </w:pPr>
      <w:r>
        <w:rPr/>
        <w:t>Los organismos encargados de la regulación e instrumentación de medidas para el control de la expansión de la </w:t>
      </w:r>
      <w:r>
        <w:rPr>
          <w:spacing w:val="-3"/>
        </w:rPr>
        <w:t>mancha </w:t>
      </w:r>
      <w:r>
        <w:rPr/>
        <w:t>urbana, en </w:t>
      </w:r>
      <w:r>
        <w:rPr>
          <w:spacing w:val="-4"/>
        </w:rPr>
        <w:t>el </w:t>
      </w:r>
      <w:r>
        <w:rPr/>
        <w:t>entendido de la dinámica del crecimiento de los  asentamientos y </w:t>
      </w:r>
      <w:r>
        <w:rPr>
          <w:spacing w:val="-3"/>
        </w:rPr>
        <w:t>los </w:t>
      </w:r>
      <w:r>
        <w:rPr/>
        <w:t>problemas que derivan de la ocupación ilegal en suelo de conservación, mencionan al</w:t>
      </w:r>
      <w:r>
        <w:rPr>
          <w:spacing w:val="-12"/>
        </w:rPr>
        <w:t> </w:t>
      </w:r>
      <w:r>
        <w:rPr/>
        <w:t>respecto:</w:t>
      </w:r>
    </w:p>
    <w:p>
      <w:pPr>
        <w:spacing w:after="0" w:line="362" w:lineRule="auto"/>
        <w:jc w:val="both"/>
        <w:sectPr>
          <w:pgSz w:w="12240" w:h="15840"/>
          <w:pgMar w:top="1360" w:bottom="280" w:left="1440" w:right="1600"/>
        </w:sectPr>
      </w:pPr>
    </w:p>
    <w:p>
      <w:pPr>
        <w:pStyle w:val="BodyText"/>
        <w:rPr>
          <w:sz w:val="20"/>
        </w:rPr>
      </w:pPr>
    </w:p>
    <w:p>
      <w:pPr>
        <w:pStyle w:val="BodyText"/>
        <w:spacing w:before="6"/>
        <w:rPr>
          <w:sz w:val="19"/>
        </w:rPr>
      </w:pPr>
    </w:p>
    <w:p>
      <w:pPr>
        <w:pStyle w:val="ListParagraph"/>
        <w:numPr>
          <w:ilvl w:val="0"/>
          <w:numId w:val="14"/>
        </w:numPr>
        <w:tabs>
          <w:tab w:pos="841" w:val="left" w:leader="none"/>
        </w:tabs>
        <w:spacing w:line="360" w:lineRule="auto" w:before="0" w:after="0"/>
        <w:ind w:left="840" w:right="99" w:hanging="360"/>
        <w:jc w:val="both"/>
        <w:rPr>
          <w:sz w:val="22"/>
        </w:rPr>
      </w:pPr>
      <w:r>
        <w:rPr>
          <w:sz w:val="22"/>
        </w:rPr>
        <w:t>Elaboración de Programas Especiales de Ordenamiento Territorial: El manejo integral de los asentamientos humanos con su entorno, </w:t>
      </w:r>
      <w:r>
        <w:rPr>
          <w:spacing w:val="2"/>
          <w:sz w:val="22"/>
        </w:rPr>
        <w:t>se </w:t>
      </w:r>
      <w:r>
        <w:rPr>
          <w:sz w:val="22"/>
        </w:rPr>
        <w:t>propone sea manejado a través de una herramienta de planeación alterna, priorizando zonas, regionalizando por medio de polígonos de ordenamiento, ejecutando acciones estratégicas integrales en suelo de conservación (PAOT,</w:t>
      </w:r>
      <w:r>
        <w:rPr>
          <w:spacing w:val="-10"/>
          <w:sz w:val="22"/>
        </w:rPr>
        <w:t> </w:t>
      </w:r>
      <w:r>
        <w:rPr>
          <w:sz w:val="22"/>
        </w:rPr>
        <w:t>2010).</w:t>
      </w:r>
    </w:p>
    <w:p>
      <w:pPr>
        <w:pStyle w:val="ListParagraph"/>
        <w:numPr>
          <w:ilvl w:val="0"/>
          <w:numId w:val="14"/>
        </w:numPr>
        <w:tabs>
          <w:tab w:pos="841" w:val="left" w:leader="none"/>
        </w:tabs>
        <w:spacing w:line="360" w:lineRule="auto" w:before="163" w:after="0"/>
        <w:ind w:left="840" w:right="102" w:hanging="360"/>
        <w:jc w:val="both"/>
        <w:rPr>
          <w:sz w:val="22"/>
        </w:rPr>
      </w:pPr>
      <w:r>
        <w:rPr>
          <w:sz w:val="22"/>
        </w:rPr>
        <w:t>Elaboración, aplicación y verificación de Programas Parciales y Normas Técnicas Complementarias: al definir la consolidación de asentamientos, </w:t>
      </w:r>
      <w:r>
        <w:rPr>
          <w:spacing w:val="-4"/>
          <w:sz w:val="22"/>
        </w:rPr>
        <w:t>es </w:t>
      </w:r>
      <w:r>
        <w:rPr>
          <w:sz w:val="22"/>
        </w:rPr>
        <w:t>conveniente la formulación de estos programas con la opinión especializada de delegaciones, SMA, SEDUVI, y PAOT, con el objeto de establecer los criterios y lineamientos específicos que pueden determinar su desarrollo adecuado y que permitan la preservación y aprovechamiento sustentable del suelo (PAOT,</w:t>
      </w:r>
      <w:r>
        <w:rPr>
          <w:spacing w:val="-18"/>
          <w:sz w:val="22"/>
        </w:rPr>
        <w:t> </w:t>
      </w:r>
      <w:r>
        <w:rPr>
          <w:sz w:val="22"/>
        </w:rPr>
        <w:t>2010).</w:t>
      </w:r>
    </w:p>
    <w:p>
      <w:pPr>
        <w:pStyle w:val="ListParagraph"/>
        <w:numPr>
          <w:ilvl w:val="0"/>
          <w:numId w:val="14"/>
        </w:numPr>
        <w:tabs>
          <w:tab w:pos="841" w:val="left" w:leader="none"/>
        </w:tabs>
        <w:spacing w:line="360" w:lineRule="auto" w:before="167" w:after="0"/>
        <w:ind w:left="840" w:right="99" w:hanging="360"/>
        <w:jc w:val="both"/>
        <w:rPr>
          <w:sz w:val="22"/>
        </w:rPr>
      </w:pPr>
      <w:r>
        <w:rPr>
          <w:sz w:val="22"/>
        </w:rPr>
        <w:t>Viabilidad en la suspensión o introducción de servicios y equipamiento: </w:t>
      </w:r>
      <w:r>
        <w:rPr>
          <w:spacing w:val="2"/>
          <w:sz w:val="22"/>
        </w:rPr>
        <w:t>se </w:t>
      </w:r>
      <w:r>
        <w:rPr>
          <w:spacing w:val="-3"/>
          <w:sz w:val="22"/>
        </w:rPr>
        <w:t>ha </w:t>
      </w:r>
      <w:r>
        <w:rPr>
          <w:sz w:val="22"/>
        </w:rPr>
        <w:t>comprobado que la introducción de servicios </w:t>
      </w:r>
      <w:r>
        <w:rPr>
          <w:spacing w:val="-3"/>
          <w:sz w:val="22"/>
        </w:rPr>
        <w:t>ha </w:t>
      </w:r>
      <w:r>
        <w:rPr>
          <w:sz w:val="22"/>
        </w:rPr>
        <w:t>detonado el crecimiento de asentamientos irregulares, lo cual complica la ejecución de acciones resolutivas y conlleva a la consolidación de los mismos, inclusive los ubicados en alto riesgo, barrancas, Áreas Naturales Protegidas y/o de alto valor</w:t>
      </w:r>
      <w:r>
        <w:rPr>
          <w:spacing w:val="-18"/>
          <w:sz w:val="22"/>
        </w:rPr>
        <w:t> </w:t>
      </w:r>
      <w:r>
        <w:rPr>
          <w:sz w:val="22"/>
        </w:rPr>
        <w:t>ambiental.</w:t>
      </w:r>
    </w:p>
    <w:p>
      <w:pPr>
        <w:pStyle w:val="BodyText"/>
        <w:spacing w:line="364" w:lineRule="auto" w:before="163"/>
        <w:ind w:left="119"/>
      </w:pPr>
      <w:r>
        <w:rPr/>
        <w:t>Se consideran como instrumentos de regulación y aplicación obligatoria, los ordenamientos siguientes:</w:t>
      </w:r>
    </w:p>
    <w:p>
      <w:pPr>
        <w:pStyle w:val="ListParagraph"/>
        <w:numPr>
          <w:ilvl w:val="0"/>
          <w:numId w:val="14"/>
        </w:numPr>
        <w:tabs>
          <w:tab w:pos="840" w:val="left" w:leader="none"/>
          <w:tab w:pos="841" w:val="left" w:leader="none"/>
        </w:tabs>
        <w:spacing w:line="240" w:lineRule="auto" w:before="158" w:after="0"/>
        <w:ind w:left="840" w:right="0" w:hanging="360"/>
        <w:jc w:val="left"/>
        <w:rPr>
          <w:sz w:val="22"/>
        </w:rPr>
      </w:pPr>
      <w:r>
        <w:rPr>
          <w:sz w:val="22"/>
        </w:rPr>
        <w:t>Ley General de Asentamientos</w:t>
      </w:r>
      <w:r>
        <w:rPr>
          <w:spacing w:val="-17"/>
          <w:sz w:val="22"/>
        </w:rPr>
        <w:t> </w:t>
      </w:r>
      <w:r>
        <w:rPr>
          <w:sz w:val="22"/>
        </w:rPr>
        <w:t>Humanos</w:t>
      </w:r>
    </w:p>
    <w:p>
      <w:pPr>
        <w:pStyle w:val="BodyText"/>
        <w:spacing w:before="9"/>
        <w:rPr>
          <w:sz w:val="24"/>
        </w:rPr>
      </w:pPr>
    </w:p>
    <w:p>
      <w:pPr>
        <w:pStyle w:val="ListParagraph"/>
        <w:numPr>
          <w:ilvl w:val="0"/>
          <w:numId w:val="14"/>
        </w:numPr>
        <w:tabs>
          <w:tab w:pos="840" w:val="left" w:leader="none"/>
          <w:tab w:pos="841" w:val="left" w:leader="none"/>
        </w:tabs>
        <w:spacing w:line="240" w:lineRule="auto" w:before="0" w:after="0"/>
        <w:ind w:left="840" w:right="0" w:hanging="360"/>
        <w:jc w:val="left"/>
        <w:rPr>
          <w:sz w:val="22"/>
        </w:rPr>
      </w:pPr>
      <w:r>
        <w:rPr>
          <w:sz w:val="22"/>
        </w:rPr>
        <w:t>Ley General de Equilibrio Ecológico y Protección al</w:t>
      </w:r>
      <w:r>
        <w:rPr>
          <w:spacing w:val="-26"/>
          <w:sz w:val="22"/>
        </w:rPr>
        <w:t> </w:t>
      </w:r>
      <w:r>
        <w:rPr>
          <w:sz w:val="22"/>
        </w:rPr>
        <w:t>Ambiente</w:t>
      </w:r>
    </w:p>
    <w:p>
      <w:pPr>
        <w:pStyle w:val="BodyText"/>
        <w:spacing w:before="1"/>
        <w:rPr>
          <w:sz w:val="25"/>
        </w:rPr>
      </w:pPr>
    </w:p>
    <w:p>
      <w:pPr>
        <w:pStyle w:val="ListParagraph"/>
        <w:numPr>
          <w:ilvl w:val="0"/>
          <w:numId w:val="14"/>
        </w:numPr>
        <w:tabs>
          <w:tab w:pos="840" w:val="left" w:leader="none"/>
          <w:tab w:pos="841" w:val="left" w:leader="none"/>
        </w:tabs>
        <w:spacing w:line="240" w:lineRule="auto" w:before="1" w:after="0"/>
        <w:ind w:left="840" w:right="0" w:hanging="360"/>
        <w:jc w:val="left"/>
        <w:rPr>
          <w:sz w:val="22"/>
        </w:rPr>
      </w:pPr>
      <w:r>
        <w:rPr>
          <w:sz w:val="22"/>
        </w:rPr>
        <w:t>Ley Orgánica de la Procuraduría Ambiental y del Ordenamiento</w:t>
      </w:r>
      <w:r>
        <w:rPr>
          <w:spacing w:val="-23"/>
          <w:sz w:val="22"/>
        </w:rPr>
        <w:t> </w:t>
      </w:r>
      <w:r>
        <w:rPr>
          <w:sz w:val="22"/>
        </w:rPr>
        <w:t>Territorial</w:t>
      </w:r>
    </w:p>
    <w:p>
      <w:pPr>
        <w:pStyle w:val="BodyText"/>
        <w:spacing w:before="8"/>
        <w:rPr>
          <w:sz w:val="24"/>
        </w:rPr>
      </w:pPr>
    </w:p>
    <w:p>
      <w:pPr>
        <w:pStyle w:val="ListParagraph"/>
        <w:numPr>
          <w:ilvl w:val="0"/>
          <w:numId w:val="14"/>
        </w:numPr>
        <w:tabs>
          <w:tab w:pos="840" w:val="left" w:leader="none"/>
          <w:tab w:pos="841" w:val="left" w:leader="none"/>
        </w:tabs>
        <w:spacing w:line="240" w:lineRule="auto" w:before="0" w:after="0"/>
        <w:ind w:left="840" w:right="0" w:hanging="360"/>
        <w:jc w:val="left"/>
        <w:rPr>
          <w:sz w:val="22"/>
        </w:rPr>
      </w:pPr>
      <w:r>
        <w:rPr>
          <w:sz w:val="22"/>
        </w:rPr>
        <w:t>Ley de Desarrollo Urbano del DF y su</w:t>
      </w:r>
      <w:r>
        <w:rPr>
          <w:spacing w:val="-12"/>
          <w:sz w:val="22"/>
        </w:rPr>
        <w:t> </w:t>
      </w:r>
      <w:r>
        <w:rPr>
          <w:sz w:val="22"/>
        </w:rPr>
        <w:t>Reglamento</w:t>
      </w:r>
    </w:p>
    <w:p>
      <w:pPr>
        <w:pStyle w:val="BodyText"/>
        <w:spacing w:before="9"/>
        <w:rPr>
          <w:sz w:val="24"/>
        </w:rPr>
      </w:pPr>
    </w:p>
    <w:p>
      <w:pPr>
        <w:pStyle w:val="ListParagraph"/>
        <w:numPr>
          <w:ilvl w:val="0"/>
          <w:numId w:val="14"/>
        </w:numPr>
        <w:tabs>
          <w:tab w:pos="840" w:val="left" w:leader="none"/>
          <w:tab w:pos="841" w:val="left" w:leader="none"/>
        </w:tabs>
        <w:spacing w:line="240" w:lineRule="auto" w:before="0" w:after="0"/>
        <w:ind w:left="840" w:right="0" w:hanging="360"/>
        <w:jc w:val="left"/>
        <w:rPr>
          <w:sz w:val="22"/>
        </w:rPr>
      </w:pPr>
      <w:r>
        <w:rPr>
          <w:sz w:val="22"/>
        </w:rPr>
        <w:t>Ley Ambiental del DF y su</w:t>
      </w:r>
      <w:r>
        <w:rPr>
          <w:spacing w:val="-15"/>
          <w:sz w:val="22"/>
        </w:rPr>
        <w:t> </w:t>
      </w:r>
      <w:r>
        <w:rPr>
          <w:sz w:val="22"/>
        </w:rPr>
        <w:t>Reglamento</w:t>
      </w:r>
    </w:p>
    <w:p>
      <w:pPr>
        <w:pStyle w:val="BodyText"/>
        <w:spacing w:before="1"/>
        <w:rPr>
          <w:sz w:val="25"/>
        </w:rPr>
      </w:pPr>
    </w:p>
    <w:p>
      <w:pPr>
        <w:pStyle w:val="ListParagraph"/>
        <w:numPr>
          <w:ilvl w:val="0"/>
          <w:numId w:val="14"/>
        </w:numPr>
        <w:tabs>
          <w:tab w:pos="840" w:val="left" w:leader="none"/>
          <w:tab w:pos="841" w:val="left" w:leader="none"/>
        </w:tabs>
        <w:spacing w:line="240" w:lineRule="auto" w:before="1" w:after="0"/>
        <w:ind w:left="840" w:right="0" w:hanging="360"/>
        <w:jc w:val="left"/>
        <w:rPr>
          <w:sz w:val="22"/>
        </w:rPr>
      </w:pPr>
      <w:r>
        <w:rPr>
          <w:sz w:val="22"/>
        </w:rPr>
        <w:t>Programa General de Desarrollo Urbano del</w:t>
      </w:r>
      <w:r>
        <w:rPr>
          <w:spacing w:val="-22"/>
          <w:sz w:val="22"/>
        </w:rPr>
        <w:t> </w:t>
      </w:r>
      <w:r>
        <w:rPr>
          <w:sz w:val="22"/>
        </w:rPr>
        <w:t>DF</w:t>
      </w:r>
    </w:p>
    <w:p>
      <w:pPr>
        <w:pStyle w:val="BodyText"/>
        <w:spacing w:before="8"/>
        <w:rPr>
          <w:sz w:val="24"/>
        </w:rPr>
      </w:pPr>
    </w:p>
    <w:p>
      <w:pPr>
        <w:pStyle w:val="ListParagraph"/>
        <w:numPr>
          <w:ilvl w:val="0"/>
          <w:numId w:val="14"/>
        </w:numPr>
        <w:tabs>
          <w:tab w:pos="840" w:val="left" w:leader="none"/>
          <w:tab w:pos="841" w:val="left" w:leader="none"/>
        </w:tabs>
        <w:spacing w:line="240" w:lineRule="auto" w:before="0" w:after="0"/>
        <w:ind w:left="840" w:right="0" w:hanging="360"/>
        <w:jc w:val="left"/>
        <w:rPr>
          <w:sz w:val="22"/>
        </w:rPr>
      </w:pPr>
      <w:r>
        <w:rPr>
          <w:sz w:val="22"/>
        </w:rPr>
        <w:t>Programas Delegacionales y Parciales del Desarrollo</w:t>
      </w:r>
      <w:r>
        <w:rPr>
          <w:spacing w:val="-26"/>
          <w:sz w:val="22"/>
        </w:rPr>
        <w:t> </w:t>
      </w:r>
      <w:r>
        <w:rPr>
          <w:sz w:val="22"/>
        </w:rPr>
        <w:t>Urbano</w:t>
      </w:r>
    </w:p>
    <w:p>
      <w:pPr>
        <w:pStyle w:val="BodyText"/>
        <w:spacing w:before="2"/>
        <w:rPr>
          <w:sz w:val="25"/>
        </w:rPr>
      </w:pPr>
    </w:p>
    <w:p>
      <w:pPr>
        <w:pStyle w:val="ListParagraph"/>
        <w:numPr>
          <w:ilvl w:val="0"/>
          <w:numId w:val="14"/>
        </w:numPr>
        <w:tabs>
          <w:tab w:pos="840" w:val="left" w:leader="none"/>
          <w:tab w:pos="841" w:val="left" w:leader="none"/>
        </w:tabs>
        <w:spacing w:line="240" w:lineRule="auto" w:before="0" w:after="0"/>
        <w:ind w:left="840" w:right="0" w:hanging="360"/>
        <w:jc w:val="left"/>
        <w:rPr>
          <w:sz w:val="22"/>
        </w:rPr>
      </w:pPr>
      <w:r>
        <w:rPr>
          <w:sz w:val="22"/>
        </w:rPr>
        <w:t>Programa General del Ordenamiento Ecológico</w:t>
      </w:r>
      <w:r>
        <w:rPr>
          <w:spacing w:val="-18"/>
          <w:sz w:val="22"/>
        </w:rPr>
        <w:t> </w:t>
      </w:r>
      <w:r>
        <w:rPr>
          <w:sz w:val="22"/>
        </w:rPr>
        <w:t>Urbano</w:t>
      </w:r>
    </w:p>
    <w:p>
      <w:pPr>
        <w:spacing w:after="0" w:line="240" w:lineRule="auto"/>
        <w:jc w:val="left"/>
        <w:rPr>
          <w:sz w:val="22"/>
        </w:rPr>
        <w:sectPr>
          <w:pgSz w:w="12240" w:h="15840"/>
          <w:pgMar w:top="1500" w:bottom="280" w:left="1580" w:right="1600"/>
        </w:sectPr>
      </w:pPr>
    </w:p>
    <w:p>
      <w:pPr>
        <w:pStyle w:val="Heading1"/>
        <w:numPr>
          <w:ilvl w:val="2"/>
          <w:numId w:val="11"/>
        </w:numPr>
        <w:tabs>
          <w:tab w:pos="620" w:val="left" w:leader="none"/>
        </w:tabs>
        <w:spacing w:line="240" w:lineRule="auto" w:before="52" w:after="0"/>
        <w:ind w:left="619" w:right="0" w:hanging="500"/>
        <w:jc w:val="both"/>
      </w:pPr>
      <w:bookmarkStart w:name="_bookmark23" w:id="39"/>
      <w:bookmarkEnd w:id="39"/>
      <w:r>
        <w:rPr>
          <w:b w:val="0"/>
        </w:rPr>
      </w:r>
      <w:bookmarkStart w:name="_bookmark23" w:id="40"/>
      <w:bookmarkEnd w:id="40"/>
      <w:r>
        <w:rPr/>
        <w:t>P</w:t>
      </w:r>
      <w:r>
        <w:rPr/>
        <w:t>rograma de vivienda en</w:t>
      </w:r>
      <w:r>
        <w:rPr>
          <w:spacing w:val="-20"/>
        </w:rPr>
        <w:t> </w:t>
      </w:r>
      <w:r>
        <w:rPr/>
        <w:t>riesgo</w:t>
      </w:r>
    </w:p>
    <w:p>
      <w:pPr>
        <w:pStyle w:val="BodyText"/>
        <w:rPr>
          <w:b/>
        </w:rPr>
      </w:pPr>
    </w:p>
    <w:p>
      <w:pPr>
        <w:pStyle w:val="BodyText"/>
        <w:rPr>
          <w:b/>
          <w:sz w:val="19"/>
        </w:rPr>
      </w:pPr>
    </w:p>
    <w:p>
      <w:pPr>
        <w:pStyle w:val="BodyText"/>
        <w:spacing w:line="360" w:lineRule="auto" w:before="1"/>
        <w:ind w:left="119" w:right="119"/>
        <w:jc w:val="both"/>
      </w:pPr>
      <w:r>
        <w:rPr/>
        <w:t>El crecimiento demográfico de las últimas décadas en la Ciudad de México, aunado a la falta de planeación urbana y ocupación irregular principalmente en el suelo de conservación, representa un problema importante para la población que concentra, porque además de ser espacios donde se reúnen elementos naturales importantes que aportan diversos servicios ambientales a la ciudad, se añaden la ocurrencia de eventos de carácter natural que exponen a la población que habita en estos espacios.</w:t>
      </w:r>
    </w:p>
    <w:p>
      <w:pPr>
        <w:pStyle w:val="BodyText"/>
        <w:spacing w:line="360" w:lineRule="auto" w:before="163"/>
        <w:ind w:left="119" w:right="119"/>
        <w:jc w:val="both"/>
      </w:pPr>
      <w:r>
        <w:rPr/>
        <w:t>En este caso, los asentamientos irregulares localizados en suelo de conservación y en áreas de peligro como barrancas, que además </w:t>
      </w:r>
      <w:r>
        <w:rPr>
          <w:spacing w:val="-3"/>
        </w:rPr>
        <w:t>de, </w:t>
      </w:r>
      <w:r>
        <w:rPr/>
        <w:t>aportar elementos naturales que proveen diversos servicios ambientales coma hábitat para </w:t>
      </w:r>
      <w:r>
        <w:rPr>
          <w:spacing w:val="-3"/>
        </w:rPr>
        <w:t>vida </w:t>
      </w:r>
      <w:r>
        <w:rPr/>
        <w:t>silvestre, biodiversidad, servicios paisajísticos y la regulación  de flujos pluviales que contribuyen significativamente al abastecimiento de </w:t>
      </w:r>
      <w:r>
        <w:rPr>
          <w:spacing w:val="-2"/>
        </w:rPr>
        <w:t>mantos </w:t>
      </w:r>
      <w:r>
        <w:rPr/>
        <w:t>acuíferos, regulación del </w:t>
      </w:r>
      <w:r>
        <w:rPr>
          <w:spacing w:val="-3"/>
        </w:rPr>
        <w:t>clima </w:t>
      </w:r>
      <w:r>
        <w:rPr/>
        <w:t>y la prevención de inundaciones; también son áreas que </w:t>
      </w:r>
      <w:r>
        <w:rPr>
          <w:spacing w:val="2"/>
        </w:rPr>
        <w:t>se </w:t>
      </w:r>
      <w:r>
        <w:rPr/>
        <w:t>han ido  deteriorando por la deforestación, erosión, contaminación, rellenos, y disminución de la biodiversidad, elementos originados por factores como el cambio de uso de suelo que en  su conjunto incrementan los niveles de</w:t>
      </w:r>
      <w:r>
        <w:rPr>
          <w:spacing w:val="-19"/>
        </w:rPr>
        <w:t> </w:t>
      </w:r>
      <w:r>
        <w:rPr/>
        <w:t>riesgo.</w:t>
      </w:r>
    </w:p>
    <w:p>
      <w:pPr>
        <w:pStyle w:val="BodyText"/>
        <w:spacing w:line="360" w:lineRule="auto" w:before="163"/>
        <w:ind w:left="119" w:right="118"/>
        <w:jc w:val="both"/>
      </w:pPr>
      <w:r>
        <w:rPr/>
        <w:t>En septiembre del año 2007 algunos de los asentamientos localizados en suelo de conservación sufrieron las consecuencias de los eventos meteorológicos </w:t>
      </w:r>
      <w:r>
        <w:rPr>
          <w:i/>
        </w:rPr>
        <w:t>Dean </w:t>
      </w:r>
      <w:r>
        <w:rPr/>
        <w:t>y </w:t>
      </w:r>
      <w:r>
        <w:rPr>
          <w:i/>
        </w:rPr>
        <w:t>Henriette</w:t>
      </w:r>
      <w:r>
        <w:rPr/>
        <w:t>, cuando las precipitaciones fluviales, que registraron niveles promedio de 193.7 mm durante todo el mes (dato obtenido con base a la información de la red climatológica del Servicio Meteorológico Nacional), causaron estragos a la población asentada en ellos, principalmente por inundaciones, procesos de remoción en masa e incluso pérdidas humanas (Ponce, 2008). De acuerdo con el Reporte de Protección Civil de la Asamblea Legislativa del Distrito Federal (ALDF) (Romero, G., et.al., 2007), durante estos eventos meteorológicos tan sólo en la delegación Álvaro Obregón en un día se registraron 25 derrumbes en distintos puntos y de diferentes dimensiones.</w:t>
      </w:r>
    </w:p>
    <w:p>
      <w:pPr>
        <w:pStyle w:val="BodyText"/>
        <w:spacing w:line="360" w:lineRule="auto" w:before="163"/>
        <w:ind w:left="119" w:right="116"/>
        <w:jc w:val="both"/>
      </w:pPr>
      <w:r>
        <w:rPr/>
        <w:t>Ante la grave situación provocada por </w:t>
      </w:r>
      <w:r>
        <w:rPr>
          <w:i/>
        </w:rPr>
        <w:t>Dean </w:t>
      </w:r>
      <w:r>
        <w:rPr/>
        <w:t>y </w:t>
      </w:r>
      <w:r>
        <w:rPr>
          <w:i/>
        </w:rPr>
        <w:t>Henriette</w:t>
      </w:r>
      <w:r>
        <w:rPr/>
        <w:t>, el gobierno del Distrito Federal decidió llevar a cabo distintas acciones destinadas a mitigar las afectaciones causadas en los asentamientos </w:t>
      </w:r>
      <w:r>
        <w:rPr>
          <w:spacing w:val="-4"/>
          <w:w w:val="100"/>
        </w:rPr>
        <w:t>i</w:t>
      </w:r>
      <w:r>
        <w:rPr>
          <w:spacing w:val="3"/>
          <w:w w:val="100"/>
        </w:rPr>
        <w:t>rr</w:t>
      </w:r>
      <w:r>
        <w:rPr>
          <w:spacing w:val="-2"/>
          <w:w w:val="100"/>
        </w:rPr>
        <w:t>e</w:t>
      </w:r>
      <w:r>
        <w:rPr>
          <w:spacing w:val="-5"/>
          <w:w w:val="100"/>
        </w:rPr>
        <w:t>g</w:t>
      </w:r>
      <w:r>
        <w:rPr>
          <w:w w:val="100"/>
        </w:rPr>
        <w:t>u</w:t>
      </w:r>
      <w:r>
        <w:rPr>
          <w:spacing w:val="-4"/>
          <w:w w:val="100"/>
        </w:rPr>
        <w:t>l</w:t>
      </w:r>
      <w:r>
        <w:rPr>
          <w:spacing w:val="2"/>
          <w:w w:val="100"/>
        </w:rPr>
        <w:t>a</w:t>
      </w:r>
      <w:r>
        <w:rPr>
          <w:spacing w:val="3"/>
          <w:w w:val="100"/>
        </w:rPr>
        <w:t>r</w:t>
      </w:r>
      <w:r>
        <w:rPr>
          <w:spacing w:val="-7"/>
          <w:w w:val="100"/>
        </w:rPr>
        <w:t>e</w:t>
      </w:r>
      <w:r>
        <w:rPr>
          <w:w w:val="100"/>
        </w:rPr>
        <w:t>s</w:t>
      </w:r>
      <w:r>
        <w:rPr/>
        <w:t> </w:t>
      </w:r>
      <w:r>
        <w:rPr>
          <w:spacing w:val="-4"/>
          <w:w w:val="100"/>
        </w:rPr>
        <w:t>m</w:t>
      </w:r>
      <w:r>
        <w:rPr>
          <w:spacing w:val="-2"/>
          <w:w w:val="100"/>
        </w:rPr>
        <w:t>e</w:t>
      </w:r>
      <w:r>
        <w:rPr>
          <w:w w:val="100"/>
        </w:rPr>
        <w:t>d</w:t>
      </w:r>
      <w:r>
        <w:rPr>
          <w:spacing w:val="-4"/>
          <w:w w:val="100"/>
        </w:rPr>
        <w:t>i</w:t>
      </w:r>
      <w:r>
        <w:rPr>
          <w:spacing w:val="7"/>
          <w:w w:val="100"/>
        </w:rPr>
        <w:t>a</w:t>
      </w:r>
      <w:r>
        <w:rPr>
          <w:spacing w:val="-5"/>
          <w:w w:val="100"/>
        </w:rPr>
        <w:t>n</w:t>
      </w:r>
      <w:r>
        <w:rPr>
          <w:spacing w:val="5"/>
          <w:w w:val="100"/>
        </w:rPr>
        <w:t>t</w:t>
      </w:r>
      <w:r>
        <w:rPr>
          <w:w w:val="100"/>
        </w:rPr>
        <w:t>e</w:t>
      </w:r>
      <w:r>
        <w:rPr/>
        <w:t> </w:t>
      </w:r>
      <w:r>
        <w:rPr>
          <w:w w:val="100"/>
        </w:rPr>
        <w:t>un</w:t>
      </w:r>
      <w:r>
        <w:rPr/>
        <w:t> </w:t>
      </w:r>
      <w:r>
        <w:rPr>
          <w:w w:val="100"/>
        </w:rPr>
        <w:t>p</w:t>
      </w:r>
      <w:r>
        <w:rPr>
          <w:spacing w:val="3"/>
          <w:w w:val="100"/>
        </w:rPr>
        <w:t>r</w:t>
      </w:r>
      <w:r>
        <w:rPr>
          <w:w w:val="100"/>
        </w:rPr>
        <w:t>o</w:t>
      </w:r>
      <w:r>
        <w:rPr>
          <w:spacing w:val="-5"/>
          <w:w w:val="100"/>
        </w:rPr>
        <w:t>g</w:t>
      </w:r>
      <w:r>
        <w:rPr>
          <w:spacing w:val="3"/>
          <w:w w:val="100"/>
        </w:rPr>
        <w:t>r</w:t>
      </w:r>
      <w:r>
        <w:rPr>
          <w:spacing w:val="7"/>
          <w:w w:val="100"/>
        </w:rPr>
        <w:t>a</w:t>
      </w:r>
      <w:r>
        <w:rPr>
          <w:spacing w:val="-9"/>
          <w:w w:val="100"/>
        </w:rPr>
        <w:t>m</w:t>
      </w:r>
      <w:r>
        <w:rPr>
          <w:w w:val="100"/>
        </w:rPr>
        <w:t>a</w:t>
      </w:r>
      <w:r>
        <w:rPr/>
        <w:t> </w:t>
      </w:r>
      <w:r>
        <w:rPr>
          <w:spacing w:val="-2"/>
          <w:w w:val="100"/>
        </w:rPr>
        <w:t>e</w:t>
      </w:r>
      <w:r>
        <w:rPr>
          <w:spacing w:val="-4"/>
          <w:w w:val="100"/>
        </w:rPr>
        <w:t>m</w:t>
      </w:r>
      <w:r>
        <w:rPr>
          <w:spacing w:val="-7"/>
          <w:w w:val="100"/>
        </w:rPr>
        <w:t>e</w:t>
      </w:r>
      <w:r>
        <w:rPr>
          <w:spacing w:val="7"/>
          <w:w w:val="100"/>
        </w:rPr>
        <w:t>r</w:t>
      </w:r>
      <w:r>
        <w:rPr>
          <w:w w:val="100"/>
        </w:rPr>
        <w:t>g</w:t>
      </w:r>
      <w:r>
        <w:rPr>
          <w:spacing w:val="-2"/>
          <w:w w:val="100"/>
        </w:rPr>
        <w:t>e</w:t>
      </w:r>
      <w:r>
        <w:rPr>
          <w:spacing w:val="-5"/>
          <w:w w:val="100"/>
        </w:rPr>
        <w:t>n</w:t>
      </w:r>
      <w:r>
        <w:rPr>
          <w:spacing w:val="5"/>
          <w:w w:val="100"/>
        </w:rPr>
        <w:t>t</w:t>
      </w:r>
      <w:r>
        <w:rPr>
          <w:w w:val="100"/>
        </w:rPr>
        <w:t>e</w:t>
      </w:r>
      <w:r>
        <w:rPr/>
        <w:t> </w:t>
      </w:r>
      <w:r>
        <w:rPr>
          <w:w w:val="100"/>
        </w:rPr>
        <w:t>d</w:t>
      </w:r>
      <w:r>
        <w:rPr>
          <w:spacing w:val="-2"/>
          <w:w w:val="100"/>
        </w:rPr>
        <w:t>e</w:t>
      </w:r>
      <w:r>
        <w:rPr>
          <w:w w:val="100"/>
        </w:rPr>
        <w:t>no</w:t>
      </w:r>
      <w:r>
        <w:rPr>
          <w:spacing w:val="-4"/>
          <w:w w:val="100"/>
        </w:rPr>
        <w:t>m</w:t>
      </w:r>
      <w:r>
        <w:rPr>
          <w:w w:val="100"/>
        </w:rPr>
        <w:t>i</w:t>
      </w:r>
      <w:r>
        <w:rPr>
          <w:spacing w:val="-5"/>
          <w:w w:val="100"/>
        </w:rPr>
        <w:t>n</w:t>
      </w:r>
      <w:r>
        <w:rPr>
          <w:spacing w:val="7"/>
          <w:w w:val="100"/>
        </w:rPr>
        <w:t>a</w:t>
      </w:r>
      <w:r>
        <w:rPr>
          <w:w w:val="100"/>
        </w:rPr>
        <w:t>do</w:t>
      </w:r>
      <w:r>
        <w:rPr/>
        <w:t> </w:t>
      </w:r>
      <w:r>
        <w:rPr>
          <w:spacing w:val="2"/>
          <w:w w:val="44"/>
        </w:rPr>
        <w:t>―</w:t>
      </w:r>
      <w:r>
        <w:rPr>
          <w:spacing w:val="-2"/>
          <w:w w:val="100"/>
        </w:rPr>
        <w:t>V</w:t>
      </w:r>
      <w:r>
        <w:rPr>
          <w:w w:val="100"/>
        </w:rPr>
        <w:t>i</w:t>
      </w:r>
      <w:r>
        <w:rPr>
          <w:spacing w:val="-5"/>
          <w:w w:val="100"/>
        </w:rPr>
        <w:t>v</w:t>
      </w:r>
      <w:r>
        <w:rPr>
          <w:w w:val="100"/>
        </w:rPr>
        <w:t>i</w:t>
      </w:r>
      <w:r>
        <w:rPr>
          <w:spacing w:val="-2"/>
          <w:w w:val="100"/>
        </w:rPr>
        <w:t>e</w:t>
      </w:r>
      <w:r>
        <w:rPr>
          <w:w w:val="100"/>
        </w:rPr>
        <w:t>n</w:t>
      </w:r>
      <w:r>
        <w:rPr>
          <w:spacing w:val="-5"/>
          <w:w w:val="100"/>
        </w:rPr>
        <w:t>d</w:t>
      </w:r>
      <w:r>
        <w:rPr>
          <w:w w:val="100"/>
        </w:rPr>
        <w:t>a</w:t>
      </w:r>
      <w:r>
        <w:rPr/>
        <w:t> </w:t>
      </w:r>
      <w:r>
        <w:rPr>
          <w:spacing w:val="-2"/>
          <w:w w:val="100"/>
        </w:rPr>
        <w:t>e</w:t>
      </w:r>
      <w:r>
        <w:rPr>
          <w:w w:val="100"/>
        </w:rPr>
        <w:t>n</w:t>
      </w:r>
      <w:r>
        <w:rPr/>
        <w:t> </w:t>
      </w:r>
      <w:r>
        <w:rPr>
          <w:spacing w:val="1"/>
          <w:w w:val="100"/>
        </w:rPr>
        <w:t>R</w:t>
      </w:r>
      <w:r>
        <w:rPr>
          <w:w w:val="100"/>
        </w:rPr>
        <w:t>i</w:t>
      </w:r>
      <w:r>
        <w:rPr>
          <w:spacing w:val="-7"/>
          <w:w w:val="100"/>
        </w:rPr>
        <w:t>e</w:t>
      </w:r>
      <w:r>
        <w:rPr>
          <w:spacing w:val="5"/>
          <w:w w:val="100"/>
        </w:rPr>
        <w:t>s</w:t>
      </w:r>
      <w:r>
        <w:rPr>
          <w:w w:val="113"/>
        </w:rPr>
        <w:t>go</w:t>
      </w:r>
      <w:r>
        <w:rPr>
          <w:spacing w:val="-2"/>
          <w:w w:val="113"/>
        </w:rPr>
        <w:t>‖</w:t>
      </w:r>
      <w:r>
        <w:rPr>
          <w:w w:val="100"/>
        </w:rPr>
        <w:t>.</w:t>
      </w:r>
      <w:r>
        <w:rPr/>
        <w:t> </w:t>
      </w:r>
      <w:r>
        <w:rPr>
          <w:w w:val="100"/>
        </w:rPr>
        <w:t>El</w:t>
      </w:r>
      <w:r>
        <w:rPr/>
        <w:t> </w:t>
      </w:r>
      <w:r>
        <w:rPr>
          <w:spacing w:val="-5"/>
          <w:w w:val="100"/>
        </w:rPr>
        <w:t>o</w:t>
      </w:r>
      <w:r>
        <w:rPr>
          <w:spacing w:val="4"/>
          <w:w w:val="100"/>
        </w:rPr>
        <w:t>b</w:t>
      </w:r>
      <w:r>
        <w:rPr>
          <w:w w:val="100"/>
        </w:rPr>
        <w:t>j</w:t>
      </w:r>
      <w:r>
        <w:rPr>
          <w:spacing w:val="-7"/>
          <w:w w:val="100"/>
        </w:rPr>
        <w:t>e</w:t>
      </w:r>
      <w:r>
        <w:rPr>
          <w:spacing w:val="5"/>
          <w:w w:val="100"/>
        </w:rPr>
        <w:t>t</w:t>
      </w:r>
      <w:r>
        <w:rPr>
          <w:w w:val="100"/>
        </w:rPr>
        <w:t>i</w:t>
      </w:r>
      <w:r>
        <w:rPr>
          <w:w w:val="100"/>
        </w:rPr>
        <w:t>vo</w:t>
      </w:r>
      <w:r>
        <w:rPr/>
        <w:t> </w:t>
      </w:r>
      <w:r>
        <w:rPr>
          <w:w w:val="100"/>
        </w:rPr>
        <w:t>de</w:t>
      </w:r>
      <w:r>
        <w:rPr/>
        <w:t> </w:t>
      </w:r>
      <w:r>
        <w:rPr>
          <w:spacing w:val="-7"/>
          <w:w w:val="100"/>
        </w:rPr>
        <w:t>e</w:t>
      </w:r>
      <w:r>
        <w:rPr>
          <w:w w:val="100"/>
        </w:rPr>
        <w:t>s</w:t>
      </w:r>
      <w:r>
        <w:rPr>
          <w:spacing w:val="6"/>
          <w:w w:val="100"/>
        </w:rPr>
        <w:t>t</w:t>
      </w:r>
      <w:r>
        <w:rPr>
          <w:w w:val="100"/>
        </w:rPr>
        <w:t>e </w:t>
      </w:r>
      <w:r>
        <w:rPr/>
        <w:t>programa fue salvaguardar la integridad física de las personas, así como prevenir y evitar la pérdida de vidas humanas y la afectación de sus bienes, al identificar, evaluar y clasificar el riesgo en asentamientos humanos, llevando a cabo medidas </w:t>
      </w:r>
      <w:r>
        <w:rPr>
          <w:spacing w:val="3"/>
        </w:rPr>
        <w:t>de </w:t>
      </w:r>
      <w:r>
        <w:rPr/>
        <w:t>auxilio, recuperación y restablecimiento (Ponce, 2008).</w:t>
      </w:r>
    </w:p>
    <w:p>
      <w:pPr>
        <w:spacing w:after="0" w:line="360" w:lineRule="auto"/>
        <w:jc w:val="both"/>
        <w:sectPr>
          <w:pgSz w:w="12240" w:h="15840"/>
          <w:pgMar w:top="1360" w:bottom="280" w:left="1580" w:right="1580"/>
        </w:sectPr>
      </w:pPr>
    </w:p>
    <w:p>
      <w:pPr>
        <w:pStyle w:val="BodyText"/>
        <w:spacing w:line="357" w:lineRule="auto" w:before="52"/>
        <w:ind w:left="119" w:right="117"/>
        <w:jc w:val="both"/>
      </w:pPr>
      <w:r>
        <w:rPr/>
        <w:t>En ese sentido, se conoce que la combinación de causas antropogénicas y naturales generan efectos acumulativos que se traducen en un incremento del riesgo ambiental;</w:t>
      </w:r>
      <w:r>
        <w:rPr>
          <w:position w:val="10"/>
          <w:sz w:val="14"/>
        </w:rPr>
        <w:t>4 </w:t>
      </w:r>
      <w:r>
        <w:rPr/>
        <w:t>es la acumulación del riesgo potencial el que puede traer importantes consecuencias económicas y ambientales, tales como la perdida irrecuperable de la biodiversidad, recursos económicos y materiales, señala Ponce. Por lo tanto, el resultado de las consecuencias económicas obtenidas por el riesgo ambiental, demuestran que es necesario asumir y generar conciencia sobre aquellos sitios de riesgo ambiental donde deberían quedar estrictamente prohibido el establecimiento de asentamientos humanos.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5"/>
        </w:rPr>
      </w:pPr>
      <w:r>
        <w:rPr/>
        <w:pict>
          <v:line style="position:absolute;mso-position-horizontal-relative:page;mso-position-vertical-relative:paragraph;z-index:1408;mso-wrap-distance-left:0;mso-wrap-distance-right:0" from="84.984001pt,11.03862pt" to="229.054001pt,11.03862pt" stroked="true" strokeweight=".71997pt" strokecolor="#000000">
            <w10:wrap type="topAndBottom"/>
          </v:line>
        </w:pict>
      </w:r>
    </w:p>
    <w:p>
      <w:pPr>
        <w:spacing w:before="57"/>
        <w:ind w:left="119" w:right="40" w:firstLine="0"/>
        <w:jc w:val="left"/>
        <w:rPr>
          <w:sz w:val="16"/>
        </w:rPr>
      </w:pPr>
      <w:r>
        <w:rPr>
          <w:position w:val="7"/>
          <w:sz w:val="10"/>
        </w:rPr>
        <w:t>4 </w:t>
      </w:r>
      <w:r>
        <w:rPr>
          <w:sz w:val="16"/>
        </w:rPr>
        <w:t>Se entiende como riesgo ambiental la combinación de la probabilidad de ocurrencia de eventos peligrosos y la vulnerabilidad de los componentes sociales y ambientales expuestos a tales amenazas.</w:t>
      </w:r>
    </w:p>
    <w:p>
      <w:pPr>
        <w:spacing w:after="0"/>
        <w:jc w:val="left"/>
        <w:rPr>
          <w:sz w:val="16"/>
        </w:rPr>
        <w:sectPr>
          <w:pgSz w:w="12240" w:h="15840"/>
          <w:pgMar w:top="1360" w:bottom="280" w:left="1580" w:right="1580"/>
        </w:sectPr>
      </w:pPr>
    </w:p>
    <w:p>
      <w:pPr>
        <w:pStyle w:val="Heading1"/>
        <w:spacing w:before="57"/>
        <w:ind w:left="489"/>
        <w:jc w:val="left"/>
      </w:pPr>
      <w:bookmarkStart w:name="_bookmark24" w:id="41"/>
      <w:bookmarkEnd w:id="41"/>
      <w:r>
        <w:rPr>
          <w:b w:val="0"/>
        </w:rPr>
      </w:r>
      <w:r>
        <w:rPr/>
        <w:t>CAPÍTULO II. CARACTERIZACIÓN GEOGRÁFICA DE LA ZONA DE ESTUDIO</w:t>
      </w:r>
    </w:p>
    <w:p>
      <w:pPr>
        <w:pStyle w:val="BodyText"/>
        <w:rPr>
          <w:b/>
        </w:rPr>
      </w:pPr>
    </w:p>
    <w:p>
      <w:pPr>
        <w:pStyle w:val="BodyText"/>
        <w:spacing w:before="7"/>
        <w:rPr>
          <w:b/>
          <w:sz w:val="18"/>
        </w:rPr>
      </w:pPr>
    </w:p>
    <w:p>
      <w:pPr>
        <w:pStyle w:val="BodyText"/>
        <w:spacing w:line="360" w:lineRule="auto"/>
        <w:ind w:left="119" w:right="105"/>
        <w:jc w:val="both"/>
      </w:pPr>
      <w:r>
        <w:rPr/>
        <w:t>En este capítulo </w:t>
      </w:r>
      <w:r>
        <w:rPr>
          <w:spacing w:val="2"/>
        </w:rPr>
        <w:t>se </w:t>
      </w:r>
      <w:r>
        <w:rPr/>
        <w:t>describe el marco contextual de la presente investigación, </w:t>
      </w:r>
      <w:r>
        <w:rPr>
          <w:spacing w:val="-4"/>
        </w:rPr>
        <w:t>en </w:t>
      </w:r>
      <w:r>
        <w:rPr/>
        <w:t>el que </w:t>
      </w:r>
      <w:r>
        <w:rPr>
          <w:spacing w:val="2"/>
        </w:rPr>
        <w:t>se </w:t>
      </w:r>
      <w:r>
        <w:rPr/>
        <w:t>realiza  una caracterización del espacio físico y social de la zona de estudio. Asimismo </w:t>
      </w:r>
      <w:r>
        <w:rPr>
          <w:spacing w:val="2"/>
        </w:rPr>
        <w:t>se </w:t>
      </w:r>
      <w:r>
        <w:rPr/>
        <w:t>realiza una clasificación de los procesos de remoción en masa </w:t>
      </w:r>
      <w:r>
        <w:rPr>
          <w:spacing w:val="-3"/>
        </w:rPr>
        <w:t>con </w:t>
      </w:r>
      <w:r>
        <w:rPr/>
        <w:t>especial atención a </w:t>
      </w:r>
      <w:r>
        <w:rPr>
          <w:spacing w:val="-3"/>
        </w:rPr>
        <w:t>los </w:t>
      </w:r>
      <w:r>
        <w:rPr/>
        <w:t>referidos a deslizamientos. A través de datos y registros actuales e históricos de los eventos presentados en las delegaciones del poniente, </w:t>
      </w:r>
      <w:r>
        <w:rPr>
          <w:spacing w:val="2"/>
        </w:rPr>
        <w:t>se </w:t>
      </w:r>
      <w:r>
        <w:rPr>
          <w:spacing w:val="-3"/>
        </w:rPr>
        <w:t>da </w:t>
      </w:r>
      <w:r>
        <w:rPr/>
        <w:t>apertura al capítulo metodológico para la segmentación de áreas susceptibles. El capítulo concluye con un análisis del riesgo y la amenaza </w:t>
      </w:r>
      <w:r>
        <w:rPr>
          <w:spacing w:val="-4"/>
        </w:rPr>
        <w:t>en </w:t>
      </w:r>
      <w:r>
        <w:rPr/>
        <w:t>la </w:t>
      </w:r>
      <w:r>
        <w:rPr>
          <w:spacing w:val="-3"/>
        </w:rPr>
        <w:t>zona </w:t>
      </w:r>
      <w:r>
        <w:rPr/>
        <w:t>de</w:t>
      </w:r>
      <w:r>
        <w:rPr>
          <w:spacing w:val="-13"/>
        </w:rPr>
        <w:t> </w:t>
      </w:r>
      <w:r>
        <w:rPr/>
        <w:t>poniente.</w:t>
      </w:r>
    </w:p>
    <w:p>
      <w:pPr>
        <w:pStyle w:val="BodyText"/>
      </w:pPr>
    </w:p>
    <w:p>
      <w:pPr>
        <w:pStyle w:val="BodyText"/>
        <w:spacing w:before="4"/>
        <w:rPr>
          <w:sz w:val="31"/>
        </w:rPr>
      </w:pPr>
    </w:p>
    <w:p>
      <w:pPr>
        <w:pStyle w:val="Heading1"/>
        <w:numPr>
          <w:ilvl w:val="1"/>
          <w:numId w:val="15"/>
        </w:numPr>
        <w:tabs>
          <w:tab w:pos="456" w:val="left" w:leader="none"/>
        </w:tabs>
        <w:spacing w:line="240" w:lineRule="auto" w:before="0" w:after="0"/>
        <w:ind w:left="455" w:right="0" w:hanging="336"/>
        <w:jc w:val="both"/>
      </w:pPr>
      <w:bookmarkStart w:name="_bookmark25" w:id="42"/>
      <w:bookmarkEnd w:id="42"/>
      <w:r>
        <w:rPr>
          <w:b w:val="0"/>
        </w:rPr>
      </w:r>
      <w:bookmarkStart w:name="_bookmark25" w:id="43"/>
      <w:bookmarkEnd w:id="43"/>
      <w:r>
        <w:rPr/>
        <w:t>Z</w:t>
      </w:r>
      <w:r>
        <w:rPr/>
        <w:t>ona de</w:t>
      </w:r>
      <w:r>
        <w:rPr>
          <w:spacing w:val="-18"/>
        </w:rPr>
        <w:t> </w:t>
      </w:r>
      <w:r>
        <w:rPr/>
        <w:t>estudio</w:t>
      </w:r>
    </w:p>
    <w:p>
      <w:pPr>
        <w:pStyle w:val="BodyText"/>
        <w:rPr>
          <w:b/>
        </w:rPr>
      </w:pPr>
    </w:p>
    <w:p>
      <w:pPr>
        <w:pStyle w:val="BodyText"/>
        <w:rPr>
          <w:b/>
          <w:sz w:val="19"/>
        </w:rPr>
      </w:pPr>
    </w:p>
    <w:p>
      <w:pPr>
        <w:pStyle w:val="BodyText"/>
        <w:spacing w:line="355" w:lineRule="auto" w:before="1"/>
        <w:ind w:left="119" w:right="106"/>
        <w:jc w:val="both"/>
      </w:pPr>
      <w:r>
        <w:rPr/>
        <w:t>La Ciudad de México se encuentra dividida en 16 delegaciones político-administrativas, y por dos grandes zonas administrativas: el suelo de conservación</w:t>
      </w:r>
      <w:r>
        <w:rPr>
          <w:position w:val="10"/>
          <w:sz w:val="14"/>
        </w:rPr>
        <w:t>5 </w:t>
      </w:r>
      <w:r>
        <w:rPr/>
        <w:t>y el suelo urbano. En esta investigación, la zona poniente de la Ciudad de México está delimitada por tres delegaciones: Álvaro Obregón, Cuajimalpa y Magdalena Contreras. La superficie territorial de esta zona es de 25,223 hectáreas, de las cuales 13,138 hectáreas corresponden al suelo de conservación, es decir el 52% del total del territorio de esta zona pertenece a este último tipo de suelo.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432;mso-wrap-distance-left:0;mso-wrap-distance-right:0" from="84.984001pt,11.456851pt" to="229.054001pt,11.456851pt" stroked="true" strokeweight=".72003pt" strokecolor="#000000">
            <w10:wrap type="topAndBottom"/>
          </v:line>
        </w:pict>
      </w:r>
    </w:p>
    <w:p>
      <w:pPr>
        <w:spacing w:before="57"/>
        <w:ind w:left="119" w:right="100" w:firstLine="0"/>
        <w:jc w:val="both"/>
        <w:rPr>
          <w:sz w:val="16"/>
        </w:rPr>
      </w:pPr>
      <w:r>
        <w:rPr>
          <w:position w:val="7"/>
          <w:sz w:val="10"/>
        </w:rPr>
        <w:t>5</w:t>
      </w:r>
      <w:r>
        <w:rPr>
          <w:sz w:val="16"/>
        </w:rPr>
        <w:t>De acuerdo con la Procuraduría Ambiental y del Ordenamiento Territorial (2011), el Suelo de Conservación se refiere a las zonas que por sus características ecológicas provee servicios ambientales, de conformidad con lo establecido en la Ley Ambiental del Distrito Federal, necesarios para el mantenimiento de la calidad de vida de los habitantes de la Ciudad de México.</w:t>
      </w:r>
    </w:p>
    <w:p>
      <w:pPr>
        <w:spacing w:after="0"/>
        <w:jc w:val="both"/>
        <w:rPr>
          <w:sz w:val="16"/>
        </w:rPr>
        <w:sectPr>
          <w:pgSz w:w="12240" w:h="15840"/>
          <w:pgMar w:top="1360" w:bottom="280" w:left="1580" w:right="1600"/>
        </w:sectPr>
      </w:pPr>
    </w:p>
    <w:p>
      <w:pPr>
        <w:spacing w:before="52" w:after="5"/>
        <w:ind w:left="139" w:right="140" w:firstLine="0"/>
        <w:jc w:val="center"/>
        <w:rPr>
          <w:b/>
          <w:sz w:val="20"/>
        </w:rPr>
      </w:pPr>
      <w:r>
        <w:rPr>
          <w:b/>
          <w:sz w:val="20"/>
        </w:rPr>
        <w:t>Ilustración 1. Mapa de la zona de estudio</w:t>
      </w:r>
    </w:p>
    <w:p>
      <w:pPr>
        <w:pStyle w:val="BodyText"/>
        <w:ind w:left="101" w:right="-22"/>
        <w:rPr>
          <w:sz w:val="20"/>
        </w:rPr>
      </w:pPr>
      <w:r>
        <w:rPr>
          <w:sz w:val="20"/>
        </w:rPr>
        <w:drawing>
          <wp:inline distT="0" distB="0" distL="0" distR="0">
            <wp:extent cx="5664340" cy="7330058"/>
            <wp:effectExtent l="0" t="0" r="0" b="0"/>
            <wp:docPr id="7" name="image15.jpeg" descr=""/>
            <wp:cNvGraphicFramePr>
              <a:graphicFrameLocks noChangeAspect="1"/>
            </wp:cNvGraphicFramePr>
            <a:graphic>
              <a:graphicData uri="http://schemas.openxmlformats.org/drawingml/2006/picture">
                <pic:pic>
                  <pic:nvPicPr>
                    <pic:cNvPr id="8" name="image15.jpeg"/>
                    <pic:cNvPicPr/>
                  </pic:nvPicPr>
                  <pic:blipFill>
                    <a:blip r:embed="rId19" cstate="print"/>
                    <a:stretch>
                      <a:fillRect/>
                    </a:stretch>
                  </pic:blipFill>
                  <pic:spPr>
                    <a:xfrm>
                      <a:off x="0" y="0"/>
                      <a:ext cx="5664340" cy="7330058"/>
                    </a:xfrm>
                    <a:prstGeom prst="rect">
                      <a:avLst/>
                    </a:prstGeom>
                  </pic:spPr>
                </pic:pic>
              </a:graphicData>
            </a:graphic>
          </wp:inline>
        </w:drawing>
      </w:r>
      <w:r>
        <w:rPr>
          <w:sz w:val="20"/>
        </w:rPr>
      </w:r>
    </w:p>
    <w:p>
      <w:pPr>
        <w:spacing w:before="17"/>
        <w:ind w:left="139" w:right="144"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Heading1"/>
        <w:numPr>
          <w:ilvl w:val="1"/>
          <w:numId w:val="15"/>
        </w:numPr>
        <w:tabs>
          <w:tab w:pos="456" w:val="left" w:leader="none"/>
        </w:tabs>
        <w:spacing w:line="240" w:lineRule="auto" w:before="52" w:after="0"/>
        <w:ind w:left="455" w:right="0" w:hanging="336"/>
        <w:jc w:val="both"/>
      </w:pPr>
      <w:bookmarkStart w:name="_bookmark26" w:id="44"/>
      <w:bookmarkEnd w:id="44"/>
      <w:r>
        <w:rPr>
          <w:b w:val="0"/>
        </w:rPr>
      </w:r>
      <w:bookmarkStart w:name="_bookmark26" w:id="45"/>
      <w:bookmarkEnd w:id="45"/>
      <w:r>
        <w:rPr/>
        <w:t>C</w:t>
      </w:r>
      <w:r>
        <w:rPr/>
        <w:t>aracterización del </w:t>
      </w:r>
      <w:r>
        <w:rPr>
          <w:spacing w:val="-3"/>
        </w:rPr>
        <w:t>medio físico </w:t>
      </w:r>
      <w:r>
        <w:rPr/>
        <w:t>de la zona poniente de la Ciudad de</w:t>
      </w:r>
      <w:r>
        <w:rPr>
          <w:spacing w:val="-4"/>
        </w:rPr>
        <w:t> </w:t>
      </w:r>
      <w:r>
        <w:rPr/>
        <w:t>México</w:t>
      </w:r>
    </w:p>
    <w:p>
      <w:pPr>
        <w:pStyle w:val="BodyText"/>
        <w:rPr>
          <w:b/>
        </w:rPr>
      </w:pPr>
    </w:p>
    <w:p>
      <w:pPr>
        <w:pStyle w:val="BodyText"/>
        <w:rPr>
          <w:b/>
          <w:sz w:val="19"/>
        </w:rPr>
      </w:pPr>
    </w:p>
    <w:p>
      <w:pPr>
        <w:pStyle w:val="BodyText"/>
        <w:spacing w:line="360" w:lineRule="auto" w:before="1"/>
        <w:ind w:left="119" w:right="122"/>
        <w:jc w:val="both"/>
      </w:pPr>
      <w:r>
        <w:rPr/>
        <w:t>En este apartado </w:t>
      </w:r>
      <w:r>
        <w:rPr>
          <w:spacing w:val="2"/>
        </w:rPr>
        <w:t>se </w:t>
      </w:r>
      <w:r>
        <w:rPr/>
        <w:t>describen las características físicas </w:t>
      </w:r>
      <w:r>
        <w:rPr>
          <w:spacing w:val="-3"/>
        </w:rPr>
        <w:t>de </w:t>
      </w:r>
      <w:r>
        <w:rPr/>
        <w:t>la zona estudio, mediante cartografía temática se abordan los aspectos edafológicos, geológicos y geomorfológicos. Asimismo </w:t>
      </w:r>
      <w:r>
        <w:rPr>
          <w:spacing w:val="2"/>
        </w:rPr>
        <w:t>se </w:t>
      </w:r>
      <w:r>
        <w:rPr/>
        <w:t>detallan los aspectos de precipitación, pendientes y uso de suelo y vegetación. En el suelo de conservación de la zona de estudio predominan los siguientes tipos de suelo y de acuerdo con la PAOT (2010) estas son sus</w:t>
      </w:r>
      <w:r>
        <w:rPr>
          <w:spacing w:val="-8"/>
        </w:rPr>
        <w:t> </w:t>
      </w:r>
      <w:r>
        <w:rPr/>
        <w:t>características:</w:t>
      </w:r>
    </w:p>
    <w:p>
      <w:pPr>
        <w:spacing w:line="362" w:lineRule="auto" w:before="163"/>
        <w:ind w:left="119" w:right="118" w:firstLine="0"/>
        <w:jc w:val="both"/>
        <w:rPr>
          <w:i/>
          <w:sz w:val="22"/>
        </w:rPr>
      </w:pPr>
      <w:r>
        <w:rPr>
          <w:b/>
          <w:sz w:val="22"/>
        </w:rPr>
        <w:t>Andosoles: </w:t>
      </w:r>
      <w:r>
        <w:rPr>
          <w:i/>
          <w:sz w:val="22"/>
        </w:rPr>
        <w:t>suelos formados a partir de materiales ricos en vidrio volcánico que por lo común </w:t>
      </w:r>
      <w:r>
        <w:rPr>
          <w:i/>
          <w:sz w:val="22"/>
        </w:rPr>
        <w:t>presentan un horizonte superficial de color oscuro. En condiciones naturales tienen vegetación de pino, oyamel, encino, etc. Son suelos muy susceptibles a la erosión y presentan una capacidad de infiltración media.</w:t>
      </w:r>
    </w:p>
    <w:p>
      <w:pPr>
        <w:spacing w:line="360" w:lineRule="auto" w:before="160"/>
        <w:ind w:left="119" w:right="116" w:firstLine="0"/>
        <w:jc w:val="both"/>
        <w:rPr>
          <w:i/>
          <w:sz w:val="22"/>
        </w:rPr>
      </w:pPr>
      <w:r>
        <w:rPr>
          <w:b/>
          <w:sz w:val="22"/>
        </w:rPr>
        <w:t>Feozems: </w:t>
      </w:r>
      <w:r>
        <w:rPr>
          <w:i/>
          <w:sz w:val="22"/>
        </w:rPr>
        <w:t>suelos ricos en materia orgánica. En condiciones naturales tiene casi cualquier tipo de </w:t>
      </w:r>
      <w:r>
        <w:rPr>
          <w:i/>
          <w:sz w:val="22"/>
        </w:rPr>
        <w:t>vegetación, se halla en terrenos planos hasta montañosos y la susceptibilidad a la erosión depende principalmente de la pendiente del terreno donde se encuentre. Capacidad de infiltración media.</w:t>
      </w:r>
    </w:p>
    <w:p>
      <w:pPr>
        <w:spacing w:line="360" w:lineRule="auto" w:before="163"/>
        <w:ind w:left="119" w:right="116" w:firstLine="0"/>
        <w:jc w:val="both"/>
        <w:rPr>
          <w:i/>
          <w:sz w:val="22"/>
        </w:rPr>
      </w:pPr>
      <w:r>
        <w:rPr>
          <w:b/>
          <w:sz w:val="22"/>
        </w:rPr>
        <w:t>Litosoles: </w:t>
      </w:r>
      <w:r>
        <w:rPr>
          <w:i/>
          <w:sz w:val="22"/>
        </w:rPr>
        <w:t>suelos de poco desarrollo con la roca dura subyacente a poca profundidad. Se </w:t>
      </w:r>
      <w:r>
        <w:rPr>
          <w:i/>
          <w:sz w:val="22"/>
        </w:rPr>
        <w:t>encuentran en todos los climas y con muy diversos tipos de vegetación, son suelos sin desarrollo, con profundidad menor de 10 cm, tienen características muy variables, según el material que los forma. Su susceptibilidad a la erosión depende de la zona donde se encuentren pudiendo ser desde moderada hasta alta. Capacidad de infiltración media.</w:t>
      </w:r>
    </w:p>
    <w:p>
      <w:pPr>
        <w:pStyle w:val="BodyText"/>
        <w:spacing w:line="360" w:lineRule="auto" w:before="163"/>
        <w:ind w:left="119" w:right="118"/>
        <w:jc w:val="both"/>
      </w:pPr>
      <w:r>
        <w:rPr/>
        <w:t>Otros tipos de suelos presentes en el área de estudio son los Luvisoles y Cambisoles con menos superficie. En el siguiente mapa se muestra la edafología del suelo de conservación de la zona poniente de la Ciudad de México. La información está tomada de la serie de INEGI escala 1:50,000 utilizada en el proyecto </w:t>
      </w:r>
      <w:r>
        <w:rPr>
          <w:i/>
        </w:rPr>
        <w:t>Atlas Cartográfico del Suelo de Conservación del Distrito Federal </w:t>
      </w:r>
      <w:r>
        <w:rPr/>
        <w:t>emitido por la Procuraduría Ambiental y del Ordenamiento Territorial en 2010.</w:t>
      </w:r>
    </w:p>
    <w:p>
      <w:pPr>
        <w:spacing w:after="0" w:line="360" w:lineRule="auto"/>
        <w:jc w:val="both"/>
        <w:sectPr>
          <w:pgSz w:w="12240" w:h="15840"/>
          <w:pgMar w:top="1360" w:bottom="280" w:left="1580" w:right="1580"/>
        </w:sectPr>
      </w:pPr>
    </w:p>
    <w:p>
      <w:pPr>
        <w:spacing w:before="52" w:after="5"/>
        <w:ind w:left="1026" w:right="1137" w:firstLine="0"/>
        <w:jc w:val="center"/>
        <w:rPr>
          <w:b/>
          <w:sz w:val="20"/>
        </w:rPr>
      </w:pPr>
      <w:r>
        <w:rPr>
          <w:b/>
          <w:sz w:val="20"/>
        </w:rPr>
        <w:t>Ilustración 2. Mapa edafológico del suelo de conservación de la zona de estudio</w:t>
      </w:r>
    </w:p>
    <w:p>
      <w:pPr>
        <w:pStyle w:val="BodyText"/>
        <w:ind w:left="101"/>
        <w:rPr>
          <w:sz w:val="20"/>
        </w:rPr>
      </w:pPr>
      <w:r>
        <w:rPr>
          <w:sz w:val="20"/>
        </w:rPr>
        <w:drawing>
          <wp:inline distT="0" distB="0" distL="0" distR="0">
            <wp:extent cx="5438628" cy="7067550"/>
            <wp:effectExtent l="0" t="0" r="0" b="0"/>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20" cstate="print"/>
                    <a:stretch>
                      <a:fillRect/>
                    </a:stretch>
                  </pic:blipFill>
                  <pic:spPr>
                    <a:xfrm>
                      <a:off x="0" y="0"/>
                      <a:ext cx="5438628" cy="7067550"/>
                    </a:xfrm>
                    <a:prstGeom prst="rect">
                      <a:avLst/>
                    </a:prstGeom>
                  </pic:spPr>
                </pic:pic>
              </a:graphicData>
            </a:graphic>
          </wp:inline>
        </w:drawing>
      </w:r>
      <w:r>
        <w:rPr>
          <w:sz w:val="20"/>
        </w:rPr>
      </w:r>
    </w:p>
    <w:p>
      <w:pPr>
        <w:spacing w:before="124"/>
        <w:ind w:left="1021" w:right="1137" w:firstLine="0"/>
        <w:jc w:val="center"/>
        <w:rPr>
          <w:sz w:val="16"/>
        </w:rPr>
      </w:pPr>
      <w:r>
        <w:rPr>
          <w:sz w:val="16"/>
        </w:rPr>
        <w:t>Fuente: Elaboración propia</w:t>
      </w:r>
    </w:p>
    <w:p>
      <w:pPr>
        <w:spacing w:after="0"/>
        <w:jc w:val="center"/>
        <w:rPr>
          <w:sz w:val="16"/>
        </w:rPr>
        <w:sectPr>
          <w:pgSz w:w="12240" w:h="15840"/>
          <w:pgMar w:top="1360" w:bottom="280" w:left="1600" w:right="1720"/>
        </w:sectPr>
      </w:pPr>
    </w:p>
    <w:p>
      <w:pPr>
        <w:pStyle w:val="BodyText"/>
        <w:spacing w:line="360" w:lineRule="auto" w:before="52"/>
        <w:ind w:left="119" w:right="120"/>
        <w:jc w:val="both"/>
      </w:pPr>
      <w:r>
        <w:rPr/>
        <w:t>El Valle de México </w:t>
      </w:r>
      <w:r>
        <w:rPr>
          <w:spacing w:val="2"/>
        </w:rPr>
        <w:t>se </w:t>
      </w:r>
      <w:r>
        <w:rPr/>
        <w:t>encuentra limitado por elevaciones topográficas de origen volcánico como son la Sierra </w:t>
      </w:r>
      <w:r>
        <w:rPr>
          <w:spacing w:val="-3"/>
        </w:rPr>
        <w:t>de </w:t>
      </w:r>
      <w:r>
        <w:rPr/>
        <w:t>Guadalupe al norte, la Sierra </w:t>
      </w:r>
      <w:r>
        <w:rPr>
          <w:spacing w:val="-3"/>
        </w:rPr>
        <w:t>de </w:t>
      </w:r>
      <w:r>
        <w:rPr/>
        <w:t>las Cruces al poniente, la Sierra </w:t>
      </w:r>
      <w:r>
        <w:rPr>
          <w:spacing w:val="-3"/>
        </w:rPr>
        <w:t>del </w:t>
      </w:r>
      <w:r>
        <w:rPr/>
        <w:t>Chichinautzin  al sur, </w:t>
      </w:r>
      <w:r>
        <w:rPr>
          <w:spacing w:val="-4"/>
        </w:rPr>
        <w:t>el </w:t>
      </w:r>
      <w:r>
        <w:rPr/>
        <w:t>volcán del Ajusco al suroeste y la Sierra Nevada al oriente. Por lo anterior, el Valle de México </w:t>
      </w:r>
      <w:r>
        <w:rPr>
          <w:spacing w:val="2"/>
        </w:rPr>
        <w:t>se </w:t>
      </w:r>
      <w:r>
        <w:rPr/>
        <w:t>caracteriza por estar constituido por materiales volcánicos (lavas y piroclásticos) intercalados con aluviones y cubiertos, en la parte central </w:t>
      </w:r>
      <w:r>
        <w:rPr>
          <w:spacing w:val="-3"/>
        </w:rPr>
        <w:t>del </w:t>
      </w:r>
      <w:r>
        <w:rPr/>
        <w:t>valle, por arcillas lacustres. La mayor parte de las rocas y materiales que forman el subsuelo son permeables. Los materiales que constituyen el subsuelo corresponden a una intercalación de productos volcánicos tales como lavas, tobas y cenizas que incluyen materiales granulares transportados por ríos y arroyos provenientes de las partes topográficamente altas que circularon hacia </w:t>
      </w:r>
      <w:r>
        <w:rPr>
          <w:spacing w:val="-3"/>
        </w:rPr>
        <w:t>los </w:t>
      </w:r>
      <w:r>
        <w:rPr/>
        <w:t>valles (PAOT,</w:t>
      </w:r>
      <w:r>
        <w:rPr>
          <w:spacing w:val="-20"/>
        </w:rPr>
        <w:t> </w:t>
      </w:r>
      <w:r>
        <w:rPr/>
        <w:t>2010).</w:t>
      </w:r>
    </w:p>
    <w:p>
      <w:pPr>
        <w:pStyle w:val="BodyText"/>
        <w:spacing w:line="360" w:lineRule="auto" w:before="163"/>
        <w:ind w:left="119" w:right="121"/>
        <w:jc w:val="both"/>
      </w:pPr>
      <w:r>
        <w:rPr/>
        <w:t>La composición litológica del suelo de conservación de la zona poniente, se caracteriza en su mayor parte por presencia de sustrato geológico de tipo ígneo en su mayoría y toba conservando algunas depresiones aluviales entre las formaciones volcánicas. En la ilustración 3 se presenta  la distribución geológica en el suelo de conservación de la zona poniente de la Ciudad de México.</w:t>
      </w:r>
    </w:p>
    <w:p>
      <w:pPr>
        <w:pStyle w:val="BodyText"/>
        <w:spacing w:line="360" w:lineRule="auto" w:before="168"/>
        <w:ind w:left="119" w:right="116"/>
        <w:jc w:val="both"/>
      </w:pPr>
      <w:r>
        <w:rPr/>
        <w:t>Las características geomorfológicas de la zona de estudio comprenden en su mayoría laderas modeladas por una disección profunda, planicies aluviales y piedemontes. En general, el Valle de México forma parte del denominado Eje Neovolcánico o Faja Volcánica Transmexicana, la cual se extiende en dirección este-oeste, atravesando la República Mexicana. Esta zona se considera una provincia fisiográfica independiente al resto de la república (PAOT, 2010).La geomorfología de la zona está constituida principalmente por barrancas y pendientes pronunciadas que oscilan entre los 30° y 60° grados. Con respecto a la precipitación promedio anual en el área de conservación se registra entre los 1,200 mm y 1,500 mm. El uso de suelo y vegetación de la zona se encuentra clasificado principalmente por bosque, pastizal, suelo sin cubierta vegetal, áreas agrícolas y zona urbana.</w:t>
      </w:r>
    </w:p>
    <w:p>
      <w:pPr>
        <w:spacing w:after="0" w:line="360" w:lineRule="auto"/>
        <w:jc w:val="both"/>
        <w:sectPr>
          <w:pgSz w:w="12240" w:h="15840"/>
          <w:pgMar w:top="1360" w:bottom="280" w:left="1580" w:right="1580"/>
        </w:sectPr>
      </w:pPr>
    </w:p>
    <w:p>
      <w:pPr>
        <w:spacing w:before="52" w:after="5"/>
        <w:ind w:left="139" w:right="149" w:firstLine="0"/>
        <w:jc w:val="center"/>
        <w:rPr>
          <w:b/>
          <w:sz w:val="20"/>
        </w:rPr>
      </w:pPr>
      <w:r>
        <w:rPr>
          <w:b/>
          <w:sz w:val="20"/>
        </w:rPr>
        <w:t>Ilustración 3. Mapa geológico del suelo de conservación de la zona de estudio</w:t>
      </w:r>
    </w:p>
    <w:p>
      <w:pPr>
        <w:pStyle w:val="BodyText"/>
        <w:ind w:left="101"/>
        <w:rPr>
          <w:sz w:val="20"/>
        </w:rPr>
      </w:pPr>
      <w:r>
        <w:rPr>
          <w:sz w:val="20"/>
        </w:rPr>
        <w:drawing>
          <wp:inline distT="0" distB="0" distL="0" distR="0">
            <wp:extent cx="5535605" cy="7163466"/>
            <wp:effectExtent l="0" t="0" r="0" b="0"/>
            <wp:docPr id="11" name="image17.jpeg" descr=""/>
            <wp:cNvGraphicFramePr>
              <a:graphicFrameLocks noChangeAspect="1"/>
            </wp:cNvGraphicFramePr>
            <a:graphic>
              <a:graphicData uri="http://schemas.openxmlformats.org/drawingml/2006/picture">
                <pic:pic>
                  <pic:nvPicPr>
                    <pic:cNvPr id="12" name="image17.jpeg"/>
                    <pic:cNvPicPr/>
                  </pic:nvPicPr>
                  <pic:blipFill>
                    <a:blip r:embed="rId21" cstate="print"/>
                    <a:stretch>
                      <a:fillRect/>
                    </a:stretch>
                  </pic:blipFill>
                  <pic:spPr>
                    <a:xfrm>
                      <a:off x="0" y="0"/>
                      <a:ext cx="5535605" cy="7163466"/>
                    </a:xfrm>
                    <a:prstGeom prst="rect">
                      <a:avLst/>
                    </a:prstGeom>
                  </pic:spPr>
                </pic:pic>
              </a:graphicData>
            </a:graphic>
          </wp:inline>
        </w:drawing>
      </w:r>
      <w:r>
        <w:rPr>
          <w:sz w:val="20"/>
        </w:rPr>
      </w:r>
    </w:p>
    <w:p>
      <w:pPr>
        <w:spacing w:before="155"/>
        <w:ind w:left="139" w:right="144" w:firstLine="0"/>
        <w:jc w:val="center"/>
        <w:rPr>
          <w:sz w:val="16"/>
        </w:rPr>
      </w:pPr>
      <w:r>
        <w:rPr>
          <w:sz w:val="16"/>
        </w:rPr>
        <w:t>Fuente: Elaboración propia</w:t>
      </w:r>
    </w:p>
    <w:p>
      <w:pPr>
        <w:spacing w:after="0"/>
        <w:jc w:val="center"/>
        <w:rPr>
          <w:sz w:val="16"/>
        </w:rPr>
        <w:sectPr>
          <w:pgSz w:w="12240" w:h="15840"/>
          <w:pgMar w:top="1360" w:bottom="280" w:left="1600" w:right="1600"/>
        </w:sectPr>
      </w:pPr>
    </w:p>
    <w:p>
      <w:pPr>
        <w:spacing w:before="52" w:after="5"/>
        <w:ind w:left="139" w:right="139" w:firstLine="0"/>
        <w:jc w:val="center"/>
        <w:rPr>
          <w:b/>
          <w:sz w:val="20"/>
        </w:rPr>
      </w:pPr>
      <w:r>
        <w:rPr>
          <w:b/>
          <w:sz w:val="20"/>
        </w:rPr>
        <w:t>Ilustración 4. Mapa de pendientes de la zona de estudio</w:t>
      </w:r>
    </w:p>
    <w:p>
      <w:pPr>
        <w:pStyle w:val="BodyText"/>
        <w:ind w:left="101"/>
        <w:rPr>
          <w:sz w:val="20"/>
        </w:rPr>
      </w:pPr>
      <w:r>
        <w:rPr>
          <w:sz w:val="20"/>
        </w:rPr>
        <w:drawing>
          <wp:inline distT="0" distB="0" distL="0" distR="0">
            <wp:extent cx="5535605" cy="7163466"/>
            <wp:effectExtent l="0" t="0" r="0" b="0"/>
            <wp:docPr id="13" name="image18.jpeg" descr=""/>
            <wp:cNvGraphicFramePr>
              <a:graphicFrameLocks noChangeAspect="1"/>
            </wp:cNvGraphicFramePr>
            <a:graphic>
              <a:graphicData uri="http://schemas.openxmlformats.org/drawingml/2006/picture">
                <pic:pic>
                  <pic:nvPicPr>
                    <pic:cNvPr id="14" name="image18.jpeg"/>
                    <pic:cNvPicPr/>
                  </pic:nvPicPr>
                  <pic:blipFill>
                    <a:blip r:embed="rId22" cstate="print"/>
                    <a:stretch>
                      <a:fillRect/>
                    </a:stretch>
                  </pic:blipFill>
                  <pic:spPr>
                    <a:xfrm>
                      <a:off x="0" y="0"/>
                      <a:ext cx="5535605" cy="7163466"/>
                    </a:xfrm>
                    <a:prstGeom prst="rect">
                      <a:avLst/>
                    </a:prstGeom>
                  </pic:spPr>
                </pic:pic>
              </a:graphicData>
            </a:graphic>
          </wp:inline>
        </w:drawing>
      </w:r>
      <w:r>
        <w:rPr>
          <w:sz w:val="20"/>
        </w:rPr>
      </w:r>
    </w:p>
    <w:p>
      <w:pPr>
        <w:spacing w:before="155"/>
        <w:ind w:left="139" w:right="144" w:firstLine="0"/>
        <w:jc w:val="center"/>
        <w:rPr>
          <w:sz w:val="16"/>
        </w:rPr>
      </w:pPr>
      <w:r>
        <w:rPr>
          <w:sz w:val="16"/>
        </w:rPr>
        <w:t>Fuente: Elaboración propia</w:t>
      </w:r>
    </w:p>
    <w:p>
      <w:pPr>
        <w:spacing w:after="0"/>
        <w:jc w:val="center"/>
        <w:rPr>
          <w:sz w:val="16"/>
        </w:rPr>
        <w:sectPr>
          <w:pgSz w:w="12240" w:h="15840"/>
          <w:pgMar w:top="1360" w:bottom="280" w:left="1600" w:right="1600"/>
        </w:sectPr>
      </w:pPr>
    </w:p>
    <w:p>
      <w:pPr>
        <w:spacing w:before="52" w:after="5"/>
        <w:ind w:left="139" w:right="140" w:firstLine="0"/>
        <w:jc w:val="center"/>
        <w:rPr>
          <w:b/>
          <w:sz w:val="20"/>
        </w:rPr>
      </w:pPr>
      <w:r>
        <w:rPr>
          <w:b/>
          <w:sz w:val="20"/>
        </w:rPr>
        <w:t>Ilustración 5. Mapa de precipitación del suelo de conservación en la zona de estudio</w:t>
      </w:r>
    </w:p>
    <w:p>
      <w:pPr>
        <w:pStyle w:val="BodyText"/>
        <w:ind w:left="101"/>
        <w:rPr>
          <w:sz w:val="20"/>
        </w:rPr>
      </w:pPr>
      <w:r>
        <w:rPr>
          <w:sz w:val="20"/>
        </w:rPr>
        <w:drawing>
          <wp:inline distT="0" distB="0" distL="0" distR="0">
            <wp:extent cx="5535605" cy="7163466"/>
            <wp:effectExtent l="0" t="0" r="0" b="0"/>
            <wp:docPr id="15" name="image19.jpeg" descr=""/>
            <wp:cNvGraphicFramePr>
              <a:graphicFrameLocks noChangeAspect="1"/>
            </wp:cNvGraphicFramePr>
            <a:graphic>
              <a:graphicData uri="http://schemas.openxmlformats.org/drawingml/2006/picture">
                <pic:pic>
                  <pic:nvPicPr>
                    <pic:cNvPr id="16" name="image19.jpeg"/>
                    <pic:cNvPicPr/>
                  </pic:nvPicPr>
                  <pic:blipFill>
                    <a:blip r:embed="rId23" cstate="print"/>
                    <a:stretch>
                      <a:fillRect/>
                    </a:stretch>
                  </pic:blipFill>
                  <pic:spPr>
                    <a:xfrm>
                      <a:off x="0" y="0"/>
                      <a:ext cx="5535605" cy="7163466"/>
                    </a:xfrm>
                    <a:prstGeom prst="rect">
                      <a:avLst/>
                    </a:prstGeom>
                  </pic:spPr>
                </pic:pic>
              </a:graphicData>
            </a:graphic>
          </wp:inline>
        </w:drawing>
      </w:r>
      <w:r>
        <w:rPr>
          <w:sz w:val="20"/>
        </w:rPr>
      </w:r>
    </w:p>
    <w:p>
      <w:pPr>
        <w:spacing w:before="155"/>
        <w:ind w:left="139" w:right="144" w:firstLine="0"/>
        <w:jc w:val="center"/>
        <w:rPr>
          <w:sz w:val="16"/>
        </w:rPr>
      </w:pPr>
      <w:r>
        <w:rPr>
          <w:sz w:val="16"/>
        </w:rPr>
        <w:t>Fuente: Elaboración propia</w:t>
      </w:r>
    </w:p>
    <w:p>
      <w:pPr>
        <w:spacing w:after="0"/>
        <w:jc w:val="center"/>
        <w:rPr>
          <w:sz w:val="16"/>
        </w:rPr>
        <w:sectPr>
          <w:pgSz w:w="12240" w:h="15840"/>
          <w:pgMar w:top="1360" w:bottom="280" w:left="1600" w:right="1600"/>
        </w:sectPr>
      </w:pPr>
    </w:p>
    <w:p>
      <w:pPr>
        <w:spacing w:before="52" w:after="5"/>
        <w:ind w:left="139" w:right="147" w:firstLine="0"/>
        <w:jc w:val="center"/>
        <w:rPr>
          <w:b/>
          <w:sz w:val="20"/>
        </w:rPr>
      </w:pPr>
      <w:r>
        <w:rPr>
          <w:b/>
          <w:sz w:val="20"/>
        </w:rPr>
        <w:t>Ilustración 6. Mapa de uso de suelo y vegetación de la zona de estudio</w:t>
      </w:r>
    </w:p>
    <w:p>
      <w:pPr>
        <w:pStyle w:val="BodyText"/>
        <w:ind w:left="101"/>
        <w:rPr>
          <w:sz w:val="20"/>
        </w:rPr>
      </w:pPr>
      <w:r>
        <w:rPr>
          <w:sz w:val="20"/>
        </w:rPr>
        <w:drawing>
          <wp:inline distT="0" distB="0" distL="0" distR="0">
            <wp:extent cx="5535605" cy="7163466"/>
            <wp:effectExtent l="0" t="0" r="0" b="0"/>
            <wp:docPr id="17" name="image20.jpeg" descr=""/>
            <wp:cNvGraphicFramePr>
              <a:graphicFrameLocks noChangeAspect="1"/>
            </wp:cNvGraphicFramePr>
            <a:graphic>
              <a:graphicData uri="http://schemas.openxmlformats.org/drawingml/2006/picture">
                <pic:pic>
                  <pic:nvPicPr>
                    <pic:cNvPr id="18" name="image20.jpeg"/>
                    <pic:cNvPicPr/>
                  </pic:nvPicPr>
                  <pic:blipFill>
                    <a:blip r:embed="rId24" cstate="print"/>
                    <a:stretch>
                      <a:fillRect/>
                    </a:stretch>
                  </pic:blipFill>
                  <pic:spPr>
                    <a:xfrm>
                      <a:off x="0" y="0"/>
                      <a:ext cx="5535605" cy="7163466"/>
                    </a:xfrm>
                    <a:prstGeom prst="rect">
                      <a:avLst/>
                    </a:prstGeom>
                  </pic:spPr>
                </pic:pic>
              </a:graphicData>
            </a:graphic>
          </wp:inline>
        </w:drawing>
      </w:r>
      <w:r>
        <w:rPr>
          <w:sz w:val="20"/>
        </w:rPr>
      </w:r>
    </w:p>
    <w:p>
      <w:pPr>
        <w:spacing w:before="155"/>
        <w:ind w:left="139" w:right="144"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Heading1"/>
        <w:numPr>
          <w:ilvl w:val="2"/>
          <w:numId w:val="15"/>
        </w:numPr>
        <w:tabs>
          <w:tab w:pos="691" w:val="left" w:leader="none"/>
        </w:tabs>
        <w:spacing w:line="259" w:lineRule="auto" w:before="52" w:after="0"/>
        <w:ind w:left="119" w:right="107" w:firstLine="0"/>
        <w:jc w:val="both"/>
      </w:pPr>
      <w:bookmarkStart w:name="_bookmark27" w:id="46"/>
      <w:bookmarkEnd w:id="46"/>
      <w:r>
        <w:rPr>
          <w:b w:val="0"/>
        </w:rPr>
      </w:r>
      <w:bookmarkStart w:name="_bookmark27" w:id="47"/>
      <w:bookmarkEnd w:id="47"/>
      <w:r>
        <w:rPr/>
        <w:t>A</w:t>
      </w:r>
      <w:r>
        <w:rPr/>
        <w:t>spectos geográficos de la Delegación Álvaro Obregón, Cuajimalpa y Magdalena Contreras</w:t>
      </w:r>
    </w:p>
    <w:p>
      <w:pPr>
        <w:pStyle w:val="BodyText"/>
        <w:rPr>
          <w:b/>
        </w:rPr>
      </w:pPr>
    </w:p>
    <w:p>
      <w:pPr>
        <w:pStyle w:val="BodyText"/>
        <w:spacing w:before="4"/>
        <w:rPr>
          <w:b/>
          <w:sz w:val="17"/>
        </w:rPr>
      </w:pPr>
    </w:p>
    <w:p>
      <w:pPr>
        <w:spacing w:line="360" w:lineRule="auto" w:before="0"/>
        <w:ind w:left="119" w:right="98" w:firstLine="0"/>
        <w:jc w:val="both"/>
        <w:rPr>
          <w:sz w:val="22"/>
        </w:rPr>
      </w:pPr>
      <w:r>
        <w:rPr>
          <w:sz w:val="22"/>
        </w:rPr>
        <w:t>De acuerdo con el </w:t>
      </w:r>
      <w:r>
        <w:rPr>
          <w:i/>
          <w:sz w:val="22"/>
        </w:rPr>
        <w:t>Estadístico Espacial como fuente de un Ordenamiento Territorial en la Región </w:t>
      </w:r>
      <w:r>
        <w:rPr>
          <w:i/>
          <w:sz w:val="22"/>
        </w:rPr>
        <w:t>de la Zona Sur de la Ciudad de México, en las delegaciones Cuajimalpa de Morelos, Álvaro Obregón, Milpa Alta, Tlalpan y Xochimilco, </w:t>
      </w:r>
      <w:r>
        <w:rPr>
          <w:sz w:val="22"/>
        </w:rPr>
        <w:t>emitido en el año 2010 por la Procuraduría Ambiental y del Ordenamiento Territorial del D.F (PAOT) en conjunto con la Secretaría de Medio Ambiente y Recursos Naturales (SEMARNAT) tuvo como finalidad el desarrollo de un diagnóstico para </w:t>
      </w:r>
      <w:r>
        <w:rPr>
          <w:spacing w:val="-4"/>
          <w:sz w:val="22"/>
        </w:rPr>
        <w:t>el </w:t>
      </w:r>
      <w:r>
        <w:rPr>
          <w:sz w:val="22"/>
        </w:rPr>
        <w:t>conocimiento de los servicios ambientales que proporciona la región sur </w:t>
      </w:r>
      <w:r>
        <w:rPr>
          <w:spacing w:val="-3"/>
          <w:sz w:val="22"/>
        </w:rPr>
        <w:t>del </w:t>
      </w:r>
      <w:r>
        <w:rPr>
          <w:sz w:val="22"/>
        </w:rPr>
        <w:t>Distrito Federal, con </w:t>
      </w:r>
      <w:r>
        <w:rPr>
          <w:spacing w:val="-4"/>
          <w:sz w:val="22"/>
        </w:rPr>
        <w:t>el </w:t>
      </w:r>
      <w:r>
        <w:rPr>
          <w:sz w:val="22"/>
        </w:rPr>
        <w:t>objetivo de mejorar la gestión y la planeación territorial en </w:t>
      </w:r>
      <w:r>
        <w:rPr>
          <w:spacing w:val="-4"/>
          <w:sz w:val="22"/>
        </w:rPr>
        <w:t>el</w:t>
      </w:r>
      <w:r>
        <w:rPr>
          <w:spacing w:val="-17"/>
          <w:sz w:val="22"/>
        </w:rPr>
        <w:t> </w:t>
      </w:r>
      <w:r>
        <w:rPr>
          <w:sz w:val="22"/>
        </w:rPr>
        <w:t>área.</w:t>
      </w:r>
    </w:p>
    <w:p>
      <w:pPr>
        <w:pStyle w:val="BodyText"/>
        <w:spacing w:line="362" w:lineRule="auto" w:before="163"/>
        <w:ind w:left="119" w:right="100"/>
        <w:jc w:val="both"/>
      </w:pPr>
      <w:r>
        <w:rPr/>
        <w:t>La Delegación Álvaro Obregón representa el 5.9% del territorio del Distrito Federal, ocupando el quinto lugar por su extensión. El 65.4% del territorio </w:t>
      </w:r>
      <w:r>
        <w:rPr>
          <w:spacing w:val="-4"/>
        </w:rPr>
        <w:t>es </w:t>
      </w:r>
      <w:r>
        <w:rPr/>
        <w:t>utilizado para uso urbano, mientras que  para </w:t>
      </w:r>
      <w:r>
        <w:rPr>
          <w:spacing w:val="-4"/>
        </w:rPr>
        <w:t>el </w:t>
      </w:r>
      <w:r>
        <w:rPr/>
        <w:t>suelo de conservación </w:t>
      </w:r>
      <w:r>
        <w:rPr>
          <w:spacing w:val="2"/>
        </w:rPr>
        <w:t>se </w:t>
      </w:r>
      <w:r>
        <w:rPr/>
        <w:t>dispone del 29.4%. Según la información del </w:t>
      </w:r>
      <w:r>
        <w:rPr>
          <w:i/>
        </w:rPr>
        <w:t>Estadístico espacial </w:t>
      </w:r>
      <w:r>
        <w:rPr/>
        <w:t>en esta delegación </w:t>
      </w:r>
      <w:r>
        <w:rPr>
          <w:spacing w:val="2"/>
        </w:rPr>
        <w:t>se </w:t>
      </w:r>
      <w:r>
        <w:rPr/>
        <w:t>reconoce una densa red</w:t>
      </w:r>
      <w:r>
        <w:rPr>
          <w:spacing w:val="-28"/>
        </w:rPr>
        <w:t> </w:t>
      </w:r>
      <w:r>
        <w:rPr/>
        <w:t>fluvial.</w:t>
      </w:r>
    </w:p>
    <w:p>
      <w:pPr>
        <w:pStyle w:val="BodyText"/>
        <w:spacing w:line="360" w:lineRule="auto" w:before="160"/>
        <w:ind w:left="119" w:right="101"/>
        <w:jc w:val="both"/>
      </w:pPr>
      <w:r>
        <w:rPr/>
        <w:t>El gran número de escurrimientos que provienen de la Sierra de las Cruces mismos que han originado el sistema hidrológico actual, el cual consiste en ocho sub-cuencas fluviales correspondientes a los ríos Tacubaya, Becerra, Mixcoac, Tarango, Tequilazco, Tetelpan, Texcalatlaco y Magdalena, cuyas zonas de escurrimiento se encuentran en diversos grados de conservación o de invasión. Álvaro Obregón es una de las delegaciones que cuenta con una zona rural y zonas montañosas boscosas. Entre los pueblos ubicados en la sierra están San Bartolo Ameyalco, Santa Rosa Xochiac y Tizapán. Por la delegación corre el Río Magdalena, el último río vivo de la ciudad que sufre un grave problema de contaminación (PAOT, 2010).</w:t>
      </w:r>
    </w:p>
    <w:p>
      <w:pPr>
        <w:pStyle w:val="BodyText"/>
        <w:spacing w:line="360" w:lineRule="auto" w:before="168"/>
        <w:ind w:left="119" w:right="99"/>
        <w:jc w:val="both"/>
      </w:pPr>
      <w:r>
        <w:rPr/>
        <w:t>Por su parte, la Delegación Cuajimalpa de Morelos representa el 5.1% del total del Distrito Federal. El 20% del territorio corresponden al suelo urbano y 80% corresponden al suelo de conservación.  De acuerdo con la información del </w:t>
      </w:r>
      <w:r>
        <w:rPr>
          <w:i/>
        </w:rPr>
        <w:t>Estadístico Espacial </w:t>
      </w:r>
      <w:r>
        <w:rPr/>
        <w:t>la delegación </w:t>
      </w:r>
      <w:r>
        <w:rPr>
          <w:spacing w:val="2"/>
        </w:rPr>
        <w:t>se </w:t>
      </w:r>
      <w:r>
        <w:rPr/>
        <w:t>encuentra </w:t>
      </w:r>
      <w:r>
        <w:rPr>
          <w:spacing w:val="-4"/>
        </w:rPr>
        <w:t>en </w:t>
      </w:r>
      <w:r>
        <w:rPr/>
        <w:t>una zona de lomas formadas por rocas o suelos generalmente firmes que fueron depositados fuera del ambiente lacustre, pero en los que pueden existir, superficialmente o intercalados, depósitos arenosos en estado suelto o cohesivos relativamente blandos. En esta zona </w:t>
      </w:r>
      <w:r>
        <w:rPr>
          <w:spacing w:val="-4"/>
        </w:rPr>
        <w:t>es </w:t>
      </w:r>
      <w:r>
        <w:rPr/>
        <w:t>frecuente la presencia de oquedades en las rocas y de cavernas y túneles excavados en </w:t>
      </w:r>
      <w:r>
        <w:rPr>
          <w:spacing w:val="-4"/>
        </w:rPr>
        <w:t>el </w:t>
      </w:r>
      <w:r>
        <w:rPr/>
        <w:t>suelo para explotar </w:t>
      </w:r>
      <w:r>
        <w:rPr>
          <w:spacing w:val="-3"/>
        </w:rPr>
        <w:t>minas </w:t>
      </w:r>
      <w:r>
        <w:rPr/>
        <w:t>de arena (PAOT,</w:t>
      </w:r>
      <w:r>
        <w:rPr>
          <w:spacing w:val="-4"/>
        </w:rPr>
        <w:t> </w:t>
      </w:r>
      <w:r>
        <w:rPr/>
        <w:t>2010).</w:t>
      </w:r>
    </w:p>
    <w:p>
      <w:pPr>
        <w:pStyle w:val="BodyText"/>
        <w:spacing w:line="360" w:lineRule="auto" w:before="167"/>
        <w:ind w:left="119" w:right="101"/>
        <w:jc w:val="both"/>
      </w:pPr>
      <w:r>
        <w:rPr/>
        <w:t>En la delegación </w:t>
      </w:r>
      <w:r>
        <w:rPr>
          <w:spacing w:val="2"/>
        </w:rPr>
        <w:t>se </w:t>
      </w:r>
      <w:r>
        <w:rPr/>
        <w:t>encuentra una serie de volcanes </w:t>
      </w:r>
      <w:r>
        <w:rPr>
          <w:spacing w:val="-4"/>
        </w:rPr>
        <w:t>más </w:t>
      </w:r>
      <w:r>
        <w:rPr/>
        <w:t>o menos alineados de norte a sur y  paralelos a </w:t>
      </w:r>
      <w:r>
        <w:rPr>
          <w:spacing w:val="-3"/>
        </w:rPr>
        <w:t>ellos </w:t>
      </w:r>
      <w:r>
        <w:rPr/>
        <w:t>se desarrollan valles profundos y escalonados. Estas formaciones pertenecen a la Sierra  de  las  Cruces.  En  su  edafología  </w:t>
      </w:r>
      <w:r>
        <w:rPr>
          <w:spacing w:val="2"/>
        </w:rPr>
        <w:t>se </w:t>
      </w:r>
      <w:r>
        <w:rPr/>
        <w:t>presentan  andosoles  y  luvisoles;  los  primeros</w:t>
      </w:r>
      <w:r>
        <w:rPr>
          <w:spacing w:val="18"/>
        </w:rPr>
        <w:t> </w:t>
      </w:r>
      <w:r>
        <w:rPr/>
        <w:t>están</w:t>
      </w:r>
    </w:p>
    <w:p>
      <w:pPr>
        <w:spacing w:after="0" w:line="360" w:lineRule="auto"/>
        <w:jc w:val="both"/>
        <w:sectPr>
          <w:pgSz w:w="12240" w:h="15840"/>
          <w:pgMar w:top="1360" w:bottom="280" w:left="1580" w:right="1600"/>
        </w:sectPr>
      </w:pPr>
    </w:p>
    <w:p>
      <w:pPr>
        <w:pStyle w:val="BodyText"/>
        <w:spacing w:line="360" w:lineRule="auto" w:before="52"/>
        <w:ind w:left="119" w:right="99"/>
        <w:jc w:val="both"/>
      </w:pPr>
      <w:r>
        <w:rPr/>
        <w:t>formados por acumulaciones de cenizas y vidrio volcánico, con horizontes promedio de 10 centímetros. Son ricos en </w:t>
      </w:r>
      <w:r>
        <w:rPr>
          <w:spacing w:val="-3"/>
        </w:rPr>
        <w:t>materia </w:t>
      </w:r>
      <w:r>
        <w:rPr/>
        <w:t>orgánica, lo que los convierte en suelos propios para la agricultura con prácticas adecuadas de manejo y conservación, por la fragilidad propia de su espesor, aunque  los luvisoles </w:t>
      </w:r>
      <w:r>
        <w:rPr>
          <w:spacing w:val="2"/>
        </w:rPr>
        <w:t>se </w:t>
      </w:r>
      <w:r>
        <w:rPr/>
        <w:t>encuentran en la </w:t>
      </w:r>
      <w:r>
        <w:rPr>
          <w:spacing w:val="-3"/>
        </w:rPr>
        <w:t>mayor </w:t>
      </w:r>
      <w:r>
        <w:rPr/>
        <w:t>parte de la delegación (PAOT,</w:t>
      </w:r>
      <w:r>
        <w:rPr>
          <w:spacing w:val="-14"/>
        </w:rPr>
        <w:t> </w:t>
      </w:r>
      <w:r>
        <w:rPr/>
        <w:t>2010).</w:t>
      </w:r>
    </w:p>
    <w:p>
      <w:pPr>
        <w:pStyle w:val="BodyText"/>
        <w:spacing w:line="360" w:lineRule="auto" w:before="167"/>
        <w:ind w:left="119" w:right="99"/>
        <w:jc w:val="both"/>
      </w:pPr>
      <w:r>
        <w:rPr/>
        <w:t>Por las características particulares de los predios agrícolas en Cuajimalpa (terrenos con fuertes pendientes, alto índice de precipitación pluvial, horizontes promedio de diez centímetros, prácticas inadecuadas de manejo y conservación de suelos y abandono de tierras), los procesos erosivos son particularmente graves, ocasionando pérdida de suelos y por lo tanto capacidad para ser cultivados. Este proceso los deja expuestos a los asentamientos humanos irregulares. En las zonas de mayor altitud existen fallas geológicas, presentándose una serie de fracturas, barrancas y cañadas, donde se infiltran grandes volúmenes de agua. Hacia la planicie, la permeabilidad se hace prácticamente nula, por lo que se forman pequeños cauces por donde corre superficialmente el agua de lluvia en forma de lodo estacional (PAOT, 2010).</w:t>
      </w:r>
    </w:p>
    <w:p>
      <w:pPr>
        <w:pStyle w:val="BodyText"/>
        <w:spacing w:line="360" w:lineRule="auto" w:before="168"/>
        <w:ind w:left="119" w:right="104"/>
        <w:jc w:val="both"/>
      </w:pPr>
      <w:r>
        <w:rPr/>
        <w:t>En relación a la Delegación Magdalena Contreras se menciona que representa </w:t>
      </w:r>
      <w:r>
        <w:rPr>
          <w:spacing w:val="-4"/>
        </w:rPr>
        <w:t>el </w:t>
      </w:r>
      <w:r>
        <w:rPr/>
        <w:t>5.11% de superficie territorial total del Distrito Federal, de las cuales 4,397 hectáreas corresponden originalmente a suelo de conservación y 3,183.50 a suelo urbano. La altitud media </w:t>
      </w:r>
      <w:r>
        <w:rPr>
          <w:spacing w:val="-4"/>
        </w:rPr>
        <w:t>es </w:t>
      </w:r>
      <w:r>
        <w:rPr/>
        <w:t>de 2,500 metros en suelo urbano y de 3,700 </w:t>
      </w:r>
      <w:r>
        <w:rPr>
          <w:spacing w:val="-3"/>
        </w:rPr>
        <w:t>msnm </w:t>
      </w:r>
      <w:r>
        <w:rPr/>
        <w:t>en suelo de conservación, al sur de la delegación. La delegación tiene cuatro corrientes de agua superficial importantes; los ríos Magdalena, Chichicaspa, las Regaderas y</w:t>
      </w:r>
      <w:r>
        <w:rPr>
          <w:spacing w:val="-11"/>
        </w:rPr>
        <w:t> </w:t>
      </w:r>
      <w:r>
        <w:rPr/>
        <w:t>Oxaixtla.</w:t>
      </w:r>
    </w:p>
    <w:p>
      <w:pPr>
        <w:pStyle w:val="BodyText"/>
        <w:spacing w:line="360" w:lineRule="auto" w:before="163"/>
        <w:ind w:left="119" w:right="102"/>
        <w:jc w:val="both"/>
      </w:pPr>
      <w:r>
        <w:rPr/>
        <w:t>El río Magdalena </w:t>
      </w:r>
      <w:r>
        <w:rPr>
          <w:spacing w:val="-4"/>
        </w:rPr>
        <w:t>es </w:t>
      </w:r>
      <w:r>
        <w:rPr/>
        <w:t>el único en el Distrito Federal que sigue siendo de agua dulce sin embargo, al introducirse en la zona urbana recibe descargas de varios colectores que encuentra a su paso. Su cuenca presenta factores elevados de escurrimiento, debido a que gran parte del área </w:t>
      </w:r>
      <w:r>
        <w:rPr>
          <w:spacing w:val="2"/>
        </w:rPr>
        <w:t>se </w:t>
      </w:r>
      <w:r>
        <w:rPr/>
        <w:t>encuentra pavimentada, esto aunado a las fuertes precipitaciones registradas cada año, lo que origina grandes caudales en época de lluvia. En el aspecto geológico existen tres fracturas dentro del área de la delegación, dos de ellas que corren de suroeste a noreste y una en la parte norte de oeste a </w:t>
      </w:r>
      <w:r>
        <w:rPr>
          <w:spacing w:val="-3"/>
        </w:rPr>
        <w:t>este.  </w:t>
      </w:r>
      <w:r>
        <w:rPr/>
        <w:t>Estas tres fracturas son relativamente cortas y </w:t>
      </w:r>
      <w:r>
        <w:rPr>
          <w:spacing w:val="-3"/>
        </w:rPr>
        <w:t>no </w:t>
      </w:r>
      <w:r>
        <w:rPr/>
        <w:t>ofrecen grandes peligros, aunque una de ellas coincide en un área de suelo colapsable pero fuera </w:t>
      </w:r>
      <w:r>
        <w:rPr>
          <w:spacing w:val="-3"/>
        </w:rPr>
        <w:t>de </w:t>
      </w:r>
      <w:r>
        <w:rPr/>
        <w:t>suelo urbano (PAOT,</w:t>
      </w:r>
      <w:r>
        <w:rPr>
          <w:spacing w:val="-21"/>
        </w:rPr>
        <w:t> </w:t>
      </w:r>
      <w:r>
        <w:rPr/>
        <w:t>2010).</w:t>
      </w:r>
    </w:p>
    <w:p>
      <w:pPr>
        <w:spacing w:after="0" w:line="360" w:lineRule="auto"/>
        <w:jc w:val="both"/>
        <w:sectPr>
          <w:pgSz w:w="12240" w:h="15840"/>
          <w:pgMar w:top="1360" w:bottom="280" w:left="1580" w:right="1600"/>
        </w:sectPr>
      </w:pPr>
    </w:p>
    <w:p>
      <w:pPr>
        <w:pStyle w:val="Heading1"/>
        <w:numPr>
          <w:ilvl w:val="2"/>
          <w:numId w:val="15"/>
        </w:numPr>
        <w:tabs>
          <w:tab w:pos="620" w:val="left" w:leader="none"/>
        </w:tabs>
        <w:spacing w:line="240" w:lineRule="auto" w:before="52" w:after="0"/>
        <w:ind w:left="619" w:right="0" w:hanging="500"/>
        <w:jc w:val="both"/>
      </w:pPr>
      <w:bookmarkStart w:name="_bookmark28" w:id="48"/>
      <w:bookmarkEnd w:id="48"/>
      <w:r>
        <w:rPr>
          <w:b w:val="0"/>
        </w:rPr>
      </w:r>
      <w:bookmarkStart w:name="_bookmark28" w:id="49"/>
      <w:bookmarkEnd w:id="49"/>
      <w:r>
        <w:rPr/>
        <w:t>B</w:t>
      </w:r>
      <w:r>
        <w:rPr/>
        <w:t>arrancas de la zona poniente de la Ciudad de</w:t>
      </w:r>
      <w:r>
        <w:rPr>
          <w:spacing w:val="-30"/>
        </w:rPr>
        <w:t> </w:t>
      </w:r>
      <w:r>
        <w:rPr/>
        <w:t>México</w:t>
      </w:r>
    </w:p>
    <w:p>
      <w:pPr>
        <w:pStyle w:val="BodyText"/>
        <w:rPr>
          <w:b/>
        </w:rPr>
      </w:pPr>
    </w:p>
    <w:p>
      <w:pPr>
        <w:pStyle w:val="BodyText"/>
        <w:rPr>
          <w:b/>
          <w:sz w:val="19"/>
        </w:rPr>
      </w:pPr>
    </w:p>
    <w:p>
      <w:pPr>
        <w:pStyle w:val="BodyText"/>
        <w:spacing w:line="360" w:lineRule="auto" w:before="1"/>
        <w:ind w:left="119" w:right="106"/>
        <w:jc w:val="both"/>
      </w:pPr>
      <w:r>
        <w:rPr/>
        <w:t>En el Distrito Federal se encuentra un importante sistema de barrancas ubicadas principalmente en las delegaciones Álvaro Obregón, Cuajimalpa de Morelos, Magdalena Contreras y Miguel Hidalgo, sumando un total de 44 barrancas identificadas y que se localizan en 15 microcuencas (PAOT, 2010). De acuerdo con la información de la Secretaría del Medio Ambiente, el número y nombre de las barrancas localizadas en las delegaciones de la zona de estudio son:</w:t>
      </w:r>
    </w:p>
    <w:p>
      <w:pPr>
        <w:pStyle w:val="BodyText"/>
      </w:pPr>
    </w:p>
    <w:p>
      <w:pPr>
        <w:pStyle w:val="BodyText"/>
        <w:spacing w:before="6"/>
        <w:rPr>
          <w:sz w:val="27"/>
        </w:rPr>
      </w:pPr>
    </w:p>
    <w:p>
      <w:pPr>
        <w:spacing w:before="1"/>
        <w:ind w:left="1728" w:right="0" w:firstLine="0"/>
        <w:jc w:val="left"/>
        <w:rPr>
          <w:b/>
          <w:sz w:val="20"/>
        </w:rPr>
      </w:pPr>
      <w:r>
        <w:rPr>
          <w:b/>
          <w:sz w:val="20"/>
        </w:rPr>
        <w:t>Tabla 1. Barrancas de la zona poniente de la Ciudad de México</w:t>
      </w:r>
    </w:p>
    <w:p>
      <w:pPr>
        <w:pStyle w:val="BodyText"/>
        <w:rPr>
          <w:b/>
          <w:sz w:val="11"/>
        </w:rPr>
      </w:pPr>
    </w:p>
    <w:tbl>
      <w:tblPr>
        <w:tblW w:w="0" w:type="auto"/>
        <w:jc w:val="left"/>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1964"/>
        <w:gridCol w:w="1647"/>
        <w:gridCol w:w="2204"/>
      </w:tblGrid>
      <w:tr>
        <w:trPr>
          <w:trHeight w:val="271" w:hRule="exact"/>
        </w:trPr>
        <w:tc>
          <w:tcPr>
            <w:tcW w:w="6848" w:type="dxa"/>
            <w:gridSpan w:val="4"/>
            <w:shd w:val="clear" w:color="auto" w:fill="212B35"/>
          </w:tcPr>
          <w:p>
            <w:pPr>
              <w:pStyle w:val="TableParagraph"/>
              <w:spacing w:before="3"/>
              <w:ind w:left="2885" w:right="2886"/>
              <w:jc w:val="center"/>
              <w:rPr>
                <w:b/>
                <w:sz w:val="22"/>
              </w:rPr>
            </w:pPr>
            <w:r>
              <w:rPr>
                <w:b/>
                <w:color w:val="FFFFFF"/>
                <w:sz w:val="22"/>
              </w:rPr>
              <w:t>Delegación</w:t>
            </w:r>
          </w:p>
        </w:tc>
      </w:tr>
      <w:tr>
        <w:trPr>
          <w:trHeight w:val="293" w:hRule="exact"/>
        </w:trPr>
        <w:tc>
          <w:tcPr>
            <w:tcW w:w="1032" w:type="dxa"/>
            <w:vMerge w:val="restart"/>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5"/>
              <w:rPr>
                <w:b/>
                <w:sz w:val="25"/>
              </w:rPr>
            </w:pPr>
          </w:p>
          <w:p>
            <w:pPr>
              <w:pStyle w:val="TableParagraph"/>
              <w:ind w:left="67"/>
              <w:rPr>
                <w:b/>
                <w:sz w:val="22"/>
              </w:rPr>
            </w:pPr>
            <w:r>
              <w:rPr>
                <w:b/>
                <w:sz w:val="22"/>
              </w:rPr>
              <w:t>Barranca</w:t>
            </w:r>
          </w:p>
        </w:tc>
        <w:tc>
          <w:tcPr>
            <w:tcW w:w="1964" w:type="dxa"/>
          </w:tcPr>
          <w:p>
            <w:pPr>
              <w:pStyle w:val="TableParagraph"/>
              <w:spacing w:before="16"/>
              <w:ind w:left="211"/>
              <w:rPr>
                <w:b/>
                <w:sz w:val="22"/>
              </w:rPr>
            </w:pPr>
            <w:r>
              <w:rPr>
                <w:b/>
                <w:sz w:val="22"/>
              </w:rPr>
              <w:t>Alvaro Obregón</w:t>
            </w:r>
          </w:p>
        </w:tc>
        <w:tc>
          <w:tcPr>
            <w:tcW w:w="1647" w:type="dxa"/>
          </w:tcPr>
          <w:p>
            <w:pPr>
              <w:pStyle w:val="TableParagraph"/>
              <w:spacing w:before="16"/>
              <w:ind w:left="264"/>
              <w:rPr>
                <w:b/>
                <w:sz w:val="22"/>
              </w:rPr>
            </w:pPr>
            <w:r>
              <w:rPr>
                <w:b/>
                <w:sz w:val="22"/>
              </w:rPr>
              <w:t>Cuajimalpa</w:t>
            </w:r>
          </w:p>
        </w:tc>
        <w:tc>
          <w:tcPr>
            <w:tcW w:w="2204" w:type="dxa"/>
          </w:tcPr>
          <w:p>
            <w:pPr>
              <w:pStyle w:val="TableParagraph"/>
              <w:spacing w:before="16"/>
              <w:ind w:left="67"/>
              <w:rPr>
                <w:b/>
                <w:sz w:val="22"/>
              </w:rPr>
            </w:pPr>
            <w:r>
              <w:rPr>
                <w:b/>
                <w:sz w:val="22"/>
              </w:rPr>
              <w:t>Magdalena Contreras</w:t>
            </w:r>
          </w:p>
        </w:tc>
      </w:tr>
      <w:tr>
        <w:trPr>
          <w:trHeight w:val="283" w:hRule="exact"/>
        </w:trPr>
        <w:tc>
          <w:tcPr>
            <w:tcW w:w="1032" w:type="dxa"/>
            <w:vMerge/>
          </w:tcPr>
          <w:p>
            <w:pPr/>
          </w:p>
        </w:tc>
        <w:tc>
          <w:tcPr>
            <w:tcW w:w="1964" w:type="dxa"/>
          </w:tcPr>
          <w:p>
            <w:pPr>
              <w:pStyle w:val="TableParagraph"/>
              <w:spacing w:before="10"/>
              <w:ind w:left="67"/>
              <w:rPr>
                <w:sz w:val="22"/>
              </w:rPr>
            </w:pPr>
            <w:r>
              <w:rPr>
                <w:sz w:val="22"/>
              </w:rPr>
              <w:t>Atzoyapan</w:t>
            </w:r>
          </w:p>
        </w:tc>
        <w:tc>
          <w:tcPr>
            <w:tcW w:w="1647" w:type="dxa"/>
          </w:tcPr>
          <w:p>
            <w:pPr>
              <w:pStyle w:val="TableParagraph"/>
              <w:spacing w:before="10"/>
              <w:ind w:left="67"/>
              <w:rPr>
                <w:sz w:val="22"/>
              </w:rPr>
            </w:pPr>
            <w:r>
              <w:rPr>
                <w:sz w:val="22"/>
              </w:rPr>
              <w:t>Aguazul</w:t>
            </w:r>
          </w:p>
        </w:tc>
        <w:tc>
          <w:tcPr>
            <w:tcW w:w="2204" w:type="dxa"/>
          </w:tcPr>
          <w:p>
            <w:pPr>
              <w:pStyle w:val="TableParagraph"/>
              <w:spacing w:before="10"/>
              <w:ind w:left="67"/>
              <w:rPr>
                <w:sz w:val="22"/>
              </w:rPr>
            </w:pPr>
            <w:r>
              <w:rPr>
                <w:sz w:val="22"/>
              </w:rPr>
              <w:t>Anzaldo</w:t>
            </w:r>
          </w:p>
        </w:tc>
      </w:tr>
      <w:tr>
        <w:trPr>
          <w:trHeight w:val="283" w:hRule="exact"/>
        </w:trPr>
        <w:tc>
          <w:tcPr>
            <w:tcW w:w="1032" w:type="dxa"/>
            <w:vMerge/>
          </w:tcPr>
          <w:p>
            <w:pPr/>
          </w:p>
        </w:tc>
        <w:tc>
          <w:tcPr>
            <w:tcW w:w="1964" w:type="dxa"/>
          </w:tcPr>
          <w:p>
            <w:pPr>
              <w:pStyle w:val="TableParagraph"/>
              <w:spacing w:before="10"/>
              <w:ind w:left="67"/>
              <w:rPr>
                <w:sz w:val="22"/>
              </w:rPr>
            </w:pPr>
            <w:r>
              <w:rPr>
                <w:sz w:val="22"/>
              </w:rPr>
              <w:t>Barranca del Muerto</w:t>
            </w:r>
          </w:p>
        </w:tc>
        <w:tc>
          <w:tcPr>
            <w:tcW w:w="1647" w:type="dxa"/>
          </w:tcPr>
          <w:p>
            <w:pPr>
              <w:pStyle w:val="TableParagraph"/>
              <w:spacing w:before="10"/>
              <w:ind w:left="67"/>
              <w:rPr>
                <w:sz w:val="22"/>
              </w:rPr>
            </w:pPr>
            <w:r>
              <w:rPr>
                <w:sz w:val="22"/>
              </w:rPr>
              <w:t>Arroyo Borracho</w:t>
            </w:r>
          </w:p>
        </w:tc>
        <w:tc>
          <w:tcPr>
            <w:tcW w:w="2204" w:type="dxa"/>
          </w:tcPr>
          <w:p>
            <w:pPr>
              <w:pStyle w:val="TableParagraph"/>
              <w:spacing w:before="10"/>
              <w:ind w:left="67"/>
              <w:rPr>
                <w:sz w:val="22"/>
              </w:rPr>
            </w:pPr>
            <w:r>
              <w:rPr>
                <w:sz w:val="22"/>
              </w:rPr>
              <w:t>Eslava</w:t>
            </w:r>
          </w:p>
        </w:tc>
      </w:tr>
      <w:tr>
        <w:trPr>
          <w:trHeight w:val="283" w:hRule="exact"/>
        </w:trPr>
        <w:tc>
          <w:tcPr>
            <w:tcW w:w="1032" w:type="dxa"/>
            <w:vMerge/>
          </w:tcPr>
          <w:p>
            <w:pPr/>
          </w:p>
        </w:tc>
        <w:tc>
          <w:tcPr>
            <w:tcW w:w="1964" w:type="dxa"/>
          </w:tcPr>
          <w:p>
            <w:pPr>
              <w:pStyle w:val="TableParagraph"/>
              <w:spacing w:before="10"/>
              <w:ind w:left="67"/>
              <w:rPr>
                <w:sz w:val="22"/>
              </w:rPr>
            </w:pPr>
            <w:r>
              <w:rPr>
                <w:sz w:val="22"/>
              </w:rPr>
              <w:t>El Moral</w:t>
            </w:r>
          </w:p>
        </w:tc>
        <w:tc>
          <w:tcPr>
            <w:tcW w:w="1647" w:type="dxa"/>
          </w:tcPr>
          <w:p>
            <w:pPr>
              <w:pStyle w:val="TableParagraph"/>
              <w:spacing w:before="10"/>
              <w:ind w:left="67"/>
              <w:rPr>
                <w:sz w:val="22"/>
              </w:rPr>
            </w:pPr>
            <w:r>
              <w:rPr>
                <w:sz w:val="22"/>
              </w:rPr>
              <w:t>Cañada Lomas</w:t>
            </w:r>
          </w:p>
        </w:tc>
        <w:tc>
          <w:tcPr>
            <w:tcW w:w="2204" w:type="dxa"/>
          </w:tcPr>
          <w:p>
            <w:pPr>
              <w:pStyle w:val="TableParagraph"/>
              <w:spacing w:before="10"/>
              <w:ind w:left="67"/>
              <w:rPr>
                <w:sz w:val="22"/>
              </w:rPr>
            </w:pPr>
            <w:r>
              <w:rPr>
                <w:sz w:val="22"/>
              </w:rPr>
              <w:t>La Coyotera</w:t>
            </w:r>
          </w:p>
        </w:tc>
      </w:tr>
      <w:tr>
        <w:trPr>
          <w:trHeight w:val="283" w:hRule="exact"/>
        </w:trPr>
        <w:tc>
          <w:tcPr>
            <w:tcW w:w="1032" w:type="dxa"/>
            <w:vMerge/>
          </w:tcPr>
          <w:p>
            <w:pPr/>
          </w:p>
        </w:tc>
        <w:tc>
          <w:tcPr>
            <w:tcW w:w="1964" w:type="dxa"/>
          </w:tcPr>
          <w:p>
            <w:pPr>
              <w:pStyle w:val="TableParagraph"/>
              <w:spacing w:before="15"/>
              <w:ind w:left="67"/>
              <w:rPr>
                <w:sz w:val="22"/>
              </w:rPr>
            </w:pPr>
            <w:r>
              <w:rPr>
                <w:sz w:val="22"/>
              </w:rPr>
              <w:t>Guadalupe</w:t>
            </w:r>
          </w:p>
        </w:tc>
        <w:tc>
          <w:tcPr>
            <w:tcW w:w="1647" w:type="dxa"/>
          </w:tcPr>
          <w:p>
            <w:pPr>
              <w:pStyle w:val="TableParagraph"/>
              <w:spacing w:before="15"/>
              <w:ind w:left="67"/>
              <w:rPr>
                <w:sz w:val="22"/>
              </w:rPr>
            </w:pPr>
            <w:r>
              <w:rPr>
                <w:sz w:val="22"/>
              </w:rPr>
              <w:t>Chamixto</w:t>
            </w:r>
          </w:p>
        </w:tc>
        <w:tc>
          <w:tcPr>
            <w:tcW w:w="2204" w:type="dxa"/>
          </w:tcPr>
          <w:p>
            <w:pPr>
              <w:pStyle w:val="TableParagraph"/>
              <w:spacing w:before="15"/>
              <w:ind w:left="67"/>
              <w:rPr>
                <w:sz w:val="22"/>
              </w:rPr>
            </w:pPr>
            <w:r>
              <w:rPr>
                <w:sz w:val="22"/>
              </w:rPr>
              <w:t>Río Magdalena</w:t>
            </w:r>
          </w:p>
        </w:tc>
      </w:tr>
      <w:tr>
        <w:trPr>
          <w:trHeight w:val="284" w:hRule="exact"/>
        </w:trPr>
        <w:tc>
          <w:tcPr>
            <w:tcW w:w="1032" w:type="dxa"/>
            <w:vMerge/>
          </w:tcPr>
          <w:p>
            <w:pPr/>
          </w:p>
        </w:tc>
        <w:tc>
          <w:tcPr>
            <w:tcW w:w="1964" w:type="dxa"/>
          </w:tcPr>
          <w:p>
            <w:pPr>
              <w:pStyle w:val="TableParagraph"/>
              <w:spacing w:before="16"/>
              <w:ind w:left="67"/>
              <w:rPr>
                <w:sz w:val="22"/>
              </w:rPr>
            </w:pPr>
            <w:r>
              <w:rPr>
                <w:sz w:val="22"/>
              </w:rPr>
              <w:t>Malinche</w:t>
            </w:r>
          </w:p>
        </w:tc>
        <w:tc>
          <w:tcPr>
            <w:tcW w:w="1647" w:type="dxa"/>
          </w:tcPr>
          <w:p>
            <w:pPr>
              <w:pStyle w:val="TableParagraph"/>
              <w:spacing w:before="16"/>
              <w:ind w:left="67"/>
              <w:rPr>
                <w:sz w:val="22"/>
              </w:rPr>
            </w:pPr>
            <w:r>
              <w:rPr>
                <w:sz w:val="22"/>
              </w:rPr>
              <w:t>Echánove</w:t>
            </w:r>
          </w:p>
        </w:tc>
        <w:tc>
          <w:tcPr>
            <w:tcW w:w="2204" w:type="dxa"/>
          </w:tcPr>
          <w:p>
            <w:pPr>
              <w:pStyle w:val="TableParagraph"/>
              <w:spacing w:before="16"/>
              <w:ind w:left="67"/>
              <w:rPr>
                <w:sz w:val="22"/>
              </w:rPr>
            </w:pPr>
            <w:r>
              <w:rPr>
                <w:sz w:val="22"/>
              </w:rPr>
              <w:t>Texcalatlaco</w:t>
            </w:r>
          </w:p>
        </w:tc>
      </w:tr>
      <w:tr>
        <w:trPr>
          <w:trHeight w:val="288" w:hRule="exact"/>
        </w:trPr>
        <w:tc>
          <w:tcPr>
            <w:tcW w:w="1032" w:type="dxa"/>
            <w:vMerge/>
          </w:tcPr>
          <w:p>
            <w:pPr/>
          </w:p>
        </w:tc>
        <w:tc>
          <w:tcPr>
            <w:tcW w:w="1964" w:type="dxa"/>
          </w:tcPr>
          <w:p>
            <w:pPr>
              <w:pStyle w:val="TableParagraph"/>
              <w:spacing w:before="15"/>
              <w:ind w:left="67"/>
              <w:rPr>
                <w:sz w:val="22"/>
              </w:rPr>
            </w:pPr>
            <w:r>
              <w:rPr>
                <w:sz w:val="22"/>
              </w:rPr>
              <w:t>Mixcoac</w:t>
            </w:r>
          </w:p>
        </w:tc>
        <w:tc>
          <w:tcPr>
            <w:tcW w:w="1647" w:type="dxa"/>
          </w:tcPr>
          <w:p>
            <w:pPr>
              <w:pStyle w:val="TableParagraph"/>
              <w:spacing w:before="15"/>
              <w:ind w:left="67"/>
              <w:rPr>
                <w:sz w:val="22"/>
              </w:rPr>
            </w:pPr>
            <w:r>
              <w:rPr>
                <w:sz w:val="22"/>
              </w:rPr>
              <w:t>El Zapote</w:t>
            </w:r>
          </w:p>
        </w:tc>
        <w:tc>
          <w:tcPr>
            <w:tcW w:w="2204" w:type="dxa"/>
          </w:tcPr>
          <w:p>
            <w:pPr>
              <w:pStyle w:val="TableParagraph"/>
              <w:spacing w:before="15"/>
              <w:ind w:left="67"/>
              <w:rPr>
                <w:sz w:val="22"/>
              </w:rPr>
            </w:pPr>
            <w:r>
              <w:rPr>
                <w:sz w:val="22"/>
              </w:rPr>
              <w:t>Teximaloya</w:t>
            </w:r>
          </w:p>
        </w:tc>
      </w:tr>
      <w:tr>
        <w:trPr>
          <w:trHeight w:val="283" w:hRule="exact"/>
        </w:trPr>
        <w:tc>
          <w:tcPr>
            <w:tcW w:w="1032" w:type="dxa"/>
            <w:vMerge/>
          </w:tcPr>
          <w:p>
            <w:pPr/>
          </w:p>
        </w:tc>
        <w:tc>
          <w:tcPr>
            <w:tcW w:w="1964" w:type="dxa"/>
          </w:tcPr>
          <w:p>
            <w:pPr>
              <w:pStyle w:val="TableParagraph"/>
              <w:spacing w:before="10"/>
              <w:ind w:left="67"/>
              <w:rPr>
                <w:sz w:val="22"/>
              </w:rPr>
            </w:pPr>
            <w:r>
              <w:rPr>
                <w:sz w:val="22"/>
              </w:rPr>
              <w:t>Parque La Loma</w:t>
            </w:r>
          </w:p>
        </w:tc>
        <w:tc>
          <w:tcPr>
            <w:tcW w:w="1647" w:type="dxa"/>
          </w:tcPr>
          <w:p>
            <w:pPr>
              <w:pStyle w:val="TableParagraph"/>
              <w:spacing w:before="10"/>
              <w:ind w:left="67"/>
              <w:rPr>
                <w:sz w:val="22"/>
              </w:rPr>
            </w:pPr>
            <w:r>
              <w:rPr>
                <w:sz w:val="22"/>
              </w:rPr>
              <w:t>Hueyatlaco</w:t>
            </w:r>
          </w:p>
        </w:tc>
        <w:tc>
          <w:tcPr>
            <w:tcW w:w="2204" w:type="dxa"/>
          </w:tcPr>
          <w:p>
            <w:pPr/>
          </w:p>
        </w:tc>
      </w:tr>
      <w:tr>
        <w:trPr>
          <w:trHeight w:val="283" w:hRule="exact"/>
        </w:trPr>
        <w:tc>
          <w:tcPr>
            <w:tcW w:w="1032" w:type="dxa"/>
            <w:vMerge/>
          </w:tcPr>
          <w:p>
            <w:pPr/>
          </w:p>
        </w:tc>
        <w:tc>
          <w:tcPr>
            <w:tcW w:w="1964" w:type="dxa"/>
          </w:tcPr>
          <w:p>
            <w:pPr>
              <w:pStyle w:val="TableParagraph"/>
              <w:spacing w:before="10"/>
              <w:ind w:left="67"/>
              <w:rPr>
                <w:sz w:val="22"/>
              </w:rPr>
            </w:pPr>
            <w:r>
              <w:rPr>
                <w:sz w:val="22"/>
              </w:rPr>
              <w:t>Puente Colorado</w:t>
            </w:r>
          </w:p>
        </w:tc>
        <w:tc>
          <w:tcPr>
            <w:tcW w:w="1647" w:type="dxa"/>
          </w:tcPr>
          <w:p>
            <w:pPr>
              <w:pStyle w:val="TableParagraph"/>
              <w:spacing w:before="10"/>
              <w:ind w:left="67"/>
              <w:rPr>
                <w:sz w:val="22"/>
              </w:rPr>
            </w:pPr>
            <w:r>
              <w:rPr>
                <w:sz w:val="22"/>
              </w:rPr>
              <w:t>La Diferencia</w:t>
            </w:r>
          </w:p>
        </w:tc>
        <w:tc>
          <w:tcPr>
            <w:tcW w:w="2204" w:type="dxa"/>
          </w:tcPr>
          <w:p>
            <w:pPr/>
          </w:p>
        </w:tc>
      </w:tr>
      <w:tr>
        <w:trPr>
          <w:trHeight w:val="283" w:hRule="exact"/>
        </w:trPr>
        <w:tc>
          <w:tcPr>
            <w:tcW w:w="1032" w:type="dxa"/>
            <w:vMerge/>
          </w:tcPr>
          <w:p>
            <w:pPr/>
          </w:p>
        </w:tc>
        <w:tc>
          <w:tcPr>
            <w:tcW w:w="1964" w:type="dxa"/>
          </w:tcPr>
          <w:p>
            <w:pPr>
              <w:pStyle w:val="TableParagraph"/>
              <w:spacing w:before="10"/>
              <w:ind w:left="67"/>
              <w:rPr>
                <w:sz w:val="22"/>
              </w:rPr>
            </w:pPr>
            <w:r>
              <w:rPr>
                <w:sz w:val="22"/>
              </w:rPr>
              <w:t>Puerta Grande</w:t>
            </w:r>
          </w:p>
        </w:tc>
        <w:tc>
          <w:tcPr>
            <w:tcW w:w="1647" w:type="dxa"/>
          </w:tcPr>
          <w:p>
            <w:pPr>
              <w:pStyle w:val="TableParagraph"/>
              <w:spacing w:before="10"/>
              <w:ind w:left="67"/>
              <w:rPr>
                <w:sz w:val="22"/>
              </w:rPr>
            </w:pPr>
            <w:r>
              <w:rPr>
                <w:sz w:val="22"/>
              </w:rPr>
              <w:t>Los Helechos</w:t>
            </w:r>
          </w:p>
        </w:tc>
        <w:tc>
          <w:tcPr>
            <w:tcW w:w="2204" w:type="dxa"/>
          </w:tcPr>
          <w:p>
            <w:pPr/>
          </w:p>
        </w:tc>
      </w:tr>
      <w:tr>
        <w:trPr>
          <w:trHeight w:val="283" w:hRule="exact"/>
        </w:trPr>
        <w:tc>
          <w:tcPr>
            <w:tcW w:w="1032" w:type="dxa"/>
            <w:vMerge/>
          </w:tcPr>
          <w:p>
            <w:pPr/>
          </w:p>
        </w:tc>
        <w:tc>
          <w:tcPr>
            <w:tcW w:w="1964" w:type="dxa"/>
          </w:tcPr>
          <w:p>
            <w:pPr>
              <w:pStyle w:val="TableParagraph"/>
              <w:spacing w:before="15"/>
              <w:ind w:left="67"/>
              <w:rPr>
                <w:sz w:val="22"/>
              </w:rPr>
            </w:pPr>
            <w:r>
              <w:rPr>
                <w:sz w:val="22"/>
              </w:rPr>
              <w:t>Río Becerra</w:t>
            </w:r>
          </w:p>
        </w:tc>
        <w:tc>
          <w:tcPr>
            <w:tcW w:w="1647" w:type="dxa"/>
          </w:tcPr>
          <w:p>
            <w:pPr>
              <w:pStyle w:val="TableParagraph"/>
              <w:spacing w:before="15"/>
              <w:ind w:left="67"/>
              <w:rPr>
                <w:sz w:val="22"/>
              </w:rPr>
            </w:pPr>
            <w:r>
              <w:rPr>
                <w:sz w:val="22"/>
              </w:rPr>
              <w:t>Milpa Vieja</w:t>
            </w:r>
          </w:p>
        </w:tc>
        <w:tc>
          <w:tcPr>
            <w:tcW w:w="2204" w:type="dxa"/>
          </w:tcPr>
          <w:p>
            <w:pPr/>
          </w:p>
        </w:tc>
      </w:tr>
      <w:tr>
        <w:trPr>
          <w:trHeight w:val="284" w:hRule="exact"/>
        </w:trPr>
        <w:tc>
          <w:tcPr>
            <w:tcW w:w="1032" w:type="dxa"/>
            <w:vMerge/>
          </w:tcPr>
          <w:p>
            <w:pPr/>
          </w:p>
        </w:tc>
        <w:tc>
          <w:tcPr>
            <w:tcW w:w="1964" w:type="dxa"/>
          </w:tcPr>
          <w:p>
            <w:pPr>
              <w:pStyle w:val="TableParagraph"/>
              <w:spacing w:before="16"/>
              <w:ind w:left="67"/>
              <w:rPr>
                <w:sz w:val="22"/>
              </w:rPr>
            </w:pPr>
            <w:r>
              <w:rPr>
                <w:sz w:val="22"/>
              </w:rPr>
              <w:t>San Borja</w:t>
            </w:r>
          </w:p>
        </w:tc>
        <w:tc>
          <w:tcPr>
            <w:tcW w:w="1647" w:type="dxa"/>
          </w:tcPr>
          <w:p>
            <w:pPr>
              <w:pStyle w:val="TableParagraph"/>
              <w:spacing w:before="16"/>
              <w:ind w:left="67"/>
              <w:rPr>
                <w:sz w:val="22"/>
              </w:rPr>
            </w:pPr>
            <w:r>
              <w:rPr>
                <w:sz w:val="22"/>
              </w:rPr>
              <w:t>Moneruco</w:t>
            </w:r>
          </w:p>
        </w:tc>
        <w:tc>
          <w:tcPr>
            <w:tcW w:w="2204" w:type="dxa"/>
          </w:tcPr>
          <w:p>
            <w:pPr/>
          </w:p>
        </w:tc>
      </w:tr>
      <w:tr>
        <w:trPr>
          <w:trHeight w:val="288" w:hRule="exact"/>
        </w:trPr>
        <w:tc>
          <w:tcPr>
            <w:tcW w:w="1032" w:type="dxa"/>
            <w:vMerge/>
          </w:tcPr>
          <w:p>
            <w:pPr/>
          </w:p>
        </w:tc>
        <w:tc>
          <w:tcPr>
            <w:tcW w:w="1964" w:type="dxa"/>
          </w:tcPr>
          <w:p>
            <w:pPr>
              <w:pStyle w:val="TableParagraph"/>
              <w:spacing w:before="15"/>
              <w:ind w:left="67"/>
              <w:rPr>
                <w:sz w:val="22"/>
              </w:rPr>
            </w:pPr>
            <w:r>
              <w:rPr>
                <w:sz w:val="22"/>
              </w:rPr>
              <w:t>Tacubaya</w:t>
            </w:r>
          </w:p>
        </w:tc>
        <w:tc>
          <w:tcPr>
            <w:tcW w:w="1647" w:type="dxa"/>
          </w:tcPr>
          <w:p>
            <w:pPr>
              <w:pStyle w:val="TableParagraph"/>
              <w:spacing w:before="15"/>
              <w:ind w:left="67"/>
              <w:rPr>
                <w:sz w:val="22"/>
              </w:rPr>
            </w:pPr>
            <w:r>
              <w:rPr>
                <w:sz w:val="22"/>
              </w:rPr>
              <w:t>Muculoa</w:t>
            </w:r>
          </w:p>
        </w:tc>
        <w:tc>
          <w:tcPr>
            <w:tcW w:w="2204" w:type="dxa"/>
          </w:tcPr>
          <w:p>
            <w:pPr/>
          </w:p>
        </w:tc>
      </w:tr>
      <w:tr>
        <w:trPr>
          <w:trHeight w:val="283" w:hRule="exact"/>
        </w:trPr>
        <w:tc>
          <w:tcPr>
            <w:tcW w:w="1032" w:type="dxa"/>
            <w:vMerge/>
          </w:tcPr>
          <w:p>
            <w:pPr/>
          </w:p>
        </w:tc>
        <w:tc>
          <w:tcPr>
            <w:tcW w:w="1964" w:type="dxa"/>
          </w:tcPr>
          <w:p>
            <w:pPr>
              <w:pStyle w:val="TableParagraph"/>
              <w:spacing w:before="10"/>
              <w:ind w:left="67"/>
              <w:rPr>
                <w:sz w:val="22"/>
              </w:rPr>
            </w:pPr>
            <w:r>
              <w:rPr>
                <w:sz w:val="22"/>
              </w:rPr>
              <w:t>Tarango</w:t>
            </w:r>
          </w:p>
        </w:tc>
        <w:tc>
          <w:tcPr>
            <w:tcW w:w="1647" w:type="dxa"/>
          </w:tcPr>
          <w:p>
            <w:pPr>
              <w:pStyle w:val="TableParagraph"/>
              <w:spacing w:before="10"/>
              <w:ind w:left="67"/>
              <w:rPr>
                <w:sz w:val="22"/>
              </w:rPr>
            </w:pPr>
            <w:r>
              <w:rPr>
                <w:sz w:val="22"/>
              </w:rPr>
              <w:t>Oyametitla</w:t>
            </w:r>
          </w:p>
        </w:tc>
        <w:tc>
          <w:tcPr>
            <w:tcW w:w="2204" w:type="dxa"/>
          </w:tcPr>
          <w:p>
            <w:pPr/>
          </w:p>
        </w:tc>
      </w:tr>
      <w:tr>
        <w:trPr>
          <w:trHeight w:val="283" w:hRule="exact"/>
        </w:trPr>
        <w:tc>
          <w:tcPr>
            <w:tcW w:w="1032" w:type="dxa"/>
            <w:vMerge/>
          </w:tcPr>
          <w:p>
            <w:pPr/>
          </w:p>
        </w:tc>
        <w:tc>
          <w:tcPr>
            <w:tcW w:w="1964" w:type="dxa"/>
          </w:tcPr>
          <w:p>
            <w:pPr>
              <w:pStyle w:val="TableParagraph"/>
              <w:spacing w:before="10"/>
              <w:ind w:left="67"/>
              <w:rPr>
                <w:sz w:val="22"/>
              </w:rPr>
            </w:pPr>
            <w:r>
              <w:rPr>
                <w:sz w:val="22"/>
              </w:rPr>
              <w:t>Tlalpizahuaya</w:t>
            </w:r>
          </w:p>
        </w:tc>
        <w:tc>
          <w:tcPr>
            <w:tcW w:w="1647" w:type="dxa"/>
          </w:tcPr>
          <w:p>
            <w:pPr>
              <w:pStyle w:val="TableParagraph"/>
              <w:spacing w:before="10"/>
              <w:ind w:left="67"/>
              <w:rPr>
                <w:sz w:val="22"/>
              </w:rPr>
            </w:pPr>
            <w:r>
              <w:rPr>
                <w:sz w:val="22"/>
              </w:rPr>
              <w:t>Pachuquilla</w:t>
            </w:r>
          </w:p>
        </w:tc>
        <w:tc>
          <w:tcPr>
            <w:tcW w:w="2204" w:type="dxa"/>
          </w:tcPr>
          <w:p>
            <w:pPr/>
          </w:p>
        </w:tc>
      </w:tr>
      <w:tr>
        <w:trPr>
          <w:trHeight w:val="283" w:hRule="exact"/>
        </w:trPr>
        <w:tc>
          <w:tcPr>
            <w:tcW w:w="1032" w:type="dxa"/>
            <w:vMerge/>
          </w:tcPr>
          <w:p>
            <w:pPr/>
          </w:p>
        </w:tc>
        <w:tc>
          <w:tcPr>
            <w:tcW w:w="1964" w:type="dxa"/>
          </w:tcPr>
          <w:p>
            <w:pPr/>
          </w:p>
        </w:tc>
        <w:tc>
          <w:tcPr>
            <w:tcW w:w="1647" w:type="dxa"/>
          </w:tcPr>
          <w:p>
            <w:pPr>
              <w:pStyle w:val="TableParagraph"/>
              <w:spacing w:before="10"/>
              <w:ind w:left="67"/>
              <w:rPr>
                <w:sz w:val="22"/>
              </w:rPr>
            </w:pPr>
            <w:r>
              <w:rPr>
                <w:sz w:val="22"/>
              </w:rPr>
              <w:t>Hípico la Sierra</w:t>
            </w:r>
          </w:p>
        </w:tc>
        <w:tc>
          <w:tcPr>
            <w:tcW w:w="2204" w:type="dxa"/>
          </w:tcPr>
          <w:p>
            <w:pPr/>
          </w:p>
        </w:tc>
      </w:tr>
      <w:tr>
        <w:trPr>
          <w:trHeight w:val="284" w:hRule="exact"/>
        </w:trPr>
        <w:tc>
          <w:tcPr>
            <w:tcW w:w="1032" w:type="dxa"/>
            <w:vMerge/>
          </w:tcPr>
          <w:p>
            <w:pPr/>
          </w:p>
        </w:tc>
        <w:tc>
          <w:tcPr>
            <w:tcW w:w="1964" w:type="dxa"/>
          </w:tcPr>
          <w:p>
            <w:pPr/>
          </w:p>
        </w:tc>
        <w:tc>
          <w:tcPr>
            <w:tcW w:w="1647" w:type="dxa"/>
          </w:tcPr>
          <w:p>
            <w:pPr>
              <w:pStyle w:val="TableParagraph"/>
              <w:spacing w:before="16"/>
              <w:ind w:left="67"/>
              <w:rPr>
                <w:sz w:val="22"/>
              </w:rPr>
            </w:pPr>
            <w:r>
              <w:rPr>
                <w:sz w:val="22"/>
              </w:rPr>
              <w:t>Santa Rita</w:t>
            </w:r>
          </w:p>
        </w:tc>
        <w:tc>
          <w:tcPr>
            <w:tcW w:w="2204" w:type="dxa"/>
          </w:tcPr>
          <w:p>
            <w:pPr/>
          </w:p>
        </w:tc>
      </w:tr>
      <w:tr>
        <w:trPr>
          <w:trHeight w:val="283" w:hRule="exact"/>
        </w:trPr>
        <w:tc>
          <w:tcPr>
            <w:tcW w:w="1032" w:type="dxa"/>
            <w:vMerge/>
          </w:tcPr>
          <w:p>
            <w:pPr/>
          </w:p>
        </w:tc>
        <w:tc>
          <w:tcPr>
            <w:tcW w:w="1964" w:type="dxa"/>
          </w:tcPr>
          <w:p>
            <w:pPr/>
          </w:p>
        </w:tc>
        <w:tc>
          <w:tcPr>
            <w:tcW w:w="1647" w:type="dxa"/>
          </w:tcPr>
          <w:p>
            <w:pPr>
              <w:pStyle w:val="TableParagraph"/>
              <w:spacing w:before="15"/>
              <w:ind w:left="67"/>
              <w:rPr>
                <w:sz w:val="22"/>
              </w:rPr>
            </w:pPr>
            <w:r>
              <w:rPr>
                <w:sz w:val="22"/>
              </w:rPr>
              <w:t>Santo Desierto</w:t>
            </w:r>
          </w:p>
        </w:tc>
        <w:tc>
          <w:tcPr>
            <w:tcW w:w="2204" w:type="dxa"/>
          </w:tcPr>
          <w:p>
            <w:pPr/>
          </w:p>
        </w:tc>
      </w:tr>
      <w:tr>
        <w:trPr>
          <w:trHeight w:val="288" w:hRule="exact"/>
        </w:trPr>
        <w:tc>
          <w:tcPr>
            <w:tcW w:w="1032" w:type="dxa"/>
            <w:vMerge/>
          </w:tcPr>
          <w:p>
            <w:pPr/>
          </w:p>
        </w:tc>
        <w:tc>
          <w:tcPr>
            <w:tcW w:w="1964" w:type="dxa"/>
          </w:tcPr>
          <w:p>
            <w:pPr/>
          </w:p>
        </w:tc>
        <w:tc>
          <w:tcPr>
            <w:tcW w:w="1647" w:type="dxa"/>
          </w:tcPr>
          <w:p>
            <w:pPr>
              <w:pStyle w:val="TableParagraph"/>
              <w:spacing w:before="15"/>
              <w:ind w:left="67"/>
              <w:rPr>
                <w:sz w:val="22"/>
              </w:rPr>
            </w:pPr>
            <w:r>
              <w:rPr>
                <w:sz w:val="22"/>
              </w:rPr>
              <w:t>Vista Hermosa</w:t>
            </w:r>
          </w:p>
        </w:tc>
        <w:tc>
          <w:tcPr>
            <w:tcW w:w="2204" w:type="dxa"/>
          </w:tcPr>
          <w:p>
            <w:pPr/>
          </w:p>
        </w:tc>
      </w:tr>
    </w:tbl>
    <w:p>
      <w:pPr>
        <w:spacing w:line="179" w:lineRule="exact" w:before="0"/>
        <w:ind w:left="1478" w:right="0" w:firstLine="0"/>
        <w:jc w:val="left"/>
        <w:rPr>
          <w:sz w:val="16"/>
        </w:rPr>
      </w:pPr>
      <w:r>
        <w:rPr>
          <w:sz w:val="16"/>
        </w:rPr>
        <w:t>Fuente: Elaboración propia con base en la información de la Secretaría del Medio Ambiente</w:t>
      </w:r>
    </w:p>
    <w:p>
      <w:pPr>
        <w:spacing w:after="0" w:line="179" w:lineRule="exact"/>
        <w:jc w:val="left"/>
        <w:rPr>
          <w:sz w:val="16"/>
        </w:rPr>
        <w:sectPr>
          <w:pgSz w:w="12240" w:h="15840"/>
          <w:pgMar w:top="1360" w:bottom="280" w:left="1580" w:right="1600"/>
        </w:sectPr>
      </w:pPr>
    </w:p>
    <w:tbl>
      <w:tblPr>
        <w:tblW w:w="0" w:type="auto"/>
        <w:jc w:val="left"/>
        <w:tblInd w:w="1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48"/>
      </w:tblGrid>
      <w:tr>
        <w:trPr>
          <w:trHeight w:val="2507" w:hRule="exact"/>
        </w:trPr>
        <w:tc>
          <w:tcPr>
            <w:tcW w:w="8548" w:type="dxa"/>
          </w:tcPr>
          <w:p>
            <w:pPr>
              <w:pStyle w:val="TableParagraph"/>
              <w:spacing w:line="202" w:lineRule="exact"/>
              <w:ind w:left="200"/>
              <w:rPr>
                <w:b/>
                <w:sz w:val="20"/>
              </w:rPr>
            </w:pPr>
            <w:r>
              <w:rPr>
                <w:b/>
                <w:sz w:val="20"/>
              </w:rPr>
              <w:t>Gráfica 1. Distribución porcentual de las barrancas en la zona poniente de la Ciudad de México</w:t>
            </w:r>
          </w:p>
          <w:p>
            <w:pPr>
              <w:pStyle w:val="TableParagraph"/>
              <w:rPr>
                <w:sz w:val="20"/>
              </w:rPr>
            </w:pPr>
          </w:p>
          <w:p>
            <w:pPr>
              <w:pStyle w:val="TableParagraph"/>
              <w:spacing w:before="2"/>
              <w:rPr>
                <w:sz w:val="28"/>
              </w:rPr>
            </w:pPr>
          </w:p>
          <w:p>
            <w:pPr>
              <w:pStyle w:val="TableParagraph"/>
              <w:spacing w:line="237" w:lineRule="auto"/>
              <w:ind w:left="3285" w:right="4416"/>
              <w:jc w:val="center"/>
              <w:rPr>
                <w:rFonts w:ascii="Calibri"/>
                <w:b/>
                <w:sz w:val="18"/>
              </w:rPr>
            </w:pPr>
            <w:r>
              <w:rPr>
                <w:rFonts w:ascii="Calibri"/>
                <w:b/>
                <w:color w:val="FFFFFF"/>
                <w:sz w:val="18"/>
              </w:rPr>
              <w:t>Magdalena Contreras 15%</w:t>
            </w:r>
          </w:p>
          <w:p>
            <w:pPr>
              <w:pStyle w:val="TableParagraph"/>
              <w:spacing w:line="216" w:lineRule="exact" w:before="100"/>
              <w:ind w:left="5054" w:right="2725" w:hanging="432"/>
              <w:rPr>
                <w:rFonts w:ascii="Calibri" w:hAnsi="Calibri"/>
                <w:b/>
                <w:sz w:val="18"/>
              </w:rPr>
            </w:pPr>
            <w:r>
              <w:rPr>
                <w:rFonts w:ascii="Calibri" w:hAnsi="Calibri"/>
                <w:b/>
                <w:color w:val="FFFFFF"/>
                <w:sz w:val="18"/>
              </w:rPr>
              <w:t>Álvaro Obregón 37%</w:t>
            </w:r>
          </w:p>
        </w:tc>
      </w:tr>
      <w:tr>
        <w:trPr>
          <w:trHeight w:val="2464" w:hRule="exact"/>
        </w:trPr>
        <w:tc>
          <w:tcPr>
            <w:tcW w:w="8548" w:type="dxa"/>
          </w:tcPr>
          <w:p>
            <w:pPr>
              <w:pStyle w:val="TableParagraph"/>
              <w:rPr>
                <w:sz w:val="18"/>
              </w:rPr>
            </w:pPr>
          </w:p>
          <w:p>
            <w:pPr>
              <w:pStyle w:val="TableParagraph"/>
              <w:spacing w:before="8"/>
              <w:rPr>
                <w:sz w:val="22"/>
              </w:rPr>
            </w:pPr>
          </w:p>
          <w:p>
            <w:pPr>
              <w:pStyle w:val="TableParagraph"/>
              <w:spacing w:line="216" w:lineRule="exact"/>
              <w:ind w:left="2974" w:right="4727"/>
              <w:jc w:val="center"/>
              <w:rPr>
                <w:rFonts w:ascii="Calibri"/>
                <w:b/>
                <w:sz w:val="18"/>
              </w:rPr>
            </w:pPr>
            <w:r>
              <w:rPr>
                <w:rFonts w:ascii="Calibri"/>
                <w:b/>
                <w:color w:val="FFFFFF"/>
                <w:sz w:val="18"/>
              </w:rPr>
              <w:t>Cuajimalpa 48%</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tabs>
                <w:tab w:pos="3766" w:val="left" w:leader="none"/>
                <w:tab w:pos="4984" w:val="left" w:leader="none"/>
              </w:tabs>
              <w:spacing w:before="150"/>
              <w:ind w:left="2209"/>
              <w:rPr>
                <w:rFonts w:ascii="Calibri" w:hAnsi="Calibri"/>
                <w:sz w:val="18"/>
              </w:rPr>
            </w:pPr>
            <w:r>
              <w:rPr>
                <w:rFonts w:ascii="Calibri" w:hAnsi="Calibri"/>
                <w:color w:val="585858"/>
                <w:sz w:val="18"/>
              </w:rPr>
              <w:t>Álvaro Obregón</w:t>
              <w:tab/>
              <w:t>Cuajimalpa</w:t>
              <w:tab/>
              <w:t>Magdalena</w:t>
            </w:r>
            <w:r>
              <w:rPr>
                <w:rFonts w:ascii="Calibri" w:hAnsi="Calibri"/>
                <w:color w:val="585858"/>
                <w:spacing w:val="-4"/>
                <w:sz w:val="18"/>
              </w:rPr>
              <w:t> </w:t>
            </w:r>
            <w:r>
              <w:rPr>
                <w:rFonts w:ascii="Calibri" w:hAnsi="Calibri"/>
                <w:color w:val="585858"/>
                <w:sz w:val="18"/>
              </w:rPr>
              <w:t>Contreras</w:t>
            </w:r>
          </w:p>
          <w:p>
            <w:pPr>
              <w:pStyle w:val="TableParagraph"/>
              <w:spacing w:before="9"/>
              <w:rPr>
                <w:sz w:val="15"/>
              </w:rPr>
            </w:pPr>
          </w:p>
          <w:p>
            <w:pPr>
              <w:pStyle w:val="TableParagraph"/>
              <w:ind w:left="1328"/>
              <w:rPr>
                <w:sz w:val="16"/>
              </w:rPr>
            </w:pPr>
            <w:r>
              <w:rPr>
                <w:sz w:val="16"/>
              </w:rPr>
              <w:t>Fuente: Elaboración propia con base en la información de la Secretaría del Medio Ambiente</w:t>
            </w:r>
          </w:p>
        </w:tc>
      </w:tr>
    </w:tbl>
    <w:p>
      <w:pPr>
        <w:pStyle w:val="BodyText"/>
        <w:rPr>
          <w:sz w:val="20"/>
        </w:rPr>
      </w:pPr>
    </w:p>
    <w:p>
      <w:pPr>
        <w:pStyle w:val="BodyText"/>
        <w:rPr>
          <w:sz w:val="20"/>
        </w:rPr>
      </w:pPr>
    </w:p>
    <w:p>
      <w:pPr>
        <w:pStyle w:val="BodyText"/>
        <w:rPr>
          <w:sz w:val="20"/>
        </w:rPr>
      </w:pPr>
    </w:p>
    <w:p>
      <w:pPr>
        <w:pStyle w:val="BodyText"/>
        <w:spacing w:before="6"/>
        <w:rPr>
          <w:sz w:val="18"/>
        </w:rPr>
      </w:pPr>
    </w:p>
    <w:p>
      <w:pPr>
        <w:pStyle w:val="Heading1"/>
        <w:numPr>
          <w:ilvl w:val="1"/>
          <w:numId w:val="15"/>
        </w:numPr>
        <w:tabs>
          <w:tab w:pos="456" w:val="left" w:leader="none"/>
        </w:tabs>
        <w:spacing w:line="240" w:lineRule="auto" w:before="0" w:after="0"/>
        <w:ind w:left="455" w:right="0" w:hanging="336"/>
        <w:jc w:val="both"/>
      </w:pPr>
      <w:r>
        <w:rPr/>
        <w:drawing>
          <wp:anchor distT="0" distB="0" distL="0" distR="0" allowOverlap="1" layoutInCell="1" locked="0" behindDoc="1" simplePos="0" relativeHeight="268186751">
            <wp:simplePos x="0" y="0"/>
            <wp:positionH relativeFrom="page">
              <wp:posOffset>1560575</wp:posOffset>
            </wp:positionH>
            <wp:positionV relativeFrom="paragraph">
              <wp:posOffset>-3461644</wp:posOffset>
            </wp:positionV>
            <wp:extent cx="4510923" cy="2345436"/>
            <wp:effectExtent l="0" t="0" r="0" b="0"/>
            <wp:wrapNone/>
            <wp:docPr id="19" name="image21.png" descr=""/>
            <wp:cNvGraphicFramePr>
              <a:graphicFrameLocks noChangeAspect="1"/>
            </wp:cNvGraphicFramePr>
            <a:graphic>
              <a:graphicData uri="http://schemas.openxmlformats.org/drawingml/2006/picture">
                <pic:pic>
                  <pic:nvPicPr>
                    <pic:cNvPr id="20" name="image21.png"/>
                    <pic:cNvPicPr/>
                  </pic:nvPicPr>
                  <pic:blipFill>
                    <a:blip r:embed="rId25" cstate="print"/>
                    <a:stretch>
                      <a:fillRect/>
                    </a:stretch>
                  </pic:blipFill>
                  <pic:spPr>
                    <a:xfrm>
                      <a:off x="0" y="0"/>
                      <a:ext cx="4510923" cy="2345436"/>
                    </a:xfrm>
                    <a:prstGeom prst="rect">
                      <a:avLst/>
                    </a:prstGeom>
                  </pic:spPr>
                </pic:pic>
              </a:graphicData>
            </a:graphic>
          </wp:anchor>
        </w:drawing>
      </w:r>
      <w:r>
        <w:rPr/>
        <w:pict>
          <v:line style="position:absolute;mso-position-horizontal-relative:page;mso-position-vertical-relative:paragraph;z-index:-248680" from="192.361649pt,-71.053757pt" to="192.361649pt,-66.110457pt" stroked="true" strokeweight="4.9433pt" strokecolor="#375da0">
            <w10:wrap type="none"/>
          </v:line>
        </w:pict>
      </w:r>
      <w:r>
        <w:rPr/>
        <w:pict>
          <v:line style="position:absolute;mso-position-horizontal-relative:page;mso-position-vertical-relative:paragraph;z-index:-248656" from="270.171661pt,-71.053757pt" to="270.171661pt,-66.110457pt" stroked="true" strokeweight="4.9433pt" strokecolor="#4471c4">
            <w10:wrap type="none"/>
          </v:line>
        </w:pict>
      </w:r>
      <w:r>
        <w:rPr/>
        <w:pict>
          <v:line style="position:absolute;mso-position-horizontal-relative:page;mso-position-vertical-relative:paragraph;z-index:-248632" from="331.061646pt,-71.053757pt" to="331.061646pt,-66.110457pt" stroked="true" strokeweight="4.9433pt" strokecolor="#a7b5db">
            <w10:wrap type="none"/>
          </v:line>
        </w:pict>
      </w:r>
      <w:bookmarkStart w:name="_bookmark29" w:id="50"/>
      <w:bookmarkEnd w:id="50"/>
      <w:r>
        <w:rPr>
          <w:b w:val="0"/>
        </w:rPr>
      </w:r>
      <w:bookmarkStart w:name="_bookmark29" w:id="51"/>
      <w:bookmarkEnd w:id="51"/>
      <w:r>
        <w:rPr/>
        <w:t>C</w:t>
      </w:r>
      <w:r>
        <w:rPr/>
        <w:t>recimiento</w:t>
      </w:r>
      <w:r>
        <w:rPr>
          <w:spacing w:val="-2"/>
        </w:rPr>
        <w:t> </w:t>
      </w:r>
      <w:r>
        <w:rPr/>
        <w:t>poblacional</w:t>
      </w:r>
      <w:r>
        <w:rPr>
          <w:spacing w:val="-6"/>
        </w:rPr>
        <w:t> </w:t>
      </w:r>
      <w:r>
        <w:rPr/>
        <w:t>y</w:t>
      </w:r>
      <w:r>
        <w:rPr>
          <w:spacing w:val="-2"/>
        </w:rPr>
        <w:t> </w:t>
      </w:r>
      <w:r>
        <w:rPr/>
        <w:t>patrones</w:t>
      </w:r>
      <w:r>
        <w:rPr>
          <w:spacing w:val="-2"/>
        </w:rPr>
        <w:t> </w:t>
      </w:r>
      <w:r>
        <w:rPr/>
        <w:t>de</w:t>
      </w:r>
      <w:r>
        <w:rPr>
          <w:spacing w:val="1"/>
        </w:rPr>
        <w:t> </w:t>
      </w:r>
      <w:r>
        <w:rPr/>
        <w:t>ocupación</w:t>
      </w:r>
      <w:r>
        <w:rPr>
          <w:spacing w:val="-5"/>
        </w:rPr>
        <w:t> </w:t>
      </w:r>
      <w:r>
        <w:rPr/>
        <w:t>informal</w:t>
      </w:r>
      <w:r>
        <w:rPr>
          <w:spacing w:val="-6"/>
        </w:rPr>
        <w:t> </w:t>
      </w:r>
      <w:r>
        <w:rPr/>
        <w:t>en</w:t>
      </w:r>
      <w:r>
        <w:rPr>
          <w:spacing w:val="-5"/>
        </w:rPr>
        <w:t> </w:t>
      </w:r>
      <w:r>
        <w:rPr/>
        <w:t>la</w:t>
      </w:r>
      <w:r>
        <w:rPr>
          <w:spacing w:val="-7"/>
        </w:rPr>
        <w:t> </w:t>
      </w:r>
      <w:r>
        <w:rPr/>
        <w:t>Ciudad</w:t>
      </w:r>
      <w:r>
        <w:rPr>
          <w:spacing w:val="-5"/>
        </w:rPr>
        <w:t> </w:t>
      </w:r>
      <w:r>
        <w:rPr/>
        <w:t>de</w:t>
      </w:r>
      <w:r>
        <w:rPr>
          <w:spacing w:val="-4"/>
        </w:rPr>
        <w:t> </w:t>
      </w:r>
      <w:r>
        <w:rPr/>
        <w:t>México</w:t>
      </w:r>
    </w:p>
    <w:p>
      <w:pPr>
        <w:pStyle w:val="BodyText"/>
        <w:rPr>
          <w:b/>
        </w:rPr>
      </w:pPr>
    </w:p>
    <w:p>
      <w:pPr>
        <w:pStyle w:val="BodyText"/>
        <w:spacing w:before="7"/>
        <w:rPr>
          <w:b/>
          <w:sz w:val="18"/>
        </w:rPr>
      </w:pPr>
    </w:p>
    <w:p>
      <w:pPr>
        <w:pStyle w:val="BodyText"/>
        <w:spacing w:line="360" w:lineRule="auto"/>
        <w:ind w:left="119" w:right="100"/>
        <w:jc w:val="both"/>
      </w:pPr>
      <w:r>
        <w:rPr/>
        <w:t>Las ciudades se han expandido, han crecido en área y densidad, generando una amplia gama de patrones urbanos diferenciados: zonas de alta calidad urbana y arquitectónica dotadas de infraestructura y servicios; y áreas en las que la carencia de equipamientos, infraestructuras y servicios es prácticamente total. Estas últimas se desarrollan indistintamente en terrenos públicos, con restricciones (de relieve o legales) o de particulares.</w:t>
      </w:r>
    </w:p>
    <w:p>
      <w:pPr>
        <w:pStyle w:val="BodyText"/>
        <w:spacing w:line="360" w:lineRule="auto" w:before="163"/>
        <w:ind w:left="119" w:right="106"/>
        <w:jc w:val="both"/>
      </w:pPr>
      <w:r>
        <w:rPr/>
        <w:t>Los señalamientos acerca de los patrones de ocupación informal en México, apuntan hacia  viviendas que son autoconstruidas progresivamente (inicialmente con materiales de deshecho, evolucionando a través de un proceso de consolidación casi siempre inconcluso), sin proyecto ni autorizaciones legales, generando en consecuencia los asentamientos informales (irregulares o ilegales, según la dimensión en que </w:t>
      </w:r>
      <w:r>
        <w:rPr>
          <w:spacing w:val="2"/>
        </w:rPr>
        <w:t>se </w:t>
      </w:r>
      <w:r>
        <w:rPr/>
        <w:t>los analice) (Erba, 2013). De acuerdo con Diego</w:t>
      </w:r>
      <w:r>
        <w:rPr>
          <w:spacing w:val="-37"/>
        </w:rPr>
        <w:t> </w:t>
      </w:r>
      <w:r>
        <w:rPr/>
        <w:t>Erba (2013), la producción social informal puede ser materializada a través</w:t>
      </w:r>
      <w:r>
        <w:rPr>
          <w:spacing w:val="-20"/>
        </w:rPr>
        <w:t> </w:t>
      </w:r>
      <w:r>
        <w:rPr>
          <w:spacing w:val="-3"/>
        </w:rPr>
        <w:t>de:</w:t>
      </w:r>
    </w:p>
    <w:p>
      <w:pPr>
        <w:pStyle w:val="ListParagraph"/>
        <w:numPr>
          <w:ilvl w:val="0"/>
          <w:numId w:val="16"/>
        </w:numPr>
        <w:tabs>
          <w:tab w:pos="840" w:val="left" w:leader="none"/>
          <w:tab w:pos="841" w:val="left" w:leader="none"/>
        </w:tabs>
        <w:spacing w:line="240" w:lineRule="auto" w:before="167" w:after="0"/>
        <w:ind w:left="840" w:right="0" w:hanging="360"/>
        <w:jc w:val="left"/>
        <w:rPr>
          <w:sz w:val="22"/>
        </w:rPr>
      </w:pPr>
      <w:r>
        <w:rPr>
          <w:sz w:val="22"/>
        </w:rPr>
        <w:t>Ocupaciones de edificios abandonados y/o sus espacios</w:t>
      </w:r>
      <w:r>
        <w:rPr>
          <w:spacing w:val="-29"/>
          <w:sz w:val="22"/>
        </w:rPr>
        <w:t> </w:t>
      </w:r>
      <w:r>
        <w:rPr>
          <w:sz w:val="22"/>
        </w:rPr>
        <w:t>exteriores,</w:t>
      </w:r>
    </w:p>
    <w:p>
      <w:pPr>
        <w:pStyle w:val="BodyText"/>
        <w:spacing w:before="9"/>
        <w:rPr>
          <w:sz w:val="24"/>
        </w:rPr>
      </w:pPr>
    </w:p>
    <w:p>
      <w:pPr>
        <w:pStyle w:val="ListParagraph"/>
        <w:numPr>
          <w:ilvl w:val="0"/>
          <w:numId w:val="16"/>
        </w:numPr>
        <w:tabs>
          <w:tab w:pos="840" w:val="left" w:leader="none"/>
          <w:tab w:pos="841" w:val="left" w:leader="none"/>
        </w:tabs>
        <w:spacing w:line="240" w:lineRule="auto" w:before="0" w:after="0"/>
        <w:ind w:left="840" w:right="0" w:hanging="360"/>
        <w:jc w:val="left"/>
        <w:rPr>
          <w:sz w:val="22"/>
        </w:rPr>
      </w:pPr>
      <w:r>
        <w:rPr>
          <w:sz w:val="22"/>
        </w:rPr>
        <w:t>Ocupaciones ilegales de predios de propiedad</w:t>
      </w:r>
      <w:r>
        <w:rPr>
          <w:spacing w:val="-20"/>
          <w:sz w:val="22"/>
        </w:rPr>
        <w:t> </w:t>
      </w:r>
      <w:r>
        <w:rPr>
          <w:sz w:val="22"/>
        </w:rPr>
        <w:t>pública,</w:t>
      </w:r>
    </w:p>
    <w:p>
      <w:pPr>
        <w:pStyle w:val="BodyText"/>
        <w:spacing w:before="1"/>
        <w:rPr>
          <w:sz w:val="25"/>
        </w:rPr>
      </w:pPr>
    </w:p>
    <w:p>
      <w:pPr>
        <w:pStyle w:val="ListParagraph"/>
        <w:numPr>
          <w:ilvl w:val="0"/>
          <w:numId w:val="16"/>
        </w:numPr>
        <w:tabs>
          <w:tab w:pos="840" w:val="left" w:leader="none"/>
          <w:tab w:pos="841" w:val="left" w:leader="none"/>
        </w:tabs>
        <w:spacing w:line="360" w:lineRule="auto" w:before="1" w:after="0"/>
        <w:ind w:left="840" w:right="113" w:hanging="360"/>
        <w:jc w:val="left"/>
        <w:rPr>
          <w:sz w:val="22"/>
        </w:rPr>
      </w:pPr>
      <w:r>
        <w:rPr>
          <w:sz w:val="22"/>
        </w:rPr>
        <w:t>Ocupaciones ilegales de predios de propiedad privada, o bien a través de la compra de lotes en fraccionamientos</w:t>
      </w:r>
      <w:r>
        <w:rPr>
          <w:spacing w:val="-17"/>
          <w:sz w:val="22"/>
        </w:rPr>
        <w:t> </w:t>
      </w:r>
      <w:r>
        <w:rPr>
          <w:sz w:val="22"/>
        </w:rPr>
        <w:t>ilegales.</w:t>
      </w:r>
    </w:p>
    <w:p>
      <w:pPr>
        <w:spacing w:after="0" w:line="360" w:lineRule="auto"/>
        <w:jc w:val="left"/>
        <w:rPr>
          <w:sz w:val="22"/>
        </w:rPr>
        <w:sectPr>
          <w:pgSz w:w="12240" w:h="15840"/>
          <w:pgMar w:top="1440" w:bottom="280" w:left="1580" w:right="1600"/>
        </w:sectPr>
      </w:pPr>
    </w:p>
    <w:p>
      <w:pPr>
        <w:pStyle w:val="BodyText"/>
        <w:spacing w:line="360" w:lineRule="auto" w:before="52"/>
        <w:ind w:left="119" w:right="100"/>
        <w:jc w:val="both"/>
      </w:pPr>
      <w:r>
        <w:rPr/>
        <w:t>La producción de ciudad a través de la ocupación irregular se da principalmente en áreas sin infraestructura ni servicios, la cual genera un círculo vicioso donde la precariedad urbana genera precariedad en la vivienda, en la salud, en la educación, etcétera. Los efectos de la informalidad pueden ser analizados bajo diferentes dimensiones, entre las cuales se destacan las legales, sociales, urbanas, ambientales, políticas y económicas. La Ciudad de México no es un caso excepcional, el fuerte crecimiento urbano en unas cuantas décadas hizo que pasara de una pequeña ciudad a una megalópolis emergente. Su expansión no ha conservado el antiguo tipo de urbanización, ya que los nuevos fraccionamientos y desarrollos urbanos son más densos y están menos planeados. La Ciudad de México mantiene un patrón de crecimiento urbano diferente al resto de las ciudades del país.</w:t>
      </w:r>
    </w:p>
    <w:p>
      <w:pPr>
        <w:pStyle w:val="BodyText"/>
        <w:spacing w:line="360" w:lineRule="auto" w:before="163"/>
        <w:ind w:left="119" w:right="99"/>
        <w:jc w:val="both"/>
      </w:pPr>
      <w:r>
        <w:rPr/>
        <w:t>En donde la concentración del crecimiento demográfico y económico, el centralismo del régimen político y la constante expansión física hacia las periferias han derivado en un alto grado de exclusión social y deterioro de la calidad de vida. Un aspecto especial de esta situación lo  constituye la situación de la vivienda en suelos de alta vulnerabilidad a desastres y la ocupación irregular </w:t>
      </w:r>
      <w:r>
        <w:rPr>
          <w:spacing w:val="-3"/>
        </w:rPr>
        <w:t>de </w:t>
      </w:r>
      <w:r>
        <w:rPr/>
        <w:t>terrenos de reserva ecológica (GDF,</w:t>
      </w:r>
      <w:r>
        <w:rPr>
          <w:spacing w:val="-1"/>
        </w:rPr>
        <w:t> </w:t>
      </w:r>
      <w:r>
        <w:rPr/>
        <w:t>2000).</w:t>
      </w:r>
    </w:p>
    <w:p>
      <w:pPr>
        <w:pStyle w:val="BodyText"/>
        <w:spacing w:line="360" w:lineRule="auto" w:before="168"/>
        <w:ind w:left="119" w:right="98"/>
        <w:jc w:val="both"/>
      </w:pPr>
      <w:r>
        <w:rPr/>
        <w:t>El proceso de despoblamiento y desconcentración de las delegaciones centrales acrecentó la cifra de suelo urbano, según datos del Gobierno del Distrito Federal en 1950 era de veintidós mil hectáreas, ya para finales de siglo se elevó a sesenta y un mil hectáreas. Es decir, el suelo urbano se triplicó en menos de 50 años, por lo que esta expansión, sin control, ha tenido un alto costo social y ambiental, que agudiza las desigualdades sociales, presiona sobre la dotación de infraestructura, servicios y equipamiento urbano, al mismo tiempo que destruye los bienes ambientales y pone en riesgo la sustentabilidad entera de la ciudad (GDF, 1986, citado en Rivas, 2005).</w:t>
      </w:r>
    </w:p>
    <w:p>
      <w:pPr>
        <w:pStyle w:val="BodyText"/>
        <w:spacing w:line="360" w:lineRule="auto" w:before="163"/>
        <w:ind w:left="119" w:right="103"/>
        <w:jc w:val="both"/>
      </w:pPr>
      <w:r>
        <w:rPr/>
        <w:t>Como se ha señalado, el crecimiento incontrolado de las ciudades asume otro tipo de matices, por ejemplo, la disminución y empobrecimiento de los recursos naturales. El agua, el aire, el suelo, la vegetación, la fauna, entre otros recursos que se han visto mermados y constantemente amenazan la supervivencia misma de la población. Los cambios históricos y sociales también han llevado a una crítica situación ambiental generando líneas de acción importantes en las políticas ambientales. En esta investigación se contempló incorporar una descripción de los patrones urbanos de ocupación informal en la zona de estudio. La finalidad de ello, es discutir el proceso de ocupación irregular en la actualidad a través de los establecimientos informales de viviendas en suelo de conservación.</w:t>
      </w:r>
    </w:p>
    <w:p>
      <w:pPr>
        <w:spacing w:after="0" w:line="360" w:lineRule="auto"/>
        <w:jc w:val="both"/>
        <w:sectPr>
          <w:pgSz w:w="12240" w:h="15840"/>
          <w:pgMar w:top="1360" w:bottom="280" w:left="1580" w:right="1600"/>
        </w:sectPr>
      </w:pPr>
    </w:p>
    <w:p>
      <w:pPr>
        <w:pStyle w:val="Heading1"/>
        <w:numPr>
          <w:ilvl w:val="2"/>
          <w:numId w:val="15"/>
        </w:numPr>
        <w:tabs>
          <w:tab w:pos="633" w:val="left" w:leader="none"/>
        </w:tabs>
        <w:spacing w:line="259" w:lineRule="auto" w:before="52" w:after="0"/>
        <w:ind w:left="119" w:right="102" w:firstLine="0"/>
        <w:jc w:val="both"/>
      </w:pPr>
      <w:bookmarkStart w:name="_bookmark30" w:id="52"/>
      <w:bookmarkEnd w:id="52"/>
      <w:r>
        <w:rPr>
          <w:b w:val="0"/>
        </w:rPr>
      </w:r>
      <w:bookmarkStart w:name="_bookmark30" w:id="53"/>
      <w:bookmarkEnd w:id="53"/>
      <w:r>
        <w:rPr/>
        <w:t>C</w:t>
      </w:r>
      <w:r>
        <w:rPr/>
        <w:t>recimiento poblacional en las delegaciones Álvaro Obregón, Cuajimalpa y Magdalena Contreras</w:t>
      </w:r>
      <w:r>
        <w:rPr>
          <w:spacing w:val="-3"/>
        </w:rPr>
        <w:t> </w:t>
      </w:r>
      <w:r>
        <w:rPr/>
        <w:t>1980-2030</w:t>
      </w:r>
    </w:p>
    <w:p>
      <w:pPr>
        <w:pStyle w:val="BodyText"/>
        <w:rPr>
          <w:b/>
        </w:rPr>
      </w:pPr>
    </w:p>
    <w:p>
      <w:pPr>
        <w:pStyle w:val="BodyText"/>
        <w:spacing w:before="4"/>
        <w:rPr>
          <w:b/>
          <w:sz w:val="17"/>
        </w:rPr>
      </w:pPr>
    </w:p>
    <w:p>
      <w:pPr>
        <w:pStyle w:val="BodyText"/>
        <w:spacing w:line="360" w:lineRule="auto"/>
        <w:ind w:left="119" w:right="108"/>
        <w:jc w:val="both"/>
      </w:pPr>
      <w:r>
        <w:rPr/>
        <w:t>La interpretación del análisis del crecimiento poblacional en las delegaciones de estudio, parte de lo general a lo particular, es decir, se describe el crecimiento poblacional de las delegaciones en general, para continuar con el análisis de las delegaciones de estudio. Está interpretación permitió conocer el ritmo de crecimiento en las últimas décadas en la Ciudad de México, así como de la zona periférica de la misma.</w:t>
      </w:r>
    </w:p>
    <w:p>
      <w:pPr>
        <w:pStyle w:val="BodyText"/>
        <w:spacing w:line="360" w:lineRule="auto" w:before="163"/>
        <w:ind w:left="119" w:right="104"/>
        <w:jc w:val="both"/>
      </w:pPr>
      <w:r>
        <w:rPr/>
        <w:t>Dentro del análisis, se observa que algunas delegaciones presentan un decrecimiento importante en por lo menos una década, principalmente: Venustiano Carranza, Miguel Hidalgo, Cuauhtémoc y Azcapotzalco. El número de habitantes se redujo considerablemente y podría entenderse que estas delegaciones se encuentran en la zona central de la ciudad y, por los antecedentes históricos se considera una zona lacustre donde los sismos se producen con mayor intensidad respecto al resto de las delegaciones.</w:t>
      </w:r>
    </w:p>
    <w:p>
      <w:pPr>
        <w:pStyle w:val="BodyText"/>
        <w:spacing w:line="360" w:lineRule="auto" w:before="163"/>
        <w:ind w:left="119" w:right="101"/>
        <w:jc w:val="both"/>
      </w:pPr>
      <w:r>
        <w:rPr/>
        <w:t>Por el contrario, las delegaciones del sur como Xochimilco, Tlalpan, Tláhuac y Milpa Alta, presentan un incremento poblacional. Las cifras se consideraron a partir </w:t>
      </w:r>
      <w:r>
        <w:rPr>
          <w:spacing w:val="-3"/>
        </w:rPr>
        <w:t>del </w:t>
      </w:r>
      <w:r>
        <w:rPr/>
        <w:t>censo de 1980 a 2010 y los incrementos en términos de habitantes son los siguientes: por lo </w:t>
      </w:r>
      <w:r>
        <w:rPr>
          <w:spacing w:val="-3"/>
        </w:rPr>
        <w:t>menos </w:t>
      </w:r>
      <w:r>
        <w:rPr/>
        <w:t>197,526 habitantes para el caso de Xochimilco, de 281,593 habitantes en la Delegación Tlalpan, 213,342 habitantes en Tláhuac y 76,966 habitantes para </w:t>
      </w:r>
      <w:r>
        <w:rPr>
          <w:spacing w:val="-4"/>
        </w:rPr>
        <w:t>el </w:t>
      </w:r>
      <w:r>
        <w:rPr/>
        <w:t>caso de Milpa Alta. Estas cifras son importantes porque las delegaciones del sur son las que presentan la </w:t>
      </w:r>
      <w:r>
        <w:rPr>
          <w:spacing w:val="-3"/>
        </w:rPr>
        <w:t>mayor </w:t>
      </w:r>
      <w:r>
        <w:rPr/>
        <w:t>superficie de suelo de conservación, entonces, si el incremento de la población continua con el ritmo actual, existirá una degradación ambiental de dimensiones importantes en las décadas</w:t>
      </w:r>
      <w:r>
        <w:rPr>
          <w:spacing w:val="-18"/>
        </w:rPr>
        <w:t> </w:t>
      </w:r>
      <w:r>
        <w:rPr/>
        <w:t>venideras.</w:t>
      </w:r>
    </w:p>
    <w:p>
      <w:pPr>
        <w:pStyle w:val="BodyText"/>
        <w:spacing w:line="360" w:lineRule="auto" w:before="168"/>
        <w:ind w:left="119" w:right="102"/>
        <w:jc w:val="both"/>
      </w:pPr>
      <w:r>
        <w:rPr/>
        <w:t>La zona poniente comprendida por las delegaciones Álvaro Obregón, Cuajimalpa y Magdalena Contreras, también presenta un incremento en el número de habitantes en las décadas analizadas. Encontrando que la Delegación Cuajimalpa es la que muestra el mayor crecimiento poblacional respecto de las otras dos. Las cifras son las siguientes, de incremento poblacional contemplando el período de 1980 al 2010 son: 87,821 habitantes para el caso de Álvaro Obregón; 65,981 habitantes para Magdalena Contreras y finalmente; la Delegación Cuajimalpa tuvo un incremento poblacional de 95,191 habitantes.</w:t>
      </w:r>
    </w:p>
    <w:p>
      <w:pPr>
        <w:spacing w:after="0" w:line="360" w:lineRule="auto"/>
        <w:jc w:val="both"/>
        <w:sectPr>
          <w:pgSz w:w="12240" w:h="15840"/>
          <w:pgMar w:top="1360" w:bottom="280" w:left="1580" w:right="1600"/>
        </w:sectPr>
      </w:pPr>
    </w:p>
    <w:p>
      <w:pPr>
        <w:spacing w:before="52"/>
        <w:ind w:left="2111" w:right="0" w:firstLine="0"/>
        <w:jc w:val="left"/>
        <w:rPr>
          <w:b/>
          <w:sz w:val="20"/>
        </w:rPr>
      </w:pPr>
      <w:r>
        <w:rPr>
          <w:b/>
          <w:sz w:val="20"/>
        </w:rPr>
        <w:t>Gráfica 2. Población total de la Ciudad de México 1980-2010</w:t>
      </w:r>
    </w:p>
    <w:p>
      <w:pPr>
        <w:pStyle w:val="BodyText"/>
        <w:rPr>
          <w:b/>
        </w:rPr>
      </w:pPr>
    </w:p>
    <w:p>
      <w:pPr>
        <w:spacing w:before="0"/>
        <w:ind w:left="107" w:right="0" w:firstLine="0"/>
        <w:jc w:val="left"/>
        <w:rPr>
          <w:sz w:val="16"/>
        </w:rPr>
      </w:pPr>
      <w:r>
        <w:rPr/>
        <w:drawing>
          <wp:anchor distT="0" distB="0" distL="0" distR="0" allowOverlap="1" layoutInCell="1" locked="0" behindDoc="0" simplePos="0" relativeHeight="1600">
            <wp:simplePos x="0" y="0"/>
            <wp:positionH relativeFrom="page">
              <wp:posOffset>1271016</wp:posOffset>
            </wp:positionH>
            <wp:positionV relativeFrom="paragraph">
              <wp:posOffset>-21224</wp:posOffset>
            </wp:positionV>
            <wp:extent cx="5376672" cy="1688592"/>
            <wp:effectExtent l="0" t="0" r="0" b="0"/>
            <wp:wrapNone/>
            <wp:docPr id="21" name="image22.png" descr=""/>
            <wp:cNvGraphicFramePr>
              <a:graphicFrameLocks noChangeAspect="1"/>
            </wp:cNvGraphicFramePr>
            <a:graphic>
              <a:graphicData uri="http://schemas.openxmlformats.org/drawingml/2006/picture">
                <pic:pic>
                  <pic:nvPicPr>
                    <pic:cNvPr id="22" name="image22.png"/>
                    <pic:cNvPicPr/>
                  </pic:nvPicPr>
                  <pic:blipFill>
                    <a:blip r:embed="rId26" cstate="print"/>
                    <a:stretch>
                      <a:fillRect/>
                    </a:stretch>
                  </pic:blipFill>
                  <pic:spPr>
                    <a:xfrm>
                      <a:off x="0" y="0"/>
                      <a:ext cx="5376672" cy="1688592"/>
                    </a:xfrm>
                    <a:prstGeom prst="rect">
                      <a:avLst/>
                    </a:prstGeom>
                  </pic:spPr>
                </pic:pic>
              </a:graphicData>
            </a:graphic>
          </wp:anchor>
        </w:drawing>
      </w:r>
      <w:r>
        <w:rPr>
          <w:color w:val="585858"/>
          <w:sz w:val="16"/>
        </w:rPr>
        <w:t>2000000</w:t>
      </w:r>
    </w:p>
    <w:p>
      <w:pPr>
        <w:spacing w:before="65"/>
        <w:ind w:left="107" w:right="0" w:firstLine="0"/>
        <w:jc w:val="left"/>
        <w:rPr>
          <w:sz w:val="16"/>
        </w:rPr>
      </w:pPr>
      <w:r>
        <w:rPr>
          <w:color w:val="585858"/>
          <w:sz w:val="16"/>
        </w:rPr>
        <w:t>1800000</w:t>
      </w:r>
    </w:p>
    <w:p>
      <w:pPr>
        <w:spacing w:before="65"/>
        <w:ind w:left="107" w:right="0" w:firstLine="0"/>
        <w:jc w:val="left"/>
        <w:rPr>
          <w:sz w:val="16"/>
        </w:rPr>
      </w:pPr>
      <w:r>
        <w:rPr>
          <w:color w:val="585858"/>
          <w:sz w:val="16"/>
        </w:rPr>
        <w:t>1600000</w:t>
      </w:r>
    </w:p>
    <w:p>
      <w:pPr>
        <w:spacing w:before="65"/>
        <w:ind w:left="107" w:right="0" w:firstLine="0"/>
        <w:jc w:val="left"/>
        <w:rPr>
          <w:sz w:val="16"/>
        </w:rPr>
      </w:pPr>
      <w:r>
        <w:rPr>
          <w:color w:val="585858"/>
          <w:sz w:val="16"/>
        </w:rPr>
        <w:t>1400000</w:t>
      </w:r>
    </w:p>
    <w:p>
      <w:pPr>
        <w:spacing w:before="65"/>
        <w:ind w:left="107" w:right="0" w:firstLine="0"/>
        <w:jc w:val="left"/>
        <w:rPr>
          <w:sz w:val="16"/>
        </w:rPr>
      </w:pPr>
      <w:r>
        <w:rPr>
          <w:color w:val="585858"/>
          <w:sz w:val="16"/>
        </w:rPr>
        <w:t>1200000</w:t>
      </w:r>
    </w:p>
    <w:p>
      <w:pPr>
        <w:spacing w:before="65"/>
        <w:ind w:left="107" w:right="0" w:firstLine="0"/>
        <w:jc w:val="left"/>
        <w:rPr>
          <w:sz w:val="16"/>
        </w:rPr>
      </w:pPr>
      <w:r>
        <w:rPr>
          <w:color w:val="585858"/>
          <w:sz w:val="16"/>
        </w:rPr>
        <w:t>1000000</w:t>
      </w:r>
    </w:p>
    <w:p>
      <w:pPr>
        <w:spacing w:before="65"/>
        <w:ind w:left="187" w:right="0" w:firstLine="0"/>
        <w:jc w:val="left"/>
        <w:rPr>
          <w:sz w:val="16"/>
        </w:rPr>
      </w:pPr>
      <w:r>
        <w:rPr>
          <w:color w:val="585858"/>
          <w:sz w:val="16"/>
        </w:rPr>
        <w:t>800000</w:t>
      </w:r>
    </w:p>
    <w:p>
      <w:pPr>
        <w:spacing w:before="65"/>
        <w:ind w:left="187" w:right="0" w:firstLine="0"/>
        <w:jc w:val="left"/>
        <w:rPr>
          <w:sz w:val="16"/>
        </w:rPr>
      </w:pPr>
      <w:r>
        <w:rPr>
          <w:color w:val="585858"/>
          <w:sz w:val="16"/>
        </w:rPr>
        <w:t>600000</w:t>
      </w:r>
    </w:p>
    <w:p>
      <w:pPr>
        <w:spacing w:before="65"/>
        <w:ind w:left="187" w:right="0" w:firstLine="0"/>
        <w:jc w:val="left"/>
        <w:rPr>
          <w:sz w:val="16"/>
        </w:rPr>
      </w:pPr>
      <w:r>
        <w:rPr>
          <w:color w:val="585858"/>
          <w:sz w:val="16"/>
        </w:rPr>
        <w:t>400000</w:t>
      </w:r>
    </w:p>
    <w:p>
      <w:pPr>
        <w:spacing w:before="65"/>
        <w:ind w:left="187" w:right="0" w:firstLine="0"/>
        <w:jc w:val="left"/>
        <w:rPr>
          <w:sz w:val="16"/>
        </w:rPr>
      </w:pPr>
      <w:r>
        <w:rPr>
          <w:color w:val="585858"/>
          <w:sz w:val="16"/>
        </w:rPr>
        <w:t>200000</w:t>
      </w:r>
    </w:p>
    <w:p>
      <w:pPr>
        <w:spacing w:before="65"/>
        <w:ind w:left="587" w:right="0" w:firstLine="0"/>
        <w:jc w:val="left"/>
        <w:rPr>
          <w:sz w:val="16"/>
        </w:rPr>
      </w:pPr>
      <w:r>
        <w:rPr/>
        <w:drawing>
          <wp:anchor distT="0" distB="0" distL="0" distR="0" allowOverlap="1" layoutInCell="1" locked="0" behindDoc="0" simplePos="0" relativeHeight="1552">
            <wp:simplePos x="0" y="0"/>
            <wp:positionH relativeFrom="page">
              <wp:posOffset>994930</wp:posOffset>
            </wp:positionH>
            <wp:positionV relativeFrom="paragraph">
              <wp:posOffset>195183</wp:posOffset>
            </wp:positionV>
            <wp:extent cx="5408024" cy="690562"/>
            <wp:effectExtent l="0" t="0" r="0" b="0"/>
            <wp:wrapTopAndBottom/>
            <wp:docPr id="23" name="image23.png" descr=""/>
            <wp:cNvGraphicFramePr>
              <a:graphicFrameLocks noChangeAspect="1"/>
            </wp:cNvGraphicFramePr>
            <a:graphic>
              <a:graphicData uri="http://schemas.openxmlformats.org/drawingml/2006/picture">
                <pic:pic>
                  <pic:nvPicPr>
                    <pic:cNvPr id="24" name="image23.png"/>
                    <pic:cNvPicPr/>
                  </pic:nvPicPr>
                  <pic:blipFill>
                    <a:blip r:embed="rId27" cstate="print"/>
                    <a:stretch>
                      <a:fillRect/>
                    </a:stretch>
                  </pic:blipFill>
                  <pic:spPr>
                    <a:xfrm>
                      <a:off x="0" y="0"/>
                      <a:ext cx="5408024" cy="690562"/>
                    </a:xfrm>
                    <a:prstGeom prst="rect">
                      <a:avLst/>
                    </a:prstGeom>
                  </pic:spPr>
                </pic:pic>
              </a:graphicData>
            </a:graphic>
          </wp:anchor>
        </w:drawing>
      </w:r>
      <w:r>
        <w:rPr>
          <w:color w:val="585858"/>
          <w:w w:val="98"/>
          <w:sz w:val="16"/>
        </w:rPr>
        <w:t>0</w:t>
      </w:r>
    </w:p>
    <w:p>
      <w:pPr>
        <w:pStyle w:val="BodyText"/>
        <w:spacing w:before="2"/>
        <w:rPr>
          <w:sz w:val="13"/>
        </w:rPr>
      </w:pPr>
    </w:p>
    <w:p>
      <w:pPr>
        <w:tabs>
          <w:tab w:pos="809" w:val="left" w:leader="none"/>
          <w:tab w:pos="1435" w:val="left" w:leader="none"/>
          <w:tab w:pos="2061" w:val="left" w:leader="none"/>
        </w:tabs>
        <w:spacing w:before="80"/>
        <w:ind w:left="183" w:right="0" w:firstLine="0"/>
        <w:jc w:val="center"/>
        <w:rPr>
          <w:sz w:val="18"/>
        </w:rPr>
      </w:pPr>
      <w:r>
        <w:rPr/>
        <w:pict>
          <v:line style="position:absolute;mso-position-horizontal-relative:page;mso-position-vertical-relative:paragraph;z-index:1624" from="239.179993pt,9.600186pt" to="243.664293pt,9.600186pt" stroked="true" strokeweight="4.4843pt" strokecolor="#5b9bd4">
            <w10:wrap type="none"/>
          </v:line>
        </w:pict>
      </w:r>
      <w:r>
        <w:rPr/>
        <w:pict>
          <v:line style="position:absolute;mso-position-horizontal-relative:page;mso-position-vertical-relative:paragraph;z-index:-248512" from="270.470001pt,9.600186pt" to="274.954301pt,9.600186pt" stroked="true" strokeweight="4.4843pt" strokecolor="#d5dce4">
            <w10:wrap type="none"/>
          </v:line>
        </w:pict>
      </w:r>
      <w:r>
        <w:rPr/>
        <w:pict>
          <v:line style="position:absolute;mso-position-horizontal-relative:page;mso-position-vertical-relative:paragraph;z-index:-248488" from="301.75pt,9.600186pt" to="306.2343pt,9.600186pt" stroked="true" strokeweight="4.4843pt" strokecolor="#a4a4a4">
            <w10:wrap type="none"/>
          </v:line>
        </w:pict>
      </w:r>
      <w:r>
        <w:rPr/>
        <w:pict>
          <v:line style="position:absolute;mso-position-horizontal-relative:page;mso-position-vertical-relative:paragraph;z-index:-248464" from="333.029999pt,9.600186pt" to="337.514299pt,9.600186pt" stroked="true" strokeweight="4.4843pt" strokecolor="#1f4e79">
            <w10:wrap type="none"/>
          </v:line>
        </w:pict>
      </w:r>
      <w:r>
        <w:rPr>
          <w:color w:val="585858"/>
          <w:sz w:val="18"/>
        </w:rPr>
        <w:t>1980</w:t>
        <w:tab/>
        <w:t>1990</w:t>
        <w:tab/>
        <w:t>2000</w:t>
        <w:tab/>
        <w:t>2010</w:t>
      </w:r>
    </w:p>
    <w:p>
      <w:pPr>
        <w:pStyle w:val="BodyText"/>
        <w:spacing w:before="10"/>
        <w:rPr>
          <w:sz w:val="8"/>
        </w:rPr>
      </w:pPr>
    </w:p>
    <w:p>
      <w:pPr>
        <w:spacing w:before="79"/>
        <w:ind w:left="183" w:right="207" w:firstLine="0"/>
        <w:jc w:val="center"/>
        <w:rPr>
          <w:sz w:val="16"/>
        </w:rPr>
      </w:pPr>
      <w:r>
        <w:rPr>
          <w:sz w:val="16"/>
        </w:rPr>
        <w:t>Fuente: Elaboración propia con base en los Censos de Población y Vivienda (INEGI).</w:t>
      </w:r>
    </w:p>
    <w:p>
      <w:pPr>
        <w:pStyle w:val="BodyText"/>
        <w:rPr>
          <w:sz w:val="16"/>
        </w:rPr>
      </w:pPr>
    </w:p>
    <w:p>
      <w:pPr>
        <w:pStyle w:val="BodyText"/>
        <w:spacing w:before="3"/>
        <w:rPr>
          <w:sz w:val="23"/>
        </w:rPr>
      </w:pPr>
    </w:p>
    <w:p>
      <w:pPr>
        <w:pStyle w:val="BodyText"/>
        <w:spacing w:line="348" w:lineRule="auto"/>
        <w:ind w:left="459" w:right="99"/>
        <w:jc w:val="both"/>
      </w:pPr>
      <w:r>
        <w:rPr/>
        <w:t>Con base en las estimaciones de la tasa </w:t>
      </w:r>
      <w:r>
        <w:rPr>
          <w:spacing w:val="-3"/>
        </w:rPr>
        <w:t>de </w:t>
      </w:r>
      <w:r>
        <w:rPr/>
        <w:t>crecimiento para las delegaciones de estudio durante el período 1980-1990, 1990-2000 y 2000-2010</w:t>
      </w:r>
      <w:r>
        <w:rPr>
          <w:position w:val="10"/>
          <w:sz w:val="14"/>
        </w:rPr>
        <w:t>6</w:t>
      </w:r>
      <w:r>
        <w:rPr/>
        <w:t>, se realizó una proyección de crecimiento poblacional para </w:t>
      </w:r>
      <w:r>
        <w:rPr>
          <w:spacing w:val="-4"/>
        </w:rPr>
        <w:t>el </w:t>
      </w:r>
      <w:r>
        <w:rPr/>
        <w:t>año 2020 y 2030.</w:t>
      </w:r>
      <w:r>
        <w:rPr>
          <w:position w:val="10"/>
          <w:sz w:val="14"/>
        </w:rPr>
        <w:t>7 </w:t>
      </w:r>
      <w:r>
        <w:rPr/>
        <w:t>La siguiente tabla y la gráfica muestran los datos que resultaron del cálculo de la tasa de crecimiento. Enseguida también se muestran los resultados de las proyecciones poblaciones.</w:t>
      </w:r>
    </w:p>
    <w:p>
      <w:pPr>
        <w:pStyle w:val="BodyText"/>
      </w:pPr>
    </w:p>
    <w:p>
      <w:pPr>
        <w:pStyle w:val="BodyText"/>
        <w:rPr>
          <w:sz w:val="29"/>
        </w:rPr>
      </w:pPr>
    </w:p>
    <w:p>
      <w:pPr>
        <w:spacing w:before="1"/>
        <w:ind w:left="133" w:right="0" w:firstLine="0"/>
        <w:jc w:val="center"/>
        <w:rPr>
          <w:b/>
          <w:sz w:val="20"/>
        </w:rPr>
      </w:pPr>
      <w:r>
        <w:rPr>
          <w:b/>
          <w:sz w:val="20"/>
        </w:rPr>
        <w:t>Tabla 2. Tasa porcentual de crecimiento para las delegaciones de estudio 1980-2010</w:t>
      </w:r>
    </w:p>
    <w:p>
      <w:pPr>
        <w:pStyle w:val="BodyText"/>
        <w:spacing w:before="2"/>
        <w:rPr>
          <w:b/>
          <w:sz w:val="10"/>
        </w:rPr>
      </w:pPr>
    </w:p>
    <w:tbl>
      <w:tblPr>
        <w:tblW w:w="0" w:type="auto"/>
        <w:jc w:val="left"/>
        <w:tblInd w:w="459"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2300"/>
        <w:gridCol w:w="1902"/>
        <w:gridCol w:w="2136"/>
        <w:gridCol w:w="2267"/>
      </w:tblGrid>
      <w:tr>
        <w:trPr>
          <w:trHeight w:val="296" w:hRule="exact"/>
        </w:trPr>
        <w:tc>
          <w:tcPr>
            <w:tcW w:w="2300" w:type="dxa"/>
            <w:tcBorders>
              <w:bottom w:val="single" w:sz="12" w:space="0" w:color="666666"/>
            </w:tcBorders>
            <w:shd w:val="clear" w:color="auto" w:fill="212A35"/>
          </w:tcPr>
          <w:p>
            <w:pPr>
              <w:pStyle w:val="TableParagraph"/>
              <w:spacing w:before="3"/>
              <w:ind w:left="682"/>
              <w:rPr>
                <w:b/>
                <w:sz w:val="20"/>
              </w:rPr>
            </w:pPr>
            <w:r>
              <w:rPr>
                <w:b/>
                <w:color w:val="FFFFFF"/>
                <w:sz w:val="20"/>
              </w:rPr>
              <w:t>Delegación</w:t>
            </w:r>
          </w:p>
        </w:tc>
        <w:tc>
          <w:tcPr>
            <w:tcW w:w="1902" w:type="dxa"/>
            <w:tcBorders>
              <w:bottom w:val="single" w:sz="12" w:space="0" w:color="666666"/>
            </w:tcBorders>
            <w:shd w:val="clear" w:color="auto" w:fill="212A35"/>
          </w:tcPr>
          <w:p>
            <w:pPr>
              <w:pStyle w:val="TableParagraph"/>
              <w:spacing w:before="3"/>
              <w:ind w:left="278"/>
              <w:rPr>
                <w:b/>
                <w:sz w:val="20"/>
              </w:rPr>
            </w:pPr>
            <w:r>
              <w:rPr>
                <w:b/>
                <w:color w:val="FFFFFF"/>
                <w:sz w:val="20"/>
              </w:rPr>
              <w:t>Tasa 1980-1990</w:t>
            </w:r>
          </w:p>
        </w:tc>
        <w:tc>
          <w:tcPr>
            <w:tcW w:w="2136" w:type="dxa"/>
            <w:tcBorders>
              <w:bottom w:val="single" w:sz="12" w:space="0" w:color="666666"/>
            </w:tcBorders>
            <w:shd w:val="clear" w:color="auto" w:fill="212A35"/>
          </w:tcPr>
          <w:p>
            <w:pPr>
              <w:pStyle w:val="TableParagraph"/>
              <w:spacing w:before="3"/>
              <w:ind w:left="393"/>
              <w:rPr>
                <w:b/>
                <w:sz w:val="20"/>
              </w:rPr>
            </w:pPr>
            <w:r>
              <w:rPr>
                <w:b/>
                <w:color w:val="FFFFFF"/>
                <w:sz w:val="20"/>
              </w:rPr>
              <w:t>Tasa 1990-2000</w:t>
            </w:r>
          </w:p>
        </w:tc>
        <w:tc>
          <w:tcPr>
            <w:tcW w:w="2267" w:type="dxa"/>
            <w:tcBorders>
              <w:bottom w:val="single" w:sz="12" w:space="0" w:color="666666"/>
            </w:tcBorders>
            <w:shd w:val="clear" w:color="auto" w:fill="212A35"/>
          </w:tcPr>
          <w:p>
            <w:pPr>
              <w:pStyle w:val="TableParagraph"/>
              <w:spacing w:before="3"/>
              <w:ind w:left="466"/>
              <w:rPr>
                <w:b/>
                <w:sz w:val="20"/>
              </w:rPr>
            </w:pPr>
            <w:r>
              <w:rPr>
                <w:b/>
                <w:color w:val="FFFFFF"/>
                <w:sz w:val="20"/>
              </w:rPr>
              <w:t>Tasa 2000-2010</w:t>
            </w:r>
          </w:p>
        </w:tc>
      </w:tr>
      <w:tr>
        <w:trPr>
          <w:trHeight w:val="274" w:hRule="exact"/>
        </w:trPr>
        <w:tc>
          <w:tcPr>
            <w:tcW w:w="2300" w:type="dxa"/>
            <w:tcBorders>
              <w:top w:val="single" w:sz="12" w:space="0" w:color="666666"/>
            </w:tcBorders>
          </w:tcPr>
          <w:p>
            <w:pPr>
              <w:pStyle w:val="TableParagraph"/>
              <w:ind w:left="105"/>
              <w:rPr>
                <w:b/>
                <w:sz w:val="20"/>
              </w:rPr>
            </w:pPr>
            <w:r>
              <w:rPr>
                <w:b/>
                <w:sz w:val="20"/>
              </w:rPr>
              <w:t>Álvaro Obregón</w:t>
            </w:r>
          </w:p>
        </w:tc>
        <w:tc>
          <w:tcPr>
            <w:tcW w:w="1902" w:type="dxa"/>
            <w:tcBorders>
              <w:top w:val="single" w:sz="12" w:space="0" w:color="666666"/>
            </w:tcBorders>
          </w:tcPr>
          <w:p>
            <w:pPr>
              <w:pStyle w:val="TableParagraph"/>
              <w:spacing w:line="226" w:lineRule="exact"/>
              <w:ind w:right="99"/>
              <w:jc w:val="right"/>
              <w:rPr>
                <w:sz w:val="20"/>
              </w:rPr>
            </w:pPr>
            <w:r>
              <w:rPr>
                <w:sz w:val="20"/>
              </w:rPr>
              <w:t>1.25</w:t>
            </w:r>
          </w:p>
        </w:tc>
        <w:tc>
          <w:tcPr>
            <w:tcW w:w="2136" w:type="dxa"/>
            <w:tcBorders>
              <w:top w:val="single" w:sz="12" w:space="0" w:color="666666"/>
            </w:tcBorders>
          </w:tcPr>
          <w:p>
            <w:pPr>
              <w:pStyle w:val="TableParagraph"/>
              <w:spacing w:line="226" w:lineRule="exact"/>
              <w:ind w:right="100"/>
              <w:jc w:val="right"/>
              <w:rPr>
                <w:sz w:val="20"/>
              </w:rPr>
            </w:pPr>
            <w:r>
              <w:rPr>
                <w:sz w:val="20"/>
              </w:rPr>
              <w:t>14.62</w:t>
            </w:r>
          </w:p>
        </w:tc>
        <w:tc>
          <w:tcPr>
            <w:tcW w:w="2267" w:type="dxa"/>
            <w:tcBorders>
              <w:top w:val="single" w:sz="12" w:space="0" w:color="666666"/>
            </w:tcBorders>
          </w:tcPr>
          <w:p>
            <w:pPr>
              <w:pStyle w:val="TableParagraph"/>
              <w:spacing w:line="226" w:lineRule="exact"/>
              <w:ind w:right="94"/>
              <w:jc w:val="right"/>
              <w:rPr>
                <w:sz w:val="20"/>
              </w:rPr>
            </w:pPr>
            <w:r>
              <w:rPr>
                <w:sz w:val="20"/>
              </w:rPr>
              <w:t>15.85</w:t>
            </w:r>
          </w:p>
        </w:tc>
      </w:tr>
      <w:tr>
        <w:trPr>
          <w:trHeight w:val="283" w:hRule="exact"/>
        </w:trPr>
        <w:tc>
          <w:tcPr>
            <w:tcW w:w="2300" w:type="dxa"/>
          </w:tcPr>
          <w:p>
            <w:pPr>
              <w:pStyle w:val="TableParagraph"/>
              <w:spacing w:line="226" w:lineRule="exact"/>
              <w:ind w:left="105"/>
              <w:rPr>
                <w:b/>
                <w:sz w:val="20"/>
              </w:rPr>
            </w:pPr>
            <w:r>
              <w:rPr>
                <w:b/>
                <w:sz w:val="20"/>
              </w:rPr>
              <w:t>Cuajimalpa de Morelos</w:t>
            </w:r>
          </w:p>
        </w:tc>
        <w:tc>
          <w:tcPr>
            <w:tcW w:w="1902" w:type="dxa"/>
          </w:tcPr>
          <w:p>
            <w:pPr>
              <w:pStyle w:val="TableParagraph"/>
              <w:spacing w:line="226" w:lineRule="exact"/>
              <w:ind w:right="99"/>
              <w:jc w:val="right"/>
              <w:rPr>
                <w:sz w:val="20"/>
              </w:rPr>
            </w:pPr>
            <w:r>
              <w:rPr>
                <w:sz w:val="20"/>
              </w:rPr>
              <w:t>70.24</w:t>
            </w:r>
          </w:p>
        </w:tc>
        <w:tc>
          <w:tcPr>
            <w:tcW w:w="2136" w:type="dxa"/>
          </w:tcPr>
          <w:p>
            <w:pPr>
              <w:pStyle w:val="TableParagraph"/>
              <w:spacing w:line="226" w:lineRule="exact"/>
              <w:ind w:right="100"/>
              <w:jc w:val="right"/>
              <w:rPr>
                <w:sz w:val="20"/>
              </w:rPr>
            </w:pPr>
            <w:r>
              <w:rPr>
                <w:sz w:val="20"/>
              </w:rPr>
              <w:t>55.98</w:t>
            </w:r>
          </w:p>
        </w:tc>
        <w:tc>
          <w:tcPr>
            <w:tcW w:w="2267" w:type="dxa"/>
          </w:tcPr>
          <w:p>
            <w:pPr>
              <w:pStyle w:val="TableParagraph"/>
              <w:spacing w:line="226" w:lineRule="exact"/>
              <w:ind w:right="94"/>
              <w:jc w:val="right"/>
              <w:rPr>
                <w:sz w:val="20"/>
              </w:rPr>
            </w:pPr>
            <w:r>
              <w:rPr>
                <w:sz w:val="20"/>
              </w:rPr>
              <w:t>63.28</w:t>
            </w:r>
          </w:p>
        </w:tc>
      </w:tr>
      <w:tr>
        <w:trPr>
          <w:trHeight w:val="283" w:hRule="exact"/>
        </w:trPr>
        <w:tc>
          <w:tcPr>
            <w:tcW w:w="2300" w:type="dxa"/>
          </w:tcPr>
          <w:p>
            <w:pPr>
              <w:pStyle w:val="TableParagraph"/>
              <w:ind w:left="105"/>
              <w:rPr>
                <w:b/>
                <w:sz w:val="20"/>
              </w:rPr>
            </w:pPr>
            <w:r>
              <w:rPr>
                <w:b/>
                <w:sz w:val="20"/>
              </w:rPr>
              <w:t>Magdalena Contreras</w:t>
            </w:r>
          </w:p>
        </w:tc>
        <w:tc>
          <w:tcPr>
            <w:tcW w:w="1902" w:type="dxa"/>
          </w:tcPr>
          <w:p>
            <w:pPr>
              <w:pStyle w:val="TableParagraph"/>
              <w:spacing w:line="226" w:lineRule="exact"/>
              <w:ind w:right="99"/>
              <w:jc w:val="right"/>
              <w:rPr>
                <w:sz w:val="20"/>
              </w:rPr>
            </w:pPr>
            <w:r>
              <w:rPr>
                <w:sz w:val="20"/>
              </w:rPr>
              <w:t>28.51</w:t>
            </w:r>
          </w:p>
        </w:tc>
        <w:tc>
          <w:tcPr>
            <w:tcW w:w="2136" w:type="dxa"/>
          </w:tcPr>
          <w:p>
            <w:pPr>
              <w:pStyle w:val="TableParagraph"/>
              <w:spacing w:line="226" w:lineRule="exact"/>
              <w:ind w:right="100"/>
              <w:jc w:val="right"/>
              <w:rPr>
                <w:sz w:val="20"/>
              </w:rPr>
            </w:pPr>
            <w:r>
              <w:rPr>
                <w:sz w:val="20"/>
              </w:rPr>
              <w:t>29.40</w:t>
            </w:r>
          </w:p>
        </w:tc>
        <w:tc>
          <w:tcPr>
            <w:tcW w:w="2267" w:type="dxa"/>
          </w:tcPr>
          <w:p>
            <w:pPr>
              <w:pStyle w:val="TableParagraph"/>
              <w:spacing w:line="226" w:lineRule="exact"/>
              <w:ind w:right="94"/>
              <w:jc w:val="right"/>
              <w:rPr>
                <w:sz w:val="20"/>
              </w:rPr>
            </w:pPr>
            <w:r>
              <w:rPr>
                <w:sz w:val="20"/>
              </w:rPr>
              <w:t>20.87</w:t>
            </w:r>
          </w:p>
        </w:tc>
      </w:tr>
    </w:tbl>
    <w:p>
      <w:pPr>
        <w:spacing w:line="179" w:lineRule="exact" w:before="0"/>
        <w:ind w:left="120" w:right="0" w:firstLine="0"/>
        <w:jc w:val="center"/>
        <w:rPr>
          <w:sz w:val="16"/>
        </w:rPr>
      </w:pPr>
      <w:r>
        <w:rPr>
          <w:sz w:val="16"/>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4"/>
        </w:rPr>
      </w:pPr>
      <w:r>
        <w:rPr/>
        <w:pict>
          <v:line style="position:absolute;mso-position-horizontal-relative:page;mso-position-vertical-relative:paragraph;z-index:1576;mso-wrap-distance-left:0;mso-wrap-distance-right:0" from="84.984001pt,16.169289pt" to="229.054001pt,16.169289pt" stroked="true" strokeweight=".72003pt" strokecolor="#000000">
            <w10:wrap type="topAndBottom"/>
          </v:line>
        </w:pict>
      </w:r>
    </w:p>
    <w:p>
      <w:pPr>
        <w:spacing w:line="190" w:lineRule="exact" w:before="57"/>
        <w:ind w:left="459" w:right="0" w:firstLine="0"/>
        <w:jc w:val="left"/>
        <w:rPr>
          <w:sz w:val="16"/>
        </w:rPr>
      </w:pPr>
      <w:r>
        <w:rPr>
          <w:position w:val="7"/>
          <w:sz w:val="10"/>
        </w:rPr>
        <w:t>6 </w:t>
      </w:r>
      <w:r>
        <w:rPr>
          <w:sz w:val="16"/>
        </w:rPr>
        <w:t>Fórmula utilizada para el cálculo de la tasa de crecimiento: </w:t>
      </w:r>
      <w:r>
        <w:rPr>
          <w:i/>
          <w:sz w:val="16"/>
        </w:rPr>
        <w:t>Tc= (Pob. Final * 100 / Pob. Inicial) – 100</w:t>
      </w:r>
      <w:r>
        <w:rPr>
          <w:sz w:val="16"/>
        </w:rPr>
        <w:t>.</w:t>
      </w:r>
    </w:p>
    <w:p>
      <w:pPr>
        <w:spacing w:line="182" w:lineRule="exact" w:before="10"/>
        <w:ind w:left="459" w:right="0" w:firstLine="0"/>
        <w:jc w:val="left"/>
        <w:rPr>
          <w:sz w:val="16"/>
        </w:rPr>
      </w:pPr>
      <w:r>
        <w:rPr>
          <w:position w:val="7"/>
          <w:sz w:val="10"/>
        </w:rPr>
        <w:t>7 </w:t>
      </w:r>
      <w:r>
        <w:rPr>
          <w:sz w:val="16"/>
        </w:rPr>
        <w:t>Fórmula utilizada con base en el método aritmético del Consejo Nacional de Población (CONAPO): </w:t>
      </w:r>
      <w:r>
        <w:rPr>
          <w:i/>
          <w:sz w:val="16"/>
        </w:rPr>
        <w:t>X= Pob. Final (((Pob. Final – Pob. </w:t>
      </w:r>
      <w:r>
        <w:rPr>
          <w:i/>
          <w:sz w:val="16"/>
        </w:rPr>
        <w:t>Inicial) / diferencia de años) * años a proyectar)</w:t>
      </w:r>
      <w:r>
        <w:rPr>
          <w:sz w:val="16"/>
        </w:rPr>
        <w:t>.</w:t>
      </w:r>
    </w:p>
    <w:p>
      <w:pPr>
        <w:spacing w:after="0" w:line="182" w:lineRule="exact"/>
        <w:jc w:val="left"/>
        <w:rPr>
          <w:sz w:val="16"/>
        </w:rPr>
        <w:sectPr>
          <w:pgSz w:w="12240" w:h="15840"/>
          <w:pgMar w:top="1360" w:bottom="280" w:left="1240" w:right="1600"/>
        </w:sectPr>
      </w:pPr>
    </w:p>
    <w:tbl>
      <w:tblPr>
        <w:tblW w:w="0" w:type="auto"/>
        <w:jc w:val="left"/>
        <w:tblInd w:w="5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70"/>
      </w:tblGrid>
      <w:tr>
        <w:trPr>
          <w:trHeight w:val="2442" w:hRule="exact"/>
        </w:trPr>
        <w:tc>
          <w:tcPr>
            <w:tcW w:w="7670" w:type="dxa"/>
          </w:tcPr>
          <w:p>
            <w:pPr>
              <w:pStyle w:val="TableParagraph"/>
              <w:spacing w:line="202" w:lineRule="exact"/>
              <w:ind w:left="200"/>
              <w:rPr>
                <w:b/>
                <w:sz w:val="20"/>
              </w:rPr>
            </w:pPr>
            <w:r>
              <w:rPr>
                <w:b/>
                <w:sz w:val="20"/>
              </w:rPr>
              <w:t>Gráfica 3. Tasa porcentual de crecimiento para las delegaciones de estudio 1980-2010</w:t>
            </w:r>
          </w:p>
          <w:p>
            <w:pPr>
              <w:pStyle w:val="TableParagraph"/>
              <w:rPr>
                <w:sz w:val="20"/>
              </w:rPr>
            </w:pPr>
          </w:p>
          <w:p>
            <w:pPr>
              <w:pStyle w:val="TableParagraph"/>
              <w:rPr>
                <w:sz w:val="24"/>
              </w:rPr>
            </w:pPr>
          </w:p>
          <w:p>
            <w:pPr>
              <w:pStyle w:val="TableParagraph"/>
              <w:ind w:left="359"/>
              <w:rPr>
                <w:rFonts w:ascii="Calibri"/>
                <w:sz w:val="16"/>
              </w:rPr>
            </w:pPr>
            <w:r>
              <w:rPr>
                <w:rFonts w:ascii="Calibri"/>
                <w:color w:val="585858"/>
                <w:sz w:val="16"/>
              </w:rPr>
              <w:t>80.00</w:t>
            </w:r>
          </w:p>
          <w:p>
            <w:pPr>
              <w:pStyle w:val="TableParagraph"/>
              <w:spacing w:before="2"/>
              <w:rPr>
                <w:sz w:val="15"/>
              </w:rPr>
            </w:pPr>
          </w:p>
          <w:p>
            <w:pPr>
              <w:pStyle w:val="TableParagraph"/>
              <w:ind w:left="370"/>
              <w:rPr>
                <w:rFonts w:ascii="Calibri"/>
                <w:sz w:val="16"/>
              </w:rPr>
            </w:pPr>
            <w:r>
              <w:rPr>
                <w:rFonts w:ascii="Calibri"/>
                <w:color w:val="585858"/>
                <w:sz w:val="16"/>
              </w:rPr>
              <w:t>70.00</w:t>
            </w:r>
          </w:p>
          <w:p>
            <w:pPr>
              <w:pStyle w:val="TableParagraph"/>
              <w:spacing w:before="10"/>
              <w:rPr>
                <w:sz w:val="14"/>
              </w:rPr>
            </w:pPr>
          </w:p>
          <w:p>
            <w:pPr>
              <w:pStyle w:val="TableParagraph"/>
              <w:spacing w:before="1"/>
              <w:ind w:left="381"/>
              <w:rPr>
                <w:rFonts w:ascii="Calibri"/>
                <w:sz w:val="16"/>
              </w:rPr>
            </w:pPr>
            <w:r>
              <w:rPr>
                <w:rFonts w:ascii="Calibri"/>
                <w:color w:val="585858"/>
                <w:sz w:val="16"/>
              </w:rPr>
              <w:t>60.00</w:t>
            </w:r>
          </w:p>
          <w:p>
            <w:pPr>
              <w:pStyle w:val="TableParagraph"/>
              <w:spacing w:before="8"/>
              <w:rPr>
                <w:sz w:val="14"/>
              </w:rPr>
            </w:pPr>
          </w:p>
          <w:p>
            <w:pPr>
              <w:pStyle w:val="TableParagraph"/>
              <w:ind w:left="392"/>
              <w:rPr>
                <w:rFonts w:ascii="Calibri"/>
                <w:sz w:val="16"/>
              </w:rPr>
            </w:pPr>
            <w:r>
              <w:rPr>
                <w:rFonts w:ascii="Calibri"/>
                <w:color w:val="585858"/>
                <w:sz w:val="16"/>
              </w:rPr>
              <w:t>50.00</w:t>
            </w:r>
          </w:p>
          <w:p>
            <w:pPr>
              <w:pStyle w:val="TableParagraph"/>
              <w:spacing w:before="6"/>
              <w:rPr>
                <w:sz w:val="14"/>
              </w:rPr>
            </w:pPr>
          </w:p>
          <w:p>
            <w:pPr>
              <w:pStyle w:val="TableParagraph"/>
              <w:ind w:left="404"/>
              <w:rPr>
                <w:rFonts w:ascii="Calibri"/>
                <w:sz w:val="16"/>
              </w:rPr>
            </w:pPr>
            <w:r>
              <w:rPr>
                <w:rFonts w:ascii="Calibri"/>
                <w:color w:val="585858"/>
                <w:sz w:val="16"/>
              </w:rPr>
              <w:t>40.00</w:t>
            </w:r>
          </w:p>
        </w:tc>
      </w:tr>
      <w:tr>
        <w:trPr>
          <w:trHeight w:val="2399" w:hRule="exact"/>
        </w:trPr>
        <w:tc>
          <w:tcPr>
            <w:tcW w:w="7670" w:type="dxa"/>
          </w:tcPr>
          <w:p>
            <w:pPr>
              <w:pStyle w:val="TableParagraph"/>
              <w:spacing w:before="90"/>
              <w:ind w:left="362" w:right="6837"/>
              <w:jc w:val="center"/>
              <w:rPr>
                <w:rFonts w:ascii="Calibri"/>
                <w:sz w:val="16"/>
              </w:rPr>
            </w:pPr>
            <w:r>
              <w:rPr>
                <w:rFonts w:ascii="Calibri"/>
                <w:color w:val="585858"/>
                <w:sz w:val="16"/>
              </w:rPr>
              <w:t>30.00</w:t>
            </w:r>
          </w:p>
          <w:p>
            <w:pPr>
              <w:pStyle w:val="TableParagraph"/>
              <w:spacing w:before="1"/>
              <w:rPr>
                <w:sz w:val="14"/>
              </w:rPr>
            </w:pPr>
          </w:p>
          <w:p>
            <w:pPr>
              <w:pStyle w:val="TableParagraph"/>
              <w:ind w:left="385" w:right="6837"/>
              <w:jc w:val="center"/>
              <w:rPr>
                <w:rFonts w:ascii="Calibri"/>
                <w:sz w:val="16"/>
              </w:rPr>
            </w:pPr>
            <w:r>
              <w:rPr>
                <w:rFonts w:ascii="Calibri"/>
                <w:color w:val="585858"/>
                <w:sz w:val="16"/>
              </w:rPr>
              <w:t>20.00</w:t>
            </w:r>
          </w:p>
          <w:p>
            <w:pPr>
              <w:pStyle w:val="TableParagraph"/>
              <w:spacing w:before="10"/>
              <w:rPr>
                <w:sz w:val="13"/>
              </w:rPr>
            </w:pPr>
          </w:p>
          <w:p>
            <w:pPr>
              <w:pStyle w:val="TableParagraph"/>
              <w:ind w:left="436"/>
              <w:rPr>
                <w:rFonts w:ascii="Calibri"/>
                <w:sz w:val="16"/>
              </w:rPr>
            </w:pPr>
            <w:r>
              <w:rPr>
                <w:rFonts w:ascii="Calibri"/>
                <w:color w:val="585858"/>
                <w:sz w:val="16"/>
              </w:rPr>
              <w:t>10.00</w:t>
            </w:r>
          </w:p>
          <w:p>
            <w:pPr>
              <w:pStyle w:val="TableParagraph"/>
              <w:spacing w:before="7"/>
              <w:rPr>
                <w:sz w:val="13"/>
              </w:rPr>
            </w:pPr>
          </w:p>
          <w:p>
            <w:pPr>
              <w:pStyle w:val="TableParagraph"/>
              <w:ind w:left="394" w:right="6724"/>
              <w:jc w:val="center"/>
              <w:rPr>
                <w:rFonts w:ascii="Calibri"/>
                <w:sz w:val="16"/>
              </w:rPr>
            </w:pPr>
            <w:r>
              <w:rPr>
                <w:rFonts w:ascii="Calibri"/>
                <w:color w:val="585858"/>
                <w:sz w:val="16"/>
              </w:rPr>
              <w:t>0.00</w:t>
            </w:r>
          </w:p>
          <w:p>
            <w:pPr>
              <w:pStyle w:val="TableParagraph"/>
              <w:tabs>
                <w:tab w:pos="3205" w:val="left" w:leader="none"/>
                <w:tab w:pos="3365" w:val="left" w:leader="none"/>
                <w:tab w:pos="4922" w:val="left" w:leader="none"/>
                <w:tab w:pos="5320" w:val="left" w:leader="none"/>
              </w:tabs>
              <w:spacing w:line="484" w:lineRule="auto" w:before="17"/>
              <w:ind w:left="1807" w:right="769" w:hanging="394"/>
              <w:rPr>
                <w:rFonts w:ascii="Calibri" w:hAnsi="Calibri"/>
                <w:sz w:val="18"/>
              </w:rPr>
            </w:pPr>
            <w:r>
              <w:rPr>
                <w:rFonts w:ascii="Calibri" w:hAnsi="Calibri"/>
                <w:color w:val="585858"/>
                <w:sz w:val="18"/>
              </w:rPr>
              <w:t>Álvaro Obregón</w:t>
              <w:tab/>
              <w:t>Cuajimalpa</w:t>
            </w:r>
            <w:r>
              <w:rPr>
                <w:rFonts w:ascii="Calibri" w:hAnsi="Calibri"/>
                <w:color w:val="585858"/>
                <w:spacing w:val="-2"/>
                <w:sz w:val="18"/>
              </w:rPr>
              <w:t> </w:t>
            </w:r>
            <w:r>
              <w:rPr>
                <w:rFonts w:ascii="Calibri" w:hAnsi="Calibri"/>
                <w:color w:val="585858"/>
                <w:sz w:val="18"/>
              </w:rPr>
              <w:t>de</w:t>
            </w:r>
            <w:r>
              <w:rPr>
                <w:rFonts w:ascii="Calibri" w:hAnsi="Calibri"/>
                <w:color w:val="585858"/>
                <w:spacing w:val="-5"/>
                <w:sz w:val="18"/>
              </w:rPr>
              <w:t> </w:t>
            </w:r>
            <w:r>
              <w:rPr>
                <w:rFonts w:ascii="Calibri" w:hAnsi="Calibri"/>
                <w:color w:val="585858"/>
                <w:sz w:val="18"/>
              </w:rPr>
              <w:t>Morelos</w:t>
              <w:tab/>
              <w:tab/>
              <w:t>Magdalena</w:t>
            </w:r>
            <w:r>
              <w:rPr>
                <w:rFonts w:ascii="Calibri" w:hAnsi="Calibri"/>
                <w:color w:val="585858"/>
                <w:spacing w:val="-4"/>
                <w:sz w:val="18"/>
              </w:rPr>
              <w:t> </w:t>
            </w:r>
            <w:r>
              <w:rPr>
                <w:rFonts w:ascii="Calibri" w:hAnsi="Calibri"/>
                <w:color w:val="585858"/>
                <w:sz w:val="18"/>
              </w:rPr>
              <w:t>Contreras</w:t>
            </w:r>
            <w:r>
              <w:rPr>
                <w:rFonts w:ascii="Calibri" w:hAnsi="Calibri"/>
                <w:color w:val="585858"/>
                <w:w w:val="101"/>
                <w:sz w:val="18"/>
              </w:rPr>
              <w:t> </w:t>
            </w:r>
            <w:r>
              <w:rPr>
                <w:rFonts w:ascii="Calibri" w:hAnsi="Calibri"/>
                <w:color w:val="585858"/>
                <w:sz w:val="18"/>
              </w:rPr>
              <w:t>Tasa</w:t>
            </w:r>
            <w:r>
              <w:rPr>
                <w:rFonts w:ascii="Calibri" w:hAnsi="Calibri"/>
                <w:color w:val="585858"/>
                <w:spacing w:val="-5"/>
                <w:sz w:val="18"/>
              </w:rPr>
              <w:t> </w:t>
            </w:r>
            <w:r>
              <w:rPr>
                <w:rFonts w:ascii="Calibri" w:hAnsi="Calibri"/>
                <w:color w:val="585858"/>
                <w:sz w:val="18"/>
              </w:rPr>
              <w:t>1980-1990</w:t>
              <w:tab/>
              <w:tab/>
              <w:t>Tasa</w:t>
            </w:r>
            <w:r>
              <w:rPr>
                <w:rFonts w:ascii="Calibri" w:hAnsi="Calibri"/>
                <w:color w:val="585858"/>
                <w:spacing w:val="-5"/>
                <w:sz w:val="18"/>
              </w:rPr>
              <w:t> </w:t>
            </w:r>
            <w:r>
              <w:rPr>
                <w:rFonts w:ascii="Calibri" w:hAnsi="Calibri"/>
                <w:color w:val="585858"/>
                <w:sz w:val="18"/>
              </w:rPr>
              <w:t>1990-2000</w:t>
              <w:tab/>
              <w:t>Tasa</w:t>
            </w:r>
            <w:r>
              <w:rPr>
                <w:rFonts w:ascii="Calibri" w:hAnsi="Calibri"/>
                <w:color w:val="585858"/>
                <w:spacing w:val="-7"/>
                <w:sz w:val="18"/>
              </w:rPr>
              <w:t> </w:t>
            </w:r>
            <w:r>
              <w:rPr>
                <w:rFonts w:ascii="Calibri" w:hAnsi="Calibri"/>
                <w:color w:val="585858"/>
                <w:sz w:val="18"/>
              </w:rPr>
              <w:t>2000-2010</w:t>
            </w:r>
          </w:p>
          <w:p>
            <w:pPr>
              <w:pStyle w:val="TableParagraph"/>
              <w:spacing w:line="144" w:lineRule="exact"/>
              <w:ind w:left="394" w:right="405"/>
              <w:jc w:val="center"/>
              <w:rPr>
                <w:sz w:val="16"/>
              </w:rPr>
            </w:pPr>
            <w:r>
              <w:rPr>
                <w:sz w:val="16"/>
              </w:rPr>
              <w:t>Fuente: Elaboración propia</w:t>
            </w:r>
          </w:p>
        </w:tc>
      </w:tr>
    </w:tbl>
    <w:p>
      <w:pPr>
        <w:pStyle w:val="BodyText"/>
        <w:rPr>
          <w:sz w:val="20"/>
        </w:rPr>
      </w:pPr>
    </w:p>
    <w:p>
      <w:pPr>
        <w:pStyle w:val="BodyText"/>
        <w:spacing w:line="360" w:lineRule="auto" w:before="193"/>
        <w:ind w:left="119" w:right="98"/>
        <w:jc w:val="both"/>
      </w:pPr>
      <w:r>
        <w:rPr/>
        <w:drawing>
          <wp:anchor distT="0" distB="0" distL="0" distR="0" allowOverlap="1" layoutInCell="1" locked="0" behindDoc="1" simplePos="0" relativeHeight="268187015">
            <wp:simplePos x="0" y="0"/>
            <wp:positionH relativeFrom="page">
              <wp:posOffset>1810511</wp:posOffset>
            </wp:positionH>
            <wp:positionV relativeFrom="paragraph">
              <wp:posOffset>-2951994</wp:posOffset>
            </wp:positionV>
            <wp:extent cx="4279438" cy="2107692"/>
            <wp:effectExtent l="0" t="0" r="0" b="0"/>
            <wp:wrapNone/>
            <wp:docPr id="25" name="image24.png" descr=""/>
            <wp:cNvGraphicFramePr>
              <a:graphicFrameLocks noChangeAspect="1"/>
            </wp:cNvGraphicFramePr>
            <a:graphic>
              <a:graphicData uri="http://schemas.openxmlformats.org/drawingml/2006/picture">
                <pic:pic>
                  <pic:nvPicPr>
                    <pic:cNvPr id="26" name="image24.png"/>
                    <pic:cNvPicPr/>
                  </pic:nvPicPr>
                  <pic:blipFill>
                    <a:blip r:embed="rId28" cstate="print"/>
                    <a:stretch>
                      <a:fillRect/>
                    </a:stretch>
                  </pic:blipFill>
                  <pic:spPr>
                    <a:xfrm>
                      <a:off x="0" y="0"/>
                      <a:ext cx="4279438" cy="2107692"/>
                    </a:xfrm>
                    <a:prstGeom prst="rect">
                      <a:avLst/>
                    </a:prstGeom>
                  </pic:spPr>
                </pic:pic>
              </a:graphicData>
            </a:graphic>
          </wp:anchor>
        </w:drawing>
      </w:r>
      <w:r>
        <w:rPr/>
        <w:pict>
          <v:line style="position:absolute;mso-position-horizontal-relative:page;mso-position-vertical-relative:paragraph;z-index:-248416" from="194.371643pt,-37.523781pt" to="194.371643pt,-32.580481pt" stroked="true" strokeweight="4.9433pt" strokecolor="#5b9bd4">
            <w10:wrap type="none"/>
          </v:line>
        </w:pict>
      </w:r>
      <w:r>
        <w:rPr/>
        <w:pict>
          <v:line style="position:absolute;mso-position-horizontal-relative:page;mso-position-vertical-relative:paragraph;z-index:-248392" from="272.20166pt,-37.523781pt" to="272.20166pt,-32.580481pt" stroked="true" strokeweight="4.9433pt" strokecolor="#1f4e79">
            <w10:wrap type="none"/>
          </v:line>
        </w:pict>
      </w:r>
      <w:r>
        <w:rPr/>
        <w:pict>
          <v:line style="position:absolute;mso-position-horizontal-relative:page;mso-position-vertical-relative:paragraph;z-index:-248368" from="350.031647pt,-37.523781pt" to="350.031647pt,-32.580481pt" stroked="true" strokeweight="4.9433pt" strokecolor="#212a35">
            <w10:wrap type="none"/>
          </v:line>
        </w:pict>
      </w:r>
      <w:r>
        <w:rPr/>
        <w:t>Con base en los resultados de la tasa </w:t>
      </w:r>
      <w:r>
        <w:rPr>
          <w:spacing w:val="-3"/>
        </w:rPr>
        <w:t>de </w:t>
      </w:r>
      <w:r>
        <w:rPr/>
        <w:t>crecimiento, se puede argumentar que las delegaciones Álvaro Obregón y Magdalena Contreras en el período de 1990-2000 muestran un crecimiento en la tasa demográfica de 14.62% y 29.40% respectivamente, al contrario de la Delegación Cuajimalpa donde existe una disminución en la tasa </w:t>
      </w:r>
      <w:r>
        <w:rPr>
          <w:spacing w:val="-3"/>
        </w:rPr>
        <w:t>de </w:t>
      </w:r>
      <w:r>
        <w:rPr/>
        <w:t>crecimiento sí </w:t>
      </w:r>
      <w:r>
        <w:rPr>
          <w:spacing w:val="2"/>
        </w:rPr>
        <w:t>se </w:t>
      </w:r>
      <w:r>
        <w:rPr/>
        <w:t>observa el período anterior correspondiente </w:t>
      </w:r>
      <w:r>
        <w:rPr>
          <w:spacing w:val="3"/>
        </w:rPr>
        <w:t>al </w:t>
      </w:r>
      <w:r>
        <w:rPr/>
        <w:t>año 1980-1990. Es posible notar que la Delegación Cuajimalpa </w:t>
      </w:r>
      <w:r>
        <w:rPr>
          <w:spacing w:val="-4"/>
        </w:rPr>
        <w:t>es </w:t>
      </w:r>
      <w:r>
        <w:rPr/>
        <w:t>la que muestra una tasa </w:t>
      </w:r>
      <w:r>
        <w:rPr>
          <w:spacing w:val="-4"/>
        </w:rPr>
        <w:t>más </w:t>
      </w:r>
      <w:r>
        <w:rPr/>
        <w:t>alta en porcentaje respecto a las delegaciones de estudio. Por ejemplo, en el período del 2000 al 2010 aumentó la tasa </w:t>
      </w:r>
      <w:r>
        <w:rPr>
          <w:spacing w:val="-3"/>
        </w:rPr>
        <w:t>de </w:t>
      </w:r>
      <w:r>
        <w:rPr/>
        <w:t>crecimiento de la Delegación Cuajimalpa al pasar </w:t>
      </w:r>
      <w:r>
        <w:rPr>
          <w:spacing w:val="-3"/>
        </w:rPr>
        <w:t>de </w:t>
      </w:r>
      <w:r>
        <w:rPr/>
        <w:t>un  55.98% en el período 1990-2000, a un 63.28% en el último período de análisis. Los resultados de la tasa de crecimiento permiten conocer cuál </w:t>
      </w:r>
      <w:r>
        <w:rPr>
          <w:spacing w:val="-3"/>
        </w:rPr>
        <w:t>ha </w:t>
      </w:r>
      <w:r>
        <w:rPr/>
        <w:t>sido el porcentaje de crecimiento demográfico en las últimas décadas, así </w:t>
      </w:r>
      <w:r>
        <w:rPr>
          <w:spacing w:val="-3"/>
        </w:rPr>
        <w:t>como </w:t>
      </w:r>
      <w:r>
        <w:rPr/>
        <w:t>las variaciones en el ritmo de crecimiento entre</w:t>
      </w:r>
      <w:r>
        <w:rPr>
          <w:spacing w:val="-21"/>
        </w:rPr>
        <w:t> </w:t>
      </w:r>
      <w:r>
        <w:rPr/>
        <w:t>períodos.</w:t>
      </w:r>
    </w:p>
    <w:p>
      <w:pPr>
        <w:pStyle w:val="BodyText"/>
        <w:spacing w:line="360" w:lineRule="auto" w:before="163"/>
        <w:ind w:left="119" w:right="105"/>
        <w:jc w:val="both"/>
      </w:pPr>
      <w:r>
        <w:rPr/>
        <w:t>De acuerdo con el análisis de los datos de proyección, las delegaciones de estudio continúan con la tendencia de crecimiento si se contrasta con las prospecciones de 2020 y 2030. El incremento de la población puede significar un aumento en el consumo de suelo y que, no necesariamente los nuevos establecimientos estarán bajo permisos legales de construcción. Es por ello, que este primer acercamiento puede derivar en la sugerencia de propuestas pertinentes para el control de los asentamientos humanos irregulares en suelo de conservación.</w:t>
      </w:r>
    </w:p>
    <w:p>
      <w:pPr>
        <w:spacing w:after="0" w:line="360" w:lineRule="auto"/>
        <w:jc w:val="both"/>
        <w:sectPr>
          <w:pgSz w:w="12240" w:h="15840"/>
          <w:pgMar w:top="1440" w:bottom="280" w:left="1580" w:right="1600"/>
        </w:sectPr>
      </w:pPr>
    </w:p>
    <w:p>
      <w:pPr>
        <w:pStyle w:val="BodyText"/>
        <w:rPr>
          <w:sz w:val="20"/>
        </w:rPr>
      </w:pPr>
    </w:p>
    <w:p>
      <w:pPr>
        <w:pStyle w:val="BodyText"/>
        <w:spacing w:before="9"/>
        <w:rPr>
          <w:sz w:val="21"/>
        </w:rPr>
      </w:pPr>
    </w:p>
    <w:p>
      <w:pPr>
        <w:spacing w:before="78"/>
        <w:ind w:left="246" w:right="0" w:firstLine="0"/>
        <w:jc w:val="left"/>
        <w:rPr>
          <w:sz w:val="16"/>
        </w:rPr>
      </w:pPr>
      <w:r>
        <w:rPr/>
        <w:drawing>
          <wp:anchor distT="0" distB="0" distL="0" distR="0" allowOverlap="1" layoutInCell="1" locked="0" behindDoc="0" simplePos="0" relativeHeight="1816">
            <wp:simplePos x="0" y="0"/>
            <wp:positionH relativeFrom="page">
              <wp:posOffset>1527047</wp:posOffset>
            </wp:positionH>
            <wp:positionV relativeFrom="paragraph">
              <wp:posOffset>-70501</wp:posOffset>
            </wp:positionV>
            <wp:extent cx="5071872" cy="2810255"/>
            <wp:effectExtent l="0" t="0" r="0" b="0"/>
            <wp:wrapNone/>
            <wp:docPr id="27" name="image25.png" descr=""/>
            <wp:cNvGraphicFramePr>
              <a:graphicFrameLocks noChangeAspect="1"/>
            </wp:cNvGraphicFramePr>
            <a:graphic>
              <a:graphicData uri="http://schemas.openxmlformats.org/drawingml/2006/picture">
                <pic:pic>
                  <pic:nvPicPr>
                    <pic:cNvPr id="28" name="image25.png"/>
                    <pic:cNvPicPr/>
                  </pic:nvPicPr>
                  <pic:blipFill>
                    <a:blip r:embed="rId29" cstate="print"/>
                    <a:stretch>
                      <a:fillRect/>
                    </a:stretch>
                  </pic:blipFill>
                  <pic:spPr>
                    <a:xfrm>
                      <a:off x="0" y="0"/>
                      <a:ext cx="5071872" cy="2810255"/>
                    </a:xfrm>
                    <a:prstGeom prst="rect">
                      <a:avLst/>
                    </a:prstGeom>
                  </pic:spPr>
                </pic:pic>
              </a:graphicData>
            </a:graphic>
          </wp:anchor>
        </w:drawing>
      </w:r>
      <w:r>
        <w:rPr/>
        <w:pict>
          <v:shape style="position:absolute;margin-left:116.290001pt;margin-top:-24.202385pt;width:375.6pt;height:286.75pt;mso-position-horizontal-relative:page;mso-position-vertical-relative:paragraph;z-index:1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11"/>
                  </w:tblGrid>
                  <w:tr>
                    <w:trPr>
                      <w:trHeight w:val="5151" w:hRule="exact"/>
                    </w:trPr>
                    <w:tc>
                      <w:tcPr>
                        <w:tcW w:w="7511" w:type="dxa"/>
                      </w:tcPr>
                      <w:p>
                        <w:pPr>
                          <w:pStyle w:val="TableParagraph"/>
                          <w:spacing w:line="205" w:lineRule="exact"/>
                          <w:ind w:left="200"/>
                          <w:rPr>
                            <w:b/>
                            <w:sz w:val="20"/>
                          </w:rPr>
                        </w:pPr>
                        <w:r>
                          <w:rPr>
                            <w:b/>
                            <w:sz w:val="20"/>
                          </w:rPr>
                          <w:t>Gráfica 4. Proyección de la población total en las delegaciones de estudio 1980-2030</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23"/>
                          </w:rPr>
                        </w:pPr>
                      </w:p>
                      <w:p>
                        <w:pPr>
                          <w:pStyle w:val="TableParagraph"/>
                          <w:tabs>
                            <w:tab w:pos="3163" w:val="left" w:leader="none"/>
                            <w:tab w:pos="5760" w:val="left" w:leader="none"/>
                          </w:tabs>
                          <w:ind w:left="861"/>
                          <w:rPr>
                            <w:sz w:val="16"/>
                          </w:rPr>
                        </w:pPr>
                        <w:r>
                          <w:rPr>
                            <w:sz w:val="16"/>
                          </w:rPr>
                          <w:t>Alvaro</w:t>
                        </w:r>
                        <w:r>
                          <w:rPr>
                            <w:spacing w:val="-2"/>
                            <w:sz w:val="16"/>
                          </w:rPr>
                          <w:t> </w:t>
                        </w:r>
                        <w:r>
                          <w:rPr>
                            <w:sz w:val="16"/>
                          </w:rPr>
                          <w:t>Obregón</w:t>
                          <w:tab/>
                          <w:t>Cuajimalpa</w:t>
                        </w:r>
                        <w:r>
                          <w:rPr>
                            <w:spacing w:val="-3"/>
                            <w:sz w:val="16"/>
                          </w:rPr>
                          <w:t> </w:t>
                        </w:r>
                        <w:r>
                          <w:rPr>
                            <w:sz w:val="16"/>
                          </w:rPr>
                          <w:t>de</w:t>
                        </w:r>
                        <w:r>
                          <w:rPr>
                            <w:spacing w:val="-3"/>
                            <w:sz w:val="16"/>
                          </w:rPr>
                          <w:t> </w:t>
                        </w:r>
                        <w:r>
                          <w:rPr>
                            <w:sz w:val="16"/>
                          </w:rPr>
                          <w:t>Morelos</w:t>
                          <w:tab/>
                          <w:t>Magdalena</w:t>
                        </w:r>
                        <w:r>
                          <w:rPr>
                            <w:spacing w:val="-10"/>
                            <w:sz w:val="16"/>
                          </w:rPr>
                          <w:t> </w:t>
                        </w:r>
                        <w:r>
                          <w:rPr>
                            <w:sz w:val="16"/>
                          </w:rPr>
                          <w:t>Contreras</w:t>
                        </w:r>
                      </w:p>
                    </w:tc>
                  </w:tr>
                  <w:tr>
                    <w:trPr>
                      <w:trHeight w:val="584" w:hRule="exact"/>
                    </w:trPr>
                    <w:tc>
                      <w:tcPr>
                        <w:tcW w:w="7511" w:type="dxa"/>
                      </w:tcPr>
                      <w:p>
                        <w:pPr>
                          <w:pStyle w:val="TableParagraph"/>
                          <w:rPr>
                            <w:sz w:val="16"/>
                          </w:rPr>
                        </w:pPr>
                      </w:p>
                      <w:p>
                        <w:pPr>
                          <w:pStyle w:val="TableParagraph"/>
                          <w:rPr>
                            <w:sz w:val="19"/>
                          </w:rPr>
                        </w:pPr>
                      </w:p>
                      <w:p>
                        <w:pPr>
                          <w:pStyle w:val="TableParagraph"/>
                          <w:spacing w:before="1"/>
                          <w:ind w:left="1006"/>
                          <w:rPr>
                            <w:sz w:val="16"/>
                          </w:rPr>
                        </w:pPr>
                        <w:r>
                          <w:rPr>
                            <w:sz w:val="16"/>
                          </w:rPr>
                          <w:t>Fuente: Elaboración propia con base en los Censos de Población y Vivienda (INEGI).</w:t>
                        </w:r>
                      </w:p>
                    </w:tc>
                  </w:tr>
                </w:tbl>
                <w:p>
                  <w:pPr>
                    <w:pStyle w:val="BodyText"/>
                  </w:pPr>
                </w:p>
              </w:txbxContent>
            </v:textbox>
            <w10:wrap type="none"/>
          </v:shape>
        </w:pict>
      </w:r>
      <w:r>
        <w:rPr>
          <w:sz w:val="16"/>
        </w:rPr>
        <w:t>900000</w:t>
      </w:r>
    </w:p>
    <w:p>
      <w:pPr>
        <w:pStyle w:val="BodyText"/>
        <w:spacing w:before="7"/>
        <w:rPr>
          <w:sz w:val="23"/>
        </w:rPr>
      </w:pPr>
    </w:p>
    <w:p>
      <w:pPr>
        <w:spacing w:before="0"/>
        <w:ind w:left="246" w:right="0" w:firstLine="0"/>
        <w:jc w:val="left"/>
        <w:rPr>
          <w:sz w:val="16"/>
        </w:rPr>
      </w:pPr>
      <w:r>
        <w:rPr>
          <w:sz w:val="16"/>
        </w:rPr>
        <w:t>800000</w:t>
      </w:r>
    </w:p>
    <w:p>
      <w:pPr>
        <w:pStyle w:val="BodyText"/>
        <w:spacing w:before="7"/>
        <w:rPr>
          <w:sz w:val="23"/>
        </w:rPr>
      </w:pPr>
    </w:p>
    <w:p>
      <w:pPr>
        <w:spacing w:before="0"/>
        <w:ind w:left="246" w:right="0" w:firstLine="0"/>
        <w:jc w:val="left"/>
        <w:rPr>
          <w:sz w:val="16"/>
        </w:rPr>
      </w:pPr>
      <w:r>
        <w:rPr>
          <w:sz w:val="16"/>
        </w:rPr>
        <w:t>700000</w:t>
      </w:r>
    </w:p>
    <w:p>
      <w:pPr>
        <w:pStyle w:val="BodyText"/>
        <w:spacing w:before="7"/>
        <w:rPr>
          <w:sz w:val="23"/>
        </w:rPr>
      </w:pPr>
    </w:p>
    <w:p>
      <w:pPr>
        <w:spacing w:before="0"/>
        <w:ind w:left="246" w:right="0" w:firstLine="0"/>
        <w:jc w:val="left"/>
        <w:rPr>
          <w:sz w:val="16"/>
        </w:rPr>
      </w:pPr>
      <w:r>
        <w:rPr>
          <w:sz w:val="16"/>
        </w:rPr>
        <w:t>600000</w:t>
      </w:r>
    </w:p>
    <w:p>
      <w:pPr>
        <w:pStyle w:val="BodyText"/>
        <w:spacing w:before="7"/>
        <w:rPr>
          <w:sz w:val="23"/>
        </w:rPr>
      </w:pPr>
    </w:p>
    <w:p>
      <w:pPr>
        <w:spacing w:before="0"/>
        <w:ind w:left="246" w:right="0" w:firstLine="0"/>
        <w:jc w:val="left"/>
        <w:rPr>
          <w:sz w:val="16"/>
        </w:rPr>
      </w:pPr>
      <w:r>
        <w:rPr>
          <w:sz w:val="16"/>
        </w:rPr>
        <w:t>500000</w:t>
      </w:r>
    </w:p>
    <w:p>
      <w:pPr>
        <w:pStyle w:val="BodyText"/>
        <w:spacing w:before="7"/>
        <w:rPr>
          <w:sz w:val="23"/>
        </w:rPr>
      </w:pPr>
    </w:p>
    <w:p>
      <w:pPr>
        <w:spacing w:before="0"/>
        <w:ind w:left="246" w:right="0" w:firstLine="0"/>
        <w:jc w:val="left"/>
        <w:rPr>
          <w:sz w:val="16"/>
        </w:rPr>
      </w:pPr>
      <w:r>
        <w:rPr>
          <w:sz w:val="16"/>
        </w:rPr>
        <w:t>400000</w:t>
      </w:r>
    </w:p>
    <w:p>
      <w:pPr>
        <w:pStyle w:val="BodyText"/>
        <w:spacing w:before="7"/>
        <w:rPr>
          <w:sz w:val="23"/>
        </w:rPr>
      </w:pPr>
    </w:p>
    <w:p>
      <w:pPr>
        <w:spacing w:before="0"/>
        <w:ind w:left="246" w:right="0" w:firstLine="0"/>
        <w:jc w:val="left"/>
        <w:rPr>
          <w:sz w:val="16"/>
        </w:rPr>
      </w:pPr>
      <w:r>
        <w:rPr>
          <w:sz w:val="16"/>
        </w:rPr>
        <w:t>300000</w:t>
      </w:r>
    </w:p>
    <w:p>
      <w:pPr>
        <w:pStyle w:val="BodyText"/>
        <w:spacing w:before="7"/>
        <w:rPr>
          <w:sz w:val="23"/>
        </w:rPr>
      </w:pPr>
    </w:p>
    <w:p>
      <w:pPr>
        <w:spacing w:before="0"/>
        <w:ind w:left="246" w:right="0" w:firstLine="0"/>
        <w:jc w:val="left"/>
        <w:rPr>
          <w:sz w:val="16"/>
        </w:rPr>
      </w:pPr>
      <w:r>
        <w:rPr>
          <w:sz w:val="16"/>
        </w:rPr>
        <w:t>200000</w:t>
      </w:r>
    </w:p>
    <w:p>
      <w:pPr>
        <w:pStyle w:val="BodyText"/>
        <w:spacing w:before="7"/>
        <w:rPr>
          <w:sz w:val="23"/>
        </w:rPr>
      </w:pPr>
    </w:p>
    <w:p>
      <w:pPr>
        <w:spacing w:before="0"/>
        <w:ind w:left="246" w:right="0" w:firstLine="0"/>
        <w:jc w:val="left"/>
        <w:rPr>
          <w:sz w:val="16"/>
        </w:rPr>
      </w:pPr>
      <w:r>
        <w:rPr>
          <w:sz w:val="16"/>
        </w:rPr>
        <w:t>100000</w:t>
      </w:r>
    </w:p>
    <w:p>
      <w:pPr>
        <w:pStyle w:val="BodyText"/>
        <w:spacing w:before="6"/>
        <w:rPr>
          <w:sz w:val="23"/>
        </w:rPr>
      </w:pPr>
    </w:p>
    <w:p>
      <w:pPr>
        <w:spacing w:before="1"/>
        <w:ind w:left="647" w:right="0" w:firstLine="0"/>
        <w:jc w:val="left"/>
        <w:rPr>
          <w:sz w:val="16"/>
        </w:rPr>
      </w:pPr>
      <w:r>
        <w:rPr>
          <w:w w:val="98"/>
          <w:sz w:val="16"/>
        </w:rPr>
        <w:t>0</w:t>
      </w:r>
    </w:p>
    <w:p>
      <w:pPr>
        <w:pStyle w:val="BodyText"/>
        <w:spacing w:before="7"/>
        <w:rPr>
          <w:sz w:val="9"/>
        </w:rPr>
      </w:pPr>
    </w:p>
    <w:p>
      <w:pPr>
        <w:tabs>
          <w:tab w:pos="3473" w:val="left" w:leader="none"/>
          <w:tab w:pos="4105" w:val="left" w:leader="none"/>
          <w:tab w:pos="4737" w:val="left" w:leader="none"/>
          <w:tab w:pos="5369" w:val="left" w:leader="none"/>
          <w:tab w:pos="6001" w:val="left" w:leader="none"/>
        </w:tabs>
        <w:spacing w:before="79"/>
        <w:ind w:left="2841" w:right="0" w:firstLine="0"/>
        <w:jc w:val="left"/>
        <w:rPr>
          <w:sz w:val="18"/>
        </w:rPr>
      </w:pPr>
      <w:r>
        <w:rPr/>
        <w:pict>
          <v:line style="position:absolute;mso-position-horizontal-relative:page;mso-position-vertical-relative:paragraph;z-index:1840" from="214.630005pt,9.56019pt" to="219.114305pt,9.56019pt" stroked="true" strokeweight="4.4843pt" strokecolor="#e7e6e6">
            <w10:wrap type="none"/>
          </v:line>
        </w:pict>
      </w:r>
      <w:r>
        <w:rPr/>
        <w:pict>
          <v:line style="position:absolute;mso-position-horizontal-relative:page;mso-position-vertical-relative:paragraph;z-index:-248296" from="246.220001pt,9.56019pt" to="250.704301pt,9.56019pt" stroked="true" strokeweight="4.4843pt" strokecolor="#deebf7">
            <w10:wrap type="none"/>
          </v:line>
        </w:pict>
      </w:r>
      <w:r>
        <w:rPr/>
        <w:pict>
          <v:line style="position:absolute;mso-position-horizontal-relative:page;mso-position-vertical-relative:paragraph;z-index:-248272" from="277.809998pt,9.56019pt" to="282.294298pt,9.56019pt" stroked="true" strokeweight="4.4843pt" strokecolor="#a4a4a4">
            <w10:wrap type="none"/>
          </v:line>
        </w:pict>
      </w:r>
      <w:r>
        <w:rPr/>
        <w:pict>
          <v:line style="position:absolute;mso-position-horizontal-relative:page;mso-position-vertical-relative:paragraph;z-index:-248248" from="309.399994pt,9.56019pt" to="313.884294pt,9.56019pt" stroked="true" strokeweight="4.4843pt" strokecolor="#9dc3e6">
            <w10:wrap type="none"/>
          </v:line>
        </w:pict>
      </w:r>
      <w:r>
        <w:rPr/>
        <w:pict>
          <v:line style="position:absolute;mso-position-horizontal-relative:page;mso-position-vertical-relative:paragraph;z-index:-248224" from="341pt,9.56019pt" to="345.4843pt,9.56019pt" stroked="true" strokeweight="4.4843pt" strokecolor="#4471c4">
            <w10:wrap type="none"/>
          </v:line>
        </w:pict>
      </w:r>
      <w:r>
        <w:rPr>
          <w:color w:val="585858"/>
          <w:sz w:val="18"/>
        </w:rPr>
        <w:t>1980</w:t>
        <w:tab/>
        <w:t>1990</w:t>
        <w:tab/>
        <w:t>2000</w:t>
        <w:tab/>
        <w:t>2010</w:t>
        <w:tab/>
        <w:t>2020</w:t>
        <w:tab/>
        <w:t>2030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spacing w:line="360" w:lineRule="auto"/>
        <w:ind w:left="119" w:right="108"/>
        <w:jc w:val="both"/>
      </w:pPr>
      <w:r>
        <w:rPr/>
        <w:t>El desarrollo de este apartado resultó primordial para conocer el momento en que las delegaciones periféricas adquirieron importancia </w:t>
      </w:r>
      <w:r>
        <w:rPr>
          <w:spacing w:val="-4"/>
        </w:rPr>
        <w:t>en </w:t>
      </w:r>
      <w:r>
        <w:rPr/>
        <w:t>términos poblacionales. La elaboración de las gráficas y tablas destaca la información censal, las tasas </w:t>
      </w:r>
      <w:r>
        <w:rPr>
          <w:spacing w:val="-3"/>
        </w:rPr>
        <w:t>de </w:t>
      </w:r>
      <w:r>
        <w:rPr/>
        <w:t>crecimiento y la proyección para </w:t>
      </w:r>
      <w:r>
        <w:rPr>
          <w:spacing w:val="-3"/>
        </w:rPr>
        <w:t>los </w:t>
      </w:r>
      <w:r>
        <w:rPr/>
        <w:t>años 2020 y 2030. De esta forma, se logró revisar </w:t>
      </w:r>
      <w:r>
        <w:rPr>
          <w:spacing w:val="-3"/>
        </w:rPr>
        <w:t>los </w:t>
      </w:r>
      <w:r>
        <w:rPr/>
        <w:t>cambios en el crecimiento poblacional tanto histórico  como actual, así como </w:t>
      </w:r>
      <w:r>
        <w:rPr>
          <w:spacing w:val="-4"/>
        </w:rPr>
        <w:t>el </w:t>
      </w:r>
      <w:r>
        <w:rPr/>
        <w:t>futuro comportamiento demográfico </w:t>
      </w:r>
      <w:r>
        <w:rPr>
          <w:spacing w:val="-4"/>
        </w:rPr>
        <w:t>en </w:t>
      </w:r>
      <w:r>
        <w:rPr/>
        <w:t>las siguientes</w:t>
      </w:r>
      <w:r>
        <w:rPr>
          <w:spacing w:val="-9"/>
        </w:rPr>
        <w:t> </w:t>
      </w:r>
      <w:r>
        <w:rPr/>
        <w:t>décadas.</w:t>
      </w:r>
    </w:p>
    <w:p>
      <w:pPr>
        <w:spacing w:after="0" w:line="360" w:lineRule="auto"/>
        <w:jc w:val="both"/>
        <w:sectPr>
          <w:pgSz w:w="12240" w:h="15840"/>
          <w:pgMar w:top="1440" w:bottom="280" w:left="1580" w:right="1600"/>
        </w:sectPr>
      </w:pPr>
    </w:p>
    <w:p>
      <w:pPr>
        <w:pStyle w:val="Heading1"/>
        <w:numPr>
          <w:ilvl w:val="2"/>
          <w:numId w:val="15"/>
        </w:numPr>
        <w:tabs>
          <w:tab w:pos="619" w:val="left" w:leader="none"/>
        </w:tabs>
        <w:spacing w:line="240" w:lineRule="auto" w:before="52" w:after="0"/>
        <w:ind w:left="618" w:right="0" w:hanging="499"/>
        <w:jc w:val="both"/>
      </w:pPr>
      <w:bookmarkStart w:name="_bookmark31" w:id="54"/>
      <w:bookmarkEnd w:id="54"/>
      <w:r>
        <w:rPr>
          <w:b w:val="0"/>
        </w:rPr>
      </w:r>
      <w:bookmarkStart w:name="_bookmark31" w:id="55"/>
      <w:bookmarkEnd w:id="55"/>
      <w:r>
        <w:rPr/>
        <w:t>C</w:t>
      </w:r>
      <w:r>
        <w:rPr/>
        <w:t>recimiento poblacional en la zona de</w:t>
      </w:r>
      <w:r>
        <w:rPr>
          <w:spacing w:val="-31"/>
        </w:rPr>
        <w:t> </w:t>
      </w:r>
      <w:r>
        <w:rPr/>
        <w:t>barrancas</w:t>
      </w:r>
    </w:p>
    <w:p>
      <w:pPr>
        <w:pStyle w:val="BodyText"/>
        <w:rPr>
          <w:b/>
        </w:rPr>
      </w:pPr>
    </w:p>
    <w:p>
      <w:pPr>
        <w:pStyle w:val="BodyText"/>
        <w:rPr>
          <w:b/>
          <w:sz w:val="19"/>
        </w:rPr>
      </w:pPr>
    </w:p>
    <w:p>
      <w:pPr>
        <w:pStyle w:val="BodyText"/>
        <w:spacing w:line="360" w:lineRule="auto" w:before="1"/>
        <w:ind w:left="119" w:right="120"/>
        <w:jc w:val="both"/>
      </w:pPr>
      <w:r>
        <w:rPr/>
        <w:t>Los datos </w:t>
      </w:r>
      <w:r>
        <w:rPr>
          <w:spacing w:val="-2"/>
        </w:rPr>
        <w:t>más </w:t>
      </w:r>
      <w:r>
        <w:rPr/>
        <w:t>cercanos sobre la población que habita en zona de barrancas </w:t>
      </w:r>
      <w:r>
        <w:rPr>
          <w:spacing w:val="-4"/>
        </w:rPr>
        <w:t>es </w:t>
      </w:r>
      <w:r>
        <w:rPr/>
        <w:t>de 3 mil familias y  las principales delegaciones donde </w:t>
      </w:r>
      <w:r>
        <w:rPr>
          <w:spacing w:val="2"/>
        </w:rPr>
        <w:t>se </w:t>
      </w:r>
      <w:r>
        <w:rPr/>
        <w:t>ubican son: Álvaro Obregón, Cuajimalpa, Magdalena Contreras y Xochimilco, de acuerdo con la Secretaría de Desarrollo Urbano y Vivienda (SEDUVI). En el año 2002 en la ciudad existían cerca de 10 mil 907 viviendas irregulares en zonas de riesgo (ALDF, 2002), las cuales </w:t>
      </w:r>
      <w:r>
        <w:rPr>
          <w:spacing w:val="2"/>
        </w:rPr>
        <w:t>se </w:t>
      </w:r>
      <w:r>
        <w:rPr/>
        <w:t>asientan en barrancas que presentan laderas con pendientes muy pronunciadas que van en un promedio de 20 a 40 grados de inclinación (PAOT,</w:t>
      </w:r>
      <w:r>
        <w:rPr>
          <w:spacing w:val="-23"/>
        </w:rPr>
        <w:t> </w:t>
      </w:r>
      <w:r>
        <w:rPr/>
        <w:t>2010).</w:t>
      </w:r>
    </w:p>
    <w:p>
      <w:pPr>
        <w:pStyle w:val="BodyText"/>
        <w:spacing w:line="360" w:lineRule="auto" w:before="163"/>
        <w:ind w:left="119" w:right="125"/>
        <w:jc w:val="both"/>
      </w:pPr>
      <w:r>
        <w:rPr/>
        <w:t>Existen también asentamientos irregulares que corren riesgo por inundaciones, las delegaciones que muestran mayor vulnerabilidad en este rubro son Álvaro Obregón, Cuajimalpa, Gustavo </w:t>
      </w:r>
      <w:r>
        <w:rPr>
          <w:spacing w:val="-3"/>
        </w:rPr>
        <w:t>A. </w:t>
      </w:r>
      <w:r>
        <w:rPr/>
        <w:t>Madero, Iztapalapa, Magdalena Contreras y Milpa Alta (Coulomb et.al., 2005). Por otro lado, las afectaciones por riesgo hidrometeorológico asociado a inundaciones </w:t>
      </w:r>
      <w:r>
        <w:rPr>
          <w:spacing w:val="2"/>
        </w:rPr>
        <w:t>se </w:t>
      </w:r>
      <w:r>
        <w:rPr/>
        <w:t>presenta en las delegaciones Magdalena Contreras, Tláhuac, Tlalpan, Xochimilco y las demás demarciones mencionadas </w:t>
      </w:r>
      <w:r>
        <w:rPr>
          <w:spacing w:val="2"/>
        </w:rPr>
        <w:t>se</w:t>
      </w:r>
      <w:r>
        <w:rPr>
          <w:spacing w:val="59"/>
        </w:rPr>
        <w:t> </w:t>
      </w:r>
      <w:r>
        <w:rPr/>
        <w:t>identifican en riesgo geológico (PAOT,</w:t>
      </w:r>
      <w:r>
        <w:rPr>
          <w:spacing w:val="-13"/>
        </w:rPr>
        <w:t> </w:t>
      </w:r>
      <w:r>
        <w:rPr/>
        <w:t>2010).</w:t>
      </w:r>
    </w:p>
    <w:p>
      <w:pPr>
        <w:pStyle w:val="BodyText"/>
        <w:spacing w:line="360" w:lineRule="auto" w:before="163"/>
        <w:ind w:left="119" w:right="126"/>
        <w:jc w:val="both"/>
      </w:pPr>
      <w:r>
        <w:rPr/>
        <w:t>Debido a las características topográficas del Valle de México, los asentamientos irregulares en suelo de conservación tienen un alto grado de vulnerabilidad ante procesos naturales. Coulomb, menciona que las principales causas de riesgo son los hundimientos, agrietamientos y deslizamientos del terreno originados por la sobreexplotación de las áreas de recarga acuífera y su consecuente desaparición, lo que provoca sequedad del suelo y con ello, hundimientos diferenciales del suelo.</w:t>
      </w:r>
    </w:p>
    <w:p>
      <w:pPr>
        <w:pStyle w:val="BodyText"/>
      </w:pPr>
    </w:p>
    <w:p>
      <w:pPr>
        <w:pStyle w:val="BodyText"/>
        <w:spacing w:before="1"/>
        <w:rPr>
          <w:sz w:val="30"/>
        </w:rPr>
      </w:pPr>
    </w:p>
    <w:p>
      <w:pPr>
        <w:pStyle w:val="Heading1"/>
        <w:numPr>
          <w:ilvl w:val="1"/>
          <w:numId w:val="15"/>
        </w:numPr>
        <w:tabs>
          <w:tab w:pos="456" w:val="left" w:leader="none"/>
        </w:tabs>
        <w:spacing w:line="240" w:lineRule="auto" w:before="0" w:after="0"/>
        <w:ind w:left="455" w:right="0" w:hanging="336"/>
        <w:jc w:val="both"/>
      </w:pPr>
      <w:bookmarkStart w:name="_bookmark32" w:id="56"/>
      <w:bookmarkEnd w:id="56"/>
      <w:r>
        <w:rPr>
          <w:b w:val="0"/>
        </w:rPr>
      </w:r>
      <w:bookmarkStart w:name="_bookmark32" w:id="57"/>
      <w:bookmarkEnd w:id="57"/>
      <w:r>
        <w:rPr/>
        <w:t>C</w:t>
      </w:r>
      <w:r>
        <w:rPr/>
        <w:t>lasificación de los procesos por remoción en</w:t>
      </w:r>
      <w:r>
        <w:rPr>
          <w:spacing w:val="-24"/>
        </w:rPr>
        <w:t> </w:t>
      </w:r>
      <w:r>
        <w:rPr/>
        <w:t>masa</w:t>
      </w:r>
    </w:p>
    <w:p>
      <w:pPr>
        <w:pStyle w:val="BodyText"/>
        <w:rPr>
          <w:b/>
        </w:rPr>
      </w:pPr>
    </w:p>
    <w:p>
      <w:pPr>
        <w:pStyle w:val="BodyText"/>
        <w:rPr>
          <w:b/>
          <w:sz w:val="19"/>
        </w:rPr>
      </w:pPr>
    </w:p>
    <w:p>
      <w:pPr>
        <w:pStyle w:val="BodyText"/>
        <w:spacing w:line="360" w:lineRule="auto" w:before="1"/>
        <w:ind w:left="119" w:right="115"/>
        <w:jc w:val="both"/>
      </w:pPr>
      <w:r>
        <w:rPr/>
        <w:t>La clasificación realizada por el CEELAT para determinar las causas o detonantes </w:t>
      </w:r>
      <w:r>
        <w:rPr>
          <w:spacing w:val="-2"/>
        </w:rPr>
        <w:t>más </w:t>
      </w:r>
      <w:r>
        <w:rPr/>
        <w:t>comunes  que generan un proceso de remoción en masa contempla cinco aspectos: 1) </w:t>
      </w:r>
      <w:r>
        <w:rPr>
          <w:b/>
          <w:i/>
        </w:rPr>
        <w:t>procesos litológicos</w:t>
      </w:r>
      <w:r>
        <w:rPr/>
        <w:t>, donde </w:t>
      </w:r>
      <w:r>
        <w:rPr>
          <w:spacing w:val="2"/>
        </w:rPr>
        <w:t>se </w:t>
      </w:r>
      <w:r>
        <w:rPr/>
        <w:t>presentan materiales con baja cohesión o poco consolidados; 2) </w:t>
      </w:r>
      <w:r>
        <w:rPr>
          <w:b/>
          <w:i/>
        </w:rPr>
        <w:t>procesos topográficos</w:t>
      </w:r>
      <w:r>
        <w:rPr/>
        <w:t>, zonas con pendientes muy pronunciadas donde </w:t>
      </w:r>
      <w:r>
        <w:rPr>
          <w:spacing w:val="2"/>
        </w:rPr>
        <w:t>se </w:t>
      </w:r>
      <w:r>
        <w:rPr/>
        <w:t>supera el ángulo de reposo de un material; 3) </w:t>
      </w:r>
      <w:r>
        <w:rPr>
          <w:b/>
          <w:i/>
        </w:rPr>
        <w:t>procesos climáticos</w:t>
      </w:r>
      <w:r>
        <w:rPr/>
        <w:t>, cuando existen precipitaciones frecuentes o </w:t>
      </w:r>
      <w:r>
        <w:rPr>
          <w:spacing w:val="4"/>
        </w:rPr>
        <w:t>un </w:t>
      </w:r>
      <w:r>
        <w:rPr/>
        <w:t>régimen de lluvias elevado; 4) </w:t>
      </w:r>
      <w:r>
        <w:rPr>
          <w:b/>
          <w:i/>
        </w:rPr>
        <w:t>procesos tectónicos</w:t>
      </w:r>
      <w:r>
        <w:rPr/>
        <w:t>, cuando intervienen las ondas sísmicas en los movimientos del terreno </w:t>
      </w:r>
      <w:r>
        <w:rPr>
          <w:spacing w:val="-3"/>
        </w:rPr>
        <w:t>y; </w:t>
      </w:r>
      <w:r>
        <w:rPr/>
        <w:t>5) </w:t>
      </w:r>
      <w:r>
        <w:rPr>
          <w:b/>
          <w:i/>
        </w:rPr>
        <w:t>procesos antrópicos</w:t>
      </w:r>
      <w:r>
        <w:rPr>
          <w:i/>
        </w:rPr>
        <w:t>, </w:t>
      </w:r>
      <w:r>
        <w:rPr/>
        <w:t>que se refieren a la acción del hombre sobre el medio ambiente, por ejemplo, generando deforestación en una zona de ladera o incendios forestales que desestabilicen una pendiente.</w:t>
      </w:r>
    </w:p>
    <w:p>
      <w:pPr>
        <w:spacing w:after="0" w:line="360" w:lineRule="auto"/>
        <w:jc w:val="both"/>
        <w:sectPr>
          <w:pgSz w:w="12240" w:h="15840"/>
          <w:pgMar w:top="1360" w:bottom="280" w:left="1580" w:right="1580"/>
        </w:sectPr>
      </w:pPr>
    </w:p>
    <w:p>
      <w:pPr>
        <w:pStyle w:val="BodyText"/>
        <w:spacing w:line="360" w:lineRule="auto" w:before="52"/>
        <w:ind w:left="119" w:right="116"/>
        <w:jc w:val="both"/>
      </w:pPr>
      <w:r>
        <w:rPr/>
        <w:t>Según diferentes autores (Sheng, 1966; Way, 1973; Skinner y Porter 1987) existen una serie de variables sobre las causas inmediatas </w:t>
      </w:r>
      <w:r>
        <w:rPr>
          <w:spacing w:val="-3"/>
        </w:rPr>
        <w:t>de </w:t>
      </w:r>
      <w:r>
        <w:rPr/>
        <w:t>los movimientos en masa, así como las condiciones que inducen a </w:t>
      </w:r>
      <w:r>
        <w:rPr>
          <w:spacing w:val="-3"/>
        </w:rPr>
        <w:t>estos  </w:t>
      </w:r>
      <w:r>
        <w:rPr/>
        <w:t>movimientos y los principales tipos de movimiento en masa y sus características.  De acuerdo con Sheng (1966) las causas inmediatas </w:t>
      </w:r>
      <w:r>
        <w:rPr>
          <w:spacing w:val="-3"/>
        </w:rPr>
        <w:t>de </w:t>
      </w:r>
      <w:r>
        <w:rPr/>
        <w:t>movimientos de masa</w:t>
      </w:r>
      <w:r>
        <w:rPr>
          <w:spacing w:val="-10"/>
        </w:rPr>
        <w:t> </w:t>
      </w:r>
      <w:r>
        <w:rPr>
          <w:spacing w:val="-3"/>
        </w:rPr>
        <w:t>son:</w:t>
      </w:r>
    </w:p>
    <w:p>
      <w:pPr>
        <w:pStyle w:val="BodyText"/>
      </w:pPr>
    </w:p>
    <w:p>
      <w:pPr>
        <w:pStyle w:val="BodyText"/>
      </w:pPr>
    </w:p>
    <w:p>
      <w:pPr>
        <w:pStyle w:val="BodyText"/>
        <w:spacing w:before="4"/>
        <w:rPr>
          <w:sz w:val="17"/>
        </w:rPr>
      </w:pPr>
    </w:p>
    <w:p>
      <w:pPr>
        <w:pStyle w:val="ListParagraph"/>
        <w:numPr>
          <w:ilvl w:val="0"/>
          <w:numId w:val="17"/>
        </w:numPr>
        <w:tabs>
          <w:tab w:pos="840" w:val="left" w:leader="none"/>
          <w:tab w:pos="841" w:val="left" w:leader="none"/>
        </w:tabs>
        <w:spacing w:line="240" w:lineRule="auto" w:before="0" w:after="0"/>
        <w:ind w:left="840" w:right="0" w:hanging="360"/>
        <w:jc w:val="left"/>
        <w:rPr>
          <w:sz w:val="22"/>
        </w:rPr>
      </w:pPr>
      <w:r>
        <w:rPr>
          <w:sz w:val="22"/>
        </w:rPr>
        <w:t>Concentración de aguas </w:t>
      </w:r>
      <w:r>
        <w:rPr>
          <w:spacing w:val="-3"/>
          <w:sz w:val="22"/>
        </w:rPr>
        <w:t>de</w:t>
      </w:r>
      <w:r>
        <w:rPr>
          <w:spacing w:val="-10"/>
          <w:sz w:val="22"/>
        </w:rPr>
        <w:t> </w:t>
      </w:r>
      <w:r>
        <w:rPr>
          <w:sz w:val="22"/>
        </w:rPr>
        <w:t>lluvia</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Escurrimientos</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Descalces o desmontes por las corrientes de</w:t>
      </w:r>
      <w:r>
        <w:rPr>
          <w:spacing w:val="-19"/>
          <w:sz w:val="22"/>
        </w:rPr>
        <w:t> </w:t>
      </w:r>
      <w:r>
        <w:rPr>
          <w:sz w:val="22"/>
        </w:rPr>
        <w:t>agua</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Excavaciones artificiales (canteras,</w:t>
      </w:r>
      <w:r>
        <w:rPr>
          <w:spacing w:val="-16"/>
          <w:sz w:val="22"/>
        </w:rPr>
        <w:t> </w:t>
      </w:r>
      <w:r>
        <w:rPr>
          <w:sz w:val="22"/>
        </w:rPr>
        <w:t>carreteras…)</w:t>
      </w:r>
    </w:p>
    <w:p>
      <w:pPr>
        <w:pStyle w:val="ListParagraph"/>
        <w:numPr>
          <w:ilvl w:val="0"/>
          <w:numId w:val="17"/>
        </w:numPr>
        <w:tabs>
          <w:tab w:pos="840" w:val="left" w:leader="none"/>
          <w:tab w:pos="841" w:val="left" w:leader="none"/>
        </w:tabs>
        <w:spacing w:line="240" w:lineRule="auto" w:before="127" w:after="0"/>
        <w:ind w:left="840" w:right="0" w:hanging="360"/>
        <w:jc w:val="left"/>
        <w:rPr>
          <w:sz w:val="22"/>
        </w:rPr>
      </w:pPr>
      <w:r>
        <w:rPr>
          <w:sz w:val="22"/>
        </w:rPr>
        <w:t>Cultivos en</w:t>
      </w:r>
      <w:r>
        <w:rPr>
          <w:spacing w:val="-10"/>
          <w:sz w:val="22"/>
        </w:rPr>
        <w:t> </w:t>
      </w:r>
      <w:r>
        <w:rPr>
          <w:sz w:val="22"/>
        </w:rPr>
        <w:t>pendiente</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Proceso</w:t>
      </w:r>
      <w:r>
        <w:rPr>
          <w:spacing w:val="-7"/>
          <w:sz w:val="22"/>
        </w:rPr>
        <w:t> </w:t>
      </w:r>
      <w:r>
        <w:rPr>
          <w:sz w:val="22"/>
        </w:rPr>
        <w:t>geológico</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Combinaciones de las causas</w:t>
      </w:r>
      <w:r>
        <w:rPr>
          <w:spacing w:val="-20"/>
          <w:sz w:val="22"/>
        </w:rPr>
        <w:t> </w:t>
      </w:r>
      <w:r>
        <w:rPr>
          <w:sz w:val="22"/>
        </w:rPr>
        <w:t>anteriores</w:t>
      </w:r>
    </w:p>
    <w:p>
      <w:pPr>
        <w:pStyle w:val="BodyText"/>
      </w:pPr>
    </w:p>
    <w:p>
      <w:pPr>
        <w:pStyle w:val="BodyText"/>
      </w:pPr>
    </w:p>
    <w:p>
      <w:pPr>
        <w:pStyle w:val="BodyText"/>
        <w:spacing w:line="360" w:lineRule="auto" w:before="163"/>
        <w:ind w:left="119" w:right="128"/>
        <w:jc w:val="both"/>
      </w:pPr>
      <w:r>
        <w:rPr/>
        <w:t>Por otro lado, Way (1973) señala que las condiciones que inducen la susceptibilidad al movimiento en masa son:</w:t>
      </w:r>
    </w:p>
    <w:p>
      <w:pPr>
        <w:pStyle w:val="ListParagraph"/>
        <w:numPr>
          <w:ilvl w:val="0"/>
          <w:numId w:val="17"/>
        </w:numPr>
        <w:tabs>
          <w:tab w:pos="840" w:val="left" w:leader="none"/>
          <w:tab w:pos="841" w:val="left" w:leader="none"/>
        </w:tabs>
        <w:spacing w:line="240" w:lineRule="auto" w:before="163" w:after="0"/>
        <w:ind w:left="840" w:right="0" w:hanging="360"/>
        <w:jc w:val="left"/>
        <w:rPr>
          <w:sz w:val="22"/>
        </w:rPr>
      </w:pPr>
      <w:r>
        <w:rPr>
          <w:sz w:val="22"/>
        </w:rPr>
        <w:t>Suelos arcillosos, cohesivos y saturados de</w:t>
      </w:r>
      <w:r>
        <w:rPr>
          <w:spacing w:val="-24"/>
          <w:sz w:val="22"/>
        </w:rPr>
        <w:t> </w:t>
      </w:r>
      <w:r>
        <w:rPr>
          <w:sz w:val="22"/>
        </w:rPr>
        <w:t>agua</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Suelos sueltos con estructura particular y baja resistencia al corte o</w:t>
      </w:r>
      <w:r>
        <w:rPr>
          <w:spacing w:val="-31"/>
          <w:sz w:val="22"/>
        </w:rPr>
        <w:t> </w:t>
      </w:r>
      <w:r>
        <w:rPr>
          <w:sz w:val="22"/>
        </w:rPr>
        <w:t>cizalladura</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Rocas sedimentarias alternadas con estratos paralelos a la pendiente de las</w:t>
      </w:r>
      <w:r>
        <w:rPr>
          <w:spacing w:val="-29"/>
          <w:sz w:val="22"/>
        </w:rPr>
        <w:t> </w:t>
      </w:r>
      <w:r>
        <w:rPr>
          <w:sz w:val="22"/>
        </w:rPr>
        <w:t>laderas</w:t>
      </w:r>
    </w:p>
    <w:p>
      <w:pPr>
        <w:pStyle w:val="ListParagraph"/>
        <w:numPr>
          <w:ilvl w:val="0"/>
          <w:numId w:val="17"/>
        </w:numPr>
        <w:tabs>
          <w:tab w:pos="840" w:val="left" w:leader="none"/>
          <w:tab w:pos="841" w:val="left" w:leader="none"/>
        </w:tabs>
        <w:spacing w:line="360" w:lineRule="auto" w:before="131" w:after="0"/>
        <w:ind w:left="840" w:right="127" w:hanging="360"/>
        <w:jc w:val="left"/>
        <w:rPr>
          <w:sz w:val="22"/>
        </w:rPr>
      </w:pPr>
      <w:r>
        <w:rPr>
          <w:sz w:val="22"/>
        </w:rPr>
        <w:t>Rocas metamórficas de estructura muy esquistosa y con planos de exfoliación paralelos a la pendiente de las</w:t>
      </w:r>
      <w:r>
        <w:rPr>
          <w:spacing w:val="-7"/>
          <w:sz w:val="22"/>
        </w:rPr>
        <w:t> </w:t>
      </w:r>
      <w:r>
        <w:rPr>
          <w:sz w:val="22"/>
        </w:rPr>
        <w:t>laderas</w:t>
      </w:r>
    </w:p>
    <w:p>
      <w:pPr>
        <w:pStyle w:val="ListParagraph"/>
        <w:numPr>
          <w:ilvl w:val="0"/>
          <w:numId w:val="17"/>
        </w:numPr>
        <w:tabs>
          <w:tab w:pos="840" w:val="left" w:leader="none"/>
          <w:tab w:pos="841" w:val="left" w:leader="none"/>
        </w:tabs>
        <w:spacing w:line="240" w:lineRule="auto" w:before="4" w:after="0"/>
        <w:ind w:left="840" w:right="0" w:hanging="360"/>
        <w:jc w:val="left"/>
        <w:rPr>
          <w:sz w:val="22"/>
        </w:rPr>
      </w:pPr>
      <w:r>
        <w:rPr>
          <w:sz w:val="22"/>
        </w:rPr>
        <w:t>Rocas ígneas o metamórficas muy alternadas o</w:t>
      </w:r>
      <w:r>
        <w:rPr>
          <w:spacing w:val="-24"/>
          <w:sz w:val="22"/>
        </w:rPr>
        <w:t> </w:t>
      </w:r>
      <w:r>
        <w:rPr>
          <w:sz w:val="22"/>
        </w:rPr>
        <w:t>descompuestas</w:t>
      </w:r>
    </w:p>
    <w:p>
      <w:pPr>
        <w:pStyle w:val="ListParagraph"/>
        <w:numPr>
          <w:ilvl w:val="0"/>
          <w:numId w:val="17"/>
        </w:numPr>
        <w:tabs>
          <w:tab w:pos="840" w:val="left" w:leader="none"/>
          <w:tab w:pos="841" w:val="left" w:leader="none"/>
        </w:tabs>
        <w:spacing w:line="240" w:lineRule="auto" w:before="127" w:after="0"/>
        <w:ind w:left="840" w:right="0" w:hanging="360"/>
        <w:jc w:val="left"/>
        <w:rPr>
          <w:sz w:val="22"/>
        </w:rPr>
      </w:pPr>
      <w:r>
        <w:rPr>
          <w:sz w:val="22"/>
        </w:rPr>
        <w:t>Existencia de fallas o fracturas paralelas o interceptando las</w:t>
      </w:r>
      <w:r>
        <w:rPr>
          <w:spacing w:val="-33"/>
          <w:sz w:val="22"/>
        </w:rPr>
        <w:t> </w:t>
      </w:r>
      <w:r>
        <w:rPr>
          <w:sz w:val="22"/>
        </w:rPr>
        <w:t>pendientes</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Materiales intercalados o alternantes de diferente resistencia o</w:t>
      </w:r>
      <w:r>
        <w:rPr>
          <w:spacing w:val="-26"/>
          <w:sz w:val="22"/>
        </w:rPr>
        <w:t> </w:t>
      </w:r>
      <w:r>
        <w:rPr>
          <w:sz w:val="22"/>
        </w:rPr>
        <w:t>permeabilidad</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Existencia de fuerte escorrentía a lo largo de las</w:t>
      </w:r>
      <w:r>
        <w:rPr>
          <w:spacing w:val="-18"/>
          <w:sz w:val="22"/>
        </w:rPr>
        <w:t> </w:t>
      </w:r>
      <w:r>
        <w:rPr>
          <w:sz w:val="22"/>
        </w:rPr>
        <w:t>laderas</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Suelos de</w:t>
      </w:r>
      <w:r>
        <w:rPr>
          <w:spacing w:val="-7"/>
          <w:sz w:val="22"/>
        </w:rPr>
        <w:t> </w:t>
      </w:r>
      <w:r>
        <w:rPr>
          <w:sz w:val="22"/>
        </w:rPr>
        <w:t>coluvión</w:t>
      </w:r>
    </w:p>
    <w:p>
      <w:pPr>
        <w:pStyle w:val="ListParagraph"/>
        <w:numPr>
          <w:ilvl w:val="0"/>
          <w:numId w:val="17"/>
        </w:numPr>
        <w:tabs>
          <w:tab w:pos="840" w:val="left" w:leader="none"/>
          <w:tab w:pos="841" w:val="left" w:leader="none"/>
        </w:tabs>
        <w:spacing w:line="240" w:lineRule="auto" w:before="126" w:after="0"/>
        <w:ind w:left="840" w:right="0" w:hanging="360"/>
        <w:jc w:val="left"/>
        <w:rPr>
          <w:sz w:val="22"/>
        </w:rPr>
      </w:pPr>
      <w:r>
        <w:rPr>
          <w:sz w:val="22"/>
        </w:rPr>
        <w:t>Existencia de alternancias rápidas </w:t>
      </w:r>
      <w:r>
        <w:rPr>
          <w:spacing w:val="-4"/>
          <w:sz w:val="22"/>
        </w:rPr>
        <w:t>en </w:t>
      </w:r>
      <w:r>
        <w:rPr>
          <w:sz w:val="22"/>
        </w:rPr>
        <w:t>el nivel de las capas</w:t>
      </w:r>
      <w:r>
        <w:rPr>
          <w:spacing w:val="-15"/>
          <w:sz w:val="22"/>
        </w:rPr>
        <w:t> </w:t>
      </w:r>
      <w:r>
        <w:rPr>
          <w:sz w:val="22"/>
        </w:rPr>
        <w:t>freáticas</w:t>
      </w:r>
    </w:p>
    <w:p>
      <w:pPr>
        <w:pStyle w:val="BodyText"/>
      </w:pPr>
    </w:p>
    <w:p>
      <w:pPr>
        <w:pStyle w:val="BodyText"/>
      </w:pPr>
    </w:p>
    <w:p>
      <w:pPr>
        <w:pStyle w:val="BodyText"/>
        <w:spacing w:line="360" w:lineRule="auto" w:before="158"/>
        <w:ind w:left="119" w:right="121"/>
        <w:jc w:val="both"/>
      </w:pPr>
      <w:r>
        <w:rPr/>
        <w:t>Finalmente, Skinner y Porter (1987) consideran que entre los principales tipos de movimiento en masa y sus características se encuentran:</w:t>
      </w:r>
    </w:p>
    <w:p>
      <w:pPr>
        <w:spacing w:after="0" w:line="360" w:lineRule="auto"/>
        <w:jc w:val="both"/>
        <w:sectPr>
          <w:pgSz w:w="12240" w:h="15840"/>
          <w:pgMar w:top="1360" w:bottom="280" w:left="1580" w:right="1580"/>
        </w:sectPr>
      </w:pPr>
    </w:p>
    <w:p>
      <w:pPr>
        <w:pStyle w:val="ListParagraph"/>
        <w:numPr>
          <w:ilvl w:val="0"/>
          <w:numId w:val="17"/>
        </w:numPr>
        <w:tabs>
          <w:tab w:pos="841" w:val="left" w:leader="none"/>
        </w:tabs>
        <w:spacing w:line="360" w:lineRule="auto" w:before="52" w:after="0"/>
        <w:ind w:left="840" w:right="129" w:hanging="360"/>
        <w:jc w:val="both"/>
        <w:rPr>
          <w:sz w:val="22"/>
        </w:rPr>
      </w:pPr>
      <w:r>
        <w:rPr>
          <w:i/>
          <w:sz w:val="22"/>
        </w:rPr>
        <w:t>Caída</w:t>
      </w:r>
      <w:r>
        <w:rPr>
          <w:sz w:val="22"/>
        </w:rPr>
        <w:t>: </w:t>
      </w:r>
      <w:r>
        <w:rPr>
          <w:spacing w:val="-4"/>
          <w:sz w:val="22"/>
        </w:rPr>
        <w:t>es </w:t>
      </w:r>
      <w:r>
        <w:rPr>
          <w:sz w:val="22"/>
        </w:rPr>
        <w:t>un proceso muy rápido, incluso instantáneo, de caída libre de material individualizado, favorecido</w:t>
      </w:r>
      <w:r>
        <w:rPr>
          <w:spacing w:val="-7"/>
          <w:sz w:val="22"/>
        </w:rPr>
        <w:t> </w:t>
      </w:r>
      <w:r>
        <w:rPr>
          <w:sz w:val="22"/>
        </w:rPr>
        <w:t>por</w:t>
      </w:r>
      <w:r>
        <w:rPr>
          <w:spacing w:val="1"/>
          <w:sz w:val="22"/>
        </w:rPr>
        <w:t> </w:t>
      </w:r>
      <w:r>
        <w:rPr>
          <w:sz w:val="22"/>
        </w:rPr>
        <w:t>fracturas,</w:t>
      </w:r>
      <w:r>
        <w:rPr>
          <w:spacing w:val="-9"/>
          <w:sz w:val="22"/>
        </w:rPr>
        <w:t> </w:t>
      </w:r>
      <w:r>
        <w:rPr>
          <w:sz w:val="22"/>
        </w:rPr>
        <w:t>así</w:t>
      </w:r>
      <w:r>
        <w:rPr>
          <w:spacing w:val="-5"/>
          <w:sz w:val="22"/>
        </w:rPr>
        <w:t> </w:t>
      </w:r>
      <w:r>
        <w:rPr>
          <w:sz w:val="22"/>
        </w:rPr>
        <w:t>como</w:t>
      </w:r>
      <w:r>
        <w:rPr>
          <w:spacing w:val="-7"/>
          <w:sz w:val="22"/>
        </w:rPr>
        <w:t> </w:t>
      </w:r>
      <w:r>
        <w:rPr>
          <w:sz w:val="22"/>
        </w:rPr>
        <w:t>por</w:t>
      </w:r>
      <w:r>
        <w:rPr>
          <w:spacing w:val="-4"/>
          <w:sz w:val="22"/>
        </w:rPr>
        <w:t> </w:t>
      </w:r>
      <w:r>
        <w:rPr>
          <w:sz w:val="22"/>
        </w:rPr>
        <w:t>la</w:t>
      </w:r>
      <w:r>
        <w:rPr>
          <w:spacing w:val="1"/>
          <w:sz w:val="22"/>
        </w:rPr>
        <w:t> </w:t>
      </w:r>
      <w:r>
        <w:rPr>
          <w:sz w:val="22"/>
        </w:rPr>
        <w:t>pérdida</w:t>
      </w:r>
      <w:r>
        <w:rPr>
          <w:spacing w:val="1"/>
          <w:sz w:val="22"/>
        </w:rPr>
        <w:t> </w:t>
      </w:r>
      <w:r>
        <w:rPr>
          <w:sz w:val="22"/>
        </w:rPr>
        <w:t>de</w:t>
      </w:r>
      <w:r>
        <w:rPr>
          <w:spacing w:val="-9"/>
          <w:sz w:val="22"/>
        </w:rPr>
        <w:t> </w:t>
      </w:r>
      <w:r>
        <w:rPr>
          <w:sz w:val="22"/>
        </w:rPr>
        <w:t>base</w:t>
      </w:r>
      <w:r>
        <w:rPr>
          <w:spacing w:val="-8"/>
          <w:sz w:val="22"/>
        </w:rPr>
        <w:t> </w:t>
      </w:r>
      <w:r>
        <w:rPr>
          <w:sz w:val="22"/>
        </w:rPr>
        <w:t>por</w:t>
      </w:r>
      <w:r>
        <w:rPr>
          <w:spacing w:val="1"/>
          <w:sz w:val="22"/>
        </w:rPr>
        <w:t> </w:t>
      </w:r>
      <w:r>
        <w:rPr>
          <w:sz w:val="22"/>
        </w:rPr>
        <w:t>zapamiento.</w:t>
      </w:r>
    </w:p>
    <w:p>
      <w:pPr>
        <w:pStyle w:val="ListParagraph"/>
        <w:numPr>
          <w:ilvl w:val="0"/>
          <w:numId w:val="17"/>
        </w:numPr>
        <w:tabs>
          <w:tab w:pos="841" w:val="left" w:leader="none"/>
        </w:tabs>
        <w:spacing w:line="360" w:lineRule="auto" w:before="5" w:after="0"/>
        <w:ind w:left="840" w:right="123" w:hanging="360"/>
        <w:jc w:val="both"/>
        <w:rPr>
          <w:sz w:val="22"/>
        </w:rPr>
      </w:pPr>
      <w:r>
        <w:rPr>
          <w:i/>
          <w:sz w:val="22"/>
        </w:rPr>
        <w:t>Avalancha</w:t>
      </w:r>
      <w:r>
        <w:rPr>
          <w:sz w:val="22"/>
        </w:rPr>
        <w:t>: movimiento muy rápido, de una masa de roca o derrubios acompañada de grandes cantidades de nieve o hielo, a favor de pendientes muy fuertes, cuando </w:t>
      </w:r>
      <w:r>
        <w:rPr>
          <w:spacing w:val="2"/>
          <w:sz w:val="22"/>
        </w:rPr>
        <w:t>se </w:t>
      </w:r>
      <w:r>
        <w:rPr>
          <w:spacing w:val="-3"/>
          <w:sz w:val="22"/>
        </w:rPr>
        <w:t>ha </w:t>
      </w:r>
      <w:r>
        <w:rPr>
          <w:sz w:val="22"/>
        </w:rPr>
        <w:t>acumulado una excesiva cantidad de materiales. El movimiento </w:t>
      </w:r>
      <w:r>
        <w:rPr>
          <w:spacing w:val="2"/>
          <w:sz w:val="22"/>
        </w:rPr>
        <w:t>se </w:t>
      </w:r>
      <w:r>
        <w:rPr>
          <w:sz w:val="22"/>
        </w:rPr>
        <w:t>acelera por la inclusión de aire y agua que disminuyen los rozamientos entre partículas de la</w:t>
      </w:r>
      <w:r>
        <w:rPr>
          <w:spacing w:val="-24"/>
          <w:sz w:val="22"/>
        </w:rPr>
        <w:t> </w:t>
      </w:r>
      <w:r>
        <w:rPr>
          <w:sz w:val="22"/>
        </w:rPr>
        <w:t>masa.</w:t>
      </w:r>
    </w:p>
    <w:p>
      <w:pPr>
        <w:pStyle w:val="ListParagraph"/>
        <w:numPr>
          <w:ilvl w:val="0"/>
          <w:numId w:val="17"/>
        </w:numPr>
        <w:tabs>
          <w:tab w:pos="841" w:val="left" w:leader="none"/>
        </w:tabs>
        <w:spacing w:line="360" w:lineRule="auto" w:before="9" w:after="0"/>
        <w:ind w:left="840" w:right="124" w:hanging="360"/>
        <w:jc w:val="both"/>
        <w:rPr>
          <w:sz w:val="22"/>
        </w:rPr>
      </w:pPr>
      <w:r>
        <w:rPr>
          <w:i/>
          <w:sz w:val="22"/>
        </w:rPr>
        <w:t>Deslizamiento</w:t>
      </w:r>
      <w:r>
        <w:rPr>
          <w:sz w:val="22"/>
        </w:rPr>
        <w:t>: movimiento rápido de una gran masa </w:t>
      </w:r>
      <w:r>
        <w:rPr>
          <w:spacing w:val="-3"/>
          <w:sz w:val="22"/>
        </w:rPr>
        <w:t>de </w:t>
      </w:r>
      <w:r>
        <w:rPr>
          <w:sz w:val="22"/>
        </w:rPr>
        <w:t>tierra y roca individualizada que </w:t>
      </w:r>
      <w:r>
        <w:rPr>
          <w:spacing w:val="2"/>
          <w:sz w:val="22"/>
        </w:rPr>
        <w:t>se </w:t>
      </w:r>
      <w:r>
        <w:rPr>
          <w:sz w:val="22"/>
        </w:rPr>
        <w:t>desplaza por la pendiente resbalando sobre la superficie soporte manteniendo sus constantes geométricas.</w:t>
      </w:r>
    </w:p>
    <w:p>
      <w:pPr>
        <w:pStyle w:val="ListParagraph"/>
        <w:numPr>
          <w:ilvl w:val="0"/>
          <w:numId w:val="17"/>
        </w:numPr>
        <w:tabs>
          <w:tab w:pos="841" w:val="left" w:leader="none"/>
        </w:tabs>
        <w:spacing w:line="360" w:lineRule="auto" w:before="4" w:after="0"/>
        <w:ind w:left="840" w:right="130" w:hanging="360"/>
        <w:jc w:val="both"/>
        <w:rPr>
          <w:sz w:val="22"/>
        </w:rPr>
      </w:pPr>
      <w:r>
        <w:rPr>
          <w:i/>
          <w:sz w:val="22"/>
        </w:rPr>
        <w:t>Flujo</w:t>
      </w:r>
      <w:r>
        <w:rPr>
          <w:sz w:val="22"/>
        </w:rPr>
        <w:t>: movimiento </w:t>
      </w:r>
      <w:r>
        <w:rPr>
          <w:spacing w:val="-2"/>
          <w:sz w:val="22"/>
        </w:rPr>
        <w:t>más </w:t>
      </w:r>
      <w:r>
        <w:rPr>
          <w:sz w:val="22"/>
        </w:rPr>
        <w:t>o </w:t>
      </w:r>
      <w:r>
        <w:rPr>
          <w:spacing w:val="-3"/>
          <w:sz w:val="22"/>
        </w:rPr>
        <w:t>menos </w:t>
      </w:r>
      <w:r>
        <w:rPr>
          <w:sz w:val="22"/>
        </w:rPr>
        <w:t>rápido de masa rocosa </w:t>
      </w:r>
      <w:r>
        <w:rPr>
          <w:spacing w:val="-3"/>
          <w:sz w:val="22"/>
        </w:rPr>
        <w:t>no </w:t>
      </w:r>
      <w:r>
        <w:rPr>
          <w:sz w:val="22"/>
        </w:rPr>
        <w:t>consolidada de granulometría fina. La saturación de agua puede provocar que </w:t>
      </w:r>
      <w:r>
        <w:rPr>
          <w:spacing w:val="2"/>
          <w:sz w:val="22"/>
        </w:rPr>
        <w:t>se </w:t>
      </w:r>
      <w:r>
        <w:rPr>
          <w:sz w:val="22"/>
        </w:rPr>
        <w:t>comporte como un fluido de alta viscosidad, haciéndose </w:t>
      </w:r>
      <w:r>
        <w:rPr>
          <w:spacing w:val="-4"/>
          <w:sz w:val="22"/>
        </w:rPr>
        <w:t>más </w:t>
      </w:r>
      <w:r>
        <w:rPr>
          <w:sz w:val="22"/>
        </w:rPr>
        <w:t>espeso generalmente al final de su</w:t>
      </w:r>
      <w:r>
        <w:rPr>
          <w:spacing w:val="-15"/>
          <w:sz w:val="22"/>
        </w:rPr>
        <w:t> </w:t>
      </w:r>
      <w:r>
        <w:rPr>
          <w:sz w:val="22"/>
        </w:rPr>
        <w:t>recorrido.</w:t>
      </w:r>
    </w:p>
    <w:p>
      <w:pPr>
        <w:pStyle w:val="ListParagraph"/>
        <w:numPr>
          <w:ilvl w:val="0"/>
          <w:numId w:val="17"/>
        </w:numPr>
        <w:tabs>
          <w:tab w:pos="841" w:val="left" w:leader="none"/>
        </w:tabs>
        <w:spacing w:line="360" w:lineRule="auto" w:before="4" w:after="0"/>
        <w:ind w:left="840" w:right="124" w:hanging="360"/>
        <w:jc w:val="both"/>
        <w:rPr>
          <w:sz w:val="22"/>
        </w:rPr>
      </w:pPr>
      <w:r>
        <w:rPr>
          <w:i/>
          <w:sz w:val="22"/>
        </w:rPr>
        <w:t>Movimientos complejos</w:t>
      </w:r>
      <w:r>
        <w:rPr>
          <w:sz w:val="22"/>
        </w:rPr>
        <w:t>: a menudo los distintos tipos de movimientos gravitacionales tienen lugar asociados. </w:t>
      </w:r>
      <w:r>
        <w:rPr>
          <w:spacing w:val="-3"/>
          <w:sz w:val="22"/>
        </w:rPr>
        <w:t>Una </w:t>
      </w:r>
      <w:r>
        <w:rPr>
          <w:sz w:val="22"/>
        </w:rPr>
        <w:t>asociación característica </w:t>
      </w:r>
      <w:r>
        <w:rPr>
          <w:spacing w:val="-4"/>
          <w:sz w:val="22"/>
        </w:rPr>
        <w:t>es </w:t>
      </w:r>
      <w:r>
        <w:rPr>
          <w:sz w:val="22"/>
        </w:rPr>
        <w:t>la que </w:t>
      </w:r>
      <w:r>
        <w:rPr>
          <w:spacing w:val="2"/>
          <w:sz w:val="22"/>
        </w:rPr>
        <w:t>se </w:t>
      </w:r>
      <w:r>
        <w:rPr>
          <w:sz w:val="22"/>
        </w:rPr>
        <w:t>produce entre deslizamientos y flujos: por lo general, el movimiento </w:t>
      </w:r>
      <w:r>
        <w:rPr>
          <w:spacing w:val="2"/>
          <w:sz w:val="22"/>
        </w:rPr>
        <w:t>se </w:t>
      </w:r>
      <w:r>
        <w:rPr>
          <w:sz w:val="22"/>
        </w:rPr>
        <w:t>inicia en cabecera con un deslizamiento rotacional; sin embargo, </w:t>
      </w:r>
      <w:r>
        <w:rPr>
          <w:spacing w:val="-4"/>
          <w:sz w:val="22"/>
        </w:rPr>
        <w:t>en </w:t>
      </w:r>
      <w:r>
        <w:rPr>
          <w:sz w:val="22"/>
        </w:rPr>
        <w:t>la zona inferior </w:t>
      </w:r>
      <w:r>
        <w:rPr>
          <w:spacing w:val="-4"/>
          <w:sz w:val="22"/>
        </w:rPr>
        <w:t>el </w:t>
      </w:r>
      <w:r>
        <w:rPr>
          <w:sz w:val="22"/>
        </w:rPr>
        <w:t>material adquiere un movimiento de tipo</w:t>
      </w:r>
      <w:r>
        <w:rPr>
          <w:spacing w:val="-15"/>
          <w:sz w:val="22"/>
        </w:rPr>
        <w:t> </w:t>
      </w:r>
      <w:r>
        <w:rPr>
          <w:sz w:val="22"/>
        </w:rPr>
        <w:t>flujo.</w:t>
      </w:r>
    </w:p>
    <w:p>
      <w:pPr>
        <w:pStyle w:val="BodyText"/>
      </w:pPr>
    </w:p>
    <w:p>
      <w:pPr>
        <w:pStyle w:val="BodyText"/>
        <w:spacing w:before="1"/>
        <w:rPr>
          <w:sz w:val="25"/>
        </w:rPr>
      </w:pPr>
    </w:p>
    <w:p>
      <w:pPr>
        <w:pStyle w:val="BodyText"/>
        <w:spacing w:line="360" w:lineRule="auto"/>
        <w:ind w:left="119" w:right="117"/>
        <w:jc w:val="both"/>
      </w:pPr>
      <w:r>
        <w:rPr/>
        <w:t>La información anterior </w:t>
      </w:r>
      <w:r>
        <w:rPr>
          <w:spacing w:val="-3"/>
        </w:rPr>
        <w:t>ha </w:t>
      </w:r>
      <w:r>
        <w:rPr/>
        <w:t>sido sustraída de la </w:t>
      </w:r>
      <w:r>
        <w:rPr>
          <w:i/>
        </w:rPr>
        <w:t>Guía para la elaboración de estudios del medio </w:t>
      </w:r>
      <w:r>
        <w:rPr>
          <w:i/>
        </w:rPr>
        <w:t>físico (</w:t>
      </w:r>
      <w:r>
        <w:rPr/>
        <w:t>Aguilo, 2004) y permitió reconocer los aspectos esenciales en el estudio de la remoción en masa o movimiento en masa. Las causas asociadas a este proceso identifican variables tanto del medio natural como antrópicas. Es importante tener en cuenta que la clasificación sobre las causas que inducen al proceso de remoción en masa permite realizar la identificación de sectores críticos afectados a partir </w:t>
      </w:r>
      <w:r>
        <w:rPr>
          <w:spacing w:val="-3"/>
        </w:rPr>
        <w:t>de </w:t>
      </w:r>
      <w:r>
        <w:rPr/>
        <w:t>las características encontradas </w:t>
      </w:r>
      <w:r>
        <w:rPr>
          <w:spacing w:val="-4"/>
        </w:rPr>
        <w:t>en </w:t>
      </w:r>
      <w:r>
        <w:rPr/>
        <w:t>la zona de estudio. Esta información, se visualiza en el capítulo III referido a la metodología </w:t>
      </w:r>
      <w:r>
        <w:rPr>
          <w:spacing w:val="-3"/>
        </w:rPr>
        <w:t>de </w:t>
      </w:r>
      <w:r>
        <w:rPr/>
        <w:t>la presente</w:t>
      </w:r>
      <w:r>
        <w:rPr>
          <w:spacing w:val="-24"/>
        </w:rPr>
        <w:t> </w:t>
      </w:r>
      <w:r>
        <w:rPr/>
        <w:t>investigación.</w:t>
      </w:r>
    </w:p>
    <w:p>
      <w:pPr>
        <w:pStyle w:val="BodyText"/>
      </w:pPr>
    </w:p>
    <w:p>
      <w:pPr>
        <w:pStyle w:val="BodyText"/>
        <w:spacing w:before="8"/>
        <w:rPr>
          <w:sz w:val="29"/>
        </w:rPr>
      </w:pPr>
    </w:p>
    <w:p>
      <w:pPr>
        <w:pStyle w:val="Heading1"/>
        <w:numPr>
          <w:ilvl w:val="2"/>
          <w:numId w:val="15"/>
        </w:numPr>
        <w:tabs>
          <w:tab w:pos="620" w:val="left" w:leader="none"/>
        </w:tabs>
        <w:spacing w:line="240" w:lineRule="auto" w:before="0" w:after="0"/>
        <w:ind w:left="119" w:right="0" w:firstLine="0"/>
        <w:jc w:val="both"/>
      </w:pPr>
      <w:bookmarkStart w:name="_bookmark33" w:id="58"/>
      <w:bookmarkEnd w:id="58"/>
      <w:r>
        <w:rPr>
          <w:b w:val="0"/>
        </w:rPr>
      </w:r>
      <w:bookmarkStart w:name="_bookmark33" w:id="59"/>
      <w:bookmarkEnd w:id="59"/>
      <w:r>
        <w:rPr/>
        <w:t>T</w:t>
      </w:r>
      <w:r>
        <w:rPr/>
        <w:t>ipos de</w:t>
      </w:r>
      <w:r>
        <w:rPr>
          <w:spacing w:val="-16"/>
        </w:rPr>
        <w:t> </w:t>
      </w:r>
      <w:r>
        <w:rPr/>
        <w:t>deslizamientos</w:t>
      </w:r>
    </w:p>
    <w:p>
      <w:pPr>
        <w:pStyle w:val="BodyText"/>
        <w:rPr>
          <w:b/>
        </w:rPr>
      </w:pPr>
    </w:p>
    <w:p>
      <w:pPr>
        <w:pStyle w:val="BodyText"/>
        <w:rPr>
          <w:b/>
          <w:sz w:val="19"/>
        </w:rPr>
      </w:pPr>
    </w:p>
    <w:p>
      <w:pPr>
        <w:pStyle w:val="BodyText"/>
        <w:spacing w:line="360" w:lineRule="auto"/>
        <w:ind w:left="119" w:right="128"/>
        <w:jc w:val="both"/>
      </w:pPr>
      <w:r>
        <w:rPr/>
        <w:t>Como se ha precisado anteriormente, los deslizamientos se definen como movimientos en masa de materiales térreos pendiente abajo. Por la forma de la superficie de falla, se distinguen:</w:t>
      </w:r>
    </w:p>
    <w:p>
      <w:pPr>
        <w:pStyle w:val="ListParagraph"/>
        <w:numPr>
          <w:ilvl w:val="3"/>
          <w:numId w:val="15"/>
        </w:numPr>
        <w:tabs>
          <w:tab w:pos="841" w:val="left" w:leader="none"/>
        </w:tabs>
        <w:spacing w:line="362" w:lineRule="auto" w:before="163" w:after="0"/>
        <w:ind w:left="840" w:right="122" w:hanging="360"/>
        <w:jc w:val="both"/>
        <w:rPr>
          <w:sz w:val="22"/>
        </w:rPr>
      </w:pPr>
      <w:r>
        <w:rPr>
          <w:sz w:val="22"/>
        </w:rPr>
        <w:t>Rotacionales: deslizamientos en los que la superficie territorial de la falla resulta cóncava hacia arriba, definiendo un movimiento rotacional de la masa inestable de suelos y/o fragmentos de rocas con centro de giro por </w:t>
      </w:r>
      <w:r>
        <w:rPr>
          <w:spacing w:val="-3"/>
          <w:sz w:val="22"/>
        </w:rPr>
        <w:t>encima </w:t>
      </w:r>
      <w:r>
        <w:rPr>
          <w:sz w:val="22"/>
        </w:rPr>
        <w:t>de su centro de gravedad. A menudo estos deslizamientos rotacionales ocurren en suelos arcillosos blandos,   </w:t>
      </w:r>
      <w:r>
        <w:rPr>
          <w:spacing w:val="20"/>
          <w:sz w:val="22"/>
        </w:rPr>
        <w:t> </w:t>
      </w:r>
      <w:r>
        <w:rPr>
          <w:sz w:val="22"/>
        </w:rPr>
        <w:t>aunque también </w:t>
      </w:r>
      <w:r>
        <w:rPr>
          <w:spacing w:val="2"/>
          <w:sz w:val="22"/>
        </w:rPr>
        <w:t>se</w:t>
      </w:r>
    </w:p>
    <w:p>
      <w:pPr>
        <w:spacing w:after="0" w:line="362" w:lineRule="auto"/>
        <w:jc w:val="both"/>
        <w:rPr>
          <w:sz w:val="22"/>
        </w:rPr>
        <w:sectPr>
          <w:pgSz w:w="12240" w:h="15840"/>
          <w:pgMar w:top="1360" w:bottom="280" w:left="1580" w:right="1580"/>
        </w:sectPr>
      </w:pPr>
    </w:p>
    <w:p>
      <w:pPr>
        <w:pStyle w:val="BodyText"/>
        <w:spacing w:line="360" w:lineRule="auto" w:before="52"/>
        <w:ind w:left="840"/>
      </w:pPr>
      <w:r>
        <w:rPr/>
        <w:t>presentan en formaciones de rocas blandas muy intemperizadas (Highland, 2008). Existen tres subtipos de deslizamientos rotacional: simple, múltiple y sucesivo</w:t>
      </w:r>
    </w:p>
    <w:p>
      <w:pPr>
        <w:pStyle w:val="ListParagraph"/>
        <w:numPr>
          <w:ilvl w:val="3"/>
          <w:numId w:val="15"/>
        </w:numPr>
        <w:tabs>
          <w:tab w:pos="841" w:val="left" w:leader="none"/>
        </w:tabs>
        <w:spacing w:line="360" w:lineRule="auto" w:before="168" w:after="0"/>
        <w:ind w:left="840" w:right="101" w:hanging="360"/>
        <w:jc w:val="both"/>
        <w:rPr>
          <w:sz w:val="22"/>
        </w:rPr>
      </w:pPr>
      <w:r>
        <w:rPr>
          <w:sz w:val="22"/>
        </w:rPr>
        <w:t>Traslacionales: deslizamientos en </w:t>
      </w:r>
      <w:r>
        <w:rPr>
          <w:spacing w:val="-3"/>
          <w:sz w:val="22"/>
        </w:rPr>
        <w:t>los </w:t>
      </w:r>
      <w:r>
        <w:rPr>
          <w:sz w:val="22"/>
        </w:rPr>
        <w:t>que la masa de suelos y/o fragmentos de rocas </w:t>
      </w:r>
      <w:r>
        <w:rPr>
          <w:spacing w:val="2"/>
          <w:sz w:val="22"/>
        </w:rPr>
        <w:t>se </w:t>
      </w:r>
      <w:r>
        <w:rPr>
          <w:sz w:val="22"/>
        </w:rPr>
        <w:t>desplazan hacia afuera y hacia abajo, a lo largo de una superficie de falla </w:t>
      </w:r>
      <w:r>
        <w:rPr>
          <w:spacing w:val="-4"/>
          <w:sz w:val="22"/>
        </w:rPr>
        <w:t>más </w:t>
      </w:r>
      <w:r>
        <w:rPr>
          <w:sz w:val="22"/>
        </w:rPr>
        <w:t>o menos plana, </w:t>
      </w:r>
      <w:r>
        <w:rPr>
          <w:spacing w:val="-3"/>
          <w:sz w:val="22"/>
        </w:rPr>
        <w:t>con </w:t>
      </w:r>
      <w:r>
        <w:rPr>
          <w:sz w:val="22"/>
        </w:rPr>
        <w:t>muy poco o nada de movimiento de rotación o volteo. Usualmente son deslizamientos someros y ocurren en suelo granulares, o bien están definidos por  superficies de debilidad en formaciones rocosas, </w:t>
      </w:r>
      <w:r>
        <w:rPr>
          <w:spacing w:val="-3"/>
          <w:sz w:val="22"/>
        </w:rPr>
        <w:t>tales </w:t>
      </w:r>
      <w:r>
        <w:rPr>
          <w:sz w:val="22"/>
        </w:rPr>
        <w:t>como planos de estratificación, juntas y zonas de diferente alteración o meteorización de las rocas, </w:t>
      </w:r>
      <w:r>
        <w:rPr>
          <w:spacing w:val="-3"/>
          <w:sz w:val="22"/>
        </w:rPr>
        <w:t>con </w:t>
      </w:r>
      <w:r>
        <w:rPr>
          <w:sz w:val="22"/>
        </w:rPr>
        <w:t>echado propicio al deslizamiento (Highland, 2008). Los deslizamientos traslacionales </w:t>
      </w:r>
      <w:r>
        <w:rPr>
          <w:spacing w:val="2"/>
          <w:sz w:val="22"/>
        </w:rPr>
        <w:t>se </w:t>
      </w:r>
      <w:r>
        <w:rPr>
          <w:sz w:val="22"/>
        </w:rPr>
        <w:t>clasifican de acuerdo al material que </w:t>
      </w:r>
      <w:r>
        <w:rPr>
          <w:spacing w:val="2"/>
          <w:sz w:val="22"/>
        </w:rPr>
        <w:t>se </w:t>
      </w:r>
      <w:r>
        <w:rPr>
          <w:sz w:val="22"/>
        </w:rPr>
        <w:t>deslizan y pueden ser de bloques, </w:t>
      </w:r>
      <w:r>
        <w:rPr>
          <w:spacing w:val="-4"/>
          <w:sz w:val="22"/>
        </w:rPr>
        <w:t>en </w:t>
      </w:r>
      <w:r>
        <w:rPr>
          <w:sz w:val="22"/>
        </w:rPr>
        <w:t>suelos, rocosos y de</w:t>
      </w:r>
      <w:r>
        <w:rPr>
          <w:spacing w:val="-28"/>
          <w:sz w:val="22"/>
        </w:rPr>
        <w:t> </w:t>
      </w:r>
      <w:r>
        <w:rPr>
          <w:sz w:val="22"/>
        </w:rPr>
        <w:t>derrubios.</w:t>
      </w:r>
    </w:p>
    <w:p>
      <w:pPr>
        <w:pStyle w:val="BodyText"/>
        <w:spacing w:line="360" w:lineRule="auto" w:before="163"/>
        <w:ind w:left="119" w:right="105"/>
        <w:jc w:val="both"/>
      </w:pPr>
      <w:r>
        <w:rPr/>
        <w:t>De acuerdo con la literatura, las remociones en masa de tipo traslacional son las </w:t>
      </w:r>
      <w:r>
        <w:rPr>
          <w:spacing w:val="-4"/>
        </w:rPr>
        <w:t>más </w:t>
      </w:r>
      <w:r>
        <w:rPr/>
        <w:t>inestables y comunes debido a que dependen de su control estructural y estado del material que las forme. Es común que los procesos de remoción en masa </w:t>
      </w:r>
      <w:r>
        <w:rPr>
          <w:spacing w:val="2"/>
        </w:rPr>
        <w:t>se </w:t>
      </w:r>
      <w:r>
        <w:rPr/>
        <w:t>combinen o que </w:t>
      </w:r>
      <w:r>
        <w:rPr>
          <w:spacing w:val="2"/>
        </w:rPr>
        <w:t>se </w:t>
      </w:r>
      <w:r>
        <w:rPr/>
        <w:t>conviertan en otro tipo de remoción a medida que avanzan y como consecuencia generen un movimiento de ladera abajo  difícil de</w:t>
      </w:r>
      <w:r>
        <w:rPr>
          <w:spacing w:val="-7"/>
        </w:rPr>
        <w:t> </w:t>
      </w:r>
      <w:r>
        <w:rPr/>
        <w:t>interpretar.</w:t>
      </w:r>
    </w:p>
    <w:p>
      <w:pPr>
        <w:pStyle w:val="BodyText"/>
      </w:pPr>
    </w:p>
    <w:p>
      <w:pPr>
        <w:pStyle w:val="BodyText"/>
        <w:spacing w:before="4"/>
        <w:rPr>
          <w:sz w:val="31"/>
        </w:rPr>
      </w:pPr>
    </w:p>
    <w:p>
      <w:pPr>
        <w:pStyle w:val="Heading1"/>
        <w:numPr>
          <w:ilvl w:val="2"/>
          <w:numId w:val="15"/>
        </w:numPr>
        <w:tabs>
          <w:tab w:pos="652" w:val="left" w:leader="none"/>
        </w:tabs>
        <w:spacing w:line="259" w:lineRule="auto" w:before="0" w:after="0"/>
        <w:ind w:left="119" w:right="101" w:firstLine="0"/>
        <w:jc w:val="both"/>
      </w:pPr>
      <w:bookmarkStart w:name="_bookmark34" w:id="60"/>
      <w:bookmarkEnd w:id="60"/>
      <w:r>
        <w:rPr>
          <w:b w:val="0"/>
        </w:rPr>
      </w:r>
      <w:bookmarkStart w:name="_bookmark34" w:id="61"/>
      <w:bookmarkEnd w:id="61"/>
      <w:r>
        <w:rPr/>
        <w:t>D</w:t>
      </w:r>
      <w:r>
        <w:rPr/>
        <w:t>atos históricos de deslizamientos en la zona de estudio y sus consecuencias hacia la población</w:t>
      </w:r>
    </w:p>
    <w:p>
      <w:pPr>
        <w:pStyle w:val="BodyText"/>
        <w:rPr>
          <w:b/>
        </w:rPr>
      </w:pPr>
    </w:p>
    <w:p>
      <w:pPr>
        <w:pStyle w:val="BodyText"/>
        <w:spacing w:line="360" w:lineRule="auto" w:before="194"/>
        <w:ind w:left="119" w:right="106"/>
        <w:jc w:val="both"/>
      </w:pPr>
      <w:r>
        <w:rPr/>
        <w:t>La zona de estudio como se ha precisado anteriormente, muestra un territorio principalmente constituido por barrancas y áreas de pendientes muy inclinadas. De acuerdo con el Sistema de Inventario de efectos de desastres, las Delegaciones Álvaro Obregón Cuajimalpa y Magdalena Contreras han presenciado deslizamientos a lo largo del tiempo, los cuáles han tenido efectos importantes sobre todo para la población asentada en áreas de riesgo o cercanas a ellas.</w:t>
      </w:r>
    </w:p>
    <w:p>
      <w:pPr>
        <w:pStyle w:val="BodyText"/>
        <w:spacing w:line="360" w:lineRule="auto" w:before="167"/>
        <w:ind w:left="119" w:right="99"/>
        <w:jc w:val="both"/>
      </w:pPr>
      <w:r>
        <w:rPr/>
        <w:t>Tan sólo en la década de 1970 a 1990 se registraron un total de 21 deslizamientos distribuidos en las delegaciones de estudio (Véase Anexo 2). Es cierto que los procesos físicos adquieren importancia cuando la población presenta vulnerabilidad ante ellos o bien, resulta afectada, por ejemplo, para el caso de estudio el número de damnificados durante el período de 1970 a 2013 registro 690 personas afectadas en Delegación Álvaro Obregón.</w:t>
      </w:r>
    </w:p>
    <w:p>
      <w:pPr>
        <w:spacing w:after="0" w:line="360" w:lineRule="auto"/>
        <w:jc w:val="both"/>
        <w:sectPr>
          <w:pgSz w:w="12240" w:h="15840"/>
          <w:pgMar w:top="1360" w:bottom="280" w:left="1580" w:right="1600"/>
        </w:sectPr>
      </w:pPr>
    </w:p>
    <w:p>
      <w:pPr>
        <w:pStyle w:val="BodyText"/>
        <w:rPr>
          <w:sz w:val="20"/>
        </w:rPr>
      </w:pPr>
    </w:p>
    <w:p>
      <w:pPr>
        <w:pStyle w:val="BodyText"/>
        <w:spacing w:before="7"/>
        <w:rPr>
          <w:sz w:val="21"/>
        </w:rPr>
      </w:pPr>
    </w:p>
    <w:tbl>
      <w:tblPr>
        <w:tblW w:w="0" w:type="auto"/>
        <w:jc w:val="left"/>
        <w:tblInd w:w="6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41"/>
      </w:tblGrid>
      <w:tr>
        <w:trPr>
          <w:trHeight w:val="2437" w:hRule="exact"/>
        </w:trPr>
        <w:tc>
          <w:tcPr>
            <w:tcW w:w="7641" w:type="dxa"/>
          </w:tcPr>
          <w:p>
            <w:pPr>
              <w:pStyle w:val="TableParagraph"/>
              <w:spacing w:line="205" w:lineRule="exact"/>
              <w:ind w:left="200"/>
              <w:rPr>
                <w:b/>
                <w:sz w:val="20"/>
              </w:rPr>
            </w:pPr>
            <w:r>
              <w:rPr>
                <w:b/>
                <w:sz w:val="20"/>
              </w:rPr>
              <w:t>Gráfica 5. Número de damnificados por deslizamientos durante el período 1970-2013</w:t>
            </w:r>
          </w:p>
          <w:p>
            <w:pPr>
              <w:pStyle w:val="TableParagraph"/>
              <w:rPr>
                <w:sz w:val="20"/>
              </w:rPr>
            </w:pPr>
          </w:p>
          <w:p>
            <w:pPr>
              <w:pStyle w:val="TableParagraph"/>
              <w:rPr>
                <w:sz w:val="27"/>
              </w:rPr>
            </w:pPr>
          </w:p>
          <w:p>
            <w:pPr>
              <w:pStyle w:val="TableParagraph"/>
              <w:spacing w:before="1"/>
              <w:ind w:left="692"/>
              <w:rPr>
                <w:sz w:val="16"/>
              </w:rPr>
            </w:pPr>
            <w:r>
              <w:rPr>
                <w:sz w:val="16"/>
              </w:rPr>
              <w:t>700</w:t>
            </w:r>
          </w:p>
          <w:p>
            <w:pPr>
              <w:pStyle w:val="TableParagraph"/>
              <w:spacing w:before="68"/>
              <w:ind w:left="1958"/>
              <w:rPr>
                <w:sz w:val="16"/>
              </w:rPr>
            </w:pPr>
            <w:r>
              <w:rPr>
                <w:color w:val="FFFFFF"/>
                <w:sz w:val="16"/>
              </w:rPr>
              <w:t>690</w:t>
            </w:r>
          </w:p>
          <w:p>
            <w:pPr>
              <w:pStyle w:val="TableParagraph"/>
              <w:spacing w:before="31"/>
              <w:ind w:left="698"/>
              <w:rPr>
                <w:sz w:val="16"/>
              </w:rPr>
            </w:pPr>
            <w:r>
              <w:rPr>
                <w:sz w:val="16"/>
              </w:rPr>
              <w:t>600</w:t>
            </w:r>
          </w:p>
          <w:p>
            <w:pPr>
              <w:pStyle w:val="TableParagraph"/>
              <w:rPr>
                <w:sz w:val="16"/>
              </w:rPr>
            </w:pPr>
          </w:p>
          <w:p>
            <w:pPr>
              <w:pStyle w:val="TableParagraph"/>
              <w:spacing w:before="97"/>
              <w:ind w:left="704"/>
              <w:rPr>
                <w:sz w:val="16"/>
              </w:rPr>
            </w:pPr>
            <w:r>
              <w:rPr>
                <w:sz w:val="16"/>
              </w:rPr>
              <w:t>500</w:t>
            </w:r>
          </w:p>
          <w:p>
            <w:pPr>
              <w:pStyle w:val="TableParagraph"/>
              <w:rPr>
                <w:sz w:val="16"/>
              </w:rPr>
            </w:pPr>
          </w:p>
          <w:p>
            <w:pPr>
              <w:pStyle w:val="TableParagraph"/>
              <w:spacing w:before="95"/>
              <w:ind w:left="709"/>
              <w:rPr>
                <w:sz w:val="16"/>
              </w:rPr>
            </w:pPr>
            <w:r>
              <w:rPr>
                <w:sz w:val="16"/>
              </w:rPr>
              <w:t>400</w:t>
            </w:r>
          </w:p>
        </w:tc>
      </w:tr>
      <w:tr>
        <w:trPr>
          <w:trHeight w:val="2394" w:hRule="exact"/>
        </w:trPr>
        <w:tc>
          <w:tcPr>
            <w:tcW w:w="7641" w:type="dxa"/>
          </w:tcPr>
          <w:p>
            <w:pPr>
              <w:pStyle w:val="TableParagraph"/>
              <w:spacing w:before="7"/>
              <w:rPr>
                <w:sz w:val="14"/>
              </w:rPr>
            </w:pPr>
          </w:p>
          <w:p>
            <w:pPr>
              <w:pStyle w:val="TableParagraph"/>
              <w:ind w:left="715"/>
              <w:rPr>
                <w:sz w:val="16"/>
              </w:rPr>
            </w:pPr>
            <w:r>
              <w:rPr>
                <w:sz w:val="16"/>
              </w:rPr>
              <w:t>300</w:t>
            </w:r>
          </w:p>
          <w:p>
            <w:pPr>
              <w:pStyle w:val="TableParagraph"/>
              <w:rPr>
                <w:sz w:val="16"/>
              </w:rPr>
            </w:pPr>
          </w:p>
          <w:p>
            <w:pPr>
              <w:pStyle w:val="TableParagraph"/>
              <w:spacing w:before="92"/>
              <w:ind w:left="720"/>
              <w:rPr>
                <w:sz w:val="16"/>
              </w:rPr>
            </w:pPr>
            <w:r>
              <w:rPr>
                <w:sz w:val="16"/>
              </w:rPr>
              <w:t>200</w:t>
            </w:r>
          </w:p>
          <w:p>
            <w:pPr>
              <w:pStyle w:val="TableParagraph"/>
              <w:spacing w:before="9"/>
              <w:rPr>
                <w:sz w:val="23"/>
              </w:rPr>
            </w:pPr>
          </w:p>
          <w:p>
            <w:pPr>
              <w:pStyle w:val="TableParagraph"/>
              <w:tabs>
                <w:tab w:pos="3901" w:val="left" w:leader="none"/>
              </w:tabs>
              <w:spacing w:before="1"/>
              <w:ind w:left="726"/>
              <w:rPr>
                <w:sz w:val="16"/>
              </w:rPr>
            </w:pPr>
            <w:r>
              <w:rPr>
                <w:sz w:val="16"/>
              </w:rPr>
              <w:t>100</w:t>
              <w:tab/>
            </w:r>
            <w:r>
              <w:rPr>
                <w:color w:val="FFFFFF"/>
                <w:position w:val="-8"/>
                <w:sz w:val="16"/>
              </w:rPr>
              <w:t>61</w:t>
            </w:r>
          </w:p>
          <w:p>
            <w:pPr>
              <w:pStyle w:val="TableParagraph"/>
              <w:spacing w:before="182"/>
              <w:ind w:right="5776"/>
              <w:jc w:val="center"/>
              <w:rPr>
                <w:sz w:val="16"/>
              </w:rPr>
            </w:pPr>
            <w:r>
              <w:rPr>
                <w:w w:val="99"/>
                <w:sz w:val="16"/>
              </w:rPr>
              <w:t>0</w:t>
            </w:r>
          </w:p>
          <w:p>
            <w:pPr>
              <w:pStyle w:val="TableParagraph"/>
              <w:tabs>
                <w:tab w:pos="3597" w:val="left" w:leader="none"/>
                <w:tab w:pos="5184" w:val="left" w:leader="none"/>
              </w:tabs>
              <w:spacing w:before="1"/>
              <w:ind w:left="1539"/>
              <w:rPr>
                <w:sz w:val="16"/>
              </w:rPr>
            </w:pPr>
            <w:r>
              <w:rPr>
                <w:sz w:val="16"/>
              </w:rPr>
              <w:t>Álvaro</w:t>
            </w:r>
            <w:r>
              <w:rPr>
                <w:spacing w:val="-2"/>
                <w:sz w:val="16"/>
              </w:rPr>
              <w:t> </w:t>
            </w:r>
            <w:r>
              <w:rPr>
                <w:sz w:val="16"/>
              </w:rPr>
              <w:t>Obregón</w:t>
              <w:tab/>
              <w:t>Cuajimalpa</w:t>
              <w:tab/>
              <w:t>Magdalena</w:t>
            </w:r>
            <w:r>
              <w:rPr>
                <w:spacing w:val="-10"/>
                <w:sz w:val="16"/>
              </w:rPr>
              <w:t> </w:t>
            </w:r>
            <w:r>
              <w:rPr>
                <w:sz w:val="16"/>
              </w:rPr>
              <w:t>Contreras</w:t>
            </w:r>
          </w:p>
          <w:p>
            <w:pPr>
              <w:pStyle w:val="TableParagraph"/>
              <w:rPr>
                <w:sz w:val="16"/>
              </w:rPr>
            </w:pPr>
          </w:p>
          <w:p>
            <w:pPr>
              <w:pStyle w:val="TableParagraph"/>
              <w:spacing w:before="118"/>
              <w:ind w:left="1021"/>
              <w:rPr>
                <w:sz w:val="16"/>
              </w:rPr>
            </w:pPr>
            <w:r>
              <w:rPr>
                <w:sz w:val="16"/>
              </w:rPr>
              <w:t>Fuente: Elaboración propia con base en el Sistema de inventario de efectos de desastres</w:t>
            </w:r>
          </w:p>
        </w:tc>
      </w:tr>
    </w:tbl>
    <w:p>
      <w:pPr>
        <w:pStyle w:val="BodyText"/>
        <w:rPr>
          <w:sz w:val="20"/>
        </w:rPr>
      </w:pPr>
    </w:p>
    <w:p>
      <w:pPr>
        <w:pStyle w:val="BodyText"/>
        <w:spacing w:before="1"/>
        <w:rPr>
          <w:sz w:val="29"/>
        </w:rPr>
      </w:pPr>
    </w:p>
    <w:p>
      <w:pPr>
        <w:pStyle w:val="BodyText"/>
        <w:spacing w:line="360" w:lineRule="auto" w:before="73"/>
        <w:ind w:left="119" w:right="117"/>
        <w:jc w:val="both"/>
      </w:pPr>
      <w:r>
        <w:rPr/>
        <w:drawing>
          <wp:anchor distT="0" distB="0" distL="0" distR="0" allowOverlap="1" layoutInCell="1" locked="0" behindDoc="1" simplePos="0" relativeHeight="268187279">
            <wp:simplePos x="0" y="0"/>
            <wp:positionH relativeFrom="page">
              <wp:posOffset>1847088</wp:posOffset>
            </wp:positionH>
            <wp:positionV relativeFrom="paragraph">
              <wp:posOffset>-3156209</wp:posOffset>
            </wp:positionV>
            <wp:extent cx="4114800" cy="2350007"/>
            <wp:effectExtent l="0" t="0" r="0" b="0"/>
            <wp:wrapNone/>
            <wp:docPr id="29" name="image26.png" descr=""/>
            <wp:cNvGraphicFramePr>
              <a:graphicFrameLocks noChangeAspect="1"/>
            </wp:cNvGraphicFramePr>
            <a:graphic>
              <a:graphicData uri="http://schemas.openxmlformats.org/drawingml/2006/picture">
                <pic:pic>
                  <pic:nvPicPr>
                    <pic:cNvPr id="30" name="image26.png"/>
                    <pic:cNvPicPr/>
                  </pic:nvPicPr>
                  <pic:blipFill>
                    <a:blip r:embed="rId30" cstate="print"/>
                    <a:stretch>
                      <a:fillRect/>
                    </a:stretch>
                  </pic:blipFill>
                  <pic:spPr>
                    <a:xfrm>
                      <a:off x="0" y="0"/>
                      <a:ext cx="4114800" cy="2350007"/>
                    </a:xfrm>
                    <a:prstGeom prst="rect">
                      <a:avLst/>
                    </a:prstGeom>
                  </pic:spPr>
                </pic:pic>
              </a:graphicData>
            </a:graphic>
          </wp:anchor>
        </w:drawing>
      </w:r>
      <w:r>
        <w:rPr/>
        <w:drawing>
          <wp:anchor distT="0" distB="0" distL="0" distR="0" allowOverlap="1" layoutInCell="1" locked="0" behindDoc="1" simplePos="0" relativeHeight="268187303">
            <wp:simplePos x="0" y="0"/>
            <wp:positionH relativeFrom="page">
              <wp:posOffset>1898904</wp:posOffset>
            </wp:positionH>
            <wp:positionV relativeFrom="paragraph">
              <wp:posOffset>1446270</wp:posOffset>
            </wp:positionV>
            <wp:extent cx="4065615" cy="2354579"/>
            <wp:effectExtent l="0" t="0" r="0" b="0"/>
            <wp:wrapNone/>
            <wp:docPr id="31" name="image27.png" descr=""/>
            <wp:cNvGraphicFramePr>
              <a:graphicFrameLocks noChangeAspect="1"/>
            </wp:cNvGraphicFramePr>
            <a:graphic>
              <a:graphicData uri="http://schemas.openxmlformats.org/drawingml/2006/picture">
                <pic:pic>
                  <pic:nvPicPr>
                    <pic:cNvPr id="32" name="image27.png"/>
                    <pic:cNvPicPr/>
                  </pic:nvPicPr>
                  <pic:blipFill>
                    <a:blip r:embed="rId31" cstate="print"/>
                    <a:stretch>
                      <a:fillRect/>
                    </a:stretch>
                  </pic:blipFill>
                  <pic:spPr>
                    <a:xfrm>
                      <a:off x="0" y="0"/>
                      <a:ext cx="4065615" cy="2354579"/>
                    </a:xfrm>
                    <a:prstGeom prst="rect">
                      <a:avLst/>
                    </a:prstGeom>
                  </pic:spPr>
                </pic:pic>
              </a:graphicData>
            </a:graphic>
          </wp:anchor>
        </w:drawing>
      </w:r>
      <w:r>
        <w:rPr/>
        <w:t>Con respecto al número de viviendas que se vieron afectadas, la Delegación Magdalena Contreras presentó el mayor número con un registro total de 926 viviendas, mientras que el número de viviendas destruidas oscila entre las 10 y 50 en cada delegación.</w:t>
      </w:r>
    </w:p>
    <w:p>
      <w:pPr>
        <w:pStyle w:val="BodyText"/>
        <w:spacing w:before="2"/>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49"/>
      </w:tblGrid>
      <w:tr>
        <w:trPr>
          <w:trHeight w:val="2841" w:hRule="exact"/>
        </w:trPr>
        <w:tc>
          <w:tcPr>
            <w:tcW w:w="8649" w:type="dxa"/>
          </w:tcPr>
          <w:p>
            <w:pPr>
              <w:pStyle w:val="TableParagraph"/>
              <w:spacing w:line="205" w:lineRule="exact"/>
              <w:ind w:left="180" w:right="180"/>
              <w:jc w:val="center"/>
              <w:rPr>
                <w:b/>
                <w:sz w:val="20"/>
              </w:rPr>
            </w:pPr>
            <w:r>
              <w:rPr>
                <w:b/>
                <w:sz w:val="20"/>
              </w:rPr>
              <w:t>Gráfica 6. Gráfica 5. Número de viviendas afectadas por deslizamientos durante el período 1970-</w:t>
            </w:r>
          </w:p>
          <w:p>
            <w:pPr>
              <w:pStyle w:val="TableParagraph"/>
              <w:spacing w:before="115"/>
              <w:ind w:left="180" w:right="180"/>
              <w:jc w:val="center"/>
              <w:rPr>
                <w:b/>
                <w:sz w:val="20"/>
              </w:rPr>
            </w:pPr>
            <w:r>
              <w:rPr>
                <w:b/>
                <w:sz w:val="20"/>
              </w:rPr>
              <w:t>2013</w:t>
            </w:r>
          </w:p>
          <w:p>
            <w:pPr>
              <w:pStyle w:val="TableParagraph"/>
              <w:rPr>
                <w:sz w:val="20"/>
              </w:rPr>
            </w:pPr>
          </w:p>
          <w:p>
            <w:pPr>
              <w:pStyle w:val="TableParagraph"/>
              <w:rPr>
                <w:sz w:val="20"/>
              </w:rPr>
            </w:pPr>
          </w:p>
          <w:p>
            <w:pPr>
              <w:pStyle w:val="TableParagraph"/>
              <w:spacing w:before="11"/>
              <w:rPr>
                <w:sz w:val="16"/>
              </w:rPr>
            </w:pPr>
          </w:p>
          <w:p>
            <w:pPr>
              <w:pStyle w:val="TableParagraph"/>
              <w:ind w:left="1189"/>
              <w:rPr>
                <w:sz w:val="16"/>
              </w:rPr>
            </w:pPr>
            <w:r>
              <w:rPr>
                <w:sz w:val="16"/>
              </w:rPr>
              <w:t>1000</w:t>
            </w:r>
          </w:p>
          <w:p>
            <w:pPr>
              <w:pStyle w:val="TableParagraph"/>
              <w:spacing w:before="143"/>
              <w:ind w:left="1273"/>
              <w:rPr>
                <w:sz w:val="16"/>
              </w:rPr>
            </w:pPr>
            <w:r>
              <w:rPr>
                <w:sz w:val="16"/>
              </w:rPr>
              <w:t>900</w:t>
            </w:r>
          </w:p>
          <w:p>
            <w:pPr>
              <w:pStyle w:val="TableParagraph"/>
              <w:spacing w:before="143"/>
              <w:ind w:left="1277"/>
              <w:rPr>
                <w:sz w:val="16"/>
              </w:rPr>
            </w:pPr>
            <w:r>
              <w:rPr>
                <w:sz w:val="16"/>
              </w:rPr>
              <w:t>800</w:t>
            </w:r>
          </w:p>
          <w:p>
            <w:pPr>
              <w:pStyle w:val="TableParagraph"/>
              <w:tabs>
                <w:tab w:pos="6265" w:val="left" w:leader="none"/>
              </w:tabs>
              <w:spacing w:before="87"/>
              <w:ind w:left="1281"/>
              <w:rPr>
                <w:sz w:val="16"/>
              </w:rPr>
            </w:pPr>
            <w:r>
              <w:rPr>
                <w:position w:val="-5"/>
                <w:sz w:val="16"/>
              </w:rPr>
              <w:t>700</w:t>
              <w:tab/>
            </w:r>
            <w:r>
              <w:rPr>
                <w:color w:val="FFFFFF"/>
                <w:spacing w:val="2"/>
                <w:sz w:val="16"/>
              </w:rPr>
              <w:t>926</w:t>
            </w:r>
          </w:p>
          <w:p>
            <w:pPr>
              <w:pStyle w:val="TableParagraph"/>
              <w:spacing w:before="136"/>
              <w:ind w:left="1284"/>
              <w:rPr>
                <w:sz w:val="16"/>
              </w:rPr>
            </w:pPr>
            <w:r>
              <w:rPr>
                <w:sz w:val="16"/>
              </w:rPr>
              <w:t>600</w:t>
            </w:r>
          </w:p>
        </w:tc>
      </w:tr>
      <w:tr>
        <w:trPr>
          <w:trHeight w:val="2452" w:hRule="exact"/>
        </w:trPr>
        <w:tc>
          <w:tcPr>
            <w:tcW w:w="8649" w:type="dxa"/>
          </w:tcPr>
          <w:p>
            <w:pPr>
              <w:pStyle w:val="TableParagraph"/>
              <w:spacing w:line="179" w:lineRule="exact"/>
              <w:ind w:left="1288"/>
              <w:rPr>
                <w:sz w:val="16"/>
              </w:rPr>
            </w:pPr>
            <w:r>
              <w:rPr>
                <w:sz w:val="16"/>
              </w:rPr>
              <w:t>500</w:t>
            </w:r>
          </w:p>
          <w:p>
            <w:pPr>
              <w:pStyle w:val="TableParagraph"/>
              <w:spacing w:before="139"/>
              <w:ind w:left="1292"/>
              <w:rPr>
                <w:sz w:val="16"/>
              </w:rPr>
            </w:pPr>
            <w:r>
              <w:rPr>
                <w:sz w:val="16"/>
              </w:rPr>
              <w:t>400</w:t>
            </w:r>
          </w:p>
          <w:p>
            <w:pPr>
              <w:pStyle w:val="TableParagraph"/>
              <w:spacing w:before="138"/>
              <w:ind w:left="1296"/>
              <w:rPr>
                <w:sz w:val="16"/>
              </w:rPr>
            </w:pPr>
            <w:r>
              <w:rPr>
                <w:sz w:val="16"/>
              </w:rPr>
              <w:t>300</w:t>
            </w:r>
          </w:p>
          <w:p>
            <w:pPr>
              <w:pStyle w:val="TableParagraph"/>
              <w:spacing w:line="152" w:lineRule="exact" w:before="137"/>
              <w:ind w:left="1300"/>
              <w:rPr>
                <w:sz w:val="16"/>
              </w:rPr>
            </w:pPr>
            <w:r>
              <w:rPr>
                <w:sz w:val="16"/>
              </w:rPr>
              <w:t>200</w:t>
            </w:r>
          </w:p>
          <w:p>
            <w:pPr>
              <w:pStyle w:val="TableParagraph"/>
              <w:spacing w:line="152" w:lineRule="exact"/>
              <w:ind w:left="2535"/>
              <w:rPr>
                <w:sz w:val="16"/>
              </w:rPr>
            </w:pPr>
            <w:r>
              <w:rPr>
                <w:color w:val="FFFFFF"/>
                <w:sz w:val="16"/>
              </w:rPr>
              <w:t>213</w:t>
            </w:r>
          </w:p>
          <w:p>
            <w:pPr>
              <w:pStyle w:val="TableParagraph"/>
              <w:tabs>
                <w:tab w:pos="4445" w:val="left" w:leader="none"/>
              </w:tabs>
              <w:spacing w:before="17"/>
              <w:ind w:left="1304"/>
              <w:rPr>
                <w:sz w:val="16"/>
              </w:rPr>
            </w:pPr>
            <w:r>
              <w:rPr>
                <w:sz w:val="16"/>
              </w:rPr>
              <w:t>100</w:t>
              <w:tab/>
            </w:r>
            <w:r>
              <w:rPr>
                <w:color w:val="FFFFFF"/>
                <w:position w:val="-6"/>
                <w:sz w:val="16"/>
              </w:rPr>
              <w:t>51</w:t>
            </w:r>
          </w:p>
          <w:p>
            <w:pPr>
              <w:pStyle w:val="TableParagraph"/>
              <w:spacing w:before="66"/>
              <w:ind w:right="5632"/>
              <w:jc w:val="center"/>
              <w:rPr>
                <w:sz w:val="16"/>
              </w:rPr>
            </w:pPr>
            <w:r>
              <w:rPr>
                <w:w w:val="98"/>
                <w:sz w:val="16"/>
              </w:rPr>
              <w:t>0</w:t>
            </w:r>
          </w:p>
          <w:p>
            <w:pPr>
              <w:pStyle w:val="TableParagraph"/>
              <w:tabs>
                <w:tab w:pos="4141" w:val="left" w:leader="none"/>
                <w:tab w:pos="5707" w:val="left" w:leader="none"/>
              </w:tabs>
              <w:ind w:left="1520" w:firstLine="583"/>
              <w:rPr>
                <w:sz w:val="16"/>
              </w:rPr>
            </w:pPr>
            <w:r>
              <w:rPr>
                <w:sz w:val="16"/>
              </w:rPr>
              <w:t>Álvaro</w:t>
            </w:r>
            <w:r>
              <w:rPr>
                <w:spacing w:val="-2"/>
                <w:sz w:val="16"/>
              </w:rPr>
              <w:t> </w:t>
            </w:r>
            <w:r>
              <w:rPr>
                <w:sz w:val="16"/>
              </w:rPr>
              <w:t>Obregón</w:t>
              <w:tab/>
              <w:t>Cuajimalpa</w:t>
              <w:tab/>
              <w:t>Magdalena</w:t>
            </w:r>
            <w:r>
              <w:rPr>
                <w:spacing w:val="-10"/>
                <w:sz w:val="16"/>
              </w:rPr>
              <w:t> </w:t>
            </w:r>
            <w:r>
              <w:rPr>
                <w:sz w:val="16"/>
              </w:rPr>
              <w:t>Contreras</w:t>
            </w:r>
          </w:p>
          <w:p>
            <w:pPr>
              <w:pStyle w:val="TableParagraph"/>
              <w:rPr>
                <w:sz w:val="16"/>
              </w:rPr>
            </w:pPr>
          </w:p>
          <w:p>
            <w:pPr>
              <w:pStyle w:val="TableParagraph"/>
              <w:spacing w:before="116"/>
              <w:ind w:left="1520"/>
              <w:rPr>
                <w:sz w:val="16"/>
              </w:rPr>
            </w:pPr>
            <w:r>
              <w:rPr>
                <w:sz w:val="16"/>
              </w:rPr>
              <w:t>Fuente: Elaboración propia con base en el Sistema de inventario de efectos de desastres</w:t>
            </w:r>
          </w:p>
        </w:tc>
      </w:tr>
    </w:tbl>
    <w:p>
      <w:pPr>
        <w:spacing w:after="0"/>
        <w:rPr>
          <w:sz w:val="16"/>
        </w:rPr>
        <w:sectPr>
          <w:pgSz w:w="12240" w:h="15840"/>
          <w:pgMar w:top="1500" w:bottom="280" w:left="1580" w:right="1580"/>
        </w:sectPr>
      </w:pPr>
    </w:p>
    <w:p>
      <w:pPr>
        <w:pStyle w:val="BodyText"/>
        <w:spacing w:line="360" w:lineRule="auto" w:before="52"/>
        <w:ind w:left="319" w:right="101"/>
        <w:jc w:val="both"/>
      </w:pPr>
      <w:r>
        <w:rPr/>
        <w:drawing>
          <wp:anchor distT="0" distB="0" distL="0" distR="0" allowOverlap="1" layoutInCell="1" locked="0" behindDoc="1" simplePos="0" relativeHeight="268187327">
            <wp:simplePos x="0" y="0"/>
            <wp:positionH relativeFrom="page">
              <wp:posOffset>1831848</wp:posOffset>
            </wp:positionH>
            <wp:positionV relativeFrom="paragraph">
              <wp:posOffset>1394580</wp:posOffset>
            </wp:positionV>
            <wp:extent cx="4135488" cy="2313431"/>
            <wp:effectExtent l="0" t="0" r="0" b="0"/>
            <wp:wrapNone/>
            <wp:docPr id="33" name="image28.png" descr=""/>
            <wp:cNvGraphicFramePr>
              <a:graphicFrameLocks noChangeAspect="1"/>
            </wp:cNvGraphicFramePr>
            <a:graphic>
              <a:graphicData uri="http://schemas.openxmlformats.org/drawingml/2006/picture">
                <pic:pic>
                  <pic:nvPicPr>
                    <pic:cNvPr id="34" name="image28.png"/>
                    <pic:cNvPicPr/>
                  </pic:nvPicPr>
                  <pic:blipFill>
                    <a:blip r:embed="rId32" cstate="print"/>
                    <a:stretch>
                      <a:fillRect/>
                    </a:stretch>
                  </pic:blipFill>
                  <pic:spPr>
                    <a:xfrm>
                      <a:off x="0" y="0"/>
                      <a:ext cx="4135488" cy="2313431"/>
                    </a:xfrm>
                    <a:prstGeom prst="rect">
                      <a:avLst/>
                    </a:prstGeom>
                  </pic:spPr>
                </pic:pic>
              </a:graphicData>
            </a:graphic>
          </wp:anchor>
        </w:drawing>
      </w:r>
      <w:r>
        <w:rPr/>
        <w:t>En la zona de estudio se han presentado también pérdidas humanas, principalmente por la población cuyas viviendas se encontraban en las áreas de depósito y los materiales con las que estaban construidas era de baja calidad.</w:t>
      </w:r>
    </w:p>
    <w:p>
      <w:pPr>
        <w:pStyle w:val="BodyText"/>
        <w:rPr>
          <w:sz w:val="18"/>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81"/>
      </w:tblGrid>
      <w:tr>
        <w:trPr>
          <w:trHeight w:val="2626" w:hRule="exact"/>
        </w:trPr>
        <w:tc>
          <w:tcPr>
            <w:tcW w:w="7881" w:type="dxa"/>
          </w:tcPr>
          <w:p>
            <w:pPr>
              <w:pStyle w:val="TableParagraph"/>
              <w:spacing w:line="205" w:lineRule="exact"/>
              <w:ind w:left="200"/>
              <w:rPr>
                <w:rFonts w:ascii="Calibri" w:hAnsi="Calibri"/>
                <w:b/>
                <w:sz w:val="20"/>
              </w:rPr>
            </w:pPr>
            <w:r>
              <w:rPr>
                <w:rFonts w:ascii="Calibri" w:hAnsi="Calibri"/>
                <w:b/>
                <w:sz w:val="20"/>
              </w:rPr>
              <w:t>Gráfica 7. Número de pérdidas humanas por deslizamientos durante el período 1970-2013</w:t>
            </w:r>
          </w:p>
          <w:p>
            <w:pPr>
              <w:pStyle w:val="TableParagraph"/>
              <w:rPr>
                <w:sz w:val="20"/>
              </w:rPr>
            </w:pPr>
          </w:p>
          <w:p>
            <w:pPr>
              <w:pStyle w:val="TableParagraph"/>
              <w:rPr>
                <w:sz w:val="20"/>
              </w:rPr>
            </w:pPr>
          </w:p>
          <w:p>
            <w:pPr>
              <w:pStyle w:val="TableParagraph"/>
              <w:rPr>
                <w:sz w:val="20"/>
              </w:rPr>
            </w:pPr>
          </w:p>
          <w:p>
            <w:pPr>
              <w:pStyle w:val="TableParagraph"/>
              <w:spacing w:before="8"/>
              <w:rPr>
                <w:sz w:val="18"/>
              </w:rPr>
            </w:pPr>
          </w:p>
          <w:p>
            <w:pPr>
              <w:pStyle w:val="TableParagraph"/>
              <w:ind w:left="1387"/>
              <w:rPr>
                <w:rFonts w:ascii="Calibri"/>
                <w:sz w:val="18"/>
              </w:rPr>
            </w:pPr>
            <w:r>
              <w:rPr>
                <w:rFonts w:ascii="Calibri"/>
                <w:color w:val="585858"/>
                <w:sz w:val="18"/>
              </w:rPr>
              <w:t>35</w:t>
            </w:r>
          </w:p>
          <w:p>
            <w:pPr>
              <w:pStyle w:val="TableParagraph"/>
              <w:spacing w:line="201" w:lineRule="exact" w:before="56"/>
              <w:ind w:left="1390" w:right="3771"/>
              <w:jc w:val="center"/>
              <w:rPr>
                <w:rFonts w:ascii="Calibri"/>
                <w:sz w:val="18"/>
              </w:rPr>
            </w:pPr>
            <w:r>
              <w:rPr>
                <w:rFonts w:ascii="Calibri"/>
                <w:color w:val="FFFFFF"/>
                <w:sz w:val="18"/>
              </w:rPr>
              <w:t>34</w:t>
            </w:r>
          </w:p>
          <w:p>
            <w:pPr>
              <w:pStyle w:val="TableParagraph"/>
              <w:spacing w:line="201" w:lineRule="exact"/>
              <w:ind w:left="1393"/>
              <w:rPr>
                <w:rFonts w:ascii="Calibri"/>
                <w:sz w:val="18"/>
              </w:rPr>
            </w:pPr>
            <w:r>
              <w:rPr>
                <w:rFonts w:ascii="Calibri"/>
                <w:color w:val="585858"/>
                <w:sz w:val="18"/>
              </w:rPr>
              <w:t>30</w:t>
            </w:r>
          </w:p>
          <w:p>
            <w:pPr>
              <w:pStyle w:val="TableParagraph"/>
              <w:spacing w:before="7"/>
              <w:rPr>
                <w:sz w:val="20"/>
              </w:rPr>
            </w:pPr>
          </w:p>
          <w:p>
            <w:pPr>
              <w:pStyle w:val="TableParagraph"/>
              <w:tabs>
                <w:tab w:pos="4563" w:val="left" w:leader="none"/>
              </w:tabs>
              <w:ind w:left="1398"/>
              <w:rPr>
                <w:rFonts w:ascii="Calibri"/>
                <w:sz w:val="18"/>
              </w:rPr>
            </w:pPr>
            <w:r>
              <w:rPr>
                <w:rFonts w:ascii="Calibri"/>
                <w:color w:val="585858"/>
                <w:sz w:val="18"/>
              </w:rPr>
              <w:t>25</w:t>
              <w:tab/>
            </w:r>
            <w:r>
              <w:rPr>
                <w:rFonts w:ascii="Calibri"/>
                <w:color w:val="FFFFFF"/>
                <w:position w:val="-10"/>
                <w:sz w:val="18"/>
              </w:rPr>
              <w:t>23</w:t>
            </w:r>
          </w:p>
          <w:p>
            <w:pPr>
              <w:pStyle w:val="TableParagraph"/>
              <w:spacing w:line="185" w:lineRule="exact" w:before="125"/>
              <w:ind w:left="1404"/>
              <w:rPr>
                <w:rFonts w:ascii="Calibri"/>
                <w:sz w:val="18"/>
              </w:rPr>
            </w:pPr>
            <w:r>
              <w:rPr>
                <w:rFonts w:ascii="Calibri"/>
                <w:color w:val="585858"/>
                <w:sz w:val="18"/>
              </w:rPr>
              <w:t>20</w:t>
            </w:r>
          </w:p>
        </w:tc>
      </w:tr>
      <w:tr>
        <w:trPr>
          <w:trHeight w:val="2583" w:hRule="exact"/>
        </w:trPr>
        <w:tc>
          <w:tcPr>
            <w:tcW w:w="7881" w:type="dxa"/>
          </w:tcPr>
          <w:p>
            <w:pPr>
              <w:pStyle w:val="TableParagraph"/>
              <w:spacing w:before="9"/>
              <w:rPr>
                <w:sz w:val="26"/>
              </w:rPr>
            </w:pPr>
          </w:p>
          <w:p>
            <w:pPr>
              <w:pStyle w:val="TableParagraph"/>
              <w:ind w:left="142" w:right="5019"/>
              <w:jc w:val="center"/>
              <w:rPr>
                <w:rFonts w:ascii="Calibri"/>
                <w:sz w:val="18"/>
              </w:rPr>
            </w:pPr>
            <w:r>
              <w:rPr>
                <w:rFonts w:ascii="Calibri"/>
                <w:color w:val="585858"/>
                <w:sz w:val="18"/>
              </w:rPr>
              <w:t>15</w:t>
            </w:r>
          </w:p>
          <w:p>
            <w:pPr>
              <w:pStyle w:val="TableParagraph"/>
              <w:spacing w:before="1"/>
              <w:rPr>
                <w:sz w:val="20"/>
              </w:rPr>
            </w:pPr>
          </w:p>
          <w:p>
            <w:pPr>
              <w:pStyle w:val="TableParagraph"/>
              <w:tabs>
                <w:tab w:pos="6442" w:val="left" w:leader="none"/>
              </w:tabs>
              <w:spacing w:before="1"/>
              <w:ind w:left="1415"/>
              <w:rPr>
                <w:rFonts w:ascii="Calibri"/>
                <w:sz w:val="18"/>
              </w:rPr>
            </w:pPr>
            <w:r>
              <w:rPr>
                <w:rFonts w:ascii="Calibri"/>
                <w:color w:val="585858"/>
                <w:sz w:val="18"/>
              </w:rPr>
              <w:t>10</w:t>
              <w:tab/>
            </w:r>
            <w:r>
              <w:rPr>
                <w:rFonts w:ascii="Calibri"/>
                <w:color w:val="FFFFFF"/>
                <w:position w:val="-8"/>
                <w:sz w:val="18"/>
              </w:rPr>
              <w:t>16</w:t>
            </w:r>
          </w:p>
          <w:p>
            <w:pPr>
              <w:pStyle w:val="TableParagraph"/>
              <w:spacing w:before="140"/>
              <w:ind w:left="1511"/>
              <w:rPr>
                <w:rFonts w:ascii="Calibri"/>
                <w:sz w:val="18"/>
              </w:rPr>
            </w:pPr>
            <w:r>
              <w:rPr>
                <w:rFonts w:ascii="Calibri"/>
                <w:color w:val="585858"/>
                <w:w w:val="101"/>
                <w:sz w:val="18"/>
              </w:rPr>
              <w:t>5</w:t>
            </w:r>
          </w:p>
          <w:p>
            <w:pPr>
              <w:pStyle w:val="TableParagraph"/>
              <w:spacing w:before="9"/>
              <w:rPr>
                <w:sz w:val="19"/>
              </w:rPr>
            </w:pPr>
          </w:p>
          <w:p>
            <w:pPr>
              <w:pStyle w:val="TableParagraph"/>
              <w:ind w:right="4751"/>
              <w:jc w:val="center"/>
              <w:rPr>
                <w:rFonts w:ascii="Calibri"/>
                <w:sz w:val="18"/>
              </w:rPr>
            </w:pPr>
            <w:r>
              <w:rPr>
                <w:rFonts w:ascii="Calibri"/>
                <w:color w:val="585858"/>
                <w:w w:val="101"/>
                <w:sz w:val="18"/>
              </w:rPr>
              <w:t>0</w:t>
            </w:r>
          </w:p>
          <w:p>
            <w:pPr>
              <w:pStyle w:val="TableParagraph"/>
              <w:tabs>
                <w:tab w:pos="4232" w:val="left" w:leader="none"/>
                <w:tab w:pos="5760" w:val="left" w:leader="none"/>
              </w:tabs>
              <w:spacing w:before="5"/>
              <w:ind w:left="1703" w:firstLine="451"/>
              <w:rPr>
                <w:rFonts w:ascii="Calibri" w:hAnsi="Calibri"/>
                <w:sz w:val="18"/>
              </w:rPr>
            </w:pPr>
            <w:r>
              <w:rPr>
                <w:rFonts w:ascii="Calibri" w:hAnsi="Calibri"/>
                <w:color w:val="585858"/>
                <w:sz w:val="18"/>
              </w:rPr>
              <w:t>Álvaro Obregón</w:t>
              <w:tab/>
              <w:t>Cuajimalpa</w:t>
              <w:tab/>
              <w:t>Magdalena</w:t>
            </w:r>
            <w:r>
              <w:rPr>
                <w:rFonts w:ascii="Calibri" w:hAnsi="Calibri"/>
                <w:color w:val="585858"/>
                <w:spacing w:val="-4"/>
                <w:sz w:val="18"/>
              </w:rPr>
              <w:t> </w:t>
            </w:r>
            <w:r>
              <w:rPr>
                <w:rFonts w:ascii="Calibri" w:hAnsi="Calibri"/>
                <w:color w:val="585858"/>
                <w:sz w:val="18"/>
              </w:rPr>
              <w:t>Contreras</w:t>
            </w:r>
          </w:p>
          <w:p>
            <w:pPr>
              <w:pStyle w:val="TableParagraph"/>
              <w:spacing w:before="1"/>
              <w:rPr>
                <w:sz w:val="26"/>
              </w:rPr>
            </w:pPr>
          </w:p>
          <w:p>
            <w:pPr>
              <w:pStyle w:val="TableParagraph"/>
              <w:ind w:left="1703"/>
              <w:rPr>
                <w:sz w:val="16"/>
              </w:rPr>
            </w:pPr>
            <w:r>
              <w:rPr>
                <w:sz w:val="16"/>
              </w:rPr>
              <w:t>Fuente: Elaboración propia con base en el Sistema de inventario de efectos de desastres</w:t>
            </w:r>
          </w:p>
        </w:tc>
      </w:tr>
    </w:tbl>
    <w:p>
      <w:pPr>
        <w:pStyle w:val="BodyText"/>
        <w:rPr>
          <w:sz w:val="20"/>
        </w:rPr>
      </w:pPr>
    </w:p>
    <w:p>
      <w:pPr>
        <w:pStyle w:val="BodyText"/>
        <w:spacing w:before="1"/>
        <w:rPr>
          <w:sz w:val="29"/>
        </w:rPr>
      </w:pPr>
    </w:p>
    <w:p>
      <w:pPr>
        <w:pStyle w:val="BodyText"/>
        <w:spacing w:line="360" w:lineRule="auto" w:before="73"/>
        <w:ind w:left="319" w:right="100"/>
        <w:jc w:val="both"/>
      </w:pPr>
      <w:r>
        <w:rPr/>
        <w:t>El breve análisis presentando tuvo como finalidad contextualizar la zona de estudio con uno de los riesgos físicos que se encuentran latentes en el área y que afectan de manera importante a la población que se encuentra asentada de manera regular e irregular en un territorio accidentado y que durante un sismo o un cambio en los niveles de precipitación, esta última está considerada como la causa principal que ha denotado los deslizamientos en el período de análisis, puedan provocar consecuencias devastadoras de mayor alcance. La información detallada sobre cada uno de los deslizamientos y sus características se encuentra en el Anexo 2, mismo que sirvió como parte del proceso metodológico de la presente investigación.</w:t>
      </w:r>
    </w:p>
    <w:p>
      <w:pPr>
        <w:pStyle w:val="BodyText"/>
      </w:pPr>
    </w:p>
    <w:p>
      <w:pPr>
        <w:pStyle w:val="BodyText"/>
      </w:pPr>
    </w:p>
    <w:p>
      <w:pPr>
        <w:pStyle w:val="BodyText"/>
        <w:spacing w:before="3"/>
        <w:rPr>
          <w:sz w:val="17"/>
        </w:rPr>
      </w:pPr>
    </w:p>
    <w:p>
      <w:pPr>
        <w:pStyle w:val="Heading1"/>
        <w:numPr>
          <w:ilvl w:val="2"/>
          <w:numId w:val="15"/>
        </w:numPr>
        <w:tabs>
          <w:tab w:pos="819" w:val="left" w:leader="none"/>
        </w:tabs>
        <w:spacing w:line="240" w:lineRule="auto" w:before="0" w:after="0"/>
        <w:ind w:left="818" w:right="0" w:hanging="499"/>
        <w:jc w:val="both"/>
      </w:pPr>
      <w:bookmarkStart w:name="_bookmark35" w:id="62"/>
      <w:bookmarkEnd w:id="62"/>
      <w:r>
        <w:rPr>
          <w:b w:val="0"/>
        </w:rPr>
      </w:r>
      <w:bookmarkStart w:name="_bookmark35" w:id="63"/>
      <w:bookmarkEnd w:id="63"/>
      <w:r>
        <w:rPr/>
        <w:t>A</w:t>
      </w:r>
      <w:r>
        <w:rPr/>
        <w:t>nálisis del riesgo y la amenaza en la zona poniente de la Ciudad de</w:t>
      </w:r>
      <w:r>
        <w:rPr>
          <w:spacing w:val="-38"/>
        </w:rPr>
        <w:t> </w:t>
      </w:r>
      <w:r>
        <w:rPr/>
        <w:t>México</w:t>
      </w:r>
    </w:p>
    <w:p>
      <w:pPr>
        <w:pStyle w:val="BodyText"/>
        <w:rPr>
          <w:b/>
        </w:rPr>
      </w:pPr>
    </w:p>
    <w:p>
      <w:pPr>
        <w:pStyle w:val="BodyText"/>
        <w:rPr>
          <w:b/>
          <w:sz w:val="19"/>
        </w:rPr>
      </w:pPr>
    </w:p>
    <w:p>
      <w:pPr>
        <w:pStyle w:val="BodyText"/>
        <w:spacing w:line="360" w:lineRule="auto" w:before="1"/>
        <w:ind w:left="319" w:right="102"/>
        <w:jc w:val="both"/>
      </w:pPr>
      <w:r>
        <w:rPr/>
        <w:t>El medio natural se organiza como un conjunto de elementos y relaciones que </w:t>
      </w:r>
      <w:r>
        <w:rPr>
          <w:spacing w:val="2"/>
        </w:rPr>
        <w:t>se </w:t>
      </w:r>
      <w:r>
        <w:rPr/>
        <w:t>interconexionan. En este sentido, resulta necesario un acercamiento que tenga en cuenta las propiedades funcionales y</w:t>
      </w:r>
      <w:r>
        <w:rPr>
          <w:spacing w:val="18"/>
        </w:rPr>
        <w:t> </w:t>
      </w:r>
      <w:r>
        <w:rPr/>
        <w:t>estructurales</w:t>
      </w:r>
      <w:r>
        <w:rPr>
          <w:spacing w:val="23"/>
        </w:rPr>
        <w:t> </w:t>
      </w:r>
      <w:r>
        <w:rPr/>
        <w:t>que</w:t>
      </w:r>
      <w:r>
        <w:rPr>
          <w:spacing w:val="11"/>
        </w:rPr>
        <w:t> </w:t>
      </w:r>
      <w:r>
        <w:rPr/>
        <w:t>caracterizan</w:t>
      </w:r>
      <w:r>
        <w:rPr>
          <w:spacing w:val="13"/>
        </w:rPr>
        <w:t> </w:t>
      </w:r>
      <w:r>
        <w:rPr/>
        <w:t>los</w:t>
      </w:r>
      <w:r>
        <w:rPr>
          <w:spacing w:val="19"/>
        </w:rPr>
        <w:t> </w:t>
      </w:r>
      <w:r>
        <w:rPr/>
        <w:t>procesos</w:t>
      </w:r>
      <w:r>
        <w:rPr>
          <w:spacing w:val="23"/>
        </w:rPr>
        <w:t> </w:t>
      </w:r>
      <w:r>
        <w:rPr/>
        <w:t>de</w:t>
      </w:r>
      <w:r>
        <w:rPr>
          <w:spacing w:val="11"/>
        </w:rPr>
        <w:t> </w:t>
      </w:r>
      <w:r>
        <w:rPr/>
        <w:t>remoción</w:t>
      </w:r>
      <w:r>
        <w:rPr>
          <w:spacing w:val="18"/>
        </w:rPr>
        <w:t> </w:t>
      </w:r>
      <w:r>
        <w:rPr/>
        <w:t>en</w:t>
      </w:r>
      <w:r>
        <w:rPr>
          <w:spacing w:val="24"/>
        </w:rPr>
        <w:t> </w:t>
      </w:r>
      <w:r>
        <w:rPr/>
        <w:t>masa,</w:t>
      </w:r>
      <w:r>
        <w:rPr>
          <w:spacing w:val="20"/>
        </w:rPr>
        <w:t> </w:t>
      </w:r>
      <w:r>
        <w:rPr/>
        <w:t>desde</w:t>
      </w:r>
      <w:r>
        <w:rPr>
          <w:spacing w:val="11"/>
        </w:rPr>
        <w:t> </w:t>
      </w:r>
      <w:r>
        <w:rPr/>
        <w:t>sus</w:t>
      </w:r>
      <w:r>
        <w:rPr>
          <w:spacing w:val="19"/>
        </w:rPr>
        <w:t> </w:t>
      </w:r>
      <w:r>
        <w:rPr/>
        <w:t>causas,</w:t>
      </w:r>
      <w:r>
        <w:rPr>
          <w:spacing w:val="21"/>
        </w:rPr>
        <w:t> </w:t>
      </w:r>
      <w:r>
        <w:rPr/>
        <w:t>desarrollo</w:t>
      </w:r>
      <w:r>
        <w:rPr>
          <w:spacing w:val="18"/>
        </w:rPr>
        <w:t> </w:t>
      </w:r>
      <w:r>
        <w:rPr/>
        <w:t>y</w:t>
      </w:r>
    </w:p>
    <w:p>
      <w:pPr>
        <w:spacing w:after="0" w:line="360" w:lineRule="auto"/>
        <w:jc w:val="both"/>
        <w:sectPr>
          <w:pgSz w:w="12240" w:h="15840"/>
          <w:pgMar w:top="1360" w:bottom="280" w:left="1380" w:right="1600"/>
        </w:sectPr>
      </w:pPr>
    </w:p>
    <w:p>
      <w:pPr>
        <w:pStyle w:val="BodyText"/>
        <w:spacing w:line="360" w:lineRule="auto" w:before="52"/>
        <w:ind w:left="119" w:right="127"/>
        <w:jc w:val="both"/>
      </w:pPr>
      <w:r>
        <w:rPr/>
        <w:t>consecuencias. El Centro de Estudios Estratégicos Latinoamericanos (CEELAT, citado en Laboratorio de Mapeo) conceptualiza que la remoción en masa debe entenderse como el desplazamiento de material litológico, suelo, roca o cobertura vegetal hacia abajo por acción de la fuerza de gravedad, la influencia de la pendiente del terreno y la cohesión o características del material en cada caso.</w:t>
      </w:r>
    </w:p>
    <w:p>
      <w:pPr>
        <w:pStyle w:val="BodyText"/>
        <w:spacing w:line="360" w:lineRule="auto" w:before="167"/>
        <w:ind w:left="119" w:right="117"/>
        <w:jc w:val="both"/>
      </w:pPr>
      <w:r>
        <w:rPr/>
        <w:t>La distancia del recorrido de estos desplazamientos y sus velocidades pueden ser muy variadas. De acuerdo a CENAPRED (2006) existen varios tipos de inestabilidades que pueden afectar una ladera, entre los más comunes se encuentran: caídos o derrumbes, deslizamientos, flujos, expansiones laterales y movimientos complejos.</w:t>
      </w:r>
    </w:p>
    <w:p>
      <w:pPr>
        <w:pStyle w:val="BodyText"/>
        <w:spacing w:line="360" w:lineRule="auto" w:before="163"/>
        <w:ind w:left="119" w:right="119"/>
        <w:jc w:val="both"/>
      </w:pPr>
      <w:r>
        <w:rPr/>
        <w:t>El riesgo natural </w:t>
      </w:r>
      <w:r>
        <w:rPr>
          <w:spacing w:val="-4"/>
        </w:rPr>
        <w:t>es </w:t>
      </w:r>
      <w:r>
        <w:rPr/>
        <w:t>definido como la probabilidad de ocurrencia en un lugar y en un momento determinados de un proceso natural potencialmente peligroso para la comunidad, capaz de causar daño a las personas y sus bienes (Espinoza, 2012). Por otra parte, UNDRO (citado en Laboratorio de Mapeo) define a la amenaza como el peligro latente asociado con un fenómeno físico de origen natural que puede presentarse en un lugar y tiempo determinado, produciendo efectos adversos en las personas, </w:t>
      </w:r>
      <w:r>
        <w:rPr>
          <w:spacing w:val="-3"/>
        </w:rPr>
        <w:t>los </w:t>
      </w:r>
      <w:r>
        <w:rPr/>
        <w:t>bienes y/o el medio</w:t>
      </w:r>
      <w:r>
        <w:rPr>
          <w:spacing w:val="-13"/>
        </w:rPr>
        <w:t> </w:t>
      </w:r>
      <w:r>
        <w:rPr/>
        <w:t>ambiente.</w:t>
      </w:r>
    </w:p>
    <w:p>
      <w:pPr>
        <w:pStyle w:val="BodyText"/>
        <w:spacing w:line="360" w:lineRule="auto" w:before="163"/>
        <w:ind w:left="119" w:right="123"/>
        <w:jc w:val="both"/>
      </w:pPr>
      <w:r>
        <w:rPr/>
        <w:t>En las últimas décadas los asentamientos humanos irregulares en la Ciudad de México se han localizado en un alto porcentaje en zonas peligrosas, inseguras o con riesgo de amenazas naturales. Parte de este proceso ha tenido como causa diversas razones, entre ellas el crecimiento poblacional, la invasión, la venta fraudulenta de lotes urbanos, la desigualdad socioeconómica y la localización de un número importante de centros poblados en zonas de barranca o de ladera.</w:t>
      </w:r>
    </w:p>
    <w:p>
      <w:pPr>
        <w:pStyle w:val="BodyText"/>
        <w:spacing w:line="360" w:lineRule="auto" w:before="167"/>
        <w:ind w:left="119" w:right="123"/>
        <w:jc w:val="both"/>
      </w:pPr>
      <w:r>
        <w:rPr/>
        <w:t>La </w:t>
      </w:r>
      <w:r>
        <w:rPr>
          <w:spacing w:val="-3"/>
        </w:rPr>
        <w:t>zona </w:t>
      </w:r>
      <w:r>
        <w:rPr/>
        <w:t>poniente de la Ciudad de México denota zonas donde el relieve, la geomorfología y los procesos tectónicos han sido influyentes y de particular interés en materia de riesgo, amenaza y vulnerabilidad ambiental. Los procesos de remoción en masa, son uno de los temas que </w:t>
      </w:r>
      <w:r>
        <w:rPr>
          <w:spacing w:val="-3"/>
        </w:rPr>
        <w:t>ha </w:t>
      </w:r>
      <w:r>
        <w:rPr/>
        <w:t>venido cobrando relevancia por incremento en el número de asentamientos humanos irregulares en zonas no aptas para la construcción de viviendas. Se menciona que los desprendimientos, reptación, hundimientos, solifluxión, avalanchas, caídas </w:t>
      </w:r>
      <w:r>
        <w:rPr>
          <w:spacing w:val="-3"/>
        </w:rPr>
        <w:t>de </w:t>
      </w:r>
      <w:r>
        <w:rPr/>
        <w:t>material litológico o vegetal, desplomes o lahares son tipos de movimientos por remoción </w:t>
      </w:r>
      <w:r>
        <w:rPr>
          <w:spacing w:val="-4"/>
        </w:rPr>
        <w:t>en</w:t>
      </w:r>
      <w:r>
        <w:rPr>
          <w:spacing w:val="-8"/>
        </w:rPr>
        <w:t> </w:t>
      </w:r>
      <w:r>
        <w:rPr/>
        <w:t>masa.</w:t>
      </w:r>
    </w:p>
    <w:p>
      <w:pPr>
        <w:pStyle w:val="BodyText"/>
        <w:spacing w:line="360" w:lineRule="auto" w:before="163"/>
        <w:ind w:left="119" w:right="127"/>
        <w:jc w:val="both"/>
      </w:pPr>
      <w:r>
        <w:rPr/>
        <w:t>No obstante, cada uno tiene una naturaleza distinta, por lo cual sus causas, desarrollo y consecuencias tienen explicaciones específicas a partir de sus características territoriales. Como </w:t>
      </w:r>
      <w:r>
        <w:rPr>
          <w:spacing w:val="2"/>
        </w:rPr>
        <w:t>se </w:t>
      </w:r>
      <w:r>
        <w:rPr/>
        <w:t>precisó en el apartado anterior, la zona de estudio presenta características particulares donde </w:t>
      </w:r>
      <w:r>
        <w:rPr>
          <w:spacing w:val="2"/>
        </w:rPr>
        <w:t>se </w:t>
      </w:r>
      <w:r>
        <w:rPr/>
        <w:t>han desarrollado eventos naturales con consecuencias importantes para la población que vive en áreas de riesgo o cercanas a</w:t>
      </w:r>
      <w:r>
        <w:rPr>
          <w:spacing w:val="-14"/>
        </w:rPr>
        <w:t> </w:t>
      </w:r>
      <w:r>
        <w:rPr/>
        <w:t>ellas.</w:t>
      </w:r>
    </w:p>
    <w:p>
      <w:pPr>
        <w:spacing w:after="0" w:line="360" w:lineRule="auto"/>
        <w:jc w:val="both"/>
        <w:sectPr>
          <w:pgSz w:w="12240" w:h="15840"/>
          <w:pgMar w:top="1360" w:bottom="280" w:left="1580" w:right="1580"/>
        </w:sectPr>
      </w:pPr>
    </w:p>
    <w:p>
      <w:pPr>
        <w:pStyle w:val="BodyText"/>
        <w:spacing w:line="360" w:lineRule="auto" w:before="52"/>
        <w:ind w:left="119" w:right="98"/>
        <w:jc w:val="both"/>
      </w:pPr>
      <w:r>
        <w:rPr/>
        <w:t>En el siguiente apartado se específica la metodología que acompaña esta investigación. Desde el desarrollo de la caracterización espacio-geográfica, la identificación de los patrones urbanos de ocupación informal, la segmentación y comprobación del modelo de deslizamientos, hasta el diseño de un escenario prospectivo de expansión de asentamientos irregulares.</w:t>
      </w:r>
    </w:p>
    <w:p>
      <w:pPr>
        <w:spacing w:after="0" w:line="360" w:lineRule="auto"/>
        <w:jc w:val="both"/>
        <w:sectPr>
          <w:pgSz w:w="12240" w:h="15840"/>
          <w:pgMar w:top="1360" w:bottom="280" w:left="1580" w:right="1600"/>
        </w:sectPr>
      </w:pPr>
    </w:p>
    <w:p>
      <w:pPr>
        <w:pStyle w:val="Heading1"/>
        <w:spacing w:before="57"/>
        <w:ind w:left="2881"/>
        <w:jc w:val="left"/>
      </w:pPr>
      <w:bookmarkStart w:name="_bookmark36" w:id="64"/>
      <w:bookmarkEnd w:id="64"/>
      <w:r>
        <w:rPr>
          <w:b w:val="0"/>
        </w:rPr>
      </w:r>
      <w:r>
        <w:rPr/>
        <w:t>CAPÍTULO III. METODOLOGÍA</w:t>
      </w:r>
    </w:p>
    <w:p>
      <w:pPr>
        <w:pStyle w:val="BodyText"/>
        <w:rPr>
          <w:b/>
        </w:rPr>
      </w:pPr>
    </w:p>
    <w:p>
      <w:pPr>
        <w:pStyle w:val="BodyText"/>
        <w:spacing w:before="7"/>
        <w:rPr>
          <w:b/>
          <w:sz w:val="18"/>
        </w:rPr>
      </w:pPr>
    </w:p>
    <w:p>
      <w:pPr>
        <w:pStyle w:val="BodyText"/>
        <w:spacing w:line="360" w:lineRule="auto"/>
        <w:ind w:left="119" w:right="104"/>
        <w:jc w:val="both"/>
      </w:pPr>
      <w:r>
        <w:rPr/>
        <w:t>En este capítulo se describen los aspectos metodológicos de la investigación. La fase metodológica se construyó a partir de diversas obras y referentes, entre las más destacadas se encuentran Salinas y Pérez (2011), Espinoza (2013) y Plata (2010). Las principales fases de la metodología fueron las siguientes:</w:t>
      </w:r>
    </w:p>
    <w:p>
      <w:pPr>
        <w:pStyle w:val="BodyText"/>
        <w:spacing w:line="360" w:lineRule="auto" w:before="163"/>
        <w:ind w:left="119" w:right="109" w:firstLine="706"/>
        <w:jc w:val="both"/>
      </w:pPr>
      <w:r>
        <w:rPr>
          <w:b/>
        </w:rPr>
        <w:t>Fase 1. Consulta de fuentes de información. </w:t>
      </w:r>
      <w:r>
        <w:rPr/>
        <w:t>A partir del compendio de diversos autores que analizan el comportamiento social de los asentamientos irregulares, así como de metodologías sobre evaluaciones del riesgo, se construye este apartado.</w:t>
      </w:r>
    </w:p>
    <w:p>
      <w:pPr>
        <w:pStyle w:val="BodyText"/>
        <w:spacing w:line="360" w:lineRule="auto" w:before="167"/>
        <w:ind w:left="119" w:right="98" w:firstLine="706"/>
        <w:jc w:val="both"/>
      </w:pPr>
      <w:r>
        <w:rPr>
          <w:b/>
        </w:rPr>
        <w:t>Fase 2. Construcción de las capas de información</w:t>
      </w:r>
      <w:r>
        <w:rPr/>
        <w:t>. En esta etapa se generaron las capas de edafología, geología, pendientes, precipitación, relieve, y uso de suelo y vegetación. Esta fase  fue primordial para </w:t>
      </w:r>
      <w:r>
        <w:rPr>
          <w:spacing w:val="-4"/>
        </w:rPr>
        <w:t>el </w:t>
      </w:r>
      <w:r>
        <w:rPr/>
        <w:t>análisis multicriterio de la remoción en</w:t>
      </w:r>
      <w:r>
        <w:rPr>
          <w:spacing w:val="-17"/>
        </w:rPr>
        <w:t> </w:t>
      </w:r>
      <w:r>
        <w:rPr/>
        <w:t>masa.</w:t>
      </w:r>
    </w:p>
    <w:p>
      <w:pPr>
        <w:pStyle w:val="BodyText"/>
        <w:spacing w:line="360" w:lineRule="auto" w:before="163"/>
        <w:ind w:left="119" w:right="109" w:firstLine="706"/>
        <w:jc w:val="both"/>
      </w:pPr>
      <w:r>
        <w:rPr>
          <w:b/>
        </w:rPr>
        <w:t>Fase 3.Mapas temáticos. </w:t>
      </w:r>
      <w:r>
        <w:rPr/>
        <w:t>A partir de la información recabada y con la ayuda de los Sistemas de Información Geográfica (SIG), se elaboró la cartografía temática referente a deslizamientos y expansión de crecimiento irregular.</w:t>
      </w:r>
    </w:p>
    <w:p>
      <w:pPr>
        <w:spacing w:after="0" w:line="360" w:lineRule="auto"/>
        <w:jc w:val="both"/>
        <w:sectPr>
          <w:pgSz w:w="12240" w:h="15840"/>
          <w:pgMar w:top="1360" w:bottom="280" w:left="1580" w:right="1600"/>
        </w:sectPr>
      </w:pPr>
    </w:p>
    <w:p>
      <w:pPr>
        <w:pStyle w:val="Heading1"/>
        <w:spacing w:before="57"/>
        <w:ind w:left="3994" w:right="4295"/>
        <w:jc w:val="center"/>
      </w:pPr>
      <w:r>
        <w:rPr/>
        <w:pict>
          <v:group style="position:absolute;margin-left:56.299999pt;margin-top:80.569519pt;width:88.65pt;height:64.75pt;mso-position-horizontal-relative:page;mso-position-vertical-relative:paragraph;z-index:2632" coordorigin="1126,1611" coordsize="1773,1295">
            <v:shape style="position:absolute;left:1126;top:1611;width:1773;height:1295" type="#_x0000_t75" stroked="false">
              <v:imagedata r:id="rId33" o:title=""/>
            </v:shape>
            <v:shape style="position:absolute;left:1126;top:1611;width:1773;height:1295" type="#_x0000_t202" filled="false" stroked="false">
              <v:textbox inset="0,0,0,0">
                <w:txbxContent>
                  <w:p>
                    <w:pPr>
                      <w:spacing w:line="264" w:lineRule="auto" w:before="115"/>
                      <w:ind w:left="184" w:right="182" w:firstLine="1"/>
                      <w:jc w:val="center"/>
                      <w:rPr>
                        <w:sz w:val="18"/>
                      </w:rPr>
                    </w:pPr>
                    <w:r>
                      <w:rPr>
                        <w:sz w:val="18"/>
                      </w:rPr>
                      <w:t>Registros de asentamientos humanos irregulares (PAOT)</w:t>
                    </w:r>
                  </w:p>
                </w:txbxContent>
              </v:textbox>
              <w10:wrap type="none"/>
            </v:shape>
            <w10:wrap type="none"/>
          </v:group>
        </w:pict>
      </w:r>
      <w:r>
        <w:rPr/>
        <w:pict>
          <v:group style="position:absolute;margin-left:482.25pt;margin-top:81.019516pt;width:88.65pt;height:131.950pt;mso-position-horizontal-relative:page;mso-position-vertical-relative:paragraph;z-index:2704" coordorigin="9645,1620" coordsize="1773,2639">
            <v:shape style="position:absolute;left:9645;top:1620;width:1773;height:1285" type="#_x0000_t75" stroked="false">
              <v:imagedata r:id="rId34" o:title=""/>
            </v:shape>
            <v:shape style="position:absolute;left:9645;top:2974;width:1773;height:1285" type="#_x0000_t75" stroked="false">
              <v:imagedata r:id="rId35" o:title=""/>
            </v:shape>
            <v:shape style="position:absolute;left:9858;top:1729;width:1360;height:1076" type="#_x0000_t202" filled="false" stroked="false">
              <v:textbox inset="0,0,0,0">
                <w:txbxContent>
                  <w:p>
                    <w:pPr>
                      <w:spacing w:line="186" w:lineRule="exact" w:before="0"/>
                      <w:ind w:left="0" w:right="8" w:firstLine="0"/>
                      <w:jc w:val="center"/>
                      <w:rPr>
                        <w:sz w:val="18"/>
                      </w:rPr>
                    </w:pPr>
                    <w:r>
                      <w:rPr>
                        <w:sz w:val="18"/>
                      </w:rPr>
                      <w:t>Caracterización</w:t>
                    </w:r>
                  </w:p>
                  <w:p>
                    <w:pPr>
                      <w:spacing w:line="259" w:lineRule="auto" w:before="18"/>
                      <w:ind w:left="0" w:right="0" w:firstLine="0"/>
                      <w:jc w:val="center"/>
                      <w:rPr>
                        <w:sz w:val="18"/>
                      </w:rPr>
                    </w:pPr>
                    <w:r>
                      <w:rPr>
                        <w:sz w:val="18"/>
                      </w:rPr>
                      <w:t>espacio-geográfica de los asentamientos irregulares</w:t>
                    </w:r>
                  </w:p>
                </w:txbxContent>
              </v:textbox>
              <w10:wrap type="none"/>
            </v:shape>
            <v:shape style="position:absolute;left:9834;top:3328;width:1408;height:413" type="#_x0000_t202" filled="false" stroked="false">
              <v:textbox inset="0,0,0,0">
                <w:txbxContent>
                  <w:p>
                    <w:pPr>
                      <w:spacing w:line="186" w:lineRule="exact" w:before="0"/>
                      <w:ind w:left="189" w:right="197" w:firstLine="0"/>
                      <w:jc w:val="center"/>
                      <w:rPr>
                        <w:sz w:val="18"/>
                      </w:rPr>
                    </w:pPr>
                    <w:r>
                      <w:rPr>
                        <w:sz w:val="18"/>
                      </w:rPr>
                      <w:t>Tipologías</w:t>
                    </w:r>
                    <w:r>
                      <w:rPr>
                        <w:spacing w:val="-3"/>
                        <w:sz w:val="18"/>
                      </w:rPr>
                      <w:t> </w:t>
                    </w:r>
                    <w:r>
                      <w:rPr>
                        <w:sz w:val="18"/>
                      </w:rPr>
                      <w:t>de</w:t>
                    </w:r>
                  </w:p>
                  <w:p>
                    <w:pPr>
                      <w:spacing w:line="204" w:lineRule="exact" w:before="23"/>
                      <w:ind w:left="-1" w:right="0" w:firstLine="0"/>
                      <w:jc w:val="center"/>
                      <w:rPr>
                        <w:sz w:val="18"/>
                      </w:rPr>
                    </w:pPr>
                    <w:r>
                      <w:rPr>
                        <w:sz w:val="18"/>
                      </w:rPr>
                      <w:t>ocupación</w:t>
                    </w:r>
                    <w:r>
                      <w:rPr>
                        <w:spacing w:val="-4"/>
                        <w:sz w:val="18"/>
                      </w:rPr>
                      <w:t> </w:t>
                    </w:r>
                    <w:r>
                      <w:rPr>
                        <w:sz w:val="18"/>
                      </w:rPr>
                      <w:t>informal</w:t>
                    </w:r>
                  </w:p>
                </w:txbxContent>
              </v:textbox>
              <w10:wrap type="none"/>
            </v:shape>
            <w10:wrap type="none"/>
          </v:group>
        </w:pict>
      </w:r>
      <w:r>
        <w:rPr/>
        <w:pict>
          <v:group style="position:absolute;margin-left:471.25pt;margin-top:417.829987pt;width:98.65pt;height:91.45pt;mso-position-horizontal-relative:page;mso-position-vertical-relative:page;z-index:2752" coordorigin="9425,8357" coordsize="1973,1829">
            <v:shape style="position:absolute;left:9625;top:8357;width:1773;height:1829" type="#_x0000_t75" stroked="false">
              <v:imagedata r:id="rId36" o:title=""/>
            </v:shape>
            <v:shape style="position:absolute;left:9435;top:8941;width:135;height:563" coordorigin="9435,8941" coordsize="135,563" path="m9435,8941l9570,9222,9435,9504,9435,8941xe" filled="false" stroked="true" strokeweight="1pt" strokecolor="#a4a4a4">
              <v:path arrowok="t"/>
            </v:shape>
            <v:shape style="position:absolute;left:9425;top:8357;width:1973;height:1829" type="#_x0000_t202" filled="false" stroked="false">
              <v:textbox inset="0,0,0,0">
                <w:txbxContent>
                  <w:p>
                    <w:pPr>
                      <w:spacing w:line="240" w:lineRule="auto" w:before="7"/>
                      <w:rPr>
                        <w:b/>
                        <w:sz w:val="23"/>
                      </w:rPr>
                    </w:pPr>
                  </w:p>
                  <w:p>
                    <w:pPr>
                      <w:spacing w:line="264" w:lineRule="auto" w:before="0"/>
                      <w:ind w:left="380" w:right="176" w:firstLine="5"/>
                      <w:jc w:val="center"/>
                      <w:rPr>
                        <w:sz w:val="18"/>
                      </w:rPr>
                    </w:pPr>
                    <w:r>
                      <w:rPr>
                        <w:sz w:val="18"/>
                      </w:rPr>
                      <w:t>Escenario de expansión de asentamientos irregulares en suelo de conservación</w:t>
                    </w:r>
                  </w:p>
                </w:txbxContent>
              </v:textbox>
              <w10:wrap type="none"/>
            </v:shape>
            <w10:wrap type="none"/>
          </v:group>
        </w:pict>
      </w:r>
      <w:r>
        <w:rPr/>
        <w:pict>
          <v:group style="position:absolute;margin-left:160pt;margin-top:81.519516pt;width:88.65pt;height:65.1500pt;mso-position-horizontal-relative:page;mso-position-vertical-relative:paragraph;z-index:2800" coordorigin="3200,1630" coordsize="1773,1303">
            <v:shape style="position:absolute;left:3200;top:1630;width:1773;height:1303" type="#_x0000_t75" stroked="false">
              <v:imagedata r:id="rId37" o:title=""/>
            </v:shape>
            <v:shape style="position:absolute;left:3200;top:1630;width:1773;height:1303" type="#_x0000_t202" filled="false" stroked="false">
              <v:textbox inset="0,0,0,0">
                <w:txbxContent>
                  <w:p>
                    <w:pPr>
                      <w:spacing w:line="240" w:lineRule="auto" w:before="0"/>
                      <w:rPr>
                        <w:b/>
                        <w:sz w:val="18"/>
                      </w:rPr>
                    </w:pPr>
                  </w:p>
                  <w:p>
                    <w:pPr>
                      <w:spacing w:before="139"/>
                      <w:ind w:left="204" w:right="0" w:firstLine="0"/>
                      <w:jc w:val="left"/>
                      <w:rPr>
                        <w:sz w:val="18"/>
                      </w:rPr>
                    </w:pPr>
                    <w:r>
                      <w:rPr>
                        <w:sz w:val="18"/>
                      </w:rPr>
                      <w:t>Número, nombre y</w:t>
                    </w:r>
                  </w:p>
                  <w:p>
                    <w:pPr>
                      <w:spacing w:before="23"/>
                      <w:ind w:left="180" w:right="0" w:firstLine="0"/>
                      <w:jc w:val="left"/>
                      <w:rPr>
                        <w:sz w:val="18"/>
                      </w:rPr>
                    </w:pPr>
                    <w:r>
                      <w:rPr>
                        <w:sz w:val="18"/>
                      </w:rPr>
                      <w:t>extensión territorial</w:t>
                    </w:r>
                  </w:p>
                </w:txbxContent>
              </v:textbox>
              <w10:wrap type="none"/>
            </v:shape>
            <w10:wrap type="none"/>
          </v:group>
        </w:pict>
      </w:r>
      <w:r>
        <w:rPr/>
        <w:pict>
          <v:group style="position:absolute;margin-left:263.950012pt;margin-top:81.919518pt;width:203.15pt;height:203.85pt;mso-position-horizontal-relative:page;mso-position-vertical-relative:paragraph;z-index:2968" coordorigin="5279,1638" coordsize="4063,4077">
            <v:shape style="position:absolute;left:5279;top:1638;width:2031;height:1303" type="#_x0000_t75" stroked="false">
              <v:imagedata r:id="rId38" o:title=""/>
            </v:shape>
            <v:shape style="position:absolute;left:7539;top:1638;width:1803;height:1303" type="#_x0000_t75" stroked="false">
              <v:imagedata r:id="rId39" o:title=""/>
            </v:shape>
            <v:shape style="position:absolute;left:7366;top:1841;width:135;height:563" coordorigin="7366,1841" coordsize="135,563" path="m7366,1841l7501,2123,7366,2404,7366,1841xe" filled="false" stroked="true" strokeweight="1pt" strokecolor="#a4a4a4">
              <v:path arrowok="t"/>
            </v:shape>
            <v:shape style="position:absolute;left:7539;top:3004;width:1803;height:1303" type="#_x0000_t75" stroked="false">
              <v:imagedata r:id="rId39" o:title=""/>
            </v:shape>
            <v:shape style="position:absolute;left:5279;top:3012;width:2031;height:1303" type="#_x0000_t75" stroked="false">
              <v:imagedata r:id="rId38" o:title=""/>
            </v:shape>
            <v:shape style="position:absolute;left:7366;top:3291;width:135;height:563" coordorigin="7366,3291" coordsize="135,563" path="m7366,3291l7501,3572,7366,3854,7366,3291xe" filled="false" stroked="true" strokeweight="1pt" strokecolor="#a4a4a4">
              <v:path arrowok="t"/>
            </v:shape>
            <v:shape style="position:absolute;left:5289;top:4412;width:2031;height:1303" type="#_x0000_t75" stroked="false">
              <v:imagedata r:id="rId40" o:title=""/>
            </v:shape>
            <v:shape style="position:absolute;left:7366;top:4661;width:135;height:563" coordorigin="7366,4661" coordsize="135,563" path="m7366,4661l7501,4943,7366,5224,7366,4661xe" filled="false" stroked="true" strokeweight="1pt" strokecolor="#a4a4a4">
              <v:path arrowok="t"/>
            </v:shape>
            <v:shape style="position:absolute;left:7539;top:4382;width:1803;height:1303" type="#_x0000_t75" stroked="false">
              <v:imagedata r:id="rId41" o:title=""/>
            </v:shape>
            <v:shape style="position:absolute;left:5705;top:1782;width:1184;height:855" type="#_x0000_t202" filled="false" stroked="false">
              <v:textbox inset="0,0,0,0">
                <w:txbxContent>
                  <w:p>
                    <w:pPr>
                      <w:spacing w:line="186" w:lineRule="exact" w:before="0"/>
                      <w:ind w:left="81" w:right="-13" w:firstLine="43"/>
                      <w:jc w:val="left"/>
                      <w:rPr>
                        <w:sz w:val="18"/>
                      </w:rPr>
                    </w:pPr>
                    <w:r>
                      <w:rPr>
                        <w:sz w:val="18"/>
                      </w:rPr>
                      <w:t>Polígonos de</w:t>
                    </w:r>
                  </w:p>
                  <w:p>
                    <w:pPr>
                      <w:spacing w:line="261" w:lineRule="auto" w:before="14"/>
                      <w:ind w:left="0" w:right="-13" w:firstLine="81"/>
                      <w:jc w:val="left"/>
                      <w:rPr>
                        <w:sz w:val="18"/>
                      </w:rPr>
                    </w:pPr>
                    <w:r>
                      <w:rPr>
                        <w:sz w:val="18"/>
                      </w:rPr>
                      <w:t>asentamientos irregulares en </w:t>
                    </w:r>
                    <w:r>
                      <w:rPr>
                        <w:spacing w:val="-3"/>
                        <w:sz w:val="18"/>
                      </w:rPr>
                      <w:t>el </w:t>
                    </w:r>
                    <w:r>
                      <w:rPr>
                        <w:sz w:val="18"/>
                      </w:rPr>
                      <w:t>software</w:t>
                    </w:r>
                    <w:r>
                      <w:rPr>
                        <w:spacing w:val="-8"/>
                        <w:sz w:val="18"/>
                      </w:rPr>
                      <w:t> </w:t>
                    </w:r>
                    <w:r>
                      <w:rPr>
                        <w:sz w:val="18"/>
                      </w:rPr>
                      <w:t>ArcGis</w:t>
                    </w:r>
                  </w:p>
                </w:txbxContent>
              </v:textbox>
              <w10:wrap type="none"/>
            </v:shape>
            <v:shape style="position:absolute;left:7836;top:2118;width:1215;height:183" type="#_x0000_t202" filled="false" stroked="false">
              <v:textbox inset="0,0,0,0">
                <w:txbxContent>
                  <w:p>
                    <w:pPr>
                      <w:spacing w:line="182" w:lineRule="exact" w:before="0"/>
                      <w:ind w:left="0" w:right="-20" w:firstLine="0"/>
                      <w:jc w:val="left"/>
                      <w:rPr>
                        <w:sz w:val="18"/>
                      </w:rPr>
                    </w:pPr>
                    <w:r>
                      <w:rPr>
                        <w:sz w:val="18"/>
                      </w:rPr>
                      <w:t>Análisis espacial</w:t>
                    </w:r>
                  </w:p>
                </w:txbxContent>
              </v:textbox>
              <w10:wrap type="none"/>
            </v:shape>
            <v:shape style="position:absolute;left:5671;top:3121;width:1247;height:1076" type="#_x0000_t202" filled="false" stroked="false">
              <v:textbox inset="0,0,0,0">
                <w:txbxContent>
                  <w:p>
                    <w:pPr>
                      <w:spacing w:line="186" w:lineRule="exact" w:before="0"/>
                      <w:ind w:left="-1" w:right="0" w:firstLine="0"/>
                      <w:jc w:val="center"/>
                      <w:rPr>
                        <w:sz w:val="18"/>
                      </w:rPr>
                    </w:pPr>
                    <w:r>
                      <w:rPr>
                        <w:sz w:val="18"/>
                      </w:rPr>
                      <w:t>Sobreposición</w:t>
                    </w:r>
                    <w:r>
                      <w:rPr>
                        <w:spacing w:val="1"/>
                        <w:sz w:val="18"/>
                      </w:rPr>
                      <w:t> </w:t>
                    </w:r>
                    <w:r>
                      <w:rPr>
                        <w:spacing w:val="-3"/>
                        <w:sz w:val="18"/>
                      </w:rPr>
                      <w:t>de</w:t>
                    </w:r>
                  </w:p>
                  <w:p>
                    <w:pPr>
                      <w:spacing w:line="259" w:lineRule="auto" w:before="18"/>
                      <w:ind w:left="43" w:right="43" w:firstLine="7"/>
                      <w:jc w:val="center"/>
                      <w:rPr>
                        <w:sz w:val="18"/>
                      </w:rPr>
                    </w:pPr>
                    <w:r>
                      <w:rPr>
                        <w:sz w:val="18"/>
                      </w:rPr>
                      <w:t>polígonos de asentamientos irregulares en el servidor</w:t>
                    </w:r>
                  </w:p>
                </w:txbxContent>
              </v:textbox>
              <w10:wrap type="none"/>
            </v:shape>
            <v:shape style="position:absolute;left:7856;top:3256;width:1175;height:634" type="#_x0000_t202" filled="false" stroked="false">
              <v:textbox inset="0,0,0,0">
                <w:txbxContent>
                  <w:p>
                    <w:pPr>
                      <w:spacing w:line="186" w:lineRule="exact" w:before="0"/>
                      <w:ind w:left="-1" w:right="0" w:firstLine="0"/>
                      <w:jc w:val="center"/>
                      <w:rPr>
                        <w:sz w:val="18"/>
                      </w:rPr>
                    </w:pPr>
                    <w:r>
                      <w:rPr>
                        <w:sz w:val="18"/>
                      </w:rPr>
                      <w:t>Exploración</w:t>
                    </w:r>
                    <w:r>
                      <w:rPr>
                        <w:spacing w:val="-6"/>
                        <w:sz w:val="18"/>
                      </w:rPr>
                      <w:t> </w:t>
                    </w:r>
                    <w:r>
                      <w:rPr>
                        <w:sz w:val="18"/>
                      </w:rPr>
                      <w:t>por</w:t>
                    </w:r>
                  </w:p>
                  <w:p>
                    <w:pPr>
                      <w:spacing w:before="18"/>
                      <w:ind w:left="0" w:right="0" w:firstLine="0"/>
                      <w:jc w:val="center"/>
                      <w:rPr>
                        <w:sz w:val="18"/>
                      </w:rPr>
                    </w:pPr>
                    <w:r>
                      <w:rPr>
                        <w:sz w:val="18"/>
                      </w:rPr>
                      <w:t>poblado en cada</w:t>
                    </w:r>
                  </w:p>
                  <w:p>
                    <w:pPr>
                      <w:spacing w:line="204" w:lineRule="exact" w:before="18"/>
                      <w:ind w:left="3" w:right="0" w:firstLine="0"/>
                      <w:jc w:val="center"/>
                      <w:rPr>
                        <w:sz w:val="18"/>
                      </w:rPr>
                    </w:pPr>
                    <w:r>
                      <w:rPr>
                        <w:sz w:val="18"/>
                      </w:rPr>
                      <w:t>delegación</w:t>
                    </w:r>
                  </w:p>
                </w:txbxContent>
              </v:textbox>
              <w10:wrap type="none"/>
            </v:shape>
            <v:shape style="position:absolute;left:5512;top:4586;width:1596;height:408" type="#_x0000_t202" filled="false" stroked="false">
              <v:textbox inset="0,0,0,0">
                <w:txbxContent>
                  <w:p>
                    <w:pPr>
                      <w:spacing w:line="186" w:lineRule="exact" w:before="0"/>
                      <w:ind w:left="0" w:right="-14" w:firstLine="33"/>
                      <w:jc w:val="left"/>
                      <w:rPr>
                        <w:sz w:val="18"/>
                      </w:rPr>
                    </w:pPr>
                    <w:r>
                      <w:rPr>
                        <w:sz w:val="18"/>
                      </w:rPr>
                      <w:t>Localización puntual</w:t>
                    </w:r>
                  </w:p>
                  <w:p>
                    <w:pPr>
                      <w:spacing w:line="204" w:lineRule="exact" w:before="18"/>
                      <w:ind w:left="0" w:right="-14" w:firstLine="0"/>
                      <w:jc w:val="left"/>
                      <w:rPr>
                        <w:sz w:val="18"/>
                      </w:rPr>
                    </w:pPr>
                    <w:r>
                      <w:rPr>
                        <w:sz w:val="18"/>
                      </w:rPr>
                      <w:t>de cada deslizamiento</w:t>
                    </w:r>
                  </w:p>
                </w:txbxContent>
              </v:textbox>
              <w10:wrap type="none"/>
            </v:shape>
            <v:shape style="position:absolute;left:8034;top:4864;width:824;height:183" type="#_x0000_t202" filled="false" stroked="false">
              <v:textbox inset="0,0,0,0">
                <w:txbxContent>
                  <w:p>
                    <w:pPr>
                      <w:spacing w:line="182" w:lineRule="exact" w:before="0"/>
                      <w:ind w:left="0" w:right="-16" w:firstLine="0"/>
                      <w:jc w:val="left"/>
                      <w:rPr>
                        <w:sz w:val="18"/>
                      </w:rPr>
                    </w:pPr>
                    <w:r>
                      <w:rPr>
                        <w:sz w:val="18"/>
                      </w:rPr>
                      <w:t>Cartografía</w:t>
                    </w:r>
                  </w:p>
                </w:txbxContent>
              </v:textbox>
              <w10:wrap type="none"/>
            </v:shape>
            <w10:wrap type="none"/>
          </v:group>
        </w:pict>
      </w:r>
      <w:r>
        <w:rPr/>
        <w:pict>
          <v:shape style="position:absolute;margin-left:149.100006pt;margin-top:99.409515pt;width:6.75pt;height:28.15pt;mso-position-horizontal-relative:page;mso-position-vertical-relative:paragraph;z-index:2992" coordorigin="2982,1988" coordsize="135,563" path="m2982,1988l3117,2270,2982,2551,2982,1988xe" filled="false" stroked="true" strokeweight="1pt" strokecolor="#a4a4a4">
            <v:path arrowok="t"/>
            <w10:wrap type="none"/>
          </v:shape>
        </w:pict>
      </w:r>
      <w:r>
        <w:rPr/>
        <w:pict>
          <v:shape style="position:absolute;margin-left:252.899994pt;margin-top:457.829987pt;width:6.75pt;height:28.15pt;mso-position-horizontal-relative:page;mso-position-vertical-relative:page;z-index:3016" coordorigin="5058,9157" coordsize="135,563" path="m5058,9157l5193,9438,5058,9720,5058,9157xe" filled="false" stroked="true" strokeweight="1pt" strokecolor="#a4a4a4">
            <v:path arrowok="t"/>
            <w10:wrap type="none"/>
          </v:shape>
        </w:pict>
      </w:r>
      <w:r>
        <w:rPr/>
        <w:pict>
          <v:shape style="position:absolute;margin-left:252.899994pt;margin-top:94.909515pt;width:6.75pt;height:28.15pt;mso-position-horizontal-relative:page;mso-position-vertical-relative:paragraph;z-index:3040" coordorigin="5058,1898" coordsize="135,563" path="m5058,1898l5193,2180,5058,2461,5058,1898xe" filled="false" stroked="true" strokeweight="1.0pt" strokecolor="#a4a4a4">
            <v:path arrowok="t"/>
            <w10:wrap type="none"/>
          </v:shape>
        </w:pict>
      </w:r>
      <w:r>
        <w:rPr/>
        <w:pict>
          <v:group style="position:absolute;margin-left:263.950012pt;margin-top:433.880005pt;width:203.15pt;height:79pt;mso-position-horizontal-relative:page;mso-position-vertical-relative:page;z-index:3112" coordorigin="5279,8678" coordsize="4063,1580">
            <v:shape style="position:absolute;left:7366;top:9158;width:135;height:563" coordorigin="7366,9158" coordsize="135,563" path="m7366,9158l7501,9439,7366,9721,7366,9158xe" filled="false" stroked="true" strokeweight="1pt" strokecolor="#a4a4a4">
              <v:path arrowok="t"/>
            </v:shape>
            <v:shape style="position:absolute;left:5279;top:8678;width:2031;height:1580" type="#_x0000_t75" stroked="false">
              <v:imagedata r:id="rId42" o:title=""/>
            </v:shape>
            <v:shape style="position:absolute;left:7539;top:8772;width:1803;height:1415" type="#_x0000_t75" stroked="false">
              <v:imagedata r:id="rId43" o:title=""/>
            </v:shape>
            <v:shape style="position:absolute;left:5503;top:9182;width:1594;height:418" type="#_x0000_t202" filled="false" stroked="false">
              <v:textbox inset="0,0,0,0">
                <w:txbxContent>
                  <w:p>
                    <w:pPr>
                      <w:spacing w:line="186" w:lineRule="exact" w:before="0"/>
                      <w:ind w:left="-1" w:right="0" w:firstLine="0"/>
                      <w:jc w:val="center"/>
                      <w:rPr>
                        <w:sz w:val="18"/>
                      </w:rPr>
                    </w:pPr>
                    <w:r>
                      <w:rPr>
                        <w:sz w:val="18"/>
                      </w:rPr>
                      <w:t>Matriz de</w:t>
                    </w:r>
                    <w:r>
                      <w:rPr>
                        <w:spacing w:val="-9"/>
                        <w:sz w:val="18"/>
                      </w:rPr>
                      <w:t> </w:t>
                    </w:r>
                    <w:r>
                      <w:rPr>
                        <w:sz w:val="18"/>
                      </w:rPr>
                      <w:t>crecimiento</w:t>
                    </w:r>
                  </w:p>
                  <w:p>
                    <w:pPr>
                      <w:spacing w:line="204" w:lineRule="exact" w:before="28"/>
                      <w:ind w:left="526" w:right="528" w:firstLine="0"/>
                      <w:jc w:val="center"/>
                      <w:rPr>
                        <w:sz w:val="18"/>
                      </w:rPr>
                    </w:pPr>
                    <w:r>
                      <w:rPr>
                        <w:sz w:val="18"/>
                      </w:rPr>
                      <w:t>urbano</w:t>
                    </w:r>
                  </w:p>
                </w:txbxContent>
              </v:textbox>
              <w10:wrap type="none"/>
            </v:shape>
            <v:shape style="position:absolute;left:8187;top:9509;width:514;height:183" type="#_x0000_t202" filled="false" stroked="false">
              <v:textbox inset="0,0,0,0">
                <w:txbxContent>
                  <w:p>
                    <w:pPr>
                      <w:spacing w:line="182" w:lineRule="exact" w:before="0"/>
                      <w:ind w:left="0" w:right="-16" w:firstLine="0"/>
                      <w:jc w:val="left"/>
                      <w:rPr>
                        <w:sz w:val="18"/>
                      </w:rPr>
                    </w:pPr>
                    <w:r>
                      <w:rPr>
                        <w:sz w:val="18"/>
                      </w:rPr>
                      <w:t>Diseño</w:t>
                    </w:r>
                  </w:p>
                </w:txbxContent>
              </v:textbox>
              <w10:wrap type="none"/>
            </v:shape>
            <w10:wrap type="none"/>
          </v:group>
        </w:pict>
      </w:r>
      <w:r>
        <w:rPr/>
        <w:pict>
          <v:shape style="position:absolute;margin-left:471.75pt;margin-top:92.059517pt;width:6.75pt;height:28.15pt;mso-position-horizontal-relative:page;mso-position-vertical-relative:paragraph;z-index:3136" coordorigin="9435,1841" coordsize="135,563" path="m9435,1841l9570,2123,9435,2404,9435,1841xe" filled="false" stroked="true" strokeweight="1pt" strokecolor="#a4a4a4">
            <v:path arrowok="t"/>
            <w10:wrap type="none"/>
          </v:shape>
        </w:pict>
      </w:r>
      <w:r>
        <w:rPr/>
        <w:pict>
          <v:group style="position:absolute;margin-left:56.799999pt;margin-top:287.630005pt;width:99.55pt;height:64.75pt;mso-position-horizontal-relative:page;mso-position-vertical-relative:page;z-index:3184" coordorigin="1136,5753" coordsize="1991,1295">
            <v:shape style="position:absolute;left:2982;top:6084;width:135;height:563" coordorigin="2982,6084" coordsize="135,563" path="m2982,6084l3117,6366,2982,6647,2982,6084xe" filled="false" stroked="true" strokeweight="1pt" strokecolor="#a4a4a4">
              <v:path arrowok="t"/>
            </v:shape>
            <v:shape style="position:absolute;left:1136;top:5753;width:1773;height:1295" type="#_x0000_t75" stroked="false">
              <v:imagedata r:id="rId33" o:title=""/>
            </v:shape>
            <v:shape style="position:absolute;left:1136;top:5753;width:1991;height:1295" type="#_x0000_t202" filled="false" stroked="false">
              <v:textbox inset="0,0,0,0">
                <w:txbxContent>
                  <w:p>
                    <w:pPr>
                      <w:spacing w:line="259" w:lineRule="auto" w:before="119"/>
                      <w:ind w:left="177" w:right="394" w:firstLine="0"/>
                      <w:jc w:val="center"/>
                      <w:rPr>
                        <w:sz w:val="18"/>
                      </w:rPr>
                    </w:pPr>
                    <w:r>
                      <w:rPr>
                        <w:sz w:val="18"/>
                      </w:rPr>
                      <w:t>Registros</w:t>
                    </w:r>
                    <w:r>
                      <w:rPr>
                        <w:spacing w:val="-10"/>
                        <w:sz w:val="18"/>
                      </w:rPr>
                      <w:t> </w:t>
                    </w:r>
                    <w:r>
                      <w:rPr>
                        <w:sz w:val="18"/>
                      </w:rPr>
                      <w:t>históricos de deslizamientos en el área </w:t>
                    </w:r>
                    <w:r>
                      <w:rPr>
                        <w:spacing w:val="-3"/>
                        <w:sz w:val="18"/>
                      </w:rPr>
                      <w:t>de </w:t>
                    </w:r>
                    <w:r>
                      <w:rPr>
                        <w:sz w:val="18"/>
                      </w:rPr>
                      <w:t>estudio</w:t>
                    </w:r>
                  </w:p>
                </w:txbxContent>
              </v:textbox>
              <w10:wrap type="none"/>
            </v:shape>
            <w10:wrap type="none"/>
          </v:group>
        </w:pict>
      </w:r>
      <w:r>
        <w:rPr/>
        <w:pict>
          <v:group style="position:absolute;margin-left:56.299999pt;margin-top:218.610001pt;width:88.65pt;height:64.75pt;mso-position-horizontal-relative:page;mso-position-vertical-relative:page;z-index:3232" coordorigin="1126,4372" coordsize="1773,1295">
            <v:shape style="position:absolute;left:1126;top:4372;width:1773;height:1295" type="#_x0000_t75" stroked="false">
              <v:imagedata r:id="rId33" o:title=""/>
            </v:shape>
            <v:shape style="position:absolute;left:1126;top:4372;width:1773;height:1295" type="#_x0000_t202" filled="false" stroked="false">
              <v:textbox inset="0,0,0,0">
                <w:txbxContent>
                  <w:p>
                    <w:pPr>
                      <w:spacing w:line="240" w:lineRule="auto" w:before="9"/>
                      <w:rPr>
                        <w:b/>
                        <w:sz w:val="19"/>
                      </w:rPr>
                    </w:pPr>
                  </w:p>
                  <w:p>
                    <w:pPr>
                      <w:spacing w:line="264" w:lineRule="auto" w:before="0"/>
                      <w:ind w:left="180" w:right="175" w:hanging="8"/>
                      <w:jc w:val="center"/>
                      <w:rPr>
                        <w:sz w:val="18"/>
                      </w:rPr>
                    </w:pPr>
                    <w:r>
                      <w:rPr>
                        <w:sz w:val="18"/>
                      </w:rPr>
                      <w:t>Fotografías áreas 2013-2015 (Google Earth)</w:t>
                    </w:r>
                  </w:p>
                </w:txbxContent>
              </v:textbox>
              <w10:wrap type="none"/>
            </v:shape>
            <w10:wrap type="none"/>
          </v:group>
        </w:pict>
      </w:r>
      <w:r>
        <w:rPr/>
        <w:pict>
          <v:group style="position:absolute;margin-left:159.949997pt;margin-top:218.610001pt;width:88.65pt;height:65.1500pt;mso-position-horizontal-relative:page;mso-position-vertical-relative:page;z-index:3280" coordorigin="3199,4372" coordsize="1773,1303">
            <v:shape style="position:absolute;left:3199;top:4372;width:1773;height:1303" type="#_x0000_t75" stroked="false">
              <v:imagedata r:id="rId37" o:title=""/>
            </v:shape>
            <v:shape style="position:absolute;left:3199;top:4372;width:1773;height:1303" type="#_x0000_t202" filled="false" stroked="false">
              <v:textbox inset="0,0,0,0">
                <w:txbxContent>
                  <w:p>
                    <w:pPr>
                      <w:spacing w:line="240" w:lineRule="auto" w:before="0"/>
                      <w:rPr>
                        <w:b/>
                        <w:sz w:val="18"/>
                      </w:rPr>
                    </w:pPr>
                  </w:p>
                  <w:p>
                    <w:pPr>
                      <w:spacing w:line="240" w:lineRule="auto" w:before="7"/>
                      <w:rPr>
                        <w:b/>
                        <w:sz w:val="22"/>
                      </w:rPr>
                    </w:pPr>
                  </w:p>
                  <w:p>
                    <w:pPr>
                      <w:spacing w:before="0"/>
                      <w:ind w:left="224" w:right="0" w:firstLine="0"/>
                      <w:jc w:val="left"/>
                      <w:rPr>
                        <w:sz w:val="18"/>
                      </w:rPr>
                    </w:pPr>
                    <w:r>
                      <w:rPr>
                        <w:sz w:val="18"/>
                      </w:rPr>
                      <w:t>Fotointerpretación</w:t>
                    </w:r>
                  </w:p>
                </w:txbxContent>
              </v:textbox>
              <w10:wrap type="none"/>
            </v:shape>
            <w10:wrap type="none"/>
          </v:group>
        </w:pict>
      </w:r>
      <w:r>
        <w:rPr/>
        <w:pict>
          <v:shape style="position:absolute;margin-left:471.75pt;margin-top:228.550003pt;width:6.75pt;height:28.15pt;mso-position-horizontal-relative:page;mso-position-vertical-relative:page;z-index:3304" coordorigin="9435,4571" coordsize="135,563" path="m9435,4571l9570,4853,9435,5134,9435,4571xe" filled="false" stroked="true" strokeweight="1pt" strokecolor="#a4a4a4">
            <v:path arrowok="t"/>
            <w10:wrap type="none"/>
          </v:shape>
        </w:pict>
      </w:r>
      <w:r>
        <w:rPr/>
        <w:pict>
          <v:shape style="position:absolute;margin-left:252.899994pt;margin-top:232.550003pt;width:6.75pt;height:28.15pt;mso-position-horizontal-relative:page;mso-position-vertical-relative:page;z-index:3328" coordorigin="5058,4651" coordsize="135,563" path="m5058,4651l5193,4933,5058,5214,5058,4651xe" filled="false" stroked="true" strokeweight="1.0pt" strokecolor="#a4a4a4">
            <v:path arrowok="t"/>
            <w10:wrap type="none"/>
          </v:shape>
        </w:pict>
      </w:r>
      <w:r>
        <w:rPr/>
        <w:pict>
          <v:shape style="position:absolute;margin-left:149.100006pt;margin-top:235.050003pt;width:6.75pt;height:28.15pt;mso-position-horizontal-relative:page;mso-position-vertical-relative:page;z-index:3352" coordorigin="2982,4701" coordsize="135,563" path="m2982,4701l3117,4983,2982,5264,2982,4701xe" filled="false" stroked="true" strokeweight="1pt" strokecolor="#a4a4a4">
            <v:path arrowok="t"/>
            <w10:wrap type="none"/>
          </v:shape>
        </w:pict>
      </w:r>
      <w:r>
        <w:rPr/>
        <w:pict>
          <v:group style="position:absolute;margin-left:160.449997pt;margin-top:288.630005pt;width:88.65pt;height:65.1500pt;mso-position-horizontal-relative:page;mso-position-vertical-relative:page;z-index:3400" coordorigin="3209,5773" coordsize="1773,1303">
            <v:shape style="position:absolute;left:3209;top:5773;width:1773;height:1303" type="#_x0000_t75" stroked="false">
              <v:imagedata r:id="rId44" o:title=""/>
            </v:shape>
            <v:shape style="position:absolute;left:3209;top:5773;width:1773;height:1303" type="#_x0000_t202" filled="false" stroked="false">
              <v:textbox inset="0,0,0,0">
                <w:txbxContent>
                  <w:p>
                    <w:pPr>
                      <w:spacing w:line="240" w:lineRule="auto" w:before="0"/>
                      <w:rPr>
                        <w:b/>
                        <w:sz w:val="18"/>
                      </w:rPr>
                    </w:pPr>
                  </w:p>
                  <w:p>
                    <w:pPr>
                      <w:spacing w:line="240" w:lineRule="auto" w:before="11"/>
                      <w:rPr>
                        <w:b/>
                        <w:sz w:val="21"/>
                      </w:rPr>
                    </w:pPr>
                  </w:p>
                  <w:p>
                    <w:pPr>
                      <w:spacing w:before="0"/>
                      <w:ind w:left="166" w:right="0" w:firstLine="0"/>
                      <w:jc w:val="left"/>
                      <w:rPr>
                        <w:sz w:val="18"/>
                      </w:rPr>
                    </w:pPr>
                    <w:r>
                      <w:rPr>
                        <w:sz w:val="18"/>
                      </w:rPr>
                      <w:t>Georrefencia</w:t>
                    </w:r>
                  </w:p>
                </w:txbxContent>
              </v:textbox>
              <w10:wrap type="none"/>
            </v:shape>
            <w10:wrap type="none"/>
          </v:group>
        </w:pict>
      </w:r>
      <w:r>
        <w:rPr/>
        <w:pict>
          <v:shape style="position:absolute;margin-left:252.899994pt;margin-top:304.220001pt;width:6.75pt;height:28.15pt;mso-position-horizontal-relative:page;mso-position-vertical-relative:page;z-index:3424" coordorigin="5058,6084" coordsize="135,563" path="m5058,6084l5193,6366,5058,6647,5058,6084xe" filled="false" stroked="true" strokeweight="1pt" strokecolor="#a4a4a4">
            <v:path arrowok="t"/>
            <w10:wrap type="none"/>
          </v:shape>
        </w:pict>
      </w:r>
      <w:r>
        <w:rPr/>
        <w:pict>
          <v:group style="position:absolute;margin-left:482.25pt;margin-top:288.029999pt;width:88.65pt;height:64.25pt;mso-position-horizontal-relative:page;mso-position-vertical-relative:page;z-index:3472" coordorigin="9645,5761" coordsize="1773,1285">
            <v:shape style="position:absolute;left:9645;top:5761;width:1773;height:1285" type="#_x0000_t75" stroked="false">
              <v:imagedata r:id="rId35" o:title=""/>
            </v:shape>
            <v:shape style="position:absolute;left:9645;top:5761;width:1773;height:1285" type="#_x0000_t202" filled="false" stroked="false">
              <v:textbox inset="0,0,0,0">
                <w:txbxContent>
                  <w:p>
                    <w:pPr>
                      <w:spacing w:line="240" w:lineRule="auto" w:before="0"/>
                      <w:rPr>
                        <w:b/>
                        <w:sz w:val="18"/>
                      </w:rPr>
                    </w:pPr>
                  </w:p>
                  <w:p>
                    <w:pPr>
                      <w:spacing w:line="261" w:lineRule="auto" w:before="130"/>
                      <w:ind w:left="621" w:right="196" w:hanging="399"/>
                      <w:jc w:val="left"/>
                      <w:rPr>
                        <w:sz w:val="18"/>
                      </w:rPr>
                    </w:pPr>
                    <w:r>
                      <w:rPr>
                        <w:sz w:val="18"/>
                      </w:rPr>
                      <w:t>Comprobación del modelo</w:t>
                    </w:r>
                  </w:p>
                </w:txbxContent>
              </v:textbox>
              <w10:wrap type="none"/>
            </v:shape>
            <w10:wrap type="none"/>
          </v:group>
        </w:pict>
      </w:r>
      <w:r>
        <w:rPr/>
        <w:pict>
          <v:shape style="position:absolute;margin-left:471.75pt;margin-top:301.070007pt;width:6.75pt;height:28.15pt;mso-position-horizontal-relative:page;mso-position-vertical-relative:page;z-index:3496" coordorigin="9435,6021" coordsize="135,563" path="m9435,6021l9570,6303,9435,6584,9435,6021xe" filled="false" stroked="true" strokeweight="1pt" strokecolor="#a4a4a4">
            <v:path arrowok="t"/>
            <w10:wrap type="none"/>
          </v:shape>
        </w:pict>
      </w:r>
      <w:r>
        <w:rPr/>
        <w:t>Esquema metodológico</w:t>
      </w:r>
    </w:p>
    <w:p>
      <w:pPr>
        <w:pStyle w:val="BodyText"/>
        <w:rPr>
          <w:b/>
          <w:sz w:val="20"/>
        </w:rPr>
      </w:pPr>
    </w:p>
    <w:p>
      <w:pPr>
        <w:pStyle w:val="BodyText"/>
        <w:spacing w:before="10"/>
        <w:rPr>
          <w:b/>
          <w:sz w:val="23"/>
        </w:rPr>
      </w:pPr>
      <w:r>
        <w:rPr/>
        <w:pict>
          <v:group style="position:absolute;margin-left:56.25pt;margin-top:15.771567pt;width:88.7pt;height:32.35pt;mso-position-horizontal-relative:page;mso-position-vertical-relative:paragraph;z-index:2080;mso-wrap-distance-left:0;mso-wrap-distance-right:0" coordorigin="1125,315" coordsize="1774,647">
            <v:shape style="position:absolute;left:1125;top:315;width:1774;height:647" type="#_x0000_t75" stroked="false">
              <v:imagedata r:id="rId45" o:title=""/>
            </v:shape>
            <v:shape style="position:absolute;left:1125;top:315;width:1774;height:647" type="#_x0000_t202" filled="false" stroked="false">
              <v:textbox inset="0,0,0,0">
                <w:txbxContent>
                  <w:p>
                    <w:pPr>
                      <w:spacing w:line="266" w:lineRule="auto" w:before="85"/>
                      <w:ind w:left="397" w:right="379" w:firstLine="57"/>
                      <w:jc w:val="left"/>
                      <w:rPr>
                        <w:sz w:val="20"/>
                      </w:rPr>
                    </w:pPr>
                    <w:r>
                      <w:rPr>
                        <w:sz w:val="20"/>
                      </w:rPr>
                      <w:t>Fuentes de información</w:t>
                    </w:r>
                  </w:p>
                </w:txbxContent>
              </v:textbox>
              <w10:wrap type="none"/>
            </v:shape>
            <w10:wrap type="topAndBottom"/>
          </v:group>
        </w:pict>
      </w:r>
      <w:r>
        <w:rPr/>
        <w:pict>
          <v:shape style="position:absolute;margin-left:149.100006pt;margin-top:19.471567pt;width:6.75pt;height:28.15pt;mso-position-horizontal-relative:page;mso-position-vertical-relative:paragraph;z-index:2104;mso-wrap-distance-left:0;mso-wrap-distance-right:0" coordorigin="2982,389" coordsize="135,563" path="m2982,389l2982,952,3117,671,2982,389xe" filled="true" fillcolor="#d7d7d7" stroked="false">
            <v:path arrowok="t"/>
            <v:fill type="solid"/>
            <w10:wrap type="topAndBottom"/>
          </v:shape>
        </w:pict>
      </w:r>
      <w:r>
        <w:rPr/>
        <w:pict>
          <v:group style="position:absolute;margin-left:160.050003pt;margin-top:15.771567pt;width:88.6pt;height:32.35pt;mso-position-horizontal-relative:page;mso-position-vertical-relative:paragraph;z-index:2152;mso-wrap-distance-left:0;mso-wrap-distance-right:0" coordorigin="3201,315" coordsize="1772,647">
            <v:shape style="position:absolute;left:3201;top:315;width:1772;height:647" type="#_x0000_t75" stroked="false">
              <v:imagedata r:id="rId46" o:title=""/>
            </v:shape>
            <v:shape style="position:absolute;left:3201;top:315;width:1772;height:647" type="#_x0000_t202" filled="false" stroked="false">
              <v:textbox inset="0,0,0,0">
                <w:txbxContent>
                  <w:p>
                    <w:pPr>
                      <w:spacing w:line="266" w:lineRule="auto" w:before="85"/>
                      <w:ind w:left="553" w:right="183" w:hanging="351"/>
                      <w:jc w:val="left"/>
                      <w:rPr>
                        <w:sz w:val="20"/>
                      </w:rPr>
                    </w:pPr>
                    <w:r>
                      <w:rPr>
                        <w:sz w:val="20"/>
                      </w:rPr>
                      <w:t>Homogenización de datos</w:t>
                    </w:r>
                  </w:p>
                </w:txbxContent>
              </v:textbox>
              <w10:wrap type="none"/>
            </v:shape>
            <w10:wrap type="topAndBottom"/>
          </v:group>
        </w:pict>
      </w:r>
      <w:r>
        <w:rPr/>
        <w:pict>
          <v:shape style="position:absolute;margin-left:252.899994pt;margin-top:19.471567pt;width:6.75pt;height:28.15pt;mso-position-horizontal-relative:page;mso-position-vertical-relative:paragraph;z-index:2176;mso-wrap-distance-left:0;mso-wrap-distance-right:0" coordorigin="5058,389" coordsize="135,563" path="m5058,389l5058,952,5193,671,5058,389xe" filled="true" fillcolor="#d7d7d7" stroked="false">
            <v:path arrowok="t"/>
            <v:fill type="solid"/>
            <w10:wrap type="topAndBottom"/>
          </v:shape>
        </w:pict>
      </w:r>
      <w:r>
        <w:rPr/>
        <w:pict>
          <v:group style="position:absolute;margin-left:263.950012pt;margin-top:15.721567pt;width:201.75pt;height:32.4pt;mso-position-horizontal-relative:page;mso-position-vertical-relative:paragraph;z-index:2248;mso-wrap-distance-left:0;mso-wrap-distance-right:0" coordorigin="5279,314" coordsize="4035,648">
            <v:shape style="position:absolute;left:5279;top:314;width:2031;height:648" type="#_x0000_t75" stroked="false">
              <v:imagedata r:id="rId47" o:title=""/>
            </v:shape>
            <v:shape style="position:absolute;left:7539;top:315;width:1775;height:647" type="#_x0000_t75" stroked="false">
              <v:imagedata r:id="rId45" o:title=""/>
            </v:shape>
            <v:shape style="position:absolute;left:7366;top:389;width:135;height:563" coordorigin="7366,389" coordsize="135,563" path="m7366,389l7366,952,7501,671,7366,389xe" filled="true" fillcolor="#d7d7d7" stroked="false">
              <v:path arrowok="t"/>
              <v:fill type="solid"/>
            </v:shape>
            <v:shape style="position:absolute;left:5484;top:425;width:1629;height:452" type="#_x0000_t202" filled="false" stroked="false">
              <v:textbox inset="0,0,0,0">
                <w:txbxContent>
                  <w:p>
                    <w:pPr>
                      <w:spacing w:line="205" w:lineRule="exact" w:before="0"/>
                      <w:ind w:left="-1" w:right="0" w:firstLine="0"/>
                      <w:jc w:val="center"/>
                      <w:rPr>
                        <w:sz w:val="20"/>
                      </w:rPr>
                    </w:pPr>
                    <w:r>
                      <w:rPr>
                        <w:sz w:val="20"/>
                      </w:rPr>
                      <w:t>Integración de datos</w:t>
                    </w:r>
                  </w:p>
                  <w:p>
                    <w:pPr>
                      <w:spacing w:line="226" w:lineRule="exact" w:before="19"/>
                      <w:ind w:left="1" w:right="0" w:firstLine="0"/>
                      <w:jc w:val="center"/>
                      <w:rPr>
                        <w:sz w:val="18"/>
                      </w:rPr>
                    </w:pPr>
                    <w:r>
                      <w:rPr>
                        <w:sz w:val="20"/>
                      </w:rPr>
                      <w:t>a </w:t>
                    </w:r>
                    <w:r>
                      <w:rPr>
                        <w:sz w:val="18"/>
                      </w:rPr>
                      <w:t>SIG</w:t>
                    </w:r>
                  </w:p>
                </w:txbxContent>
              </v:textbox>
              <w10:wrap type="none"/>
            </v:shape>
            <v:shape style="position:absolute;left:7990;top:458;width:881;height:202" type="#_x0000_t202" filled="false" stroked="false">
              <v:textbox inset="0,0,0,0">
                <w:txbxContent>
                  <w:p>
                    <w:pPr>
                      <w:spacing w:line="202" w:lineRule="exact" w:before="0"/>
                      <w:ind w:left="0" w:right="-17" w:firstLine="0"/>
                      <w:jc w:val="left"/>
                      <w:rPr>
                        <w:sz w:val="20"/>
                      </w:rPr>
                    </w:pPr>
                    <w:r>
                      <w:rPr>
                        <w:sz w:val="20"/>
                      </w:rPr>
                      <w:t>Aplicación</w:t>
                    </w:r>
                  </w:p>
                </w:txbxContent>
              </v:textbox>
              <w10:wrap type="none"/>
            </v:shape>
            <w10:wrap type="topAndBottom"/>
          </v:group>
        </w:pict>
      </w:r>
      <w:r>
        <w:rPr/>
        <w:pict>
          <v:group style="position:absolute;margin-left:471.75pt;margin-top:15.771567pt;width:98.1pt;height:32.35pt;mso-position-horizontal-relative:page;mso-position-vertical-relative:paragraph;z-index:2296;mso-wrap-distance-left:0;mso-wrap-distance-right:0" coordorigin="9435,315" coordsize="1962,647">
            <v:shape style="position:absolute;left:9625;top:315;width:1772;height:647" type="#_x0000_t75" stroked="false">
              <v:imagedata r:id="rId45" o:title=""/>
            </v:shape>
            <v:shape style="position:absolute;left:9435;top:325;width:135;height:563" coordorigin="9435,325" coordsize="135,563" path="m9435,325l9435,888,9570,607,9435,325xe" filled="true" fillcolor="#d7d7d7" stroked="false">
              <v:path arrowok="t"/>
              <v:fill type="solid"/>
            </v:shape>
            <v:shape style="position:absolute;left:9435;top:315;width:1962;height:647" type="#_x0000_t202" filled="false" stroked="false">
              <v:textbox inset="0,0,0,0">
                <w:txbxContent>
                  <w:p>
                    <w:pPr>
                      <w:spacing w:before="118"/>
                      <w:ind w:left="639" w:right="0" w:firstLine="0"/>
                      <w:jc w:val="left"/>
                      <w:rPr>
                        <w:sz w:val="20"/>
                      </w:rPr>
                    </w:pPr>
                    <w:r>
                      <w:rPr>
                        <w:sz w:val="20"/>
                      </w:rPr>
                      <w:t>Resultados</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6"/>
        </w:rPr>
      </w:pPr>
      <w:r>
        <w:rPr/>
        <w:pict>
          <v:group style="position:absolute;margin-left:56.25pt;margin-top:17.236601pt;width:88.6pt;height:156.4pt;mso-position-horizontal-relative:page;mso-position-vertical-relative:paragraph;z-index:2344;mso-wrap-distance-left:0;mso-wrap-distance-right:0" coordorigin="1125,345" coordsize="1772,3128">
            <v:shape style="position:absolute;left:1125;top:345;width:1772;height:3128" type="#_x0000_t75" stroked="false">
              <v:imagedata r:id="rId48" o:title=""/>
            </v:shape>
            <v:shape style="position:absolute;left:1125;top:345;width:1772;height:3128" type="#_x0000_t202" filled="false" stroked="false">
              <v:textbox inset="0,0,0,0">
                <w:txbxContent>
                  <w:p>
                    <w:pPr>
                      <w:spacing w:line="240" w:lineRule="auto" w:before="0"/>
                      <w:rPr>
                        <w:b/>
                        <w:sz w:val="18"/>
                      </w:rPr>
                    </w:pPr>
                  </w:p>
                  <w:p>
                    <w:pPr>
                      <w:spacing w:line="240" w:lineRule="auto" w:before="0"/>
                      <w:rPr>
                        <w:b/>
                        <w:sz w:val="18"/>
                      </w:rPr>
                    </w:pPr>
                  </w:p>
                  <w:p>
                    <w:pPr>
                      <w:spacing w:line="240" w:lineRule="auto" w:before="0"/>
                      <w:rPr>
                        <w:b/>
                        <w:sz w:val="18"/>
                      </w:rPr>
                    </w:pPr>
                  </w:p>
                  <w:p>
                    <w:pPr>
                      <w:spacing w:line="240" w:lineRule="auto" w:before="0"/>
                      <w:rPr>
                        <w:b/>
                        <w:sz w:val="26"/>
                      </w:rPr>
                    </w:pPr>
                  </w:p>
                  <w:p>
                    <w:pPr>
                      <w:spacing w:line="261" w:lineRule="auto" w:before="0"/>
                      <w:ind w:left="181" w:right="175" w:firstLine="4"/>
                      <w:jc w:val="center"/>
                      <w:rPr>
                        <w:sz w:val="18"/>
                      </w:rPr>
                    </w:pPr>
                    <w:r>
                      <w:rPr>
                        <w:sz w:val="18"/>
                      </w:rPr>
                      <w:t>Información de las características físicas del territorio escala 1:50,000 (</w:t>
                    </w:r>
                    <w:r>
                      <w:rPr>
                        <w:sz w:val="16"/>
                      </w:rPr>
                      <w:t>PAOT</w:t>
                    </w:r>
                    <w:r>
                      <w:rPr>
                        <w:sz w:val="18"/>
                      </w:rPr>
                      <w:t>)</w:t>
                    </w:r>
                  </w:p>
                </w:txbxContent>
              </v:textbox>
              <w10:wrap type="none"/>
            </v:shape>
            <w10:wrap type="topAndBottom"/>
          </v:group>
        </w:pict>
      </w:r>
      <w:r>
        <w:rPr/>
        <w:pict>
          <v:shape style="position:absolute;margin-left:149.100006pt;margin-top:64.1166pt;width:6.75pt;height:28.15pt;mso-position-horizontal-relative:page;mso-position-vertical-relative:paragraph;z-index:2368;mso-wrap-distance-left:0;mso-wrap-distance-right:0" coordorigin="2982,1282" coordsize="135,563" path="m2982,1282l3117,1564,2982,1845,2982,1282xe" filled="false" stroked="true" strokeweight="1pt" strokecolor="#a4a4a4">
            <v:path arrowok="t"/>
            <w10:wrap type="topAndBottom"/>
          </v:shape>
        </w:pict>
      </w:r>
      <w:r>
        <w:rPr/>
        <w:pict>
          <v:group style="position:absolute;margin-left:160pt;margin-top:18.576601pt;width:88.6pt;height:154.2pt;mso-position-horizontal-relative:page;mso-position-vertical-relative:paragraph;z-index:2416;mso-wrap-distance-left:0;mso-wrap-distance-right:0" coordorigin="3200,372" coordsize="1772,3084">
            <v:shape style="position:absolute;left:3200;top:372;width:1772;height:3084" type="#_x0000_t75" stroked="false">
              <v:imagedata r:id="rId49" o:title=""/>
            </v:shape>
            <v:shape style="position:absolute;left:3200;top:372;width:1772;height:3084" type="#_x0000_t202" filled="false" stroked="false">
              <v:textbox inset="0,0,0,0">
                <w:txbxContent>
                  <w:p>
                    <w:pPr>
                      <w:spacing w:line="259" w:lineRule="auto" w:before="91"/>
                      <w:ind w:left="175" w:right="171" w:firstLine="0"/>
                      <w:jc w:val="center"/>
                      <w:rPr>
                        <w:sz w:val="18"/>
                      </w:rPr>
                    </w:pPr>
                    <w:r>
                      <w:rPr>
                        <w:sz w:val="18"/>
                      </w:rPr>
                      <w:t>Construcción de las capas de información:</w:t>
                    </w:r>
                  </w:p>
                  <w:p>
                    <w:pPr>
                      <w:spacing w:before="156"/>
                      <w:ind w:left="166" w:right="0" w:firstLine="0"/>
                      <w:jc w:val="both"/>
                      <w:rPr>
                        <w:sz w:val="18"/>
                      </w:rPr>
                    </w:pPr>
                    <w:r>
                      <w:rPr>
                        <w:sz w:val="18"/>
                      </w:rPr>
                      <w:t>-Caminos</w:t>
                    </w:r>
                  </w:p>
                  <w:p>
                    <w:pPr>
                      <w:spacing w:line="207" w:lineRule="exact" w:before="4"/>
                      <w:ind w:left="166" w:right="0" w:firstLine="0"/>
                      <w:jc w:val="both"/>
                      <w:rPr>
                        <w:sz w:val="18"/>
                      </w:rPr>
                    </w:pPr>
                    <w:r>
                      <w:rPr>
                        <w:sz w:val="18"/>
                      </w:rPr>
                      <w:t>-Edafología</w:t>
                    </w:r>
                  </w:p>
                  <w:p>
                    <w:pPr>
                      <w:spacing w:line="206" w:lineRule="exact" w:before="0"/>
                      <w:ind w:left="166" w:right="0" w:firstLine="0"/>
                      <w:jc w:val="both"/>
                      <w:rPr>
                        <w:sz w:val="18"/>
                      </w:rPr>
                    </w:pPr>
                    <w:r>
                      <w:rPr>
                        <w:sz w:val="18"/>
                      </w:rPr>
                      <w:t>-Pendientes</w:t>
                    </w:r>
                  </w:p>
                  <w:p>
                    <w:pPr>
                      <w:spacing w:line="206" w:lineRule="exact" w:before="0"/>
                      <w:ind w:left="166" w:right="0" w:firstLine="0"/>
                      <w:jc w:val="both"/>
                      <w:rPr>
                        <w:sz w:val="18"/>
                      </w:rPr>
                    </w:pPr>
                    <w:r>
                      <w:rPr>
                        <w:sz w:val="18"/>
                      </w:rPr>
                      <w:t>-Precipitación</w:t>
                    </w:r>
                  </w:p>
                  <w:p>
                    <w:pPr>
                      <w:spacing w:before="0"/>
                      <w:ind w:left="166" w:right="461" w:firstLine="0"/>
                      <w:jc w:val="left"/>
                      <w:rPr>
                        <w:sz w:val="18"/>
                      </w:rPr>
                    </w:pPr>
                    <w:r>
                      <w:rPr>
                        <w:sz w:val="18"/>
                      </w:rPr>
                      <w:t>-Uso de suelo y vegetación</w:t>
                    </w:r>
                  </w:p>
                  <w:p>
                    <w:pPr>
                      <w:spacing w:before="0"/>
                      <w:ind w:left="166" w:right="584" w:firstLine="0"/>
                      <w:jc w:val="both"/>
                      <w:rPr>
                        <w:sz w:val="18"/>
                      </w:rPr>
                    </w:pPr>
                    <w:r>
                      <w:rPr>
                        <w:sz w:val="18"/>
                      </w:rPr>
                      <w:t>-Polígonos de asentamientos irregulares</w:t>
                    </w:r>
                  </w:p>
                </w:txbxContent>
              </v:textbox>
              <w10:wrap type="none"/>
            </v:shape>
            <w10:wrap type="topAndBottom"/>
          </v:group>
        </w:pict>
      </w:r>
      <w:r>
        <w:rPr/>
        <w:pict>
          <v:shape style="position:absolute;margin-left:252.899994pt;margin-top:35.976601pt;width:6.75pt;height:28.15pt;mso-position-horizontal-relative:page;mso-position-vertical-relative:paragraph;z-index:2440;mso-wrap-distance-left:0;mso-wrap-distance-right:0" coordorigin="5058,720" coordsize="135,563" path="m5058,720l5193,1001,5058,1283,5058,720xe" filled="false" stroked="true" strokeweight="1pt" strokecolor="#a4a4a4">
            <v:path arrowok="t"/>
            <w10:wrap type="topAndBottom"/>
          </v:shape>
        </w:pict>
      </w:r>
      <w:r>
        <w:rPr/>
        <w:pict>
          <v:group style="position:absolute;margin-left:263.950012pt;margin-top:17.576601pt;width:203.15pt;height:70.75pt;mso-position-horizontal-relative:page;mso-position-vertical-relative:paragraph;z-index:2512;mso-wrap-distance-left:0;mso-wrap-distance-right:0" coordorigin="5279,352" coordsize="4063,1415">
            <v:shape style="position:absolute;left:5279;top:382;width:2031;height:1385" type="#_x0000_t75" stroked="false">
              <v:imagedata r:id="rId50" o:title=""/>
            </v:shape>
            <v:shape style="position:absolute;left:7539;top:352;width:1803;height:1415" type="#_x0000_t75" stroked="false">
              <v:imagedata r:id="rId43" o:title=""/>
            </v:shape>
            <v:shape style="position:absolute;left:7366;top:697;width:135;height:563" coordorigin="7366,697" coordsize="135,563" path="m7366,697l7501,978,7366,1260,7366,697xe" filled="false" stroked="true" strokeweight="1pt" strokecolor="#a4a4a4">
              <v:path arrowok="t"/>
            </v:shape>
            <v:shape style="position:absolute;left:5695;top:494;width:1208;height:629" type="#_x0000_t202" filled="false" stroked="false">
              <v:textbox inset="0,0,0,0">
                <w:txbxContent>
                  <w:p>
                    <w:pPr>
                      <w:spacing w:line="186" w:lineRule="exact" w:before="0"/>
                      <w:ind w:left="0" w:right="0" w:firstLine="0"/>
                      <w:jc w:val="center"/>
                      <w:rPr>
                        <w:sz w:val="18"/>
                      </w:rPr>
                    </w:pPr>
                    <w:r>
                      <w:rPr>
                        <w:sz w:val="18"/>
                      </w:rPr>
                      <w:t>Matriz de</w:t>
                    </w:r>
                  </w:p>
                  <w:p>
                    <w:pPr>
                      <w:spacing w:line="261" w:lineRule="auto" w:before="14"/>
                      <w:ind w:left="0" w:right="0" w:firstLine="0"/>
                      <w:jc w:val="center"/>
                      <w:rPr>
                        <w:sz w:val="18"/>
                      </w:rPr>
                    </w:pPr>
                    <w:r>
                      <w:rPr>
                        <w:sz w:val="18"/>
                      </w:rPr>
                      <w:t>susceptibilidad a deslizamientos</w:t>
                    </w:r>
                  </w:p>
                </w:txbxContent>
              </v:textbox>
              <w10:wrap type="none"/>
            </v:shape>
            <v:shape style="position:absolute;left:7980;top:845;width:926;height:408" type="#_x0000_t202" filled="false" stroked="false">
              <v:textbox inset="0,0,0,0">
                <w:txbxContent>
                  <w:p>
                    <w:pPr>
                      <w:spacing w:line="186" w:lineRule="exact" w:before="0"/>
                      <w:ind w:left="0" w:right="-14" w:firstLine="58"/>
                      <w:jc w:val="left"/>
                      <w:rPr>
                        <w:sz w:val="18"/>
                      </w:rPr>
                    </w:pPr>
                    <w:r>
                      <w:rPr>
                        <w:sz w:val="18"/>
                      </w:rPr>
                      <w:t>Evaluación</w:t>
                    </w:r>
                  </w:p>
                  <w:p>
                    <w:pPr>
                      <w:spacing w:line="204" w:lineRule="exact" w:before="18"/>
                      <w:ind w:left="0" w:right="-14" w:firstLine="0"/>
                      <w:jc w:val="left"/>
                      <w:rPr>
                        <w:sz w:val="18"/>
                      </w:rPr>
                    </w:pPr>
                    <w:r>
                      <w:rPr>
                        <w:sz w:val="18"/>
                      </w:rPr>
                      <w:t>Multicriterio</w:t>
                    </w:r>
                  </w:p>
                </w:txbxContent>
              </v:textbox>
              <w10:wrap type="none"/>
            </v:shape>
            <w10:wrap type="topAndBottom"/>
          </v:group>
        </w:pict>
      </w:r>
      <w:r>
        <w:rPr/>
        <w:pict>
          <v:shape style="position:absolute;margin-left:471.75pt;margin-top:30.476601pt;width:6.75pt;height:28.15pt;mso-position-horizontal-relative:page;mso-position-vertical-relative:paragraph;z-index:2536;mso-wrap-distance-left:0;mso-wrap-distance-right:0" coordorigin="9435,610" coordsize="135,563" path="m9435,610l9570,891,9435,1173,9435,610xe" filled="false" stroked="true" strokeweight="1pt" strokecolor="#a4a4a4">
            <v:path arrowok="t"/>
            <w10:wrap type="topAndBottom"/>
          </v:shape>
        </w:pict>
      </w:r>
      <w:r>
        <w:rPr/>
        <w:pict>
          <v:group style="position:absolute;margin-left:482.25pt;margin-top:18.276602pt;width:88.65pt;height:54.1pt;mso-position-horizontal-relative:page;mso-position-vertical-relative:paragraph;z-index:2584;mso-wrap-distance-left:0;mso-wrap-distance-right:0" coordorigin="9645,366" coordsize="1773,1082">
            <v:shape style="position:absolute;left:9645;top:366;width:1773;height:1082" type="#_x0000_t75" stroked="false">
              <v:imagedata r:id="rId51" o:title=""/>
            </v:shape>
            <v:shape style="position:absolute;left:9645;top:366;width:1773;height:1082" type="#_x0000_t202" filled="false" stroked="false">
              <v:textbox inset="0,0,0,0">
                <w:txbxContent>
                  <w:p>
                    <w:pPr>
                      <w:spacing w:line="259" w:lineRule="auto" w:before="88"/>
                      <w:ind w:left="270" w:right="263" w:firstLine="0"/>
                      <w:jc w:val="center"/>
                      <w:rPr>
                        <w:sz w:val="18"/>
                      </w:rPr>
                    </w:pPr>
                    <w:r>
                      <w:rPr>
                        <w:sz w:val="18"/>
                      </w:rPr>
                      <w:t>Segmentación de áreas críticas afectadas por deslizamientos</w:t>
                    </w:r>
                  </w:p>
                </w:txbxContent>
              </v:textbox>
              <w10:wrap type="none"/>
            </v:shape>
            <w10:wrap type="topAndBottom"/>
          </v:group>
        </w:pict>
      </w:r>
    </w:p>
    <w:p>
      <w:pPr>
        <w:spacing w:after="0"/>
        <w:rPr>
          <w:sz w:val="26"/>
        </w:rPr>
        <w:sectPr>
          <w:pgSz w:w="12240" w:h="15840"/>
          <w:pgMar w:top="1360" w:bottom="280" w:left="1020" w:right="720"/>
        </w:sectPr>
      </w:pPr>
    </w:p>
    <w:p>
      <w:pPr>
        <w:pStyle w:val="Heading1"/>
        <w:numPr>
          <w:ilvl w:val="1"/>
          <w:numId w:val="18"/>
        </w:numPr>
        <w:tabs>
          <w:tab w:pos="470" w:val="left" w:leader="none"/>
        </w:tabs>
        <w:spacing w:line="259" w:lineRule="auto" w:before="52" w:after="0"/>
        <w:ind w:left="119" w:right="127" w:firstLine="0"/>
        <w:jc w:val="both"/>
      </w:pPr>
      <w:bookmarkStart w:name="_bookmark37" w:id="65"/>
      <w:bookmarkEnd w:id="65"/>
      <w:r>
        <w:rPr>
          <w:b w:val="0"/>
        </w:rPr>
      </w:r>
      <w:bookmarkStart w:name="_bookmark37" w:id="66"/>
      <w:bookmarkEnd w:id="66"/>
      <w:r>
        <w:rPr/>
        <w:t>C</w:t>
      </w:r>
      <w:r>
        <w:rPr/>
        <w:t>aracterización espacio-geográfica de los asentamientos humanos irregulares en suelo de conservación al poniente de la Ciudad de</w:t>
      </w:r>
      <w:r>
        <w:rPr>
          <w:spacing w:val="-23"/>
        </w:rPr>
        <w:t> </w:t>
      </w:r>
      <w:r>
        <w:rPr/>
        <w:t>México</w:t>
      </w:r>
    </w:p>
    <w:p>
      <w:pPr>
        <w:pStyle w:val="BodyText"/>
        <w:rPr>
          <w:b/>
        </w:rPr>
      </w:pPr>
    </w:p>
    <w:p>
      <w:pPr>
        <w:pStyle w:val="BodyText"/>
        <w:spacing w:before="4"/>
        <w:rPr>
          <w:b/>
          <w:sz w:val="17"/>
        </w:rPr>
      </w:pPr>
    </w:p>
    <w:p>
      <w:pPr>
        <w:pStyle w:val="BodyText"/>
        <w:spacing w:line="360" w:lineRule="auto"/>
        <w:ind w:left="119" w:right="120"/>
        <w:jc w:val="both"/>
      </w:pPr>
      <w:r>
        <w:rPr/>
        <w:t>En el año 2008 la Secretaría </w:t>
      </w:r>
      <w:r>
        <w:rPr>
          <w:spacing w:val="-3"/>
        </w:rPr>
        <w:t>del </w:t>
      </w:r>
      <w:r>
        <w:rPr/>
        <w:t>Medio Ambiente a través de la Secretaría de Desarrollo Urbano y Vivienda y la Procuraduría Ambiental y del Ordenamiento Territorial realizó el Inventario de Asentamientos Humanos Irregulares en el Suelo de Conservación. El objetivo de dicho proyecto fue desarrollar de manera interinstitucional una base de datos consensuada, actualizada y confiable sobre el número de asentamientos humanos irregulares, con nombre, ubicación y superficie ocupada en cada</w:t>
      </w:r>
      <w:r>
        <w:rPr>
          <w:spacing w:val="-10"/>
        </w:rPr>
        <w:t> </w:t>
      </w:r>
      <w:r>
        <w:rPr/>
        <w:t>delegación.</w:t>
      </w:r>
    </w:p>
    <w:p>
      <w:pPr>
        <w:pStyle w:val="BodyText"/>
        <w:spacing w:line="362" w:lineRule="auto" w:before="163"/>
        <w:ind w:left="119" w:right="114"/>
        <w:jc w:val="both"/>
      </w:pPr>
      <w:r>
        <w:rPr/>
        <w:t>De acuerdo con la información obtenida del Inventario, la Procuraduría Ambiental y del Ordenamiento Territorial emitió el </w:t>
      </w:r>
      <w:r>
        <w:rPr>
          <w:i/>
        </w:rPr>
        <w:t>Atlas Cartográfico del Suelo de Conservación del Distrito </w:t>
      </w:r>
      <w:r>
        <w:rPr>
          <w:i/>
        </w:rPr>
        <w:t>Federal, </w:t>
      </w:r>
      <w:r>
        <w:rPr/>
        <w:t>presentando tres principales directrices: 1) Caracterización del suelo de conservación; 2) Diagnóstico del suelo de conservación; 3) Políticas públicas y aplicables al suelo de conservación.</w:t>
      </w:r>
    </w:p>
    <w:p>
      <w:pPr>
        <w:pStyle w:val="BodyText"/>
        <w:spacing w:line="360" w:lineRule="auto" w:before="160"/>
        <w:ind w:left="119" w:right="127"/>
        <w:jc w:val="both"/>
      </w:pPr>
      <w:r>
        <w:rPr/>
        <w:t>Con base en esta información se logró formar una nueva base de datos con los registros de las delegaciones Álvaro Obregón, Cuajimalpa y Magdalena Contreras; además, se espacializaron y cartografiaron cada uno de los asentamientos irregulares en la zona poniente de la Ciudad de México. Ello permitió generar las tablas con información desagregada por delegación, poblado, nombre, número y extensión de los asentamientos humanos irregulares.</w:t>
      </w:r>
    </w:p>
    <w:p>
      <w:pPr>
        <w:pStyle w:val="BodyText"/>
      </w:pPr>
    </w:p>
    <w:p>
      <w:pPr>
        <w:pStyle w:val="BodyText"/>
        <w:spacing w:before="4"/>
        <w:rPr>
          <w:sz w:val="31"/>
        </w:rPr>
      </w:pPr>
    </w:p>
    <w:p>
      <w:pPr>
        <w:pStyle w:val="Heading1"/>
        <w:numPr>
          <w:ilvl w:val="1"/>
          <w:numId w:val="18"/>
        </w:numPr>
        <w:tabs>
          <w:tab w:pos="456" w:val="left" w:leader="none"/>
        </w:tabs>
        <w:spacing w:line="240" w:lineRule="auto" w:before="1" w:after="0"/>
        <w:ind w:left="455" w:right="0" w:hanging="336"/>
        <w:jc w:val="both"/>
      </w:pPr>
      <w:bookmarkStart w:name="_bookmark38" w:id="67"/>
      <w:bookmarkEnd w:id="67"/>
      <w:r>
        <w:rPr>
          <w:b w:val="0"/>
        </w:rPr>
      </w:r>
      <w:bookmarkStart w:name="_bookmark38" w:id="68"/>
      <w:bookmarkEnd w:id="68"/>
      <w:r>
        <w:rPr/>
        <w:t>I</w:t>
      </w:r>
      <w:r>
        <w:rPr/>
        <w:t>dentificación</w:t>
      </w:r>
      <w:r>
        <w:rPr>
          <w:spacing w:val="-6"/>
        </w:rPr>
        <w:t> </w:t>
      </w:r>
      <w:r>
        <w:rPr/>
        <w:t>de</w:t>
      </w:r>
      <w:r>
        <w:rPr>
          <w:spacing w:val="-5"/>
        </w:rPr>
        <w:t> </w:t>
      </w:r>
      <w:r>
        <w:rPr/>
        <w:t>los</w:t>
      </w:r>
      <w:r>
        <w:rPr>
          <w:spacing w:val="-3"/>
        </w:rPr>
        <w:t> </w:t>
      </w:r>
      <w:r>
        <w:rPr/>
        <w:t>patrones</w:t>
      </w:r>
      <w:r>
        <w:rPr>
          <w:spacing w:val="1"/>
        </w:rPr>
        <w:t> </w:t>
      </w:r>
      <w:r>
        <w:rPr/>
        <w:t>urbanos</w:t>
      </w:r>
      <w:r>
        <w:rPr>
          <w:spacing w:val="-3"/>
        </w:rPr>
        <w:t> </w:t>
      </w:r>
      <w:r>
        <w:rPr/>
        <w:t>de</w:t>
      </w:r>
      <w:r>
        <w:rPr>
          <w:spacing w:val="-5"/>
        </w:rPr>
        <w:t> </w:t>
      </w:r>
      <w:r>
        <w:rPr/>
        <w:t>ocupación</w:t>
      </w:r>
      <w:r>
        <w:rPr>
          <w:spacing w:val="-11"/>
        </w:rPr>
        <w:t> </w:t>
      </w:r>
      <w:r>
        <w:rPr/>
        <w:t>informal</w:t>
      </w:r>
      <w:r>
        <w:rPr>
          <w:spacing w:val="-2"/>
        </w:rPr>
        <w:t> </w:t>
      </w:r>
      <w:r>
        <w:rPr/>
        <w:t>en</w:t>
      </w:r>
      <w:r>
        <w:rPr>
          <w:spacing w:val="-6"/>
        </w:rPr>
        <w:t> </w:t>
      </w:r>
      <w:r>
        <w:rPr/>
        <w:t>la</w:t>
      </w:r>
      <w:r>
        <w:rPr>
          <w:spacing w:val="-8"/>
        </w:rPr>
        <w:t> </w:t>
      </w:r>
      <w:r>
        <w:rPr/>
        <w:t>zona</w:t>
      </w:r>
      <w:r>
        <w:rPr>
          <w:spacing w:val="-3"/>
        </w:rPr>
        <w:t> </w:t>
      </w:r>
      <w:r>
        <w:rPr/>
        <w:t>poniente</w:t>
      </w:r>
    </w:p>
    <w:p>
      <w:pPr>
        <w:pStyle w:val="BodyText"/>
        <w:rPr>
          <w:b/>
        </w:rPr>
      </w:pPr>
    </w:p>
    <w:p>
      <w:pPr>
        <w:pStyle w:val="BodyText"/>
        <w:rPr>
          <w:b/>
          <w:sz w:val="19"/>
        </w:rPr>
      </w:pPr>
    </w:p>
    <w:p>
      <w:pPr>
        <w:pStyle w:val="BodyText"/>
        <w:spacing w:line="360" w:lineRule="auto" w:before="1"/>
        <w:ind w:left="119" w:right="122"/>
        <w:jc w:val="both"/>
      </w:pPr>
      <w:r>
        <w:rPr/>
        <w:t>Se desarrolló un trabajo de fotointerpretación con imágenes del servidor Google Earth año 2014 y 2015, con el fin de identificar y describir la morfología urbana de los asentamientos humanos irregulares. Si bien no se buscó constituir un modelo explicativo general, sí se pretendió delimitar tendencias y dar pistas sobre los procesos de transformación y composición de la estructura en la ocupación informal.</w:t>
      </w:r>
    </w:p>
    <w:p>
      <w:pPr>
        <w:pStyle w:val="BodyText"/>
        <w:spacing w:line="360" w:lineRule="auto" w:before="163"/>
        <w:ind w:left="119" w:right="117"/>
        <w:jc w:val="both"/>
      </w:pPr>
      <w:r>
        <w:rPr/>
        <w:t>El trabajo de fotointerpretación consistió en sobreponer los polígonos de los asentamientos irregulares en el servidor Google Earth. Para ello se utilizó la capa shapefile de asentamientos irregulares transformada en formato vector y exportada en KML mediante el SIG </w:t>
      </w:r>
      <w:r>
        <w:rPr>
          <w:i/>
        </w:rPr>
        <w:t>Global Mapper. </w:t>
      </w:r>
      <w:r>
        <w:rPr/>
        <w:t>Una vez obtenido el formato KML se hizo una exploración por poblado en cada una de las delegaciones con los polígonos de cada delegación y se tomaron en cuenta las características del tejido urbano considerando la metodología de Salinas y Pérez (2011).</w:t>
      </w:r>
    </w:p>
    <w:p>
      <w:pPr>
        <w:spacing w:after="0" w:line="360" w:lineRule="auto"/>
        <w:jc w:val="both"/>
        <w:sectPr>
          <w:pgSz w:w="12240" w:h="15840"/>
          <w:pgMar w:top="1360" w:bottom="280" w:left="1580" w:right="1580"/>
        </w:sectPr>
      </w:pPr>
    </w:p>
    <w:p>
      <w:pPr>
        <w:pStyle w:val="BodyText"/>
        <w:spacing w:line="360" w:lineRule="auto" w:before="52"/>
        <w:ind w:left="119" w:right="101"/>
        <w:jc w:val="both"/>
      </w:pPr>
      <w:r>
        <w:rPr/>
        <w:t>Se realizó una tabla con la descripción y ejemplos de las tipologías de la ocupación informal en la zona de estudio. Se consideraron las características antrópicas (calles, caminos, tipo de vivienda, pavimentación, entre otras) en las zonas ocupadas por asentamientos irregulares; esto permitió generar las tipologías de ocupación informal. El análisis de </w:t>
      </w:r>
      <w:r>
        <w:rPr>
          <w:spacing w:val="-3"/>
        </w:rPr>
        <w:t>los </w:t>
      </w:r>
      <w:r>
        <w:rPr/>
        <w:t>patrones urbanos de ocupación informal permitió tomar </w:t>
      </w:r>
      <w:r>
        <w:rPr>
          <w:spacing w:val="-4"/>
        </w:rPr>
        <w:t>en </w:t>
      </w:r>
      <w:r>
        <w:rPr/>
        <w:t>consideración diversas conceptualizaciones relacionadas al tipo de poblamiento. Si bien, el objetivo no fue enfocarse a la variable de poblamiento, sino tomar en  cuenta las distintas formas de producción del espacio habitable, </w:t>
      </w:r>
      <w:r>
        <w:rPr>
          <w:spacing w:val="2"/>
        </w:rPr>
        <w:t>se </w:t>
      </w:r>
      <w:r>
        <w:rPr/>
        <w:t>consideró pertinente explicarlas brevemente con el objeto de hacer </w:t>
      </w:r>
      <w:r>
        <w:rPr>
          <w:spacing w:val="-2"/>
        </w:rPr>
        <w:t>más </w:t>
      </w:r>
      <w:r>
        <w:rPr/>
        <w:t>comprensible </w:t>
      </w:r>
      <w:r>
        <w:rPr>
          <w:spacing w:val="-4"/>
        </w:rPr>
        <w:t>el </w:t>
      </w:r>
      <w:r>
        <w:rPr/>
        <w:t>análisis de</w:t>
      </w:r>
      <w:r>
        <w:rPr>
          <w:spacing w:val="-15"/>
        </w:rPr>
        <w:t> </w:t>
      </w:r>
      <w:r>
        <w:rPr/>
        <w:t>resultados.</w:t>
      </w:r>
    </w:p>
    <w:p>
      <w:pPr>
        <w:pStyle w:val="BodyText"/>
      </w:pPr>
    </w:p>
    <w:p>
      <w:pPr>
        <w:pStyle w:val="BodyText"/>
        <w:spacing w:before="4"/>
        <w:rPr>
          <w:sz w:val="31"/>
        </w:rPr>
      </w:pPr>
    </w:p>
    <w:p>
      <w:pPr>
        <w:pStyle w:val="Heading1"/>
        <w:numPr>
          <w:ilvl w:val="1"/>
          <w:numId w:val="18"/>
        </w:numPr>
        <w:tabs>
          <w:tab w:pos="451" w:val="left" w:leader="none"/>
        </w:tabs>
        <w:spacing w:line="240" w:lineRule="auto" w:before="0" w:after="0"/>
        <w:ind w:left="450" w:right="0" w:hanging="331"/>
        <w:jc w:val="both"/>
      </w:pPr>
      <w:bookmarkStart w:name="_bookmark39" w:id="69"/>
      <w:bookmarkEnd w:id="69"/>
      <w:r>
        <w:rPr>
          <w:b w:val="0"/>
        </w:rPr>
      </w:r>
      <w:bookmarkStart w:name="_bookmark39" w:id="70"/>
      <w:bookmarkEnd w:id="70"/>
      <w:r>
        <w:rPr/>
        <w:t>S</w:t>
      </w:r>
      <w:r>
        <w:rPr/>
        <w:t>egmentación</w:t>
      </w:r>
      <w:r>
        <w:rPr>
          <w:spacing w:val="-6"/>
        </w:rPr>
        <w:t> </w:t>
      </w:r>
      <w:r>
        <w:rPr/>
        <w:t>mediante</w:t>
      </w:r>
      <w:r>
        <w:rPr>
          <w:spacing w:val="-5"/>
        </w:rPr>
        <w:t> </w:t>
      </w:r>
      <w:r>
        <w:rPr/>
        <w:t>Evaluación</w:t>
      </w:r>
      <w:r>
        <w:rPr>
          <w:spacing w:val="-11"/>
        </w:rPr>
        <w:t> </w:t>
      </w:r>
      <w:r>
        <w:rPr/>
        <w:t>Multicriterio</w:t>
      </w:r>
      <w:r>
        <w:rPr>
          <w:spacing w:val="-3"/>
        </w:rPr>
        <w:t> </w:t>
      </w:r>
      <w:r>
        <w:rPr/>
        <w:t>para</w:t>
      </w:r>
      <w:r>
        <w:rPr>
          <w:spacing w:val="-8"/>
        </w:rPr>
        <w:t> </w:t>
      </w:r>
      <w:r>
        <w:rPr/>
        <w:t>áreas</w:t>
      </w:r>
      <w:r>
        <w:rPr>
          <w:spacing w:val="-3"/>
        </w:rPr>
        <w:t> </w:t>
      </w:r>
      <w:r>
        <w:rPr/>
        <w:t>susceptibles</w:t>
      </w:r>
      <w:r>
        <w:rPr>
          <w:spacing w:val="-3"/>
        </w:rPr>
        <w:t> </w:t>
      </w:r>
      <w:r>
        <w:rPr/>
        <w:t>a</w:t>
      </w:r>
      <w:r>
        <w:rPr>
          <w:spacing w:val="-8"/>
        </w:rPr>
        <w:t> </w:t>
      </w:r>
      <w:r>
        <w:rPr/>
        <w:t>deslizamientos</w:t>
      </w:r>
    </w:p>
    <w:p>
      <w:pPr>
        <w:pStyle w:val="BodyText"/>
        <w:rPr>
          <w:b/>
        </w:rPr>
      </w:pPr>
    </w:p>
    <w:p>
      <w:pPr>
        <w:pStyle w:val="BodyText"/>
        <w:spacing w:before="7"/>
        <w:rPr>
          <w:b/>
          <w:sz w:val="18"/>
        </w:rPr>
      </w:pPr>
    </w:p>
    <w:p>
      <w:pPr>
        <w:pStyle w:val="BodyText"/>
        <w:spacing w:line="360" w:lineRule="auto"/>
        <w:ind w:left="119" w:right="108"/>
        <w:jc w:val="both"/>
      </w:pPr>
      <w:r>
        <w:rPr/>
        <w:t>De acuerdo con algunos autores (Barredo, 1994; Eastman, et. al., 1993), la evaluación multicriterio se presenta como un conjunto de técnicas que apoyan en el proceso de toma de decisiones, cuyo análisis implica la evaluación de la elección de alternativas basadas en criterios concretos.</w:t>
      </w:r>
    </w:p>
    <w:p>
      <w:pPr>
        <w:pStyle w:val="BodyText"/>
        <w:spacing w:line="360" w:lineRule="auto" w:before="168"/>
        <w:ind w:left="119" w:right="104"/>
        <w:jc w:val="both"/>
      </w:pPr>
      <w:r>
        <w:rPr/>
        <w:t>El método utilizado en esta investigación se basó en una Evaluación Multicriterio —en adelante, EMC—, que permitió identificar los sectores críticos susceptibles a procesos de remoción en masa referidos específicamente a deslizamientos. Para esta evaluación fue primordial la ayuda de un experto para definir los criterios y pesos para deslizamientos; una vez obtenidos, se realizó una normalización. La elaboración de este proceso dio como resultado los valores de importancia para determinar aquellas variables con mayor influencia en la susceptibilidad a deslizamientos.</w:t>
      </w:r>
    </w:p>
    <w:p>
      <w:pPr>
        <w:pStyle w:val="BodyText"/>
        <w:spacing w:line="360" w:lineRule="auto" w:before="163"/>
        <w:ind w:left="119" w:right="98"/>
        <w:jc w:val="both"/>
      </w:pPr>
      <w:r>
        <w:rPr/>
        <w:t>La metodología utilizada para establecer los sectores con potencial de presentar deslizamientos se desarrolló a partir de varios métodos, entre ellos el método </w:t>
      </w:r>
      <w:r>
        <w:rPr>
          <w:i/>
        </w:rPr>
        <w:t>Mora Vahrson Mora </w:t>
      </w:r>
      <w:r>
        <w:rPr/>
        <w:t>modificado y CENAPRED. Estos métodos permiten conocer los sectores que por sus características físicas son propensos a presentar deslizamientos. Cada método incluye los factores específicos que están relacionados con la susceptibilidad. No obstante, se buscó adaptar cada uno de los métodos hacia una metodología con los factores presentes en la zona, para el desarrollo de esta metodología se construyeron 5 capas de información: edafológica, de pendientes, geomorfológica, de precipitación, caminos y de uso de suelo y vegetación. A continuación, se hace una descripción de las capas de  información, así como el proceso mediante el cual se construyeron.</w:t>
      </w:r>
    </w:p>
    <w:p>
      <w:pPr>
        <w:pStyle w:val="BodyText"/>
      </w:pPr>
    </w:p>
    <w:p>
      <w:pPr>
        <w:pStyle w:val="BodyText"/>
        <w:spacing w:before="5"/>
        <w:rPr>
          <w:sz w:val="31"/>
        </w:rPr>
      </w:pPr>
    </w:p>
    <w:p>
      <w:pPr>
        <w:pStyle w:val="BodyText"/>
        <w:tabs>
          <w:tab w:pos="840" w:val="left" w:leader="none"/>
        </w:tabs>
        <w:spacing w:line="360" w:lineRule="auto"/>
        <w:ind w:left="840" w:right="106" w:hanging="360"/>
      </w:pPr>
      <w:r>
        <w:rPr>
          <w:b/>
        </w:rPr>
        <w:t>-</w:t>
        <w:tab/>
      </w:r>
      <w:r>
        <w:rPr>
          <w:b/>
          <w:i/>
        </w:rPr>
        <w:t>Capa edafológica: </w:t>
      </w:r>
      <w:r>
        <w:rPr/>
        <w:t>esta capa tiene información sobre el tipo de suelos en el área</w:t>
      </w:r>
      <w:r>
        <w:rPr>
          <w:spacing w:val="44"/>
        </w:rPr>
        <w:t> </w:t>
      </w:r>
      <w:r>
        <w:rPr/>
        <w:t>de</w:t>
      </w:r>
      <w:r>
        <w:rPr>
          <w:spacing w:val="2"/>
        </w:rPr>
        <w:t> </w:t>
      </w:r>
      <w:r>
        <w:rPr/>
        <w:t>estudio.</w:t>
      </w:r>
      <w:r>
        <w:rPr>
          <w:w w:val="100"/>
        </w:rPr>
        <w:t> </w:t>
      </w:r>
      <w:r>
        <w:rPr/>
        <w:t>Esta  capa  se  obtuvo  en  formato  vectorial  (poligonal),  otorgada  por  la  Procuraduría</w:t>
      </w:r>
      <w:r>
        <w:rPr>
          <w:spacing w:val="-19"/>
        </w:rPr>
        <w:t> </w:t>
      </w:r>
      <w:r>
        <w:rPr>
          <w:spacing w:val="-3"/>
        </w:rPr>
        <w:t>de</w:t>
      </w:r>
    </w:p>
    <w:p>
      <w:pPr>
        <w:spacing w:after="0" w:line="360" w:lineRule="auto"/>
        <w:sectPr>
          <w:pgSz w:w="12240" w:h="15840"/>
          <w:pgMar w:top="1360" w:bottom="280" w:left="1580" w:right="1600"/>
        </w:sectPr>
      </w:pPr>
    </w:p>
    <w:p>
      <w:pPr>
        <w:pStyle w:val="BodyText"/>
        <w:spacing w:line="360" w:lineRule="auto" w:before="52"/>
        <w:ind w:left="700" w:right="122"/>
        <w:jc w:val="both"/>
      </w:pPr>
      <w:r>
        <w:rPr/>
        <w:t>Ambiental y de Ordenamiento Territorial del Distrito Federal (PAOT) y el tratamiento que ha tenido en el SIG ha sido su conversión a capa en formato ráster. En esta capa se diferencian 8 tipos de suelos diferentes dentro del área de estudio a una escala de 1:50,000.</w:t>
      </w:r>
    </w:p>
    <w:p>
      <w:pPr>
        <w:pStyle w:val="BodyText"/>
      </w:pPr>
    </w:p>
    <w:p>
      <w:pPr>
        <w:pStyle w:val="BodyText"/>
      </w:pPr>
    </w:p>
    <w:p>
      <w:pPr>
        <w:pStyle w:val="BodyText"/>
        <w:spacing w:before="3"/>
        <w:rPr>
          <w:sz w:val="17"/>
        </w:rPr>
      </w:pPr>
    </w:p>
    <w:p>
      <w:pPr>
        <w:pStyle w:val="ListParagraph"/>
        <w:numPr>
          <w:ilvl w:val="2"/>
          <w:numId w:val="18"/>
        </w:numPr>
        <w:tabs>
          <w:tab w:pos="701" w:val="left" w:leader="none"/>
        </w:tabs>
        <w:spacing w:line="360" w:lineRule="auto" w:before="0" w:after="0"/>
        <w:ind w:left="700" w:right="115" w:hanging="360"/>
        <w:jc w:val="both"/>
        <w:rPr>
          <w:sz w:val="22"/>
        </w:rPr>
      </w:pPr>
      <w:r>
        <w:rPr>
          <w:b/>
          <w:i/>
          <w:sz w:val="22"/>
        </w:rPr>
        <w:t>Capa de pendientes</w:t>
      </w:r>
      <w:r>
        <w:rPr>
          <w:sz w:val="22"/>
        </w:rPr>
        <w:t>: su valor puede condicionar la estabilidad de una ladera, puesto que de ella dependen las componentes de las fuerzas favorables al movimiento y de las fuerzas resistentes al mismo que determinan su equilibrio (con base en el estudio de Navarro,  2012). Es decir, al aumentar la inclinación de la pendiente aumenta también la gravedad y por tanto a mayores pendientes, será necesaria una </w:t>
      </w:r>
      <w:r>
        <w:rPr>
          <w:spacing w:val="-3"/>
          <w:sz w:val="22"/>
        </w:rPr>
        <w:t>mayor </w:t>
      </w:r>
      <w:r>
        <w:rPr>
          <w:sz w:val="22"/>
        </w:rPr>
        <w:t>cohesión de la ladera para mantener su estado de equilibrio. En el software ArcGIS se calcula el valor de la pendiente a partir </w:t>
      </w:r>
      <w:r>
        <w:rPr>
          <w:spacing w:val="-3"/>
          <w:sz w:val="22"/>
        </w:rPr>
        <w:t>del </w:t>
      </w:r>
      <w:r>
        <w:rPr>
          <w:sz w:val="22"/>
        </w:rPr>
        <w:t>Modelo Digital del Terreno (MDT), el cual se obtuvo del Servicio Geológico estadounidense (USGS por sus siglas en inglés) con resolución de 30 x 30 </w:t>
      </w:r>
      <w:r>
        <w:rPr>
          <w:spacing w:val="-3"/>
          <w:sz w:val="22"/>
        </w:rPr>
        <w:t>metros </w:t>
      </w:r>
      <w:r>
        <w:rPr>
          <w:sz w:val="22"/>
        </w:rPr>
        <w:t>el</w:t>
      </w:r>
      <w:r>
        <w:rPr>
          <w:spacing w:val="-6"/>
          <w:sz w:val="22"/>
        </w:rPr>
        <w:t> </w:t>
      </w:r>
      <w:r>
        <w:rPr>
          <w:sz w:val="22"/>
        </w:rPr>
        <w:t>píxel.</w:t>
      </w:r>
    </w:p>
    <w:p>
      <w:pPr>
        <w:pStyle w:val="ListParagraph"/>
        <w:numPr>
          <w:ilvl w:val="2"/>
          <w:numId w:val="18"/>
        </w:numPr>
        <w:tabs>
          <w:tab w:pos="701" w:val="left" w:leader="none"/>
        </w:tabs>
        <w:spacing w:line="360" w:lineRule="auto" w:before="167" w:after="0"/>
        <w:ind w:left="700" w:right="122" w:hanging="360"/>
        <w:jc w:val="both"/>
        <w:rPr>
          <w:sz w:val="22"/>
        </w:rPr>
      </w:pPr>
      <w:r>
        <w:rPr>
          <w:b/>
          <w:i/>
          <w:sz w:val="22"/>
        </w:rPr>
        <w:t>Capa de precipitación: </w:t>
      </w:r>
      <w:r>
        <w:rPr>
          <w:spacing w:val="-3"/>
          <w:sz w:val="22"/>
        </w:rPr>
        <w:t>los </w:t>
      </w:r>
      <w:r>
        <w:rPr>
          <w:sz w:val="22"/>
        </w:rPr>
        <w:t>movimientos de ladera causados por lluvias están relacionados con el volumen, intensidad y distribución de las precipitaciones. En este caso, </w:t>
      </w:r>
      <w:r>
        <w:rPr>
          <w:spacing w:val="2"/>
          <w:sz w:val="22"/>
        </w:rPr>
        <w:t>se </w:t>
      </w:r>
      <w:r>
        <w:rPr>
          <w:sz w:val="22"/>
        </w:rPr>
        <w:t>utilizó la precipitación promedio anual a partir de las estaciones meteorológicas de CONAGUA. En el software ArcGis </w:t>
      </w:r>
      <w:r>
        <w:rPr>
          <w:spacing w:val="2"/>
          <w:sz w:val="22"/>
        </w:rPr>
        <w:t>se </w:t>
      </w:r>
      <w:r>
        <w:rPr>
          <w:sz w:val="22"/>
        </w:rPr>
        <w:t>utilizó </w:t>
      </w:r>
      <w:r>
        <w:rPr>
          <w:spacing w:val="-4"/>
          <w:sz w:val="22"/>
        </w:rPr>
        <w:t>el </w:t>
      </w:r>
      <w:r>
        <w:rPr>
          <w:sz w:val="22"/>
        </w:rPr>
        <w:t>método de interpolación Kriging para </w:t>
      </w:r>
      <w:r>
        <w:rPr>
          <w:spacing w:val="-3"/>
          <w:sz w:val="22"/>
        </w:rPr>
        <w:t>conocer </w:t>
      </w:r>
      <w:r>
        <w:rPr>
          <w:sz w:val="22"/>
        </w:rPr>
        <w:t>la precipitación en </w:t>
      </w:r>
      <w:r>
        <w:rPr>
          <w:spacing w:val="-4"/>
          <w:sz w:val="22"/>
        </w:rPr>
        <w:t>el</w:t>
      </w:r>
      <w:r>
        <w:rPr>
          <w:spacing w:val="-2"/>
          <w:sz w:val="22"/>
        </w:rPr>
        <w:t> </w:t>
      </w:r>
      <w:r>
        <w:rPr>
          <w:sz w:val="22"/>
        </w:rPr>
        <w:t>área.</w:t>
      </w:r>
    </w:p>
    <w:p>
      <w:pPr>
        <w:pStyle w:val="ListParagraph"/>
        <w:numPr>
          <w:ilvl w:val="2"/>
          <w:numId w:val="18"/>
        </w:numPr>
        <w:tabs>
          <w:tab w:pos="701" w:val="left" w:leader="none"/>
        </w:tabs>
        <w:spacing w:line="362" w:lineRule="auto" w:before="163" w:after="0"/>
        <w:ind w:left="700" w:right="120" w:hanging="360"/>
        <w:jc w:val="both"/>
        <w:rPr>
          <w:sz w:val="22"/>
        </w:rPr>
      </w:pPr>
      <w:r>
        <w:rPr>
          <w:b/>
          <w:i/>
          <w:sz w:val="22"/>
        </w:rPr>
        <w:t>Capa de uso de suelo y vegetación</w:t>
      </w:r>
      <w:r>
        <w:rPr>
          <w:sz w:val="22"/>
        </w:rPr>
        <w:t>: esta capa representa la ocupación y utilización del territorio. Se utilizó una imagen SPOT 5 </w:t>
      </w:r>
      <w:r>
        <w:rPr>
          <w:spacing w:val="-3"/>
          <w:sz w:val="22"/>
        </w:rPr>
        <w:t>del </w:t>
      </w:r>
      <w:r>
        <w:rPr>
          <w:sz w:val="22"/>
        </w:rPr>
        <w:t>año 2013, para la cual fue necesaria una clasificación Supervisada por el método de </w:t>
      </w:r>
      <w:r>
        <w:rPr>
          <w:i/>
          <w:sz w:val="22"/>
        </w:rPr>
        <w:t>Isodatas </w:t>
      </w:r>
      <w:r>
        <w:rPr>
          <w:sz w:val="22"/>
        </w:rPr>
        <w:t>en el software Envi 5.1. En esta capa  se diferencian 6 tipos de usos diferentes dentro del área de</w:t>
      </w:r>
      <w:r>
        <w:rPr>
          <w:spacing w:val="-27"/>
          <w:sz w:val="22"/>
        </w:rPr>
        <w:t> </w:t>
      </w:r>
      <w:r>
        <w:rPr>
          <w:sz w:val="22"/>
        </w:rPr>
        <w:t>estudio.</w:t>
      </w:r>
    </w:p>
    <w:p>
      <w:pPr>
        <w:pStyle w:val="ListParagraph"/>
        <w:numPr>
          <w:ilvl w:val="2"/>
          <w:numId w:val="18"/>
        </w:numPr>
        <w:tabs>
          <w:tab w:pos="701" w:val="left" w:leader="none"/>
        </w:tabs>
        <w:spacing w:line="360" w:lineRule="auto" w:before="161" w:after="0"/>
        <w:ind w:left="700" w:right="121" w:hanging="360"/>
        <w:jc w:val="both"/>
        <w:rPr>
          <w:sz w:val="22"/>
        </w:rPr>
      </w:pPr>
      <w:r>
        <w:rPr>
          <w:b/>
          <w:i/>
          <w:sz w:val="22"/>
        </w:rPr>
        <w:t>Capa de geomorfología</w:t>
      </w:r>
      <w:r>
        <w:rPr>
          <w:sz w:val="22"/>
        </w:rPr>
        <w:t>: la geomorfología permite conocer las geoformas del relieve presentes en la zona de estudio, para su elaboración se consideró la orientación de  las laderas conforme a las escorrentías y la inclinación de las pendientes para determinar </w:t>
      </w:r>
      <w:r>
        <w:rPr>
          <w:spacing w:val="-3"/>
          <w:sz w:val="22"/>
        </w:rPr>
        <w:t>los </w:t>
      </w:r>
      <w:r>
        <w:rPr>
          <w:sz w:val="22"/>
        </w:rPr>
        <w:t>piedemontes y valles. Asimismo </w:t>
      </w:r>
      <w:r>
        <w:rPr>
          <w:spacing w:val="2"/>
          <w:sz w:val="22"/>
        </w:rPr>
        <w:t>se </w:t>
      </w:r>
      <w:r>
        <w:rPr>
          <w:sz w:val="22"/>
        </w:rPr>
        <w:t>tomaron en cuenta </w:t>
      </w:r>
      <w:r>
        <w:rPr>
          <w:spacing w:val="-3"/>
          <w:sz w:val="22"/>
        </w:rPr>
        <w:t>los </w:t>
      </w:r>
      <w:r>
        <w:rPr>
          <w:sz w:val="22"/>
        </w:rPr>
        <w:t>rangos de las pendientes </w:t>
      </w:r>
      <w:r>
        <w:rPr>
          <w:spacing w:val="-2"/>
          <w:sz w:val="22"/>
        </w:rPr>
        <w:t>más </w:t>
      </w:r>
      <w:r>
        <w:rPr>
          <w:sz w:val="22"/>
        </w:rPr>
        <w:t>pronunciadas establecidos en el estudio de (Canto, 2012) donde </w:t>
      </w:r>
      <w:r>
        <w:rPr>
          <w:spacing w:val="2"/>
          <w:sz w:val="22"/>
        </w:rPr>
        <w:t>se </w:t>
      </w:r>
      <w:r>
        <w:rPr>
          <w:sz w:val="22"/>
        </w:rPr>
        <w:t>indican los grados de mayor inclinación, en este caso fueron los que van de 18° hasta</w:t>
      </w:r>
      <w:r>
        <w:rPr>
          <w:spacing w:val="-23"/>
          <w:sz w:val="22"/>
        </w:rPr>
        <w:t> </w:t>
      </w:r>
      <w:r>
        <w:rPr>
          <w:sz w:val="22"/>
        </w:rPr>
        <w:t>68°.</w:t>
      </w:r>
    </w:p>
    <w:p>
      <w:pPr>
        <w:pStyle w:val="ListParagraph"/>
        <w:numPr>
          <w:ilvl w:val="2"/>
          <w:numId w:val="18"/>
        </w:numPr>
        <w:tabs>
          <w:tab w:pos="701" w:val="left" w:leader="none"/>
        </w:tabs>
        <w:spacing w:line="360" w:lineRule="auto" w:before="167" w:after="0"/>
        <w:ind w:left="700" w:right="124" w:hanging="360"/>
        <w:jc w:val="both"/>
        <w:rPr>
          <w:sz w:val="22"/>
        </w:rPr>
      </w:pPr>
      <w:r>
        <w:rPr>
          <w:b/>
          <w:i/>
          <w:sz w:val="22"/>
        </w:rPr>
        <w:t>Capa de caminos: </w:t>
      </w:r>
      <w:r>
        <w:rPr>
          <w:sz w:val="22"/>
        </w:rPr>
        <w:t>para la construcción de esta capa se utilizó la Red Nacional de Caminos (2014) disponible en la página de INEGI para la cual se realizó una selección de las carreteras y caminos en </w:t>
      </w:r>
      <w:r>
        <w:rPr>
          <w:spacing w:val="-4"/>
          <w:sz w:val="22"/>
        </w:rPr>
        <w:t>el </w:t>
      </w:r>
      <w:r>
        <w:rPr>
          <w:sz w:val="22"/>
        </w:rPr>
        <w:t>área, aplicando un buffer a partir </w:t>
      </w:r>
      <w:r>
        <w:rPr>
          <w:spacing w:val="-3"/>
          <w:sz w:val="22"/>
        </w:rPr>
        <w:t>de </w:t>
      </w:r>
      <w:r>
        <w:rPr>
          <w:sz w:val="22"/>
        </w:rPr>
        <w:t>las laderas </w:t>
      </w:r>
      <w:r>
        <w:rPr>
          <w:spacing w:val="-3"/>
          <w:sz w:val="22"/>
        </w:rPr>
        <w:t>mayores </w:t>
      </w:r>
      <w:r>
        <w:rPr>
          <w:sz w:val="22"/>
        </w:rPr>
        <w:t>o iguales de 18° a 68°. Se buscó una relación de vecindad donde los caminos tuvieran una influencia de 50 </w:t>
      </w:r>
      <w:r>
        <w:rPr>
          <w:spacing w:val="-3"/>
          <w:sz w:val="22"/>
        </w:rPr>
        <w:t>metros </w:t>
      </w:r>
      <w:r>
        <w:rPr>
          <w:sz w:val="22"/>
        </w:rPr>
        <w:t>a las laderas </w:t>
      </w:r>
      <w:r>
        <w:rPr>
          <w:spacing w:val="-3"/>
          <w:sz w:val="22"/>
        </w:rPr>
        <w:t>de </w:t>
      </w:r>
      <w:r>
        <w:rPr>
          <w:sz w:val="22"/>
        </w:rPr>
        <w:t>los rangos anteriormente especificados.</w:t>
      </w:r>
    </w:p>
    <w:p>
      <w:pPr>
        <w:spacing w:after="0" w:line="360" w:lineRule="auto"/>
        <w:jc w:val="both"/>
        <w:rPr>
          <w:sz w:val="22"/>
        </w:rPr>
        <w:sectPr>
          <w:pgSz w:w="12240" w:h="15840"/>
          <w:pgMar w:top="1360" w:bottom="280" w:left="1720" w:right="1580"/>
        </w:sectPr>
      </w:pPr>
    </w:p>
    <w:p>
      <w:pPr>
        <w:pStyle w:val="BodyText"/>
        <w:rPr>
          <w:sz w:val="20"/>
        </w:rPr>
      </w:pPr>
    </w:p>
    <w:p>
      <w:pPr>
        <w:pStyle w:val="BodyText"/>
        <w:spacing w:before="6"/>
        <w:rPr>
          <w:sz w:val="19"/>
        </w:rPr>
      </w:pPr>
    </w:p>
    <w:p>
      <w:pPr>
        <w:pStyle w:val="BodyText"/>
        <w:spacing w:line="360" w:lineRule="auto"/>
        <w:ind w:left="119" w:right="104"/>
        <w:jc w:val="both"/>
      </w:pPr>
      <w:r>
        <w:rPr>
          <w:spacing w:val="-3"/>
        </w:rPr>
        <w:t>Una </w:t>
      </w:r>
      <w:r>
        <w:rPr/>
        <w:t>vez definidas las capas necesarias para la segmentación de áreas susceptibles a deslizamientos, se hizo una selección de variables mismas que fueron ponderadas mediante la técnica de comparación por pares de </w:t>
      </w:r>
      <w:r>
        <w:rPr>
          <w:i/>
        </w:rPr>
        <w:t>Saaty</w:t>
      </w:r>
      <w:r>
        <w:rPr/>
        <w:t>, donde </w:t>
      </w:r>
      <w:r>
        <w:rPr>
          <w:spacing w:val="2"/>
        </w:rPr>
        <w:t>se </w:t>
      </w:r>
      <w:r>
        <w:rPr/>
        <w:t>compara la importancia de cada uno de ellos sobre los demás, estableciendo la importancia relativa (peso) de cada uno, proporcionando una medida cuantitativa de los juicios de valor entre pares de factores (Mena Frau </w:t>
      </w:r>
      <w:r>
        <w:rPr>
          <w:spacing w:val="-4"/>
        </w:rPr>
        <w:t>et </w:t>
      </w:r>
      <w:r>
        <w:rPr/>
        <w:t>al, 2006). Esta primera parte permitió conocer cuáles serían las variables qué por su peso influyen de forma significativa en la susceptibilidad a</w:t>
      </w:r>
      <w:r>
        <w:rPr>
          <w:spacing w:val="-20"/>
        </w:rPr>
        <w:t> </w:t>
      </w:r>
      <w:r>
        <w:rPr/>
        <w:t>deslizamientos</w:t>
      </w:r>
    </w:p>
    <w:p>
      <w:pPr>
        <w:pStyle w:val="BodyText"/>
        <w:spacing w:line="360" w:lineRule="auto" w:before="163"/>
        <w:ind w:left="119" w:right="101"/>
        <w:jc w:val="both"/>
      </w:pPr>
      <w:r>
        <w:rPr/>
        <w:t>A manera de ejemplo, </w:t>
      </w:r>
      <w:r>
        <w:rPr>
          <w:spacing w:val="2"/>
        </w:rPr>
        <w:t>se </w:t>
      </w:r>
      <w:r>
        <w:rPr/>
        <w:t>puede mencionar que de los tipos de uso de suelo y vegetación presentes en el área de estudio, la agricultura muestra </w:t>
      </w:r>
      <w:r>
        <w:rPr>
          <w:spacing w:val="-4"/>
        </w:rPr>
        <w:t>mayor </w:t>
      </w:r>
      <w:r>
        <w:rPr/>
        <w:t>susceptibilidad a deslizamientos respecto al resto de los otros tipos de usos de suelo en esta relación por pares. En otro </w:t>
      </w:r>
      <w:r>
        <w:rPr>
          <w:spacing w:val="5"/>
        </w:rPr>
        <w:t>de </w:t>
      </w:r>
      <w:r>
        <w:rPr/>
        <w:t>los casos, se consideraron las pendientes superiores a 18° porque la inclinación a partir de este punto </w:t>
      </w:r>
      <w:r>
        <w:rPr>
          <w:spacing w:val="-3"/>
        </w:rPr>
        <w:t>ya </w:t>
      </w:r>
      <w:r>
        <w:rPr>
          <w:spacing w:val="2"/>
        </w:rPr>
        <w:t>se </w:t>
      </w:r>
      <w:r>
        <w:rPr/>
        <w:t>considera de fuerte susceptibilidad de acuerdo con la literatura y la valoración de los expertos, sólo por mencionar algunos</w:t>
      </w:r>
      <w:r>
        <w:rPr>
          <w:spacing w:val="-10"/>
        </w:rPr>
        <w:t> </w:t>
      </w:r>
      <w:r>
        <w:rPr/>
        <w:t>ejemplos.</w:t>
      </w:r>
    </w:p>
    <w:p>
      <w:pPr>
        <w:pStyle w:val="BodyText"/>
        <w:spacing w:line="360" w:lineRule="auto" w:before="163"/>
        <w:ind w:left="119" w:right="104"/>
        <w:jc w:val="both"/>
      </w:pPr>
      <w:r>
        <w:rPr/>
        <w:t>Una vez que se conoció la variable a destacar dentro de cada capa, se utilizó el Software Idrisi Selva para automatizar el proceso de comparación por pares a través del módulo </w:t>
      </w:r>
      <w:r>
        <w:rPr>
          <w:i/>
        </w:rPr>
        <w:t>Weight</w:t>
      </w:r>
      <w:r>
        <w:rPr/>
        <w:t>. Los pesos otorgados a cada variable fueron con base en el resultado de la comparación por pares.</w:t>
      </w:r>
    </w:p>
    <w:p>
      <w:pPr>
        <w:pStyle w:val="BodyText"/>
        <w:rPr>
          <w:sz w:val="20"/>
        </w:rPr>
      </w:pPr>
    </w:p>
    <w:p>
      <w:pPr>
        <w:pStyle w:val="BodyText"/>
        <w:spacing w:before="5"/>
        <w:rPr>
          <w:sz w:val="14"/>
        </w:rPr>
      </w:pPr>
      <w:r>
        <w:rPr/>
        <w:pict>
          <v:group style="position:absolute;margin-left:85.050003pt;margin-top:10.260756pt;width:430.75pt;height:184.2pt;mso-position-horizontal-relative:page;mso-position-vertical-relative:paragraph;z-index:3544;mso-wrap-distance-left:0;mso-wrap-distance-right:0" coordorigin="1701,205" coordsize="8615,3684">
            <v:shape style="position:absolute;left:1701;top:205;width:5611;height:3683" type="#_x0000_t75" stroked="false">
              <v:imagedata r:id="rId52" o:title=""/>
            </v:shape>
            <v:shape style="position:absolute;left:6374;top:2017;width:1066;height:250" type="#_x0000_t75" stroked="false">
              <v:imagedata r:id="rId53" o:title=""/>
            </v:shape>
            <v:shape style="position:absolute;left:6357;top:1980;width:1056;height:240" coordorigin="6357,1980" coordsize="1056,240" path="m7149,1980l7149,2040,6357,2040,6357,2160,7149,2160,7149,2220,7413,2100,7149,1980xe" filled="true" fillcolor="#c00000" stroked="false">
              <v:path arrowok="t"/>
              <v:fill type="solid"/>
            </v:shape>
            <v:shape style="position:absolute;left:7504;top:1329;width:2811;height:807" type="#_x0000_t75" stroked="false">
              <v:imagedata r:id="rId54" o:title=""/>
            </v:shape>
            <v:shape style="position:absolute;left:7668;top:1440;width:2482;height:500" type="#_x0000_t202" filled="false" stroked="false">
              <v:textbox inset="0,0,0,0">
                <w:txbxContent>
                  <w:p>
                    <w:pPr>
                      <w:spacing w:line="225" w:lineRule="exact" w:before="0"/>
                      <w:ind w:left="0" w:right="0" w:firstLine="0"/>
                      <w:jc w:val="center"/>
                      <w:rPr>
                        <w:sz w:val="22"/>
                      </w:rPr>
                    </w:pPr>
                    <w:r>
                      <w:rPr>
                        <w:sz w:val="22"/>
                      </w:rPr>
                      <w:t>Método de comparación</w:t>
                    </w:r>
                    <w:r>
                      <w:rPr>
                        <w:spacing w:val="-12"/>
                        <w:sz w:val="22"/>
                      </w:rPr>
                      <w:t> </w:t>
                    </w:r>
                    <w:r>
                      <w:rPr>
                        <w:sz w:val="22"/>
                      </w:rPr>
                      <w:t>por</w:t>
                    </w:r>
                  </w:p>
                  <w:p>
                    <w:pPr>
                      <w:spacing w:line="249" w:lineRule="exact" w:before="25"/>
                      <w:ind w:left="0" w:right="0" w:firstLine="0"/>
                      <w:jc w:val="center"/>
                      <w:rPr>
                        <w:sz w:val="22"/>
                      </w:rPr>
                    </w:pPr>
                    <w:r>
                      <w:rPr>
                        <w:sz w:val="22"/>
                      </w:rPr>
                      <w:t>pares</w:t>
                    </w:r>
                  </w:p>
                </w:txbxContent>
              </v:textbox>
              <w10:wrap type="none"/>
            </v:shape>
            <w10:wrap type="topAndBottom"/>
          </v:group>
        </w:pict>
      </w:r>
    </w:p>
    <w:p>
      <w:pPr>
        <w:spacing w:after="0"/>
        <w:rPr>
          <w:sz w:val="14"/>
        </w:rPr>
        <w:sectPr>
          <w:pgSz w:w="12240" w:h="15840"/>
          <w:pgMar w:top="1500" w:bottom="280" w:left="1580" w:right="1600"/>
        </w:sectPr>
      </w:pPr>
    </w:p>
    <w:p>
      <w:pPr>
        <w:pStyle w:val="BodyText"/>
        <w:ind w:left="116"/>
        <w:rPr>
          <w:sz w:val="20"/>
        </w:rPr>
      </w:pPr>
      <w:r>
        <w:rPr>
          <w:sz w:val="20"/>
        </w:rPr>
        <w:pict>
          <v:group style="width:430.85pt;height:198.8pt;mso-position-horizontal-relative:char;mso-position-vertical-relative:line" coordorigin="0,0" coordsize="8617,3976">
            <v:shape style="position:absolute;left:2736;top:0;width:5880;height:3976" type="#_x0000_t75" stroked="false">
              <v:imagedata r:id="rId55" o:title=""/>
            </v:shape>
            <v:shape style="position:absolute;left:1688;top:1650;width:1066;height:250" type="#_x0000_t75" stroked="false">
              <v:imagedata r:id="rId56" o:title=""/>
            </v:shape>
            <v:shape style="position:absolute;left:1673;top:1616;width:1056;height:240" coordorigin="1673,1616" coordsize="1056,240" path="m1937,1616l1673,1736,1937,1856,1937,1796,2729,1796,2729,1676,1937,1676,1937,1616xe" filled="true" fillcolor="#c00000" stroked="false">
              <v:path arrowok="t"/>
              <v:fill type="solid"/>
            </v:shape>
            <v:shape style="position:absolute;left:0;top:878;width:1683;height:1503" type="#_x0000_t75" stroked="false">
              <v:imagedata r:id="rId57" o:title=""/>
            </v:shape>
            <v:shape style="position:absolute;left:301;top:984;width:1072;height:1321" type="#_x0000_t202" filled="false" stroked="false">
              <v:textbox inset="0,0,0,0">
                <w:txbxContent>
                  <w:p>
                    <w:pPr>
                      <w:spacing w:line="225" w:lineRule="exact" w:before="0"/>
                      <w:ind w:left="0" w:right="0" w:firstLine="0"/>
                      <w:jc w:val="center"/>
                      <w:rPr>
                        <w:sz w:val="22"/>
                      </w:rPr>
                    </w:pPr>
                    <w:r>
                      <w:rPr>
                        <w:sz w:val="22"/>
                      </w:rPr>
                      <w:t>El valor de</w:t>
                    </w:r>
                  </w:p>
                  <w:p>
                    <w:pPr>
                      <w:spacing w:line="261" w:lineRule="auto" w:before="20"/>
                      <w:ind w:left="0" w:right="0" w:firstLine="0"/>
                      <w:jc w:val="center"/>
                      <w:rPr>
                        <w:sz w:val="22"/>
                      </w:rPr>
                    </w:pPr>
                    <w:r>
                      <w:rPr>
                        <w:spacing w:val="-1"/>
                        <w:sz w:val="22"/>
                      </w:rPr>
                      <w:t>consistencia </w:t>
                    </w:r>
                    <w:r>
                      <w:rPr>
                        <w:sz w:val="22"/>
                      </w:rPr>
                      <w:t>del modelo resultó aceptable.</w:t>
                    </w:r>
                  </w:p>
                </w:txbxContent>
              </v:textbox>
              <w10:wrap type="none"/>
            </v:shape>
          </v:group>
        </w:pict>
      </w:r>
      <w:r>
        <w:rPr>
          <w:sz w:val="20"/>
        </w:rPr>
      </w:r>
    </w:p>
    <w:p>
      <w:pPr>
        <w:pStyle w:val="BodyText"/>
        <w:rPr>
          <w:sz w:val="20"/>
        </w:rPr>
      </w:pPr>
    </w:p>
    <w:p>
      <w:pPr>
        <w:pStyle w:val="BodyText"/>
        <w:spacing w:line="360" w:lineRule="auto" w:before="189"/>
        <w:ind w:left="119" w:right="40" w:firstLine="57"/>
      </w:pPr>
      <w:r>
        <w:rPr/>
        <w:drawing>
          <wp:anchor distT="0" distB="0" distL="0" distR="0" allowOverlap="1" layoutInCell="1" locked="0" behindDoc="1" simplePos="0" relativeHeight="268188911">
            <wp:simplePos x="0" y="0"/>
            <wp:positionH relativeFrom="page">
              <wp:posOffset>1747139</wp:posOffset>
            </wp:positionH>
            <wp:positionV relativeFrom="paragraph">
              <wp:posOffset>852671</wp:posOffset>
            </wp:positionV>
            <wp:extent cx="1980173" cy="2202846"/>
            <wp:effectExtent l="0" t="0" r="0" b="0"/>
            <wp:wrapNone/>
            <wp:docPr id="35" name="image54.jpeg" descr=""/>
            <wp:cNvGraphicFramePr>
              <a:graphicFrameLocks noChangeAspect="1"/>
            </wp:cNvGraphicFramePr>
            <a:graphic>
              <a:graphicData uri="http://schemas.openxmlformats.org/drawingml/2006/picture">
                <pic:pic>
                  <pic:nvPicPr>
                    <pic:cNvPr id="36" name="image54.jpeg"/>
                    <pic:cNvPicPr/>
                  </pic:nvPicPr>
                  <pic:blipFill>
                    <a:blip r:embed="rId58" cstate="print"/>
                    <a:stretch>
                      <a:fillRect/>
                    </a:stretch>
                  </pic:blipFill>
                  <pic:spPr>
                    <a:xfrm>
                      <a:off x="0" y="0"/>
                      <a:ext cx="1980173" cy="2202846"/>
                    </a:xfrm>
                    <a:prstGeom prst="rect">
                      <a:avLst/>
                    </a:prstGeom>
                  </pic:spPr>
                </pic:pic>
              </a:graphicData>
            </a:graphic>
          </wp:anchor>
        </w:drawing>
      </w:r>
      <w:r>
        <w:rPr/>
        <w:drawing>
          <wp:anchor distT="0" distB="0" distL="0" distR="0" allowOverlap="1" layoutInCell="1" locked="0" behindDoc="1" simplePos="0" relativeHeight="268188935">
            <wp:simplePos x="0" y="0"/>
            <wp:positionH relativeFrom="page">
              <wp:posOffset>4006850</wp:posOffset>
            </wp:positionH>
            <wp:positionV relativeFrom="paragraph">
              <wp:posOffset>852671</wp:posOffset>
            </wp:positionV>
            <wp:extent cx="1917975" cy="2171700"/>
            <wp:effectExtent l="0" t="0" r="0" b="0"/>
            <wp:wrapNone/>
            <wp:docPr id="37" name="image55.jpeg" descr=""/>
            <wp:cNvGraphicFramePr>
              <a:graphicFrameLocks noChangeAspect="1"/>
            </wp:cNvGraphicFramePr>
            <a:graphic>
              <a:graphicData uri="http://schemas.openxmlformats.org/drawingml/2006/picture">
                <pic:pic>
                  <pic:nvPicPr>
                    <pic:cNvPr id="38" name="image55.jpeg"/>
                    <pic:cNvPicPr/>
                  </pic:nvPicPr>
                  <pic:blipFill>
                    <a:blip r:embed="rId59" cstate="print"/>
                    <a:stretch>
                      <a:fillRect/>
                    </a:stretch>
                  </pic:blipFill>
                  <pic:spPr>
                    <a:xfrm>
                      <a:off x="0" y="0"/>
                      <a:ext cx="1917975" cy="2171700"/>
                    </a:xfrm>
                    <a:prstGeom prst="rect">
                      <a:avLst/>
                    </a:prstGeom>
                  </pic:spPr>
                </pic:pic>
              </a:graphicData>
            </a:graphic>
          </wp:anchor>
        </w:drawing>
      </w:r>
      <w:r>
        <w:rPr/>
        <w:t>Una vez establecidos los pesos de cada variable se utilizó la opción de </w:t>
      </w:r>
      <w:r>
        <w:rPr>
          <w:i/>
        </w:rPr>
        <w:t>Decision Wizard </w:t>
      </w:r>
      <w:r>
        <w:rPr/>
        <w:t>para estandarizar cada capa por medio del proceso </w:t>
      </w:r>
      <w:r>
        <w:rPr>
          <w:i/>
        </w:rPr>
        <w:t>Fuzzy</w:t>
      </w:r>
      <w:r>
        <w:rPr/>
        <w:t>.</w:t>
      </w:r>
    </w:p>
    <w:p>
      <w:pPr>
        <w:pStyle w:val="BodyText"/>
        <w:spacing w:before="8"/>
        <w:rPr>
          <w:sz w:val="16"/>
        </w:rPr>
      </w:pPr>
    </w:p>
    <w:tbl>
      <w:tblPr>
        <w:tblW w:w="0" w:type="auto"/>
        <w:jc w:val="left"/>
        <w:tblInd w:w="17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7"/>
        <w:gridCol w:w="2777"/>
      </w:tblGrid>
      <w:tr>
        <w:trPr>
          <w:trHeight w:val="1956" w:hRule="exact"/>
        </w:trPr>
        <w:tc>
          <w:tcPr>
            <w:tcW w:w="2697" w:type="dxa"/>
          </w:tcPr>
          <w:p>
            <w:pPr>
              <w:pStyle w:val="TableParagraph"/>
              <w:spacing w:line="205" w:lineRule="exact"/>
              <w:ind w:left="200"/>
              <w:rPr>
                <w:b/>
                <w:sz w:val="20"/>
              </w:rPr>
            </w:pPr>
            <w:r>
              <w:rPr>
                <w:b/>
                <w:sz w:val="20"/>
              </w:rPr>
              <w:t>Fuzzy Edafología</w:t>
            </w:r>
          </w:p>
        </w:tc>
        <w:tc>
          <w:tcPr>
            <w:tcW w:w="2777" w:type="dxa"/>
          </w:tcPr>
          <w:p>
            <w:pPr>
              <w:pStyle w:val="TableParagraph"/>
              <w:spacing w:line="205" w:lineRule="exact"/>
              <w:ind w:left="986" w:right="175"/>
              <w:jc w:val="center"/>
              <w:rPr>
                <w:b/>
                <w:sz w:val="20"/>
              </w:rPr>
            </w:pPr>
            <w:r>
              <w:rPr>
                <w:b/>
                <w:sz w:val="20"/>
              </w:rPr>
              <w:t>Fuzzy Laderas</w:t>
            </w:r>
          </w:p>
        </w:tc>
      </w:tr>
      <w:tr>
        <w:trPr>
          <w:trHeight w:val="1956" w:hRule="exact"/>
        </w:trPr>
        <w:tc>
          <w:tcPr>
            <w:tcW w:w="2697"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20"/>
              <w:ind w:left="286"/>
              <w:rPr>
                <w:b/>
                <w:sz w:val="20"/>
              </w:rPr>
            </w:pPr>
            <w:r>
              <w:rPr>
                <w:b/>
                <w:sz w:val="20"/>
              </w:rPr>
              <w:t>Fuzzy Caminos</w:t>
            </w:r>
          </w:p>
        </w:tc>
        <w:tc>
          <w:tcPr>
            <w:tcW w:w="2777"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20"/>
              <w:ind w:left="986" w:right="178"/>
              <w:jc w:val="center"/>
              <w:rPr>
                <w:b/>
                <w:sz w:val="20"/>
              </w:rPr>
            </w:pPr>
            <w:r>
              <w:rPr>
                <w:b/>
                <w:sz w:val="20"/>
              </w:rPr>
              <w:t>Fuzzy Agricultura</w:t>
            </w:r>
          </w:p>
        </w:tc>
      </w:tr>
    </w:tbl>
    <w:p>
      <w:pPr>
        <w:tabs>
          <w:tab w:pos="4820" w:val="left" w:leader="none"/>
        </w:tabs>
        <w:spacing w:line="240" w:lineRule="auto"/>
        <w:ind w:left="1246" w:right="0" w:firstLine="0"/>
        <w:rPr>
          <w:sz w:val="20"/>
        </w:rPr>
      </w:pPr>
      <w:r>
        <w:rPr>
          <w:position w:val="4"/>
          <w:sz w:val="20"/>
        </w:rPr>
        <w:drawing>
          <wp:inline distT="0" distB="0" distL="0" distR="0">
            <wp:extent cx="1828591" cy="2012346"/>
            <wp:effectExtent l="0" t="0" r="0" b="0"/>
            <wp:docPr id="39" name="image56.jpeg" descr=""/>
            <wp:cNvGraphicFramePr>
              <a:graphicFrameLocks noChangeAspect="1"/>
            </wp:cNvGraphicFramePr>
            <a:graphic>
              <a:graphicData uri="http://schemas.openxmlformats.org/drawingml/2006/picture">
                <pic:pic>
                  <pic:nvPicPr>
                    <pic:cNvPr id="40" name="image56.jpeg"/>
                    <pic:cNvPicPr/>
                  </pic:nvPicPr>
                  <pic:blipFill>
                    <a:blip r:embed="rId60" cstate="print"/>
                    <a:stretch>
                      <a:fillRect/>
                    </a:stretch>
                  </pic:blipFill>
                  <pic:spPr>
                    <a:xfrm>
                      <a:off x="0" y="0"/>
                      <a:ext cx="1828591" cy="2012346"/>
                    </a:xfrm>
                    <a:prstGeom prst="rect">
                      <a:avLst/>
                    </a:prstGeom>
                  </pic:spPr>
                </pic:pic>
              </a:graphicData>
            </a:graphic>
          </wp:inline>
        </w:drawing>
      </w:r>
      <w:r>
        <w:rPr>
          <w:position w:val="4"/>
          <w:sz w:val="20"/>
        </w:rPr>
      </w:r>
      <w:r>
        <w:rPr>
          <w:position w:val="4"/>
          <w:sz w:val="20"/>
        </w:rPr>
        <w:tab/>
      </w:r>
      <w:r>
        <w:rPr>
          <w:sz w:val="20"/>
        </w:rPr>
        <w:drawing>
          <wp:inline distT="0" distB="0" distL="0" distR="0">
            <wp:extent cx="1813016" cy="2036826"/>
            <wp:effectExtent l="0" t="0" r="0" b="0"/>
            <wp:docPr id="41" name="image57.jpeg" descr=""/>
            <wp:cNvGraphicFramePr>
              <a:graphicFrameLocks noChangeAspect="1"/>
            </wp:cNvGraphicFramePr>
            <a:graphic>
              <a:graphicData uri="http://schemas.openxmlformats.org/drawingml/2006/picture">
                <pic:pic>
                  <pic:nvPicPr>
                    <pic:cNvPr id="42" name="image57.jpeg"/>
                    <pic:cNvPicPr/>
                  </pic:nvPicPr>
                  <pic:blipFill>
                    <a:blip r:embed="rId61" cstate="print"/>
                    <a:stretch>
                      <a:fillRect/>
                    </a:stretch>
                  </pic:blipFill>
                  <pic:spPr>
                    <a:xfrm>
                      <a:off x="0" y="0"/>
                      <a:ext cx="1813016" cy="2036826"/>
                    </a:xfrm>
                    <a:prstGeom prst="rect">
                      <a:avLst/>
                    </a:prstGeom>
                  </pic:spPr>
                </pic:pic>
              </a:graphicData>
            </a:graphic>
          </wp:inline>
        </w:drawing>
      </w:r>
      <w:r>
        <w:rPr>
          <w:sz w:val="20"/>
        </w:rPr>
      </w:r>
    </w:p>
    <w:p>
      <w:pPr>
        <w:spacing w:after="0" w:line="240" w:lineRule="auto"/>
        <w:rPr>
          <w:sz w:val="20"/>
        </w:rPr>
        <w:sectPr>
          <w:pgSz w:w="12240" w:h="15840"/>
          <w:pgMar w:top="1420" w:bottom="280" w:left="1580" w:right="1580"/>
        </w:sectPr>
      </w:pPr>
    </w:p>
    <w:p>
      <w:pPr>
        <w:pStyle w:val="BodyText"/>
        <w:spacing w:line="360" w:lineRule="auto" w:before="52"/>
        <w:ind w:left="119" w:right="736"/>
        <w:jc w:val="both"/>
      </w:pPr>
      <w:r>
        <w:rPr/>
        <w:pict>
          <v:group style="position:absolute;margin-left:393.825012pt;margin-top:169.494507pt;width:165.15pt;height:40.950pt;mso-position-horizontal-relative:page;mso-position-vertical-relative:paragraph;z-index:-246424" coordorigin="7877,3390" coordsize="3303,819">
            <v:shape style="position:absolute;left:7877;top:3390;width:3303;height:819" type="#_x0000_t75" stroked="false">
              <v:imagedata r:id="rId62" o:title=""/>
            </v:shape>
            <v:shape style="position:absolute;left:7877;top:3390;width:3303;height:819" type="#_x0000_t202" filled="false" stroked="false">
              <v:textbox inset="0,0,0,0">
                <w:txbxContent>
                  <w:p>
                    <w:pPr>
                      <w:spacing w:line="264" w:lineRule="auto" w:before="80"/>
                      <w:ind w:left="162" w:right="0" w:firstLine="0"/>
                      <w:jc w:val="left"/>
                      <w:rPr>
                        <w:sz w:val="22"/>
                      </w:rPr>
                    </w:pPr>
                    <w:r>
                      <w:rPr>
                        <w:sz w:val="22"/>
                      </w:rPr>
                      <w:t>Proceso de estandarización de las variables a valores de 0 a 255.</w:t>
                    </w:r>
                  </w:p>
                </w:txbxContent>
              </v:textbox>
              <w10:wrap type="none"/>
            </v:shape>
            <w10:wrap type="none"/>
          </v:group>
        </w:pict>
      </w:r>
      <w:r>
        <w:rPr/>
        <w:t>En la siguiente imagen se muestra el módulo utilizado para la elaboración del modelo de susceptibilidad a deslizamientos.</w:t>
      </w:r>
    </w:p>
    <w:p>
      <w:pPr>
        <w:pStyle w:val="BodyText"/>
        <w:rPr>
          <w:sz w:val="20"/>
        </w:rPr>
      </w:pPr>
    </w:p>
    <w:p>
      <w:pPr>
        <w:pStyle w:val="BodyText"/>
        <w:rPr>
          <w:sz w:val="20"/>
        </w:rPr>
      </w:pPr>
    </w:p>
    <w:p>
      <w:pPr>
        <w:pStyle w:val="BodyText"/>
        <w:spacing w:before="9"/>
      </w:pPr>
      <w:r>
        <w:rPr/>
        <w:pict>
          <v:group style="position:absolute;margin-left:99pt;margin-top:15.071753pt;width:460pt;height:304.6pt;mso-position-horizontal-relative:page;mso-position-vertical-relative:paragraph;z-index:3688;mso-wrap-distance-left:0;mso-wrap-distance-right:0" coordorigin="1980,301" coordsize="9200,6092">
            <v:shape style="position:absolute;left:1980;top:301;width:4875;height:3688" type="#_x0000_t75" stroked="false">
              <v:imagedata r:id="rId63" o:title=""/>
            </v:shape>
            <v:shape style="position:absolute;left:2976;top:3201;width:4164;height:3192" type="#_x0000_t75" stroked="false">
              <v:imagedata r:id="rId64" o:title=""/>
            </v:shape>
            <v:shape style="position:absolute;left:6542;top:2865;width:1066;height:250" type="#_x0000_t75" stroked="false">
              <v:imagedata r:id="rId65" o:title=""/>
            </v:shape>
            <v:shape style="position:absolute;left:6528;top:2827;width:1056;height:240" coordorigin="6528,2827" coordsize="1056,240" path="m7320,2827l7320,2887,6528,2887,6528,3007,7320,3007,7320,3067,7584,2947,7320,2827xe" filled="true" fillcolor="#c00000" stroked="false">
              <v:path arrowok="t"/>
              <v:fill type="solid"/>
            </v:shape>
            <v:shape style="position:absolute;left:6470;top:4617;width:1066;height:250" type="#_x0000_t75" stroked="false">
              <v:imagedata r:id="rId65" o:title=""/>
            </v:shape>
            <v:shape style="position:absolute;left:6456;top:4579;width:1056;height:240" coordorigin="6456,4579" coordsize="1056,240" path="m7248,4579l7248,4639,6456,4639,6456,4759,7248,4759,7248,4819,7512,4699,7248,4579xe" filled="true" fillcolor="#c00000" stroked="false">
              <v:path arrowok="t"/>
              <v:fill type="solid"/>
            </v:shape>
            <v:shape style="position:absolute;left:7577;top:3780;width:3603;height:1995" type="#_x0000_t75" stroked="false">
              <v:imagedata r:id="rId66" o:title=""/>
            </v:shape>
            <v:shape style="position:absolute;left:1980;top:301;width:9200;height:6092"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6"/>
                      <w:rPr>
                        <w:sz w:val="23"/>
                      </w:rPr>
                    </w:pPr>
                  </w:p>
                  <w:p>
                    <w:pPr>
                      <w:spacing w:line="261" w:lineRule="auto" w:before="0"/>
                      <w:ind w:left="5755" w:right="154" w:firstLine="0"/>
                      <w:jc w:val="both"/>
                      <w:rPr>
                        <w:sz w:val="22"/>
                      </w:rPr>
                    </w:pPr>
                    <w:r>
                      <w:rPr>
                        <w:sz w:val="22"/>
                      </w:rPr>
                      <w:t>A través del método de pares comparados se conocieron los pesos de cada variable, donde se destaca la influencia de las laderas y los caminos en los procesos de deslizamientos.</w:t>
                    </w:r>
                  </w:p>
                </w:txbxContent>
              </v:textbox>
              <w10:wrap type="none"/>
            </v:shape>
            <w10:wrap type="topAndBottom"/>
          </v:group>
        </w:pict>
      </w:r>
    </w:p>
    <w:p>
      <w:pPr>
        <w:pStyle w:val="BodyText"/>
      </w:pPr>
    </w:p>
    <w:p>
      <w:pPr>
        <w:pStyle w:val="BodyText"/>
        <w:spacing w:before="5"/>
      </w:pPr>
    </w:p>
    <w:p>
      <w:pPr>
        <w:pStyle w:val="BodyText"/>
        <w:spacing w:line="360" w:lineRule="auto"/>
        <w:ind w:left="119" w:right="743"/>
        <w:jc w:val="both"/>
      </w:pPr>
      <w:r>
        <w:rPr/>
        <w:t>Es importante señalar que la selección de las variables finales para la ejecución del modelo pasó por diferentes pruebas de ensayo y error, lo cual permitió analizar </w:t>
      </w:r>
      <w:r>
        <w:rPr>
          <w:spacing w:val="-4"/>
        </w:rPr>
        <w:t>el </w:t>
      </w:r>
      <w:r>
        <w:rPr/>
        <w:t>comportamiento territorial de cada una. En ese sentido, las variables que agricultura, edafología, laderas y caminos </w:t>
      </w:r>
      <w:r>
        <w:rPr>
          <w:spacing w:val="2"/>
        </w:rPr>
        <w:t>se </w:t>
      </w:r>
      <w:r>
        <w:rPr/>
        <w:t>presentaron como factores determinantes para la susceptibilidad a deslizamientos en </w:t>
      </w:r>
      <w:r>
        <w:rPr>
          <w:spacing w:val="-4"/>
        </w:rPr>
        <w:t>el </w:t>
      </w:r>
      <w:r>
        <w:rPr/>
        <w:t>área. El resultado del modelo fue una imagen continua donde el valor </w:t>
      </w:r>
      <w:r>
        <w:rPr>
          <w:spacing w:val="-2"/>
        </w:rPr>
        <w:t>más </w:t>
      </w:r>
      <w:r>
        <w:rPr/>
        <w:t>alto representa las zonas de mayor susceptibilidad. </w:t>
      </w:r>
      <w:r>
        <w:rPr>
          <w:spacing w:val="-3"/>
        </w:rPr>
        <w:t>Una </w:t>
      </w:r>
      <w:r>
        <w:rPr/>
        <w:t>vez que </w:t>
      </w:r>
      <w:r>
        <w:rPr>
          <w:spacing w:val="2"/>
        </w:rPr>
        <w:t>se </w:t>
      </w:r>
      <w:r>
        <w:rPr/>
        <w:t>obtuvo la imagen final </w:t>
      </w:r>
      <w:r>
        <w:rPr>
          <w:spacing w:val="2"/>
        </w:rPr>
        <w:t>se </w:t>
      </w:r>
      <w:r>
        <w:rPr/>
        <w:t>aplicó un </w:t>
      </w:r>
      <w:r>
        <w:rPr>
          <w:i/>
        </w:rPr>
        <w:t>Reclass </w:t>
      </w:r>
      <w:r>
        <w:rPr/>
        <w:t>para extraer el valor  </w:t>
      </w:r>
      <w:r>
        <w:rPr>
          <w:spacing w:val="-2"/>
        </w:rPr>
        <w:t>más </w:t>
      </w:r>
      <w:r>
        <w:rPr/>
        <w:t>alto y convertir a una imagen boleana con valores de 0 y</w:t>
      </w:r>
      <w:r>
        <w:rPr>
          <w:spacing w:val="-16"/>
        </w:rPr>
        <w:t> </w:t>
      </w:r>
      <w:r>
        <w:rPr/>
        <w:t>1.</w:t>
      </w:r>
    </w:p>
    <w:p>
      <w:pPr>
        <w:pStyle w:val="BodyText"/>
        <w:spacing w:line="360" w:lineRule="auto" w:before="163"/>
        <w:ind w:left="119" w:right="751"/>
        <w:jc w:val="both"/>
      </w:pPr>
      <w:r>
        <w:rPr/>
        <w:t>Una vez que se conocieron las zonas de mayor susceptibilidad, la imagen final se exporto al software ArcMap para realizar la cartografía que permitiera visualizar los asentamientos irregulares localizados en las áreas de mayor susceptibilidad a deslizamientos.</w:t>
      </w:r>
    </w:p>
    <w:p>
      <w:pPr>
        <w:spacing w:after="0" w:line="360" w:lineRule="auto"/>
        <w:jc w:val="both"/>
        <w:sectPr>
          <w:pgSz w:w="12240" w:h="15840"/>
          <w:pgMar w:top="1360" w:bottom="280" w:left="1580" w:right="960"/>
        </w:sectPr>
      </w:pPr>
    </w:p>
    <w:p>
      <w:pPr>
        <w:pStyle w:val="Heading1"/>
        <w:numPr>
          <w:ilvl w:val="1"/>
          <w:numId w:val="18"/>
        </w:numPr>
        <w:tabs>
          <w:tab w:pos="456" w:val="left" w:leader="none"/>
        </w:tabs>
        <w:spacing w:line="240" w:lineRule="auto" w:before="52" w:after="0"/>
        <w:ind w:left="455" w:right="0" w:hanging="336"/>
        <w:jc w:val="both"/>
      </w:pPr>
      <w:bookmarkStart w:name="_bookmark40" w:id="71"/>
      <w:bookmarkEnd w:id="71"/>
      <w:r>
        <w:rPr>
          <w:b w:val="0"/>
        </w:rPr>
      </w:r>
      <w:bookmarkStart w:name="_bookmark40" w:id="72"/>
      <w:bookmarkEnd w:id="72"/>
      <w:r>
        <w:rPr/>
        <w:t>C</w:t>
      </w:r>
      <w:r>
        <w:rPr/>
        <w:t>omprobación del </w:t>
      </w:r>
      <w:r>
        <w:rPr>
          <w:spacing w:val="-3"/>
        </w:rPr>
        <w:t>modelo </w:t>
      </w:r>
      <w:r>
        <w:rPr/>
        <w:t>de deslizamientos a partir de registros</w:t>
      </w:r>
      <w:r>
        <w:rPr>
          <w:spacing w:val="-21"/>
        </w:rPr>
        <w:t> </w:t>
      </w:r>
      <w:r>
        <w:rPr/>
        <w:t>históricos</w:t>
      </w:r>
    </w:p>
    <w:p>
      <w:pPr>
        <w:pStyle w:val="BodyText"/>
        <w:rPr>
          <w:b/>
        </w:rPr>
      </w:pPr>
    </w:p>
    <w:p>
      <w:pPr>
        <w:pStyle w:val="BodyText"/>
        <w:rPr>
          <w:b/>
          <w:sz w:val="19"/>
        </w:rPr>
      </w:pPr>
    </w:p>
    <w:p>
      <w:pPr>
        <w:pStyle w:val="BodyText"/>
        <w:spacing w:line="360" w:lineRule="auto" w:before="1"/>
        <w:ind w:left="119" w:right="642"/>
        <w:jc w:val="both"/>
      </w:pPr>
      <w:r>
        <w:rPr/>
        <w:t>La base de datos correspondientes al registro de eventos (deslizamientos) fue obtenida de la Tesis (Red de estudios sociales en prevención de desastres en América Latina, 2004) realizada en la Universidad Eafit que además se encuentra en la página de internet </w:t>
      </w:r>
      <w:hyperlink r:id="rId67">
        <w:r>
          <w:rPr/>
          <w:t>www.desinventar.org</w:t>
        </w:r>
      </w:hyperlink>
      <w:r>
        <w:rPr/>
        <w:t> para consulta, donde se tiene la fecha y ubicación de cada evento ocurrido.</w:t>
      </w:r>
    </w:p>
    <w:p>
      <w:pPr>
        <w:pStyle w:val="BodyText"/>
        <w:rPr>
          <w:sz w:val="20"/>
        </w:rPr>
      </w:pPr>
    </w:p>
    <w:p>
      <w:pPr>
        <w:pStyle w:val="BodyText"/>
        <w:rPr>
          <w:sz w:val="20"/>
        </w:rPr>
      </w:pPr>
    </w:p>
    <w:p>
      <w:pPr>
        <w:pStyle w:val="BodyText"/>
        <w:spacing w:before="3"/>
        <w:rPr>
          <w:sz w:val="10"/>
        </w:rPr>
      </w:pPr>
      <w:r>
        <w:rPr/>
        <w:pict>
          <v:group style="position:absolute;margin-left:85.050003pt;margin-top:7.861751pt;width:468.55pt;height:237.6pt;mso-position-horizontal-relative:page;mso-position-vertical-relative:paragraph;z-index:3784;mso-wrap-distance-left:0;mso-wrap-distance-right:0" coordorigin="1701,157" coordsize="9371,4752">
            <v:shape style="position:absolute;left:1701;top:157;width:4956;height:4752" type="#_x0000_t75" stroked="false">
              <v:imagedata r:id="rId68" o:title=""/>
            </v:shape>
            <v:shape style="position:absolute;left:5630;top:3354;width:1690;height:250" type="#_x0000_t75" stroked="false">
              <v:imagedata r:id="rId69" o:title=""/>
            </v:shape>
            <v:shape style="position:absolute;left:5616;top:3319;width:1680;height:240" coordorigin="5616,3319" coordsize="1680,240" path="m6876,3319l6876,3379,5616,3379,5616,3499,6876,3499,6876,3559,7296,3439,6876,3319xe" filled="true" fillcolor="#c00000" stroked="false">
              <v:path arrowok="t"/>
              <v:fill type="solid"/>
            </v:shape>
            <v:shape style="position:absolute;left:7384;top:2543;width:3687;height:1623" type="#_x0000_t75" stroked="false">
              <v:imagedata r:id="rId70" o:title=""/>
            </v:shape>
            <v:shape style="position:absolute;left:1701;top:157;width:9371;height:4752" type="#_x0000_t20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61" w:lineRule="auto" w:before="188"/>
                      <w:ind w:left="5842" w:right="158" w:firstLine="0"/>
                      <w:jc w:val="both"/>
                      <w:rPr>
                        <w:sz w:val="22"/>
                      </w:rPr>
                    </w:pPr>
                    <w:r>
                      <w:rPr>
                        <w:sz w:val="22"/>
                      </w:rPr>
                      <w:t>El Sistema de Inventario de efectos  de desastres permite una búsqueda por país y para </w:t>
                    </w:r>
                    <w:r>
                      <w:rPr>
                        <w:spacing w:val="-4"/>
                        <w:sz w:val="22"/>
                      </w:rPr>
                      <w:t>el </w:t>
                    </w:r>
                    <w:r>
                      <w:rPr>
                        <w:sz w:val="22"/>
                      </w:rPr>
                      <w:t>caso de México permitió desagregar la información por estado, municipio y/o</w:t>
                    </w:r>
                    <w:r>
                      <w:rPr>
                        <w:spacing w:val="-20"/>
                        <w:sz w:val="22"/>
                      </w:rPr>
                      <w:t> </w:t>
                    </w:r>
                    <w:r>
                      <w:rPr>
                        <w:sz w:val="22"/>
                      </w:rPr>
                      <w:t>delegación.</w:t>
                    </w:r>
                  </w:p>
                </w:txbxContent>
              </v:textbox>
              <w10:wrap type="none"/>
            </v:shape>
            <w10:wrap type="topAndBottom"/>
          </v:group>
        </w:pict>
      </w:r>
    </w:p>
    <w:p>
      <w:pPr>
        <w:pStyle w:val="BodyText"/>
      </w:pPr>
    </w:p>
    <w:p>
      <w:pPr>
        <w:pStyle w:val="BodyText"/>
      </w:pPr>
    </w:p>
    <w:p>
      <w:pPr>
        <w:pStyle w:val="BodyText"/>
        <w:spacing w:line="360" w:lineRule="auto" w:before="184"/>
        <w:ind w:left="119" w:right="647"/>
        <w:jc w:val="both"/>
      </w:pPr>
      <w:r>
        <w:rPr/>
        <w:t>A partir </w:t>
      </w:r>
      <w:r>
        <w:rPr>
          <w:spacing w:val="-3"/>
        </w:rPr>
        <w:t>de </w:t>
      </w:r>
      <w:r>
        <w:rPr/>
        <w:t>los datos encontrados, se elaboraron tablas donde </w:t>
      </w:r>
      <w:r>
        <w:rPr>
          <w:spacing w:val="2"/>
        </w:rPr>
        <w:t>se </w:t>
      </w:r>
      <w:r>
        <w:rPr/>
        <w:t>muestran los registros históricos de deslizamientos por delegación en la zona de estudio. Los campos de la tabla corresponden a la fecha, ubicación, tipo de causa, viviendas afectadas, viviendas destruidas, número de pérdidas humanas y damnificados. A partir de cada tabla, los registros fueron espacializados exceptuando aquellos que no contenían ubicación. </w:t>
      </w:r>
      <w:r>
        <w:rPr>
          <w:spacing w:val="-3"/>
        </w:rPr>
        <w:t>Una </w:t>
      </w:r>
      <w:r>
        <w:rPr/>
        <w:t>vez que </w:t>
      </w:r>
      <w:r>
        <w:rPr>
          <w:spacing w:val="2"/>
        </w:rPr>
        <w:t>se </w:t>
      </w:r>
      <w:r>
        <w:rPr/>
        <w:t>tuvieron todos los puntos de los deslizamientos </w:t>
      </w:r>
      <w:r>
        <w:rPr>
          <w:spacing w:val="2"/>
        </w:rPr>
        <w:t>se </w:t>
      </w:r>
      <w:r>
        <w:rPr/>
        <w:t>realizó un mapa por década mostrando espacialmente el total de eventos. De esta manera, se contrasto con las áreas obtenidas de la EMC y se validó el</w:t>
      </w:r>
      <w:r>
        <w:rPr>
          <w:spacing w:val="-14"/>
        </w:rPr>
        <w:t> </w:t>
      </w:r>
      <w:r>
        <w:rPr>
          <w:spacing w:val="-3"/>
        </w:rPr>
        <w:t>modelo.</w:t>
      </w:r>
    </w:p>
    <w:p>
      <w:pPr>
        <w:spacing w:after="0" w:line="360" w:lineRule="auto"/>
        <w:jc w:val="both"/>
        <w:sectPr>
          <w:pgSz w:w="12240" w:h="15840"/>
          <w:pgMar w:top="1360" w:bottom="280" w:left="1580" w:right="1060"/>
        </w:sectPr>
      </w:pPr>
    </w:p>
    <w:p>
      <w:pPr>
        <w:pStyle w:val="Heading1"/>
        <w:numPr>
          <w:ilvl w:val="1"/>
          <w:numId w:val="18"/>
        </w:numPr>
        <w:tabs>
          <w:tab w:pos="470" w:val="left" w:leader="none"/>
        </w:tabs>
        <w:spacing w:line="360" w:lineRule="auto" w:before="57" w:after="0"/>
        <w:ind w:left="119" w:right="130" w:firstLine="0"/>
        <w:jc w:val="both"/>
      </w:pPr>
      <w:bookmarkStart w:name="_bookmark41" w:id="73"/>
      <w:bookmarkEnd w:id="73"/>
      <w:r>
        <w:rPr>
          <w:b w:val="0"/>
        </w:rPr>
      </w:r>
      <w:bookmarkStart w:name="_bookmark41" w:id="74"/>
      <w:bookmarkEnd w:id="74"/>
      <w:r>
        <w:rPr/>
        <w:t>E</w:t>
      </w:r>
      <w:r>
        <w:rPr/>
        <w:t>scenario prospectivo de expansión de asentamientos humanos irregulares en la zona de estudio</w:t>
      </w:r>
    </w:p>
    <w:p>
      <w:pPr>
        <w:pStyle w:val="BodyText"/>
        <w:rPr>
          <w:b/>
        </w:rPr>
      </w:pPr>
    </w:p>
    <w:p>
      <w:pPr>
        <w:pStyle w:val="BodyText"/>
        <w:spacing w:before="2"/>
        <w:rPr>
          <w:b/>
          <w:sz w:val="25"/>
        </w:rPr>
      </w:pPr>
    </w:p>
    <w:p>
      <w:pPr>
        <w:pStyle w:val="BodyText"/>
        <w:spacing w:line="360" w:lineRule="auto"/>
        <w:ind w:left="119" w:right="119"/>
        <w:jc w:val="both"/>
      </w:pPr>
      <w:r>
        <w:rPr/>
        <w:t>La determinación de los factores que puedan ayudar a entender los procesos futuros de la expansión de los asentamientos irregulares en suelo de conservación, puede resultar complejo y difícil de predecir, es por ello que la posibilidad de expansión informal puede ser el resultado de los factores físicos, urbanos y de riesgo.</w:t>
      </w:r>
    </w:p>
    <w:p>
      <w:pPr>
        <w:pStyle w:val="BodyText"/>
        <w:spacing w:line="360" w:lineRule="auto" w:before="163"/>
        <w:ind w:left="119" w:right="117"/>
        <w:jc w:val="both"/>
      </w:pPr>
      <w:r>
        <w:rPr/>
        <w:t>Para </w:t>
      </w:r>
      <w:r>
        <w:rPr>
          <w:spacing w:val="-4"/>
        </w:rPr>
        <w:t>el </w:t>
      </w:r>
      <w:r>
        <w:rPr/>
        <w:t>planteamiento de un escenario prospectivo fue necesario considerar una serie de variables que potencialmente influyen en la distribución de los asentamientos y que también </w:t>
      </w:r>
      <w:r>
        <w:rPr>
          <w:spacing w:val="2"/>
        </w:rPr>
        <w:t>se </w:t>
      </w:r>
      <w:r>
        <w:rPr/>
        <w:t>pueden  ejercer de factor limitante para la expansión. En principio se trata de variables </w:t>
      </w:r>
      <w:r>
        <w:rPr>
          <w:i/>
        </w:rPr>
        <w:t>modelables </w:t>
      </w:r>
      <w:r>
        <w:rPr/>
        <w:t>a partir de la información del Modelo Digital de Elevaciones</w:t>
      </w:r>
      <w:r>
        <w:rPr>
          <w:spacing w:val="-13"/>
        </w:rPr>
        <w:t> </w:t>
      </w:r>
      <w:r>
        <w:rPr/>
        <w:t>(MDT).</w:t>
      </w:r>
    </w:p>
    <w:p>
      <w:pPr>
        <w:pStyle w:val="ListParagraph"/>
        <w:numPr>
          <w:ilvl w:val="0"/>
          <w:numId w:val="19"/>
        </w:numPr>
        <w:tabs>
          <w:tab w:pos="1561" w:val="left" w:leader="none"/>
        </w:tabs>
        <w:spacing w:line="360" w:lineRule="auto" w:before="167" w:after="0"/>
        <w:ind w:left="1560" w:right="124" w:hanging="360"/>
        <w:jc w:val="both"/>
        <w:rPr>
          <w:sz w:val="22"/>
        </w:rPr>
      </w:pPr>
      <w:r>
        <w:rPr>
          <w:sz w:val="22"/>
        </w:rPr>
        <w:t>Pendiente: un aspecto que tiene un clara incidencia en todos los procesos de crecimiento urbano por su relación con los riesgos naturales. Por lo que, las pendientes menores a 15° serán las óptimas para una posible</w:t>
      </w:r>
      <w:r>
        <w:rPr>
          <w:spacing w:val="-30"/>
          <w:sz w:val="22"/>
        </w:rPr>
        <w:t> </w:t>
      </w:r>
      <w:r>
        <w:rPr>
          <w:sz w:val="22"/>
        </w:rPr>
        <w:t>expansión.</w:t>
      </w:r>
    </w:p>
    <w:p>
      <w:pPr>
        <w:pStyle w:val="ListParagraph"/>
        <w:numPr>
          <w:ilvl w:val="0"/>
          <w:numId w:val="19"/>
        </w:numPr>
        <w:tabs>
          <w:tab w:pos="1561" w:val="left" w:leader="none"/>
        </w:tabs>
        <w:spacing w:line="360" w:lineRule="auto" w:before="163" w:after="0"/>
        <w:ind w:left="1560" w:right="122" w:hanging="360"/>
        <w:jc w:val="both"/>
        <w:rPr>
          <w:sz w:val="22"/>
        </w:rPr>
      </w:pPr>
      <w:r>
        <w:rPr>
          <w:sz w:val="22"/>
        </w:rPr>
        <w:t>Cima: </w:t>
      </w:r>
      <w:r>
        <w:rPr>
          <w:spacing w:val="-4"/>
          <w:sz w:val="22"/>
        </w:rPr>
        <w:t>es </w:t>
      </w:r>
      <w:r>
        <w:rPr>
          <w:sz w:val="22"/>
        </w:rPr>
        <w:t>una característica geomorfológica que podría permitir la ubicación de nuevos asentamientos por su condición de zona</w:t>
      </w:r>
      <w:r>
        <w:rPr>
          <w:spacing w:val="-21"/>
          <w:sz w:val="22"/>
        </w:rPr>
        <w:t> </w:t>
      </w:r>
      <w:r>
        <w:rPr>
          <w:sz w:val="22"/>
        </w:rPr>
        <w:t>plana.</w:t>
      </w:r>
    </w:p>
    <w:p>
      <w:pPr>
        <w:pStyle w:val="BodyText"/>
        <w:spacing w:line="360" w:lineRule="auto" w:before="168"/>
        <w:ind w:left="119" w:right="119"/>
        <w:jc w:val="both"/>
      </w:pPr>
      <w:r>
        <w:rPr/>
        <w:t>Por otra parte, el territorio ya ocupado por usos principalmente agrícolas y suelos sin cubierta vegetal son usos de posible expansión, además de la inclusión de la red de caminos y los polígonos de los asentamientos humanos irregulares.</w:t>
      </w:r>
    </w:p>
    <w:p>
      <w:pPr>
        <w:pStyle w:val="BodyText"/>
        <w:spacing w:line="360" w:lineRule="auto" w:before="163"/>
        <w:ind w:left="119" w:right="116"/>
        <w:jc w:val="both"/>
      </w:pPr>
      <w:r>
        <w:rPr/>
        <w:t>Para la realización de este objetivo </w:t>
      </w:r>
      <w:r>
        <w:rPr>
          <w:spacing w:val="2"/>
        </w:rPr>
        <w:t>se </w:t>
      </w:r>
      <w:r>
        <w:rPr/>
        <w:t>utilizó software Arcmap se ocupó </w:t>
      </w:r>
      <w:r>
        <w:rPr>
          <w:spacing w:val="-4"/>
        </w:rPr>
        <w:t>el </w:t>
      </w:r>
      <w:r>
        <w:rPr>
          <w:i/>
        </w:rPr>
        <w:t>shapefile </w:t>
      </w:r>
      <w:r>
        <w:rPr/>
        <w:t>de los polígonos de asentamientos irregulares categorizados por el poblado al que pertenecen, donde </w:t>
      </w:r>
      <w:r>
        <w:rPr>
          <w:spacing w:val="4"/>
        </w:rPr>
        <w:t>se </w:t>
      </w:r>
      <w:r>
        <w:rPr/>
        <w:t>aplicó un </w:t>
      </w:r>
      <w:r>
        <w:rPr>
          <w:i/>
        </w:rPr>
        <w:t>Convex Hull </w:t>
      </w:r>
      <w:r>
        <w:rPr/>
        <w:t>cuya función permite hacer un polígono envolvente a partir </w:t>
      </w:r>
      <w:r>
        <w:rPr>
          <w:spacing w:val="-3"/>
        </w:rPr>
        <w:t>de los </w:t>
      </w:r>
      <w:r>
        <w:rPr/>
        <w:t>vértices extremos. Este primer proceso permitió conocer la dinámica interna de cada poblado y su forma de agrupación. Posteriormente, </w:t>
      </w:r>
      <w:r>
        <w:rPr>
          <w:spacing w:val="2"/>
        </w:rPr>
        <w:t>se </w:t>
      </w:r>
      <w:r>
        <w:rPr/>
        <w:t>utilizaron las variables de caminos, pendientes, agricultura y suelo sin cubierta vegetal, para </w:t>
      </w:r>
      <w:r>
        <w:rPr>
          <w:spacing w:val="-3"/>
        </w:rPr>
        <w:t>conocer </w:t>
      </w:r>
      <w:r>
        <w:rPr/>
        <w:t>la dinámica externa (en los apartados anteriores, se describe cual fue el proceso de construcción de cada</w:t>
      </w:r>
      <w:r>
        <w:rPr>
          <w:spacing w:val="-7"/>
        </w:rPr>
        <w:t> </w:t>
      </w:r>
      <w:r>
        <w:rPr/>
        <w:t>capa).</w:t>
      </w:r>
    </w:p>
    <w:p>
      <w:pPr>
        <w:pStyle w:val="BodyText"/>
        <w:spacing w:line="360" w:lineRule="auto" w:before="163"/>
        <w:ind w:left="119" w:right="120"/>
        <w:jc w:val="both"/>
      </w:pPr>
      <w:r>
        <w:rPr/>
        <w:t>El análisis se dividió en 13 grupos correspondientes a cada poblado en los que se evaluaron sus dinámicas al interior como al exterior de la agrupación. Para ello, se digitalizaron las áreas de posible expansión a partir de la conjugación de las variables descritas. Por último, se realizó la cartografía correspondiente a cada poblado y se describieron los aspectos sobre los cuales se está prospectando un crecimiento.</w:t>
      </w:r>
    </w:p>
    <w:p>
      <w:pPr>
        <w:spacing w:after="0" w:line="360" w:lineRule="auto"/>
        <w:jc w:val="both"/>
        <w:sectPr>
          <w:pgSz w:w="12240" w:h="15840"/>
          <w:pgMar w:top="1360" w:bottom="280" w:left="1580" w:right="1580"/>
        </w:sectPr>
      </w:pPr>
    </w:p>
    <w:p>
      <w:pPr>
        <w:pStyle w:val="Heading1"/>
        <w:spacing w:before="57"/>
        <w:ind w:left="3006"/>
        <w:jc w:val="left"/>
      </w:pPr>
      <w:bookmarkStart w:name="_bookmark42" w:id="75"/>
      <w:bookmarkEnd w:id="75"/>
      <w:r>
        <w:rPr>
          <w:b w:val="0"/>
        </w:rPr>
      </w:r>
      <w:r>
        <w:rPr/>
        <w:t>CAPÍTULO IV. RESULTADOS</w:t>
      </w:r>
    </w:p>
    <w:p>
      <w:pPr>
        <w:pStyle w:val="BodyText"/>
        <w:rPr>
          <w:b/>
        </w:rPr>
      </w:pPr>
    </w:p>
    <w:p>
      <w:pPr>
        <w:pStyle w:val="BodyText"/>
        <w:spacing w:before="7"/>
        <w:rPr>
          <w:b/>
          <w:sz w:val="18"/>
        </w:rPr>
      </w:pPr>
    </w:p>
    <w:p>
      <w:pPr>
        <w:pStyle w:val="BodyText"/>
        <w:spacing w:line="360" w:lineRule="auto"/>
        <w:ind w:left="119" w:right="111"/>
        <w:jc w:val="both"/>
      </w:pPr>
      <w:r>
        <w:rPr/>
        <w:t>En este capítulo se describen los resultados obtenidos de la presente investigación. Los resultados están desglosados en cuatro apartados que hacen referencia a los objetivos planteados al inicio de la investigación y desarrollados metodológicamente en el capítulo anterior.</w:t>
      </w:r>
    </w:p>
    <w:p>
      <w:pPr>
        <w:pStyle w:val="BodyText"/>
      </w:pPr>
    </w:p>
    <w:p>
      <w:pPr>
        <w:pStyle w:val="BodyText"/>
        <w:spacing w:before="9"/>
        <w:rPr>
          <w:sz w:val="31"/>
        </w:rPr>
      </w:pPr>
    </w:p>
    <w:p>
      <w:pPr>
        <w:pStyle w:val="Heading1"/>
        <w:numPr>
          <w:ilvl w:val="1"/>
          <w:numId w:val="20"/>
        </w:numPr>
        <w:tabs>
          <w:tab w:pos="470" w:val="left" w:leader="none"/>
        </w:tabs>
        <w:spacing w:line="360" w:lineRule="auto" w:before="0" w:after="0"/>
        <w:ind w:left="119" w:right="108" w:firstLine="0"/>
        <w:jc w:val="both"/>
      </w:pPr>
      <w:bookmarkStart w:name="_bookmark43" w:id="76"/>
      <w:bookmarkEnd w:id="76"/>
      <w:r>
        <w:rPr>
          <w:b w:val="0"/>
        </w:rPr>
      </w:r>
      <w:bookmarkStart w:name="_bookmark43" w:id="77"/>
      <w:bookmarkEnd w:id="77"/>
      <w:r>
        <w:rPr/>
        <w:t>C</w:t>
      </w:r>
      <w:r>
        <w:rPr/>
        <w:t>aracterización espacio-geográfica de los asentamientos humanos irregulares en suelo de conservación al poniente de la Ciudad de</w:t>
      </w:r>
      <w:r>
        <w:rPr>
          <w:spacing w:val="-23"/>
        </w:rPr>
        <w:t> </w:t>
      </w:r>
      <w:r>
        <w:rPr/>
        <w:t>México</w:t>
      </w:r>
    </w:p>
    <w:p>
      <w:pPr>
        <w:pStyle w:val="BodyText"/>
        <w:rPr>
          <w:b/>
        </w:rPr>
      </w:pPr>
    </w:p>
    <w:p>
      <w:pPr>
        <w:pStyle w:val="BodyText"/>
        <w:spacing w:line="360" w:lineRule="auto" w:before="198"/>
        <w:ind w:left="119" w:right="104"/>
        <w:jc w:val="both"/>
      </w:pPr>
      <w:r>
        <w:rPr/>
        <w:t>De acuerdo con la información registrada en el Atlas Cartográfico, a continuación se muestra la siguiente tabla con el número de asentamientos humanos irregulares (AHI) y la superficie que ocupan dentro de las delegaciones de estudio.</w:t>
      </w:r>
    </w:p>
    <w:p>
      <w:pPr>
        <w:pStyle w:val="BodyText"/>
      </w:pPr>
    </w:p>
    <w:p>
      <w:pPr>
        <w:pStyle w:val="BodyText"/>
        <w:spacing w:before="7"/>
        <w:rPr>
          <w:sz w:val="27"/>
        </w:rPr>
      </w:pPr>
    </w:p>
    <w:p>
      <w:pPr>
        <w:spacing w:before="0"/>
        <w:ind w:left="485" w:right="0" w:firstLine="0"/>
        <w:jc w:val="left"/>
        <w:rPr>
          <w:b/>
          <w:sz w:val="20"/>
        </w:rPr>
      </w:pPr>
      <w:r>
        <w:rPr>
          <w:b/>
          <w:sz w:val="20"/>
        </w:rPr>
        <w:t>Tabla 3. Asentamientos irregulares en suelo de conservación en las delegaciones del poniente</w:t>
      </w:r>
    </w:p>
    <w:p>
      <w:pPr>
        <w:pStyle w:val="BodyText"/>
        <w:spacing w:before="4" w:after="1"/>
        <w:rPr>
          <w:b/>
          <w:sz w:val="10"/>
        </w:rPr>
      </w:pPr>
    </w:p>
    <w:tbl>
      <w:tblPr>
        <w:tblW w:w="0" w:type="auto"/>
        <w:jc w:val="left"/>
        <w:tblInd w:w="1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8"/>
        <w:gridCol w:w="2122"/>
        <w:gridCol w:w="1988"/>
      </w:tblGrid>
      <w:tr>
        <w:trPr>
          <w:trHeight w:val="283" w:hRule="exact"/>
        </w:trPr>
        <w:tc>
          <w:tcPr>
            <w:tcW w:w="1988" w:type="dxa"/>
            <w:shd w:val="clear" w:color="auto" w:fill="212A35"/>
          </w:tcPr>
          <w:p>
            <w:pPr>
              <w:pStyle w:val="TableParagraph"/>
              <w:spacing w:line="197" w:lineRule="exact"/>
              <w:ind w:left="581"/>
              <w:rPr>
                <w:sz w:val="18"/>
              </w:rPr>
            </w:pPr>
            <w:r>
              <w:rPr>
                <w:color w:val="FFFFFF"/>
                <w:sz w:val="18"/>
              </w:rPr>
              <w:t>Delegación</w:t>
            </w:r>
          </w:p>
        </w:tc>
        <w:tc>
          <w:tcPr>
            <w:tcW w:w="2122" w:type="dxa"/>
            <w:shd w:val="clear" w:color="auto" w:fill="212A35"/>
          </w:tcPr>
          <w:p>
            <w:pPr>
              <w:pStyle w:val="TableParagraph"/>
              <w:spacing w:line="197" w:lineRule="exact"/>
              <w:ind w:left="566"/>
              <w:rPr>
                <w:sz w:val="18"/>
              </w:rPr>
            </w:pPr>
            <w:r>
              <w:rPr>
                <w:color w:val="FFFFFF"/>
                <w:sz w:val="18"/>
              </w:rPr>
              <w:t>Núm. de AHI</w:t>
            </w:r>
          </w:p>
        </w:tc>
        <w:tc>
          <w:tcPr>
            <w:tcW w:w="1988" w:type="dxa"/>
            <w:shd w:val="clear" w:color="auto" w:fill="212A35"/>
          </w:tcPr>
          <w:p>
            <w:pPr>
              <w:pStyle w:val="TableParagraph"/>
              <w:spacing w:line="197" w:lineRule="exact"/>
              <w:ind w:left="451"/>
              <w:rPr>
                <w:sz w:val="18"/>
              </w:rPr>
            </w:pPr>
            <w:r>
              <w:rPr>
                <w:color w:val="FFFFFF"/>
                <w:sz w:val="18"/>
              </w:rPr>
              <w:t>Superficie (ha)</w:t>
            </w:r>
          </w:p>
        </w:tc>
      </w:tr>
      <w:tr>
        <w:trPr>
          <w:trHeight w:val="288" w:hRule="exact"/>
        </w:trPr>
        <w:tc>
          <w:tcPr>
            <w:tcW w:w="1988" w:type="dxa"/>
          </w:tcPr>
          <w:p>
            <w:pPr>
              <w:pStyle w:val="TableParagraph"/>
              <w:spacing w:line="197" w:lineRule="exact"/>
              <w:ind w:left="105"/>
              <w:rPr>
                <w:sz w:val="18"/>
              </w:rPr>
            </w:pPr>
            <w:r>
              <w:rPr>
                <w:sz w:val="18"/>
              </w:rPr>
              <w:t>Álvaro Obregón</w:t>
            </w:r>
          </w:p>
        </w:tc>
        <w:tc>
          <w:tcPr>
            <w:tcW w:w="2122" w:type="dxa"/>
          </w:tcPr>
          <w:p>
            <w:pPr>
              <w:pStyle w:val="TableParagraph"/>
              <w:spacing w:line="197" w:lineRule="exact"/>
              <w:ind w:right="94"/>
              <w:jc w:val="right"/>
              <w:rPr>
                <w:sz w:val="18"/>
              </w:rPr>
            </w:pPr>
            <w:r>
              <w:rPr>
                <w:sz w:val="18"/>
              </w:rPr>
              <w:t>14</w:t>
            </w:r>
          </w:p>
        </w:tc>
        <w:tc>
          <w:tcPr>
            <w:tcW w:w="1988" w:type="dxa"/>
          </w:tcPr>
          <w:p>
            <w:pPr>
              <w:pStyle w:val="TableParagraph"/>
              <w:spacing w:line="197" w:lineRule="exact"/>
              <w:ind w:right="94"/>
              <w:jc w:val="right"/>
              <w:rPr>
                <w:sz w:val="18"/>
              </w:rPr>
            </w:pPr>
            <w:r>
              <w:rPr>
                <w:sz w:val="18"/>
              </w:rPr>
              <w:t>22.57</w:t>
            </w:r>
          </w:p>
        </w:tc>
      </w:tr>
      <w:tr>
        <w:trPr>
          <w:trHeight w:val="283" w:hRule="exact"/>
        </w:trPr>
        <w:tc>
          <w:tcPr>
            <w:tcW w:w="1988" w:type="dxa"/>
          </w:tcPr>
          <w:p>
            <w:pPr>
              <w:pStyle w:val="TableParagraph"/>
              <w:spacing w:line="197" w:lineRule="exact"/>
              <w:ind w:left="105"/>
              <w:rPr>
                <w:sz w:val="18"/>
              </w:rPr>
            </w:pPr>
            <w:r>
              <w:rPr>
                <w:sz w:val="18"/>
              </w:rPr>
              <w:t>Cuajimalpa</w:t>
            </w:r>
          </w:p>
        </w:tc>
        <w:tc>
          <w:tcPr>
            <w:tcW w:w="2122" w:type="dxa"/>
          </w:tcPr>
          <w:p>
            <w:pPr>
              <w:pStyle w:val="TableParagraph"/>
              <w:spacing w:line="197" w:lineRule="exact"/>
              <w:ind w:right="94"/>
              <w:jc w:val="right"/>
              <w:rPr>
                <w:sz w:val="18"/>
              </w:rPr>
            </w:pPr>
            <w:r>
              <w:rPr>
                <w:sz w:val="18"/>
              </w:rPr>
              <w:t>76</w:t>
            </w:r>
          </w:p>
        </w:tc>
        <w:tc>
          <w:tcPr>
            <w:tcW w:w="1988" w:type="dxa"/>
          </w:tcPr>
          <w:p>
            <w:pPr>
              <w:pStyle w:val="TableParagraph"/>
              <w:spacing w:line="197" w:lineRule="exact"/>
              <w:ind w:right="93"/>
              <w:jc w:val="right"/>
              <w:rPr>
                <w:sz w:val="18"/>
              </w:rPr>
            </w:pPr>
            <w:r>
              <w:rPr>
                <w:sz w:val="18"/>
              </w:rPr>
              <w:t>260.50</w:t>
            </w:r>
          </w:p>
        </w:tc>
      </w:tr>
      <w:tr>
        <w:trPr>
          <w:trHeight w:val="283" w:hRule="exact"/>
        </w:trPr>
        <w:tc>
          <w:tcPr>
            <w:tcW w:w="1988" w:type="dxa"/>
          </w:tcPr>
          <w:p>
            <w:pPr>
              <w:pStyle w:val="TableParagraph"/>
              <w:spacing w:line="197" w:lineRule="exact"/>
              <w:ind w:left="105"/>
              <w:rPr>
                <w:sz w:val="18"/>
              </w:rPr>
            </w:pPr>
            <w:r>
              <w:rPr>
                <w:sz w:val="18"/>
              </w:rPr>
              <w:t>Magdalena Contreras</w:t>
            </w:r>
          </w:p>
        </w:tc>
        <w:tc>
          <w:tcPr>
            <w:tcW w:w="2122" w:type="dxa"/>
          </w:tcPr>
          <w:p>
            <w:pPr>
              <w:pStyle w:val="TableParagraph"/>
              <w:spacing w:line="197" w:lineRule="exact"/>
              <w:ind w:right="99"/>
              <w:jc w:val="right"/>
              <w:rPr>
                <w:sz w:val="18"/>
              </w:rPr>
            </w:pPr>
            <w:r>
              <w:rPr>
                <w:sz w:val="18"/>
              </w:rPr>
              <w:t>16</w:t>
            </w:r>
          </w:p>
        </w:tc>
        <w:tc>
          <w:tcPr>
            <w:tcW w:w="1988" w:type="dxa"/>
          </w:tcPr>
          <w:p>
            <w:pPr>
              <w:pStyle w:val="TableParagraph"/>
              <w:spacing w:line="197" w:lineRule="exact"/>
              <w:ind w:right="94"/>
              <w:jc w:val="right"/>
              <w:rPr>
                <w:sz w:val="18"/>
              </w:rPr>
            </w:pPr>
            <w:r>
              <w:rPr>
                <w:sz w:val="18"/>
              </w:rPr>
              <w:t>24.25</w:t>
            </w:r>
          </w:p>
        </w:tc>
      </w:tr>
    </w:tbl>
    <w:p>
      <w:pPr>
        <w:spacing w:line="179" w:lineRule="exact" w:before="0"/>
        <w:ind w:left="2223" w:right="0" w:firstLine="0"/>
        <w:jc w:val="left"/>
        <w:rPr>
          <w:sz w:val="16"/>
        </w:rPr>
      </w:pPr>
      <w:r>
        <w:rPr>
          <w:sz w:val="16"/>
        </w:rPr>
        <w:t>Fuente: Elaboración propia con base en los datos de la PAOT (2011)</w:t>
      </w:r>
    </w:p>
    <w:p>
      <w:pPr>
        <w:pStyle w:val="BodyText"/>
        <w:rPr>
          <w:sz w:val="16"/>
        </w:rPr>
      </w:pPr>
    </w:p>
    <w:p>
      <w:pPr>
        <w:pStyle w:val="BodyText"/>
        <w:rPr>
          <w:sz w:val="16"/>
        </w:rPr>
      </w:pPr>
    </w:p>
    <w:p>
      <w:pPr>
        <w:pStyle w:val="BodyText"/>
        <w:spacing w:before="1"/>
        <w:rPr>
          <w:sz w:val="23"/>
        </w:rPr>
      </w:pPr>
    </w:p>
    <w:p>
      <w:pPr>
        <w:pStyle w:val="BodyText"/>
        <w:spacing w:line="360" w:lineRule="auto"/>
        <w:ind w:left="119" w:right="105"/>
        <w:jc w:val="both"/>
      </w:pPr>
      <w:r>
        <w:rPr/>
        <w:t>En las tablas presentadas en </w:t>
      </w:r>
      <w:r>
        <w:rPr>
          <w:spacing w:val="-4"/>
        </w:rPr>
        <w:t>el </w:t>
      </w:r>
      <w:r>
        <w:rPr/>
        <w:t>Anexo 1 se muestra la información desagregada por delegación, mostrando el nombre de cada asentamiento, el poblado al que pertenecen y la superficie en hectáreas que representa. Esta información tuvo la finalidad de identificar la distribución espacial de los asentamientos irregulares, siendo el preámbulo para conocer las características físicas de la vivienda y </w:t>
      </w:r>
      <w:r>
        <w:rPr>
          <w:spacing w:val="-3"/>
        </w:rPr>
        <w:t>los </w:t>
      </w:r>
      <w:r>
        <w:rPr/>
        <w:t>aspectos antrópicos del entorno para determinar </w:t>
      </w:r>
      <w:r>
        <w:rPr>
          <w:spacing w:val="-3"/>
        </w:rPr>
        <w:t>los </w:t>
      </w:r>
      <w:r>
        <w:rPr/>
        <w:t>patrones urbanos de ocupación informal.</w:t>
      </w:r>
    </w:p>
    <w:p>
      <w:pPr>
        <w:pStyle w:val="BodyText"/>
        <w:spacing w:line="360" w:lineRule="auto" w:before="168"/>
        <w:ind w:left="119" w:right="102"/>
        <w:jc w:val="both"/>
      </w:pPr>
      <w:r>
        <w:rPr/>
        <w:t>La información de la Tabla 3 muestra que la Delegación Cuajimalpa presenta el mayor número de asentamientos humanos irregulares respecto a la Delegación Álvaro Obregón y la Delegación Magdalena Contreras. Según los datos obtenidos existen un total de 106 asentamientos irregulares distribuidos en el suelo de conservación en estas tres delegaciones. La Delegación Cuajimalpa concentra el 71% del total de los asentamientos irregulares presentes en la zona de estudio, es decir se localizaron 76 asentamientos irregulares distribuidos en 7 distintos poblados de la   demarcación;</w:t>
      </w:r>
    </w:p>
    <w:p>
      <w:pPr>
        <w:spacing w:after="0" w:line="360" w:lineRule="auto"/>
        <w:jc w:val="both"/>
        <w:sectPr>
          <w:pgSz w:w="12240" w:h="15840"/>
          <w:pgMar w:top="1360" w:bottom="280" w:left="1580" w:right="1600"/>
        </w:sectPr>
      </w:pPr>
    </w:p>
    <w:p>
      <w:pPr>
        <w:pStyle w:val="BodyText"/>
        <w:spacing w:line="360" w:lineRule="auto" w:before="52"/>
        <w:ind w:left="119" w:right="127"/>
        <w:jc w:val="both"/>
      </w:pPr>
      <w:r>
        <w:rPr/>
        <w:t>San Pablo Chimalpa, Contadero, San Lorenzo Acopilco, San Mateo Tlaltenango, Ahuatenco, Santa Rosa Xochiac y Zentlapatl.</w:t>
      </w:r>
    </w:p>
    <w:p>
      <w:pPr>
        <w:pStyle w:val="BodyText"/>
        <w:spacing w:line="360" w:lineRule="auto" w:before="168"/>
        <w:ind w:left="119" w:right="117"/>
        <w:jc w:val="both"/>
      </w:pPr>
      <w:r>
        <w:rPr/>
        <w:t>Por su parte, </w:t>
      </w:r>
      <w:r>
        <w:rPr>
          <w:spacing w:val="-3"/>
        </w:rPr>
        <w:t>los </w:t>
      </w:r>
      <w:r>
        <w:rPr/>
        <w:t>asentamientos irregulares en la Delegación Álvaro Obregón representan el 13% del total en la zona de conservación. De acuerdo con los datos presentados, </w:t>
      </w:r>
      <w:r>
        <w:rPr>
          <w:spacing w:val="3"/>
        </w:rPr>
        <w:t>en </w:t>
      </w:r>
      <w:r>
        <w:rPr/>
        <w:t>esta delegación </w:t>
      </w:r>
      <w:r>
        <w:rPr>
          <w:spacing w:val="2"/>
        </w:rPr>
        <w:t>se </w:t>
      </w:r>
      <w:r>
        <w:rPr/>
        <w:t>localizaron 14 asentamientos irregulares distribuidos en 5 poblados; Cooperativa Miguel Gaona, San</w:t>
      </w:r>
      <w:r>
        <w:rPr>
          <w:spacing w:val="-7"/>
        </w:rPr>
        <w:t> </w:t>
      </w:r>
      <w:r>
        <w:rPr/>
        <w:t>Bartolo</w:t>
      </w:r>
      <w:r>
        <w:rPr>
          <w:spacing w:val="-7"/>
        </w:rPr>
        <w:t> </w:t>
      </w:r>
      <w:r>
        <w:rPr/>
        <w:t>Ameyalco, San</w:t>
      </w:r>
      <w:r>
        <w:rPr>
          <w:spacing w:val="-7"/>
        </w:rPr>
        <w:t> </w:t>
      </w:r>
      <w:r>
        <w:rPr/>
        <w:t>Mateo</w:t>
      </w:r>
      <w:r>
        <w:rPr>
          <w:spacing w:val="-7"/>
        </w:rPr>
        <w:t> </w:t>
      </w:r>
      <w:r>
        <w:rPr/>
        <w:t>Tlaltenango, Santa</w:t>
      </w:r>
      <w:r>
        <w:rPr>
          <w:spacing w:val="-9"/>
        </w:rPr>
        <w:t> </w:t>
      </w:r>
      <w:r>
        <w:rPr/>
        <w:t>Rosa</w:t>
      </w:r>
      <w:r>
        <w:rPr>
          <w:spacing w:val="1"/>
        </w:rPr>
        <w:t> </w:t>
      </w:r>
      <w:r>
        <w:rPr/>
        <w:t>Xochiac</w:t>
      </w:r>
      <w:r>
        <w:rPr>
          <w:spacing w:val="-4"/>
        </w:rPr>
        <w:t> </w:t>
      </w:r>
      <w:r>
        <w:rPr/>
        <w:t>y</w:t>
      </w:r>
      <w:r>
        <w:rPr>
          <w:spacing w:val="-7"/>
        </w:rPr>
        <w:t> </w:t>
      </w:r>
      <w:r>
        <w:rPr/>
        <w:t>Tlacoyaques.</w:t>
      </w:r>
    </w:p>
    <w:p>
      <w:pPr>
        <w:pStyle w:val="BodyText"/>
        <w:spacing w:line="360" w:lineRule="auto" w:before="163"/>
        <w:ind w:left="119" w:right="118"/>
        <w:jc w:val="both"/>
      </w:pPr>
      <w:r>
        <w:rPr/>
        <w:t>Finalmente, en la Delegación Magdalena Contreras los asentamientos irregulares  representan  el 15% del total del área de estudio. Los datos registrados apuntan a 16 asentamientos irregulares distribuidos en 3 poblados; San Bernabé Ocotepec, Magdalena Atlitic y San Nicolás Totolapan. En la siguiente cartografía se espacializan los asentamientos irregulares en suelo de conservación presentes en el área de estudio.</w:t>
      </w:r>
    </w:p>
    <w:p>
      <w:pPr>
        <w:spacing w:after="0" w:line="360" w:lineRule="auto"/>
        <w:jc w:val="both"/>
        <w:sectPr>
          <w:pgSz w:w="12240" w:h="15840"/>
          <w:pgMar w:top="1360" w:bottom="280" w:left="1580" w:right="1580"/>
        </w:sectPr>
      </w:pPr>
    </w:p>
    <w:p>
      <w:pPr>
        <w:spacing w:before="52" w:after="5"/>
        <w:ind w:left="139" w:right="143" w:firstLine="0"/>
        <w:jc w:val="center"/>
        <w:rPr>
          <w:b/>
          <w:sz w:val="20"/>
        </w:rPr>
      </w:pPr>
      <w:r>
        <w:rPr>
          <w:b/>
          <w:sz w:val="20"/>
        </w:rPr>
        <w:t>Ilustración 7. Mapa de la distribución espacial de los asentamientos humanos irregulares en suelo de conservación</w:t>
      </w:r>
    </w:p>
    <w:p>
      <w:pPr>
        <w:pStyle w:val="BodyText"/>
        <w:ind w:left="101"/>
        <w:rPr>
          <w:sz w:val="20"/>
        </w:rPr>
      </w:pPr>
      <w:r>
        <w:rPr>
          <w:sz w:val="20"/>
        </w:rPr>
        <w:drawing>
          <wp:inline distT="0" distB="0" distL="0" distR="0">
            <wp:extent cx="5535605" cy="7163466"/>
            <wp:effectExtent l="0" t="0" r="0" b="0"/>
            <wp:docPr id="43" name="image66.jpeg" descr=""/>
            <wp:cNvGraphicFramePr>
              <a:graphicFrameLocks noChangeAspect="1"/>
            </wp:cNvGraphicFramePr>
            <a:graphic>
              <a:graphicData uri="http://schemas.openxmlformats.org/drawingml/2006/picture">
                <pic:pic>
                  <pic:nvPicPr>
                    <pic:cNvPr id="44" name="image66.jpeg"/>
                    <pic:cNvPicPr/>
                  </pic:nvPicPr>
                  <pic:blipFill>
                    <a:blip r:embed="rId71" cstate="print"/>
                    <a:stretch>
                      <a:fillRect/>
                    </a:stretch>
                  </pic:blipFill>
                  <pic:spPr>
                    <a:xfrm>
                      <a:off x="0" y="0"/>
                      <a:ext cx="5535605" cy="7163466"/>
                    </a:xfrm>
                    <a:prstGeom prst="rect">
                      <a:avLst/>
                    </a:prstGeom>
                  </pic:spPr>
                </pic:pic>
              </a:graphicData>
            </a:graphic>
          </wp:inline>
        </w:drawing>
      </w:r>
      <w:r>
        <w:rPr>
          <w:sz w:val="20"/>
        </w:rPr>
      </w:r>
    </w:p>
    <w:p>
      <w:pPr>
        <w:spacing w:before="155"/>
        <w:ind w:left="139" w:right="145"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Heading1"/>
        <w:numPr>
          <w:ilvl w:val="1"/>
          <w:numId w:val="20"/>
        </w:numPr>
        <w:tabs>
          <w:tab w:pos="456" w:val="left" w:leader="none"/>
        </w:tabs>
        <w:spacing w:line="240" w:lineRule="auto" w:before="52" w:after="0"/>
        <w:ind w:left="455" w:right="0" w:hanging="336"/>
        <w:jc w:val="both"/>
      </w:pPr>
      <w:bookmarkStart w:name="_bookmark44" w:id="78"/>
      <w:bookmarkEnd w:id="78"/>
      <w:r>
        <w:rPr>
          <w:b w:val="0"/>
        </w:rPr>
      </w:r>
      <w:bookmarkStart w:name="_bookmark44" w:id="79"/>
      <w:bookmarkEnd w:id="79"/>
      <w:r>
        <w:rPr/>
        <w:t>I</w:t>
      </w:r>
      <w:r>
        <w:rPr/>
        <w:t>dentificación</w:t>
      </w:r>
      <w:r>
        <w:rPr>
          <w:spacing w:val="-6"/>
        </w:rPr>
        <w:t> </w:t>
      </w:r>
      <w:r>
        <w:rPr/>
        <w:t>de</w:t>
      </w:r>
      <w:r>
        <w:rPr>
          <w:spacing w:val="-5"/>
        </w:rPr>
        <w:t> </w:t>
      </w:r>
      <w:r>
        <w:rPr/>
        <w:t>los</w:t>
      </w:r>
      <w:r>
        <w:rPr>
          <w:spacing w:val="-3"/>
        </w:rPr>
        <w:t> </w:t>
      </w:r>
      <w:r>
        <w:rPr/>
        <w:t>patrones</w:t>
      </w:r>
      <w:r>
        <w:rPr>
          <w:spacing w:val="1"/>
        </w:rPr>
        <w:t> </w:t>
      </w:r>
      <w:r>
        <w:rPr/>
        <w:t>urbanos</w:t>
      </w:r>
      <w:r>
        <w:rPr>
          <w:spacing w:val="-3"/>
        </w:rPr>
        <w:t> </w:t>
      </w:r>
      <w:r>
        <w:rPr/>
        <w:t>de</w:t>
      </w:r>
      <w:r>
        <w:rPr>
          <w:spacing w:val="-5"/>
        </w:rPr>
        <w:t> </w:t>
      </w:r>
      <w:r>
        <w:rPr/>
        <w:t>ocupación</w:t>
      </w:r>
      <w:r>
        <w:rPr>
          <w:spacing w:val="-11"/>
        </w:rPr>
        <w:t> </w:t>
      </w:r>
      <w:r>
        <w:rPr/>
        <w:t>informal</w:t>
      </w:r>
      <w:r>
        <w:rPr>
          <w:spacing w:val="-2"/>
        </w:rPr>
        <w:t> </w:t>
      </w:r>
      <w:r>
        <w:rPr/>
        <w:t>en</w:t>
      </w:r>
      <w:r>
        <w:rPr>
          <w:spacing w:val="-6"/>
        </w:rPr>
        <w:t> </w:t>
      </w:r>
      <w:r>
        <w:rPr/>
        <w:t>la</w:t>
      </w:r>
      <w:r>
        <w:rPr>
          <w:spacing w:val="-8"/>
        </w:rPr>
        <w:t> </w:t>
      </w:r>
      <w:r>
        <w:rPr/>
        <w:t>zona</w:t>
      </w:r>
      <w:r>
        <w:rPr>
          <w:spacing w:val="-3"/>
        </w:rPr>
        <w:t> </w:t>
      </w:r>
      <w:r>
        <w:rPr/>
        <w:t>poniente</w:t>
      </w:r>
    </w:p>
    <w:p>
      <w:pPr>
        <w:pStyle w:val="BodyText"/>
        <w:rPr>
          <w:b/>
        </w:rPr>
      </w:pPr>
    </w:p>
    <w:p>
      <w:pPr>
        <w:pStyle w:val="BodyText"/>
        <w:rPr>
          <w:b/>
          <w:sz w:val="19"/>
        </w:rPr>
      </w:pPr>
    </w:p>
    <w:p>
      <w:pPr>
        <w:pStyle w:val="BodyText"/>
        <w:spacing w:line="360" w:lineRule="auto" w:before="1"/>
        <w:ind w:left="119" w:right="103"/>
        <w:jc w:val="both"/>
      </w:pPr>
      <w:r>
        <w:rPr/>
        <w:t>Mediante la aplicación de una metodología basada en la fotointerpretación con imágenes del servidor Google Earth, se han podido conocer los procesos recientes de ocupación informal en el poniente de la Ciudad de México. De la elaboración de cada tipología resultó una aproximación sobre la distribución y el proceso de ocupación informal. En los resultados se aprecian dos puntos extremos sobre este proceso.</w:t>
      </w:r>
    </w:p>
    <w:p>
      <w:pPr>
        <w:pStyle w:val="BodyText"/>
        <w:spacing w:line="360" w:lineRule="auto" w:before="163"/>
        <w:ind w:left="119" w:right="98"/>
        <w:jc w:val="both"/>
      </w:pPr>
      <w:r>
        <w:rPr/>
        <w:t>Por un lado, se muestra un conjunto de asentamientos irregulares con alta densificación y dotados  de infraestructura, principalmente con caminos y calles, establecidos en cercanía con las principales vías de comunicación y rutas de transporte. </w:t>
      </w:r>
      <w:r>
        <w:rPr>
          <w:spacing w:val="2"/>
        </w:rPr>
        <w:t>Tal </w:t>
      </w:r>
      <w:r>
        <w:rPr/>
        <w:t>como menciona Erba (2013), la materialización de la producción social informal </w:t>
      </w:r>
      <w:r>
        <w:rPr>
          <w:spacing w:val="2"/>
        </w:rPr>
        <w:t>se </w:t>
      </w:r>
      <w:r>
        <w:rPr>
          <w:spacing w:val="-3"/>
        </w:rPr>
        <w:t>va </w:t>
      </w:r>
      <w:r>
        <w:rPr/>
        <w:t>desarrollando por etapas, iniciando con la ocupación de predios y poco a poco dotando de servicios hasta generar un círculo vicioso donde la ocupación informal alcanza nuevas dimensiones de expansión trayendo consigo mayor precariedad en las nuevas viviendas. Por otro lado, en la zona existen asentamientos compuestos por viviendas totalmente aisladas sin ningún tipo de infraestructura y rodeados de zonas agrícolas. </w:t>
      </w:r>
      <w:r>
        <w:rPr>
          <w:spacing w:val="4"/>
        </w:rPr>
        <w:t>En </w:t>
      </w:r>
      <w:r>
        <w:rPr/>
        <w:t>estos casos </w:t>
      </w:r>
      <w:r>
        <w:rPr>
          <w:spacing w:val="2"/>
        </w:rPr>
        <w:t>se </w:t>
      </w:r>
      <w:r>
        <w:rPr/>
        <w:t>habla de fragmentación territorial la cual </w:t>
      </w:r>
      <w:r>
        <w:rPr>
          <w:spacing w:val="-3"/>
        </w:rPr>
        <w:t>va </w:t>
      </w:r>
      <w:r>
        <w:rPr/>
        <w:t>generando mosaicos de segregación y</w:t>
      </w:r>
      <w:r>
        <w:rPr>
          <w:spacing w:val="-31"/>
        </w:rPr>
        <w:t> </w:t>
      </w:r>
      <w:r>
        <w:rPr/>
        <w:t>dispersión.</w:t>
      </w:r>
    </w:p>
    <w:p>
      <w:pPr>
        <w:pStyle w:val="BodyText"/>
        <w:spacing w:line="360" w:lineRule="auto" w:before="163"/>
        <w:ind w:left="119" w:right="104"/>
        <w:jc w:val="both"/>
      </w:pPr>
      <w:r>
        <w:rPr/>
        <w:t>De acuerdo al texto de Soledad Cruz (2000) sobre </w:t>
      </w:r>
      <w:r>
        <w:rPr>
          <w:i/>
        </w:rPr>
        <w:t>Crecimiento urbano y poblamiento en la ZMCM. </w:t>
      </w:r>
      <w:r>
        <w:rPr>
          <w:i/>
        </w:rPr>
        <w:t>El perfil del nuevo milenio</w:t>
      </w:r>
      <w:r>
        <w:rPr/>
        <w:t>; es posible identificar seis modalidades de poblamiento en las ciudades, aunque en las zonas periferias de la ciudad ocurren modalidades de poblamiento similares, por ejemplo, las colonias populares de reciente consolidación, pueblos y poblamientos periféricos residenciales de tipo medio y alto.</w:t>
      </w:r>
    </w:p>
    <w:p>
      <w:pPr>
        <w:pStyle w:val="BodyText"/>
        <w:spacing w:line="360" w:lineRule="auto" w:before="168"/>
        <w:ind w:left="119" w:right="104"/>
        <w:jc w:val="both"/>
      </w:pPr>
      <w:r>
        <w:rPr/>
        <w:t>Los poblamientos irregulares son asentamientos que </w:t>
      </w:r>
      <w:r>
        <w:rPr>
          <w:spacing w:val="2"/>
        </w:rPr>
        <w:t>se </w:t>
      </w:r>
      <w:r>
        <w:rPr/>
        <w:t>han desarrollado separados del espacio urbanizado, muchas veces ligados por vías de comunicación y cuya invasión por venta fraudulenta  o urbanización ilegal de los lotes </w:t>
      </w:r>
      <w:r>
        <w:rPr>
          <w:spacing w:val="-3"/>
        </w:rPr>
        <w:t>ha </w:t>
      </w:r>
      <w:r>
        <w:rPr/>
        <w:t>generado trazos diferentes al resto de la ciudad. La posibilidad de entender las dinámicas espaciales según el tipo de poblamiento puede ser complejo. Por lo que, estas consideraciones permiten vincular las distintas modalidades que van conformando el tejido urbano en la zona de estudio y que fueron utilizadas para </w:t>
      </w:r>
      <w:r>
        <w:rPr>
          <w:spacing w:val="-4"/>
        </w:rPr>
        <w:t>el </w:t>
      </w:r>
      <w:r>
        <w:rPr/>
        <w:t>desarrollo e interpretación de los patrones encontrados en </w:t>
      </w:r>
      <w:r>
        <w:rPr>
          <w:spacing w:val="-4"/>
        </w:rPr>
        <w:t>el</w:t>
      </w:r>
      <w:r>
        <w:rPr>
          <w:spacing w:val="-5"/>
        </w:rPr>
        <w:t> </w:t>
      </w:r>
      <w:r>
        <w:rPr/>
        <w:t>zona.</w:t>
      </w:r>
    </w:p>
    <w:p>
      <w:pPr>
        <w:pStyle w:val="BodyText"/>
        <w:spacing w:line="360" w:lineRule="auto" w:before="167"/>
        <w:ind w:left="119" w:right="106"/>
        <w:jc w:val="both"/>
      </w:pPr>
      <w:r>
        <w:rPr/>
        <w:t>Se analizaron 15 poblados, identificándose seis tipos de ocupación informal. En cada patrón de ocupación es posible observar a detalle a partir de las imágenes del servidor Google Earth, los servicios urbanos con los que cuenta cada asentamiento; pavimentación, luz eléctrica, caminos o vías principales de comunicación.</w:t>
      </w:r>
    </w:p>
    <w:p>
      <w:pPr>
        <w:spacing w:after="0" w:line="360" w:lineRule="auto"/>
        <w:jc w:val="both"/>
        <w:sectPr>
          <w:pgSz w:w="12240" w:h="15840"/>
          <w:pgMar w:top="1360" w:bottom="280" w:left="1580" w:right="1600"/>
        </w:sectPr>
      </w:pPr>
    </w:p>
    <w:p>
      <w:pPr>
        <w:pStyle w:val="BodyText"/>
        <w:spacing w:line="360" w:lineRule="auto" w:before="52"/>
        <w:ind w:left="119" w:right="101"/>
        <w:jc w:val="both"/>
      </w:pPr>
      <w:r>
        <w:rPr/>
        <w:t>La desagregación de los datos a nivel poblado permitió identificar diversas estructuras urbanas donde los asentamientos irregulares colindantes con la frontera urbana, son los de mayor número. Un segundo grupo está compuesto por los asentamientos irregulares de un tamaño un poco menor pero dispersos en el territorio. Luego se observa un tercer grupo de asentamientos que se encuentran totalmente aislados de la frontera urbana, así como de los asentamientos colindantes.</w:t>
      </w:r>
    </w:p>
    <w:p>
      <w:pPr>
        <w:pStyle w:val="BodyText"/>
        <w:spacing w:line="360" w:lineRule="auto" w:before="167"/>
        <w:ind w:left="119" w:right="108"/>
        <w:jc w:val="both"/>
      </w:pPr>
      <w:r>
        <w:rPr/>
        <w:t>Se observa como tipología predominante las densidades medias donde las características de las viviendas son de concreto y se presentan procesos de antropización importantes. En estos casos se puede notar que los asentamientos irregulares en la zona atraviesan por un proceso de autoconstrucción de la vivienda en las cuales se observan 3 desventajas:</w:t>
      </w:r>
    </w:p>
    <w:p>
      <w:pPr>
        <w:pStyle w:val="BodyText"/>
      </w:pPr>
    </w:p>
    <w:p>
      <w:pPr>
        <w:pStyle w:val="BodyText"/>
      </w:pPr>
    </w:p>
    <w:p>
      <w:pPr>
        <w:pStyle w:val="BodyText"/>
        <w:spacing w:before="4"/>
        <w:rPr>
          <w:sz w:val="17"/>
        </w:rPr>
      </w:pPr>
    </w:p>
    <w:p>
      <w:pPr>
        <w:pStyle w:val="ListParagraph"/>
        <w:numPr>
          <w:ilvl w:val="2"/>
          <w:numId w:val="20"/>
        </w:numPr>
        <w:tabs>
          <w:tab w:pos="841" w:val="left" w:leader="none"/>
        </w:tabs>
        <w:spacing w:line="360" w:lineRule="auto" w:before="0" w:after="0"/>
        <w:ind w:left="840" w:right="106" w:hanging="360"/>
        <w:jc w:val="both"/>
        <w:rPr>
          <w:sz w:val="22"/>
        </w:rPr>
      </w:pPr>
      <w:r>
        <w:rPr>
          <w:b/>
          <w:sz w:val="22"/>
        </w:rPr>
        <w:t>Largo </w:t>
      </w:r>
      <w:r>
        <w:rPr>
          <w:sz w:val="22"/>
        </w:rPr>
        <w:t>desde el inicio de la construcción de la vivienda hasta completarla con servicios y obtener la tenencia regular, </w:t>
      </w:r>
      <w:r>
        <w:rPr>
          <w:spacing w:val="-4"/>
          <w:sz w:val="22"/>
        </w:rPr>
        <w:t>en </w:t>
      </w:r>
      <w:r>
        <w:rPr>
          <w:sz w:val="22"/>
        </w:rPr>
        <w:t>general, </w:t>
      </w:r>
      <w:r>
        <w:rPr>
          <w:spacing w:val="-3"/>
          <w:sz w:val="22"/>
        </w:rPr>
        <w:t>lleva </w:t>
      </w:r>
      <w:r>
        <w:rPr>
          <w:sz w:val="22"/>
        </w:rPr>
        <w:t>entre 15 y 20</w:t>
      </w:r>
      <w:r>
        <w:rPr>
          <w:spacing w:val="12"/>
          <w:sz w:val="22"/>
        </w:rPr>
        <w:t> </w:t>
      </w:r>
      <w:r>
        <w:rPr>
          <w:sz w:val="22"/>
        </w:rPr>
        <w:t>años.</w:t>
      </w:r>
    </w:p>
    <w:p>
      <w:pPr>
        <w:pStyle w:val="ListParagraph"/>
        <w:numPr>
          <w:ilvl w:val="2"/>
          <w:numId w:val="20"/>
        </w:numPr>
        <w:tabs>
          <w:tab w:pos="841" w:val="left" w:leader="none"/>
        </w:tabs>
        <w:spacing w:line="360" w:lineRule="auto" w:before="163" w:after="0"/>
        <w:ind w:left="840" w:right="106" w:hanging="360"/>
        <w:jc w:val="both"/>
        <w:rPr>
          <w:sz w:val="22"/>
        </w:rPr>
      </w:pPr>
      <w:r>
        <w:rPr>
          <w:b/>
          <w:spacing w:val="-3"/>
          <w:sz w:val="22"/>
        </w:rPr>
        <w:t>Caro </w:t>
      </w:r>
      <w:r>
        <w:rPr>
          <w:sz w:val="22"/>
        </w:rPr>
        <w:t>porque no hay un diseño eficiente. En general no se planifican las construcciones con las ampliaciones desde el inicio y hay mucho desperdicio de materiales, porque al comprarse se guardan, </w:t>
      </w:r>
      <w:r>
        <w:rPr>
          <w:spacing w:val="2"/>
          <w:sz w:val="22"/>
        </w:rPr>
        <w:t>se </w:t>
      </w:r>
      <w:r>
        <w:rPr>
          <w:sz w:val="22"/>
        </w:rPr>
        <w:t>pierden o quedan inutilizables. También los servicios que </w:t>
      </w:r>
      <w:r>
        <w:rPr>
          <w:spacing w:val="2"/>
          <w:sz w:val="22"/>
        </w:rPr>
        <w:t>se </w:t>
      </w:r>
      <w:r>
        <w:rPr>
          <w:sz w:val="22"/>
        </w:rPr>
        <w:t>reciben en una vivienda incremental son </w:t>
      </w:r>
      <w:r>
        <w:rPr>
          <w:spacing w:val="-2"/>
          <w:sz w:val="22"/>
        </w:rPr>
        <w:t>más </w:t>
      </w:r>
      <w:r>
        <w:rPr>
          <w:sz w:val="22"/>
        </w:rPr>
        <w:t>caros, es decir, </w:t>
      </w:r>
      <w:r>
        <w:rPr>
          <w:spacing w:val="-3"/>
          <w:sz w:val="22"/>
        </w:rPr>
        <w:t>los </w:t>
      </w:r>
      <w:r>
        <w:rPr>
          <w:sz w:val="22"/>
        </w:rPr>
        <w:t>servicios en red son </w:t>
      </w:r>
      <w:r>
        <w:rPr>
          <w:spacing w:val="-2"/>
          <w:sz w:val="22"/>
        </w:rPr>
        <w:t>más </w:t>
      </w:r>
      <w:r>
        <w:rPr>
          <w:sz w:val="22"/>
        </w:rPr>
        <w:t>baratos, </w:t>
      </w:r>
      <w:r>
        <w:rPr>
          <w:spacing w:val="-3"/>
          <w:sz w:val="22"/>
        </w:rPr>
        <w:t>ya </w:t>
      </w:r>
      <w:r>
        <w:rPr>
          <w:sz w:val="22"/>
        </w:rPr>
        <w:t>que los servicios de pipa son </w:t>
      </w:r>
      <w:r>
        <w:rPr>
          <w:spacing w:val="-4"/>
          <w:sz w:val="22"/>
        </w:rPr>
        <w:t>más </w:t>
      </w:r>
      <w:r>
        <w:rPr>
          <w:sz w:val="22"/>
        </w:rPr>
        <w:t>caros que de una</w:t>
      </w:r>
      <w:r>
        <w:rPr>
          <w:spacing w:val="9"/>
          <w:sz w:val="22"/>
        </w:rPr>
        <w:t> </w:t>
      </w:r>
      <w:r>
        <w:rPr>
          <w:spacing w:val="-3"/>
          <w:sz w:val="22"/>
        </w:rPr>
        <w:t>red.</w:t>
      </w:r>
    </w:p>
    <w:p>
      <w:pPr>
        <w:pStyle w:val="ListParagraph"/>
        <w:numPr>
          <w:ilvl w:val="2"/>
          <w:numId w:val="20"/>
        </w:numPr>
        <w:tabs>
          <w:tab w:pos="841" w:val="left" w:leader="none"/>
        </w:tabs>
        <w:spacing w:line="360" w:lineRule="auto" w:before="168" w:after="0"/>
        <w:ind w:left="840" w:right="112" w:hanging="360"/>
        <w:jc w:val="both"/>
        <w:rPr>
          <w:sz w:val="22"/>
        </w:rPr>
      </w:pPr>
      <w:r>
        <w:rPr>
          <w:b/>
          <w:sz w:val="22"/>
        </w:rPr>
        <w:t>De baja calidad</w:t>
      </w:r>
      <w:r>
        <w:rPr>
          <w:sz w:val="22"/>
        </w:rPr>
        <w:t>, generalmente </w:t>
      </w:r>
      <w:r>
        <w:rPr>
          <w:spacing w:val="2"/>
          <w:sz w:val="22"/>
        </w:rPr>
        <w:t>se </w:t>
      </w:r>
      <w:r>
        <w:rPr>
          <w:sz w:val="22"/>
        </w:rPr>
        <w:t>hace sin asistencia técnica por la cual la calidad de la construcción es baja, el costo del mantenimiento </w:t>
      </w:r>
      <w:r>
        <w:rPr>
          <w:spacing w:val="-4"/>
          <w:sz w:val="22"/>
        </w:rPr>
        <w:t>es </w:t>
      </w:r>
      <w:r>
        <w:rPr>
          <w:sz w:val="22"/>
        </w:rPr>
        <w:t>alto y además esto representa algunos riesgos.</w:t>
      </w:r>
    </w:p>
    <w:p>
      <w:pPr>
        <w:pStyle w:val="BodyText"/>
        <w:spacing w:line="360" w:lineRule="auto" w:before="163"/>
        <w:ind w:left="119" w:right="101"/>
        <w:jc w:val="both"/>
      </w:pPr>
      <w:r>
        <w:rPr/>
        <w:t>La Delegación Álvaro Obregón cuenta con 5 poblados donde el patrón que </w:t>
      </w:r>
      <w:r>
        <w:rPr>
          <w:spacing w:val="2"/>
        </w:rPr>
        <w:t>se </w:t>
      </w:r>
      <w:r>
        <w:rPr/>
        <w:t>destaca son las viviendas de concretos agrupadas en áreas de densidades medias y donde </w:t>
      </w:r>
      <w:r>
        <w:rPr>
          <w:spacing w:val="2"/>
        </w:rPr>
        <w:t>se </w:t>
      </w:r>
      <w:r>
        <w:rPr/>
        <w:t>alcanzan a percibir algunos servicios urbanos, principalmente calles con pavimentación y/o caminos, así como luz eléctrica. No obstante, se perciben carencias en las construcciones de las viviendas, sobre todo por las casas a </w:t>
      </w:r>
      <w:r>
        <w:rPr>
          <w:spacing w:val="-3"/>
        </w:rPr>
        <w:t>medio </w:t>
      </w:r>
      <w:r>
        <w:rPr/>
        <w:t>construir, haciéndose notar la falta </w:t>
      </w:r>
      <w:r>
        <w:rPr>
          <w:spacing w:val="-3"/>
        </w:rPr>
        <w:t>de </w:t>
      </w:r>
      <w:r>
        <w:rPr/>
        <w:t>agua potable y </w:t>
      </w:r>
      <w:r>
        <w:rPr>
          <w:spacing w:val="-3"/>
        </w:rPr>
        <w:t>los </w:t>
      </w:r>
      <w:r>
        <w:rPr/>
        <w:t>materiales de construcción poco resistentes, además de un medio físico</w:t>
      </w:r>
      <w:r>
        <w:rPr>
          <w:spacing w:val="-26"/>
        </w:rPr>
        <w:t> </w:t>
      </w:r>
      <w:r>
        <w:rPr/>
        <w:t>accidentado.</w:t>
      </w:r>
    </w:p>
    <w:p>
      <w:pPr>
        <w:pStyle w:val="BodyText"/>
        <w:spacing w:line="360" w:lineRule="auto" w:before="163"/>
        <w:ind w:left="119" w:right="107"/>
        <w:jc w:val="both"/>
      </w:pPr>
      <w:r>
        <w:rPr/>
        <w:t>La Delegación Cuajimalpa cuenta con 7 poblados y las características espaciales resultan un poco </w:t>
      </w:r>
      <w:r>
        <w:rPr>
          <w:spacing w:val="-2"/>
        </w:rPr>
        <w:t>más </w:t>
      </w:r>
      <w:r>
        <w:rPr/>
        <w:t>variadas en comparación con la Delegación Álvaro Obregón, se perciben conjuntos agrupados rodeados de zonas agrícolas, además de presentar vialidades internas y externas </w:t>
      </w:r>
      <w:r>
        <w:rPr>
          <w:spacing w:val="-4"/>
        </w:rPr>
        <w:t>en </w:t>
      </w:r>
      <w:r>
        <w:rPr/>
        <w:t>pie de carretera principalmente. Entre los servicios urbanos que logran visualizarse son la implementación de luz eléctrica  y pavimentación.  La  construcción de las  viviendas  obedece a  materiales  de concreto</w:t>
      </w:r>
      <w:r>
        <w:rPr>
          <w:spacing w:val="51"/>
        </w:rPr>
        <w:t> </w:t>
      </w:r>
      <w:r>
        <w:rPr/>
        <w:t>y</w:t>
      </w:r>
    </w:p>
    <w:p>
      <w:pPr>
        <w:spacing w:after="0" w:line="360" w:lineRule="auto"/>
        <w:jc w:val="both"/>
        <w:sectPr>
          <w:pgSz w:w="12240" w:h="15840"/>
          <w:pgMar w:top="1360" w:bottom="280" w:left="1580" w:right="1600"/>
        </w:sectPr>
      </w:pPr>
    </w:p>
    <w:p>
      <w:pPr>
        <w:pStyle w:val="BodyText"/>
        <w:spacing w:line="360" w:lineRule="auto" w:before="52"/>
        <w:ind w:left="119" w:right="110"/>
        <w:jc w:val="both"/>
      </w:pPr>
      <w:r>
        <w:rPr/>
        <w:t>lamina, donde </w:t>
      </w:r>
      <w:r>
        <w:rPr>
          <w:spacing w:val="-4"/>
        </w:rPr>
        <w:t>es </w:t>
      </w:r>
      <w:r>
        <w:rPr/>
        <w:t>importante destacar que un gran porcentaje de estos asentamientos </w:t>
      </w:r>
      <w:r>
        <w:rPr>
          <w:spacing w:val="2"/>
        </w:rPr>
        <w:t>se </w:t>
      </w:r>
      <w:r>
        <w:rPr/>
        <w:t>ubican en las zonas de </w:t>
      </w:r>
      <w:r>
        <w:rPr>
          <w:spacing w:val="-3"/>
        </w:rPr>
        <w:t>mayor </w:t>
      </w:r>
      <w:r>
        <w:rPr/>
        <w:t>pendiente y en pronta cercanía </w:t>
      </w:r>
      <w:r>
        <w:rPr>
          <w:spacing w:val="-3"/>
        </w:rPr>
        <w:t>con </w:t>
      </w:r>
      <w:r>
        <w:rPr/>
        <w:t>la carretera México-Toluca.</w:t>
      </w:r>
    </w:p>
    <w:p>
      <w:pPr>
        <w:pStyle w:val="BodyText"/>
        <w:spacing w:line="360" w:lineRule="auto" w:before="168"/>
        <w:ind w:left="119" w:right="100"/>
        <w:jc w:val="both"/>
      </w:pPr>
      <w:r>
        <w:rPr/>
        <w:t>Por su parte, la Delegación Magdalena Contreras cuenta con 3 poblados colindantes con la zona urbana pero con asentamientos dispersos. De la misma manera que en los casos anteriores, las viviendas son consolidadas y con materiales de baja resistencia, además de localizarse en zonas de pendientes inclinadas. En cuanto a los servicios urbanos se percibe la incorporación de luz eléctrica y caminos de terracería.</w:t>
      </w:r>
    </w:p>
    <w:p>
      <w:pPr>
        <w:spacing w:after="0" w:line="360" w:lineRule="auto"/>
        <w:jc w:val="both"/>
        <w:sectPr>
          <w:pgSz w:w="12240" w:h="15840"/>
          <w:pgMar w:top="1360" w:bottom="280" w:left="1580" w:right="1600"/>
        </w:sectPr>
      </w:pPr>
    </w:p>
    <w:p>
      <w:pPr>
        <w:pStyle w:val="BodyText"/>
        <w:rPr>
          <w:sz w:val="20"/>
        </w:rPr>
      </w:pPr>
    </w:p>
    <w:p>
      <w:pPr>
        <w:pStyle w:val="BodyText"/>
        <w:spacing w:before="8"/>
        <w:rPr>
          <w:sz w:val="21"/>
        </w:rPr>
      </w:pPr>
    </w:p>
    <w:p>
      <w:pPr>
        <w:spacing w:before="76" w:after="5"/>
        <w:ind w:left="2613" w:right="0" w:firstLine="0"/>
        <w:jc w:val="left"/>
        <w:rPr>
          <w:b/>
          <w:sz w:val="20"/>
        </w:rPr>
      </w:pPr>
      <w:r>
        <w:rPr>
          <w:b/>
          <w:sz w:val="20"/>
        </w:rPr>
        <w:t>Tabla 4. Descripción de las tipologías de ocupación informal en la Delegación Álvaro Obregón</w:t>
      </w:r>
    </w:p>
    <w:tbl>
      <w:tblPr>
        <w:tblW w:w="0" w:type="auto"/>
        <w:jc w:val="left"/>
        <w:tblInd w:w="11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174"/>
        <w:gridCol w:w="1485"/>
        <w:gridCol w:w="2204"/>
        <w:gridCol w:w="2336"/>
        <w:gridCol w:w="2036"/>
        <w:gridCol w:w="1875"/>
        <w:gridCol w:w="1892"/>
      </w:tblGrid>
      <w:tr>
        <w:trPr>
          <w:trHeight w:val="480" w:hRule="exact"/>
        </w:trPr>
        <w:tc>
          <w:tcPr>
            <w:tcW w:w="1174" w:type="dxa"/>
            <w:shd w:val="clear" w:color="auto" w:fill="333E4F"/>
          </w:tcPr>
          <w:p>
            <w:pPr>
              <w:pStyle w:val="TableParagraph"/>
              <w:spacing w:before="9"/>
              <w:rPr>
                <w:b/>
                <w:sz w:val="14"/>
              </w:rPr>
            </w:pPr>
          </w:p>
          <w:p>
            <w:pPr>
              <w:pStyle w:val="TableParagraph"/>
              <w:ind w:left="305"/>
              <w:rPr>
                <w:b/>
                <w:sz w:val="12"/>
              </w:rPr>
            </w:pPr>
            <w:r>
              <w:rPr>
                <w:b/>
                <w:color w:val="FFFFFF"/>
                <w:sz w:val="12"/>
              </w:rPr>
              <w:t>Delegación</w:t>
            </w:r>
          </w:p>
        </w:tc>
        <w:tc>
          <w:tcPr>
            <w:tcW w:w="1485" w:type="dxa"/>
            <w:shd w:val="clear" w:color="auto" w:fill="333E4F"/>
          </w:tcPr>
          <w:p>
            <w:pPr>
              <w:pStyle w:val="TableParagraph"/>
              <w:spacing w:before="9"/>
              <w:rPr>
                <w:b/>
                <w:sz w:val="14"/>
              </w:rPr>
            </w:pPr>
          </w:p>
          <w:p>
            <w:pPr>
              <w:pStyle w:val="TableParagraph"/>
              <w:ind w:left="239"/>
              <w:rPr>
                <w:b/>
                <w:sz w:val="12"/>
              </w:rPr>
            </w:pPr>
            <w:r>
              <w:rPr>
                <w:b/>
                <w:color w:val="FFFFFF"/>
                <w:sz w:val="12"/>
              </w:rPr>
              <w:t>Nombre  del poblado</w:t>
            </w:r>
          </w:p>
        </w:tc>
        <w:tc>
          <w:tcPr>
            <w:tcW w:w="2204" w:type="dxa"/>
            <w:shd w:val="clear" w:color="auto" w:fill="333E4F"/>
          </w:tcPr>
          <w:p>
            <w:pPr>
              <w:pStyle w:val="TableParagraph"/>
              <w:spacing w:before="9"/>
              <w:rPr>
                <w:b/>
                <w:sz w:val="14"/>
              </w:rPr>
            </w:pPr>
          </w:p>
          <w:p>
            <w:pPr>
              <w:pStyle w:val="TableParagraph"/>
              <w:ind w:left="443"/>
              <w:rPr>
                <w:b/>
                <w:sz w:val="12"/>
              </w:rPr>
            </w:pPr>
            <w:r>
              <w:rPr>
                <w:b/>
                <w:color w:val="FFFFFF"/>
                <w:sz w:val="12"/>
              </w:rPr>
              <w:t>Características espaciales</w:t>
            </w:r>
          </w:p>
        </w:tc>
        <w:tc>
          <w:tcPr>
            <w:tcW w:w="2336" w:type="dxa"/>
            <w:shd w:val="clear" w:color="auto" w:fill="333E4F"/>
          </w:tcPr>
          <w:p>
            <w:pPr>
              <w:pStyle w:val="TableParagraph"/>
              <w:spacing w:before="9"/>
              <w:rPr>
                <w:b/>
                <w:sz w:val="14"/>
              </w:rPr>
            </w:pPr>
          </w:p>
          <w:p>
            <w:pPr>
              <w:pStyle w:val="TableParagraph"/>
              <w:ind w:left="431"/>
              <w:rPr>
                <w:b/>
                <w:sz w:val="12"/>
              </w:rPr>
            </w:pPr>
            <w:r>
              <w:rPr>
                <w:b/>
                <w:color w:val="FFFFFF"/>
                <w:sz w:val="12"/>
              </w:rPr>
              <w:t>Patrón de ocupación informal</w:t>
            </w:r>
          </w:p>
        </w:tc>
        <w:tc>
          <w:tcPr>
            <w:tcW w:w="5803" w:type="dxa"/>
            <w:gridSpan w:val="3"/>
            <w:shd w:val="clear" w:color="auto" w:fill="333E4F"/>
          </w:tcPr>
          <w:p>
            <w:pPr>
              <w:pStyle w:val="TableParagraph"/>
              <w:spacing w:before="3"/>
              <w:rPr>
                <w:b/>
                <w:sz w:val="14"/>
              </w:rPr>
            </w:pPr>
          </w:p>
          <w:p>
            <w:pPr>
              <w:pStyle w:val="TableParagraph"/>
              <w:ind w:left="2624" w:right="2625"/>
              <w:jc w:val="center"/>
              <w:rPr>
                <w:b/>
                <w:sz w:val="12"/>
              </w:rPr>
            </w:pPr>
            <w:r>
              <w:rPr>
                <w:b/>
                <w:color w:val="FFFFFF"/>
                <w:sz w:val="12"/>
              </w:rPr>
              <w:t>Viviendas</w:t>
            </w:r>
          </w:p>
        </w:tc>
      </w:tr>
      <w:tr>
        <w:trPr>
          <w:trHeight w:val="1561" w:hRule="exact"/>
        </w:trPr>
        <w:tc>
          <w:tcPr>
            <w:tcW w:w="1174"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5"/>
              <w:rPr>
                <w:b/>
                <w:sz w:val="12"/>
              </w:rPr>
            </w:pPr>
          </w:p>
          <w:p>
            <w:pPr>
              <w:pStyle w:val="TableParagraph"/>
              <w:ind w:left="197"/>
              <w:rPr>
                <w:sz w:val="12"/>
              </w:rPr>
            </w:pPr>
            <w:r>
              <w:rPr>
                <w:sz w:val="12"/>
              </w:rPr>
              <w:t>Álvaro Obregón</w:t>
            </w:r>
          </w:p>
        </w:tc>
        <w:tc>
          <w:tcPr>
            <w:tcW w:w="148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3"/>
              </w:rPr>
            </w:pPr>
          </w:p>
          <w:p>
            <w:pPr>
              <w:pStyle w:val="TableParagraph"/>
              <w:ind w:left="17"/>
              <w:rPr>
                <w:sz w:val="12"/>
              </w:rPr>
            </w:pPr>
            <w:r>
              <w:rPr>
                <w:sz w:val="12"/>
              </w:rPr>
              <w:t>Cooperativa Miguel Gaona</w:t>
            </w:r>
          </w:p>
        </w:tc>
        <w:tc>
          <w:tcPr>
            <w:tcW w:w="2204"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71" w:lineRule="auto" w:before="80"/>
              <w:ind w:left="17"/>
              <w:rPr>
                <w:sz w:val="12"/>
              </w:rPr>
            </w:pPr>
            <w:r>
              <w:rPr>
                <w:sz w:val="12"/>
              </w:rPr>
              <w:t>Compuesto por viviendas de concreto aisladas, baja estructura de calles y caminos.</w:t>
            </w:r>
          </w:p>
        </w:tc>
        <w:tc>
          <w:tcPr>
            <w:tcW w:w="2336" w:type="dxa"/>
          </w:tcPr>
          <w:p>
            <w:pPr>
              <w:pStyle w:val="TableParagraph"/>
              <w:ind w:left="129"/>
              <w:rPr>
                <w:sz w:val="20"/>
              </w:rPr>
            </w:pPr>
            <w:r>
              <w:rPr>
                <w:sz w:val="20"/>
              </w:rPr>
              <w:drawing>
                <wp:inline distT="0" distB="0" distL="0" distR="0">
                  <wp:extent cx="1102654" cy="964691"/>
                  <wp:effectExtent l="0" t="0" r="0" b="0"/>
                  <wp:docPr id="45" name="image67.jpeg" descr=""/>
                  <wp:cNvGraphicFramePr>
                    <a:graphicFrameLocks noChangeAspect="1"/>
                  </wp:cNvGraphicFramePr>
                  <a:graphic>
                    <a:graphicData uri="http://schemas.openxmlformats.org/drawingml/2006/picture">
                      <pic:pic>
                        <pic:nvPicPr>
                          <pic:cNvPr id="46" name="image67.jpeg"/>
                          <pic:cNvPicPr/>
                        </pic:nvPicPr>
                        <pic:blipFill>
                          <a:blip r:embed="rId72" cstate="print"/>
                          <a:stretch>
                            <a:fillRect/>
                          </a:stretch>
                        </pic:blipFill>
                        <pic:spPr>
                          <a:xfrm>
                            <a:off x="0" y="0"/>
                            <a:ext cx="1102654" cy="964691"/>
                          </a:xfrm>
                          <a:prstGeom prst="rect">
                            <a:avLst/>
                          </a:prstGeom>
                        </pic:spPr>
                      </pic:pic>
                    </a:graphicData>
                  </a:graphic>
                </wp:inline>
              </w:drawing>
            </w:r>
            <w:r>
              <w:rPr>
                <w:sz w:val="20"/>
              </w:rPr>
            </w:r>
          </w:p>
        </w:tc>
        <w:tc>
          <w:tcPr>
            <w:tcW w:w="2036" w:type="dxa"/>
          </w:tcPr>
          <w:p>
            <w:pPr>
              <w:pStyle w:val="TableParagraph"/>
              <w:ind w:left="38"/>
              <w:rPr>
                <w:sz w:val="20"/>
              </w:rPr>
            </w:pPr>
            <w:r>
              <w:rPr>
                <w:sz w:val="20"/>
              </w:rPr>
              <w:drawing>
                <wp:inline distT="0" distB="0" distL="0" distR="0">
                  <wp:extent cx="1102388" cy="672084"/>
                  <wp:effectExtent l="0" t="0" r="0" b="0"/>
                  <wp:docPr id="47" name="image68.jpeg" descr=""/>
                  <wp:cNvGraphicFramePr>
                    <a:graphicFrameLocks noChangeAspect="1"/>
                  </wp:cNvGraphicFramePr>
                  <a:graphic>
                    <a:graphicData uri="http://schemas.openxmlformats.org/drawingml/2006/picture">
                      <pic:pic>
                        <pic:nvPicPr>
                          <pic:cNvPr id="48" name="image68.jpeg"/>
                          <pic:cNvPicPr/>
                        </pic:nvPicPr>
                        <pic:blipFill>
                          <a:blip r:embed="rId73" cstate="print"/>
                          <a:stretch>
                            <a:fillRect/>
                          </a:stretch>
                        </pic:blipFill>
                        <pic:spPr>
                          <a:xfrm>
                            <a:off x="0" y="0"/>
                            <a:ext cx="1102388" cy="672084"/>
                          </a:xfrm>
                          <a:prstGeom prst="rect">
                            <a:avLst/>
                          </a:prstGeom>
                        </pic:spPr>
                      </pic:pic>
                    </a:graphicData>
                  </a:graphic>
                </wp:inline>
              </w:drawing>
            </w:r>
            <w:r>
              <w:rPr>
                <w:sz w:val="20"/>
              </w:rPr>
            </w:r>
          </w:p>
          <w:p>
            <w:pPr>
              <w:pStyle w:val="TableParagraph"/>
              <w:rPr>
                <w:b/>
                <w:sz w:val="20"/>
              </w:rPr>
            </w:pPr>
          </w:p>
          <w:p>
            <w:pPr>
              <w:pStyle w:val="TableParagraph"/>
              <w:spacing w:before="1"/>
              <w:rPr>
                <w:b/>
                <w:sz w:val="23"/>
              </w:rPr>
            </w:pPr>
          </w:p>
        </w:tc>
        <w:tc>
          <w:tcPr>
            <w:tcW w:w="1875" w:type="dxa"/>
          </w:tcPr>
          <w:p>
            <w:pPr>
              <w:pStyle w:val="TableParagraph"/>
              <w:ind w:left="25"/>
              <w:rPr>
                <w:sz w:val="20"/>
              </w:rPr>
            </w:pPr>
            <w:r>
              <w:rPr>
                <w:sz w:val="20"/>
              </w:rPr>
              <w:drawing>
                <wp:inline distT="0" distB="0" distL="0" distR="0">
                  <wp:extent cx="1121342" cy="685800"/>
                  <wp:effectExtent l="0" t="0" r="0" b="0"/>
                  <wp:docPr id="49" name="image69.jpeg" descr=""/>
                  <wp:cNvGraphicFramePr>
                    <a:graphicFrameLocks noChangeAspect="1"/>
                  </wp:cNvGraphicFramePr>
                  <a:graphic>
                    <a:graphicData uri="http://schemas.openxmlformats.org/drawingml/2006/picture">
                      <pic:pic>
                        <pic:nvPicPr>
                          <pic:cNvPr id="50" name="image69.jpeg"/>
                          <pic:cNvPicPr/>
                        </pic:nvPicPr>
                        <pic:blipFill>
                          <a:blip r:embed="rId74" cstate="print"/>
                          <a:stretch>
                            <a:fillRect/>
                          </a:stretch>
                        </pic:blipFill>
                        <pic:spPr>
                          <a:xfrm>
                            <a:off x="0" y="0"/>
                            <a:ext cx="1121342" cy="685800"/>
                          </a:xfrm>
                          <a:prstGeom prst="rect">
                            <a:avLst/>
                          </a:prstGeom>
                        </pic:spPr>
                      </pic:pic>
                    </a:graphicData>
                  </a:graphic>
                </wp:inline>
              </w:drawing>
            </w:r>
            <w:r>
              <w:rPr>
                <w:sz w:val="20"/>
              </w:rPr>
            </w:r>
          </w:p>
          <w:p>
            <w:pPr>
              <w:pStyle w:val="TableParagraph"/>
              <w:rPr>
                <w:b/>
                <w:sz w:val="20"/>
              </w:rPr>
            </w:pPr>
          </w:p>
          <w:p>
            <w:pPr>
              <w:pStyle w:val="TableParagraph"/>
              <w:spacing w:before="3"/>
              <w:rPr>
                <w:b/>
                <w:sz w:val="21"/>
              </w:rPr>
            </w:pPr>
          </w:p>
        </w:tc>
        <w:tc>
          <w:tcPr>
            <w:tcW w:w="1892" w:type="dxa"/>
          </w:tcPr>
          <w:p>
            <w:pPr>
              <w:pStyle w:val="TableParagraph"/>
              <w:spacing w:before="1"/>
              <w:rPr>
                <w:b/>
                <w:sz w:val="3"/>
              </w:rPr>
            </w:pPr>
          </w:p>
          <w:p>
            <w:pPr>
              <w:pStyle w:val="TableParagraph"/>
              <w:ind w:left="54"/>
              <w:rPr>
                <w:sz w:val="20"/>
              </w:rPr>
            </w:pPr>
            <w:r>
              <w:rPr>
                <w:sz w:val="20"/>
              </w:rPr>
              <w:drawing>
                <wp:inline distT="0" distB="0" distL="0" distR="0">
                  <wp:extent cx="1116293" cy="681227"/>
                  <wp:effectExtent l="0" t="0" r="0" b="0"/>
                  <wp:docPr id="51" name="image70.jpeg" descr=""/>
                  <wp:cNvGraphicFramePr>
                    <a:graphicFrameLocks noChangeAspect="1"/>
                  </wp:cNvGraphicFramePr>
                  <a:graphic>
                    <a:graphicData uri="http://schemas.openxmlformats.org/drawingml/2006/picture">
                      <pic:pic>
                        <pic:nvPicPr>
                          <pic:cNvPr id="52" name="image70.jpeg"/>
                          <pic:cNvPicPr/>
                        </pic:nvPicPr>
                        <pic:blipFill>
                          <a:blip r:embed="rId75" cstate="print"/>
                          <a:stretch>
                            <a:fillRect/>
                          </a:stretch>
                        </pic:blipFill>
                        <pic:spPr>
                          <a:xfrm>
                            <a:off x="0" y="0"/>
                            <a:ext cx="1116293" cy="681227"/>
                          </a:xfrm>
                          <a:prstGeom prst="rect">
                            <a:avLst/>
                          </a:prstGeom>
                        </pic:spPr>
                      </pic:pic>
                    </a:graphicData>
                  </a:graphic>
                </wp:inline>
              </w:drawing>
            </w:r>
            <w:r>
              <w:rPr>
                <w:sz w:val="20"/>
              </w:rPr>
            </w:r>
          </w:p>
          <w:p>
            <w:pPr>
              <w:pStyle w:val="TableParagraph"/>
              <w:rPr>
                <w:b/>
                <w:sz w:val="20"/>
              </w:rPr>
            </w:pPr>
          </w:p>
          <w:p>
            <w:pPr>
              <w:pStyle w:val="TableParagraph"/>
              <w:spacing w:before="9"/>
              <w:rPr>
                <w:b/>
                <w:sz w:val="18"/>
              </w:rPr>
            </w:pPr>
          </w:p>
        </w:tc>
      </w:tr>
      <w:tr>
        <w:trPr>
          <w:trHeight w:val="1843" w:hRule="exact"/>
        </w:trPr>
        <w:tc>
          <w:tcPr>
            <w:tcW w:w="1174" w:type="dxa"/>
            <w:vMerge/>
          </w:tcPr>
          <w:p>
            <w:pPr/>
          </w:p>
        </w:tc>
        <w:tc>
          <w:tcPr>
            <w:tcW w:w="148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3"/>
              </w:rPr>
            </w:pPr>
          </w:p>
          <w:p>
            <w:pPr>
              <w:pStyle w:val="TableParagraph"/>
              <w:ind w:left="17"/>
              <w:rPr>
                <w:sz w:val="12"/>
              </w:rPr>
            </w:pPr>
            <w:r>
              <w:rPr>
                <w:sz w:val="12"/>
              </w:rPr>
              <w:t>San Bartolo Ameyalco</w:t>
            </w:r>
          </w:p>
        </w:tc>
        <w:tc>
          <w:tcPr>
            <w:tcW w:w="2204"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2"/>
              </w:rPr>
            </w:pPr>
          </w:p>
          <w:p>
            <w:pPr>
              <w:pStyle w:val="TableParagraph"/>
              <w:spacing w:line="271" w:lineRule="auto"/>
              <w:ind w:left="17" w:right="28"/>
              <w:rPr>
                <w:sz w:val="12"/>
              </w:rPr>
            </w:pPr>
            <w:r>
              <w:rPr>
                <w:sz w:val="12"/>
              </w:rPr>
              <w:t>Compuesto por viviendas de concreto en pequeños conjuntos, con estructura de calles y caminos.</w:t>
            </w:r>
          </w:p>
        </w:tc>
        <w:tc>
          <w:tcPr>
            <w:tcW w:w="2336" w:type="dxa"/>
          </w:tcPr>
          <w:p>
            <w:pPr>
              <w:pStyle w:val="TableParagraph"/>
              <w:ind w:left="129"/>
              <w:rPr>
                <w:sz w:val="20"/>
              </w:rPr>
            </w:pPr>
            <w:r>
              <w:rPr>
                <w:sz w:val="20"/>
              </w:rPr>
              <w:drawing>
                <wp:inline distT="0" distB="0" distL="0" distR="0">
                  <wp:extent cx="1122915" cy="1152144"/>
                  <wp:effectExtent l="0" t="0" r="0" b="0"/>
                  <wp:docPr id="53" name="image71.jpeg" descr=""/>
                  <wp:cNvGraphicFramePr>
                    <a:graphicFrameLocks noChangeAspect="1"/>
                  </wp:cNvGraphicFramePr>
                  <a:graphic>
                    <a:graphicData uri="http://schemas.openxmlformats.org/drawingml/2006/picture">
                      <pic:pic>
                        <pic:nvPicPr>
                          <pic:cNvPr id="54" name="image71.jpeg"/>
                          <pic:cNvPicPr/>
                        </pic:nvPicPr>
                        <pic:blipFill>
                          <a:blip r:embed="rId76" cstate="print"/>
                          <a:stretch>
                            <a:fillRect/>
                          </a:stretch>
                        </pic:blipFill>
                        <pic:spPr>
                          <a:xfrm>
                            <a:off x="0" y="0"/>
                            <a:ext cx="1122915" cy="1152144"/>
                          </a:xfrm>
                          <a:prstGeom prst="rect">
                            <a:avLst/>
                          </a:prstGeom>
                        </pic:spPr>
                      </pic:pic>
                    </a:graphicData>
                  </a:graphic>
                </wp:inline>
              </w:drawing>
            </w:r>
            <w:r>
              <w:rPr>
                <w:sz w:val="20"/>
              </w:rPr>
            </w:r>
          </w:p>
        </w:tc>
        <w:tc>
          <w:tcPr>
            <w:tcW w:w="2036" w:type="dxa"/>
          </w:tcPr>
          <w:p>
            <w:pPr>
              <w:pStyle w:val="TableParagraph"/>
              <w:spacing w:before="2"/>
              <w:rPr>
                <w:b/>
                <w:sz w:val="20"/>
              </w:rPr>
            </w:pPr>
          </w:p>
          <w:p>
            <w:pPr>
              <w:pStyle w:val="TableParagraph"/>
              <w:ind w:left="44"/>
              <w:rPr>
                <w:sz w:val="20"/>
              </w:rPr>
            </w:pPr>
            <w:r>
              <w:rPr>
                <w:sz w:val="20"/>
              </w:rPr>
              <w:drawing>
                <wp:inline distT="0" distB="0" distL="0" distR="0">
                  <wp:extent cx="1178408" cy="717803"/>
                  <wp:effectExtent l="0" t="0" r="0" b="0"/>
                  <wp:docPr id="55" name="image72.jpeg" descr=""/>
                  <wp:cNvGraphicFramePr>
                    <a:graphicFrameLocks noChangeAspect="1"/>
                  </wp:cNvGraphicFramePr>
                  <a:graphic>
                    <a:graphicData uri="http://schemas.openxmlformats.org/drawingml/2006/picture">
                      <pic:pic>
                        <pic:nvPicPr>
                          <pic:cNvPr id="56" name="image72.jpeg"/>
                          <pic:cNvPicPr/>
                        </pic:nvPicPr>
                        <pic:blipFill>
                          <a:blip r:embed="rId77" cstate="print"/>
                          <a:stretch>
                            <a:fillRect/>
                          </a:stretch>
                        </pic:blipFill>
                        <pic:spPr>
                          <a:xfrm>
                            <a:off x="0" y="0"/>
                            <a:ext cx="1178408" cy="717803"/>
                          </a:xfrm>
                          <a:prstGeom prst="rect">
                            <a:avLst/>
                          </a:prstGeom>
                        </pic:spPr>
                      </pic:pic>
                    </a:graphicData>
                  </a:graphic>
                </wp:inline>
              </w:drawing>
            </w:r>
            <w:r>
              <w:rPr>
                <w:sz w:val="20"/>
              </w:rPr>
            </w:r>
          </w:p>
          <w:p>
            <w:pPr>
              <w:pStyle w:val="TableParagraph"/>
              <w:rPr>
                <w:b/>
                <w:sz w:val="20"/>
              </w:rPr>
            </w:pPr>
          </w:p>
          <w:p>
            <w:pPr>
              <w:pStyle w:val="TableParagraph"/>
              <w:spacing w:before="2"/>
              <w:rPr>
                <w:b/>
                <w:sz w:val="21"/>
              </w:rPr>
            </w:pPr>
          </w:p>
        </w:tc>
        <w:tc>
          <w:tcPr>
            <w:tcW w:w="1875" w:type="dxa"/>
          </w:tcPr>
          <w:p>
            <w:pPr>
              <w:pStyle w:val="TableParagraph"/>
              <w:spacing w:before="8"/>
              <w:rPr>
                <w:b/>
                <w:sz w:val="20"/>
              </w:rPr>
            </w:pPr>
          </w:p>
          <w:p>
            <w:pPr>
              <w:pStyle w:val="TableParagraph"/>
              <w:ind w:left="31" w:right="-5"/>
              <w:rPr>
                <w:sz w:val="20"/>
              </w:rPr>
            </w:pPr>
            <w:r>
              <w:rPr>
                <w:sz w:val="20"/>
              </w:rPr>
              <w:drawing>
                <wp:inline distT="0" distB="0" distL="0" distR="0">
                  <wp:extent cx="1144187" cy="694943"/>
                  <wp:effectExtent l="0" t="0" r="0" b="0"/>
                  <wp:docPr id="57" name="image73.jpeg" descr=""/>
                  <wp:cNvGraphicFramePr>
                    <a:graphicFrameLocks noChangeAspect="1"/>
                  </wp:cNvGraphicFramePr>
                  <a:graphic>
                    <a:graphicData uri="http://schemas.openxmlformats.org/drawingml/2006/picture">
                      <pic:pic>
                        <pic:nvPicPr>
                          <pic:cNvPr id="58" name="image73.jpeg"/>
                          <pic:cNvPicPr/>
                        </pic:nvPicPr>
                        <pic:blipFill>
                          <a:blip r:embed="rId78" cstate="print"/>
                          <a:stretch>
                            <a:fillRect/>
                          </a:stretch>
                        </pic:blipFill>
                        <pic:spPr>
                          <a:xfrm>
                            <a:off x="0" y="0"/>
                            <a:ext cx="1144187" cy="694943"/>
                          </a:xfrm>
                          <a:prstGeom prst="rect">
                            <a:avLst/>
                          </a:prstGeom>
                        </pic:spPr>
                      </pic:pic>
                    </a:graphicData>
                  </a:graphic>
                </wp:inline>
              </w:drawing>
            </w:r>
            <w:r>
              <w:rPr>
                <w:sz w:val="20"/>
              </w:rPr>
            </w:r>
          </w:p>
          <w:p>
            <w:pPr>
              <w:pStyle w:val="TableParagraph"/>
              <w:rPr>
                <w:b/>
                <w:sz w:val="20"/>
              </w:rPr>
            </w:pPr>
          </w:p>
          <w:p>
            <w:pPr>
              <w:pStyle w:val="TableParagraph"/>
              <w:spacing w:before="9"/>
              <w:rPr>
                <w:b/>
                <w:sz w:val="23"/>
              </w:rPr>
            </w:pPr>
          </w:p>
        </w:tc>
        <w:tc>
          <w:tcPr>
            <w:tcW w:w="1892" w:type="dxa"/>
          </w:tcPr>
          <w:p>
            <w:pPr>
              <w:pStyle w:val="TableParagraph"/>
              <w:spacing w:before="3"/>
              <w:rPr>
                <w:b/>
                <w:sz w:val="22"/>
              </w:rPr>
            </w:pPr>
          </w:p>
          <w:p>
            <w:pPr>
              <w:pStyle w:val="TableParagraph"/>
              <w:ind w:left="48"/>
              <w:rPr>
                <w:sz w:val="20"/>
              </w:rPr>
            </w:pPr>
            <w:r>
              <w:rPr>
                <w:sz w:val="20"/>
              </w:rPr>
              <w:drawing>
                <wp:inline distT="0" distB="0" distL="0" distR="0">
                  <wp:extent cx="1122707" cy="685800"/>
                  <wp:effectExtent l="0" t="0" r="0" b="0"/>
                  <wp:docPr id="59" name="image74.jpeg" descr=""/>
                  <wp:cNvGraphicFramePr>
                    <a:graphicFrameLocks noChangeAspect="1"/>
                  </wp:cNvGraphicFramePr>
                  <a:graphic>
                    <a:graphicData uri="http://schemas.openxmlformats.org/drawingml/2006/picture">
                      <pic:pic>
                        <pic:nvPicPr>
                          <pic:cNvPr id="60" name="image74.jpeg"/>
                          <pic:cNvPicPr/>
                        </pic:nvPicPr>
                        <pic:blipFill>
                          <a:blip r:embed="rId79" cstate="print"/>
                          <a:stretch>
                            <a:fillRect/>
                          </a:stretch>
                        </pic:blipFill>
                        <pic:spPr>
                          <a:xfrm>
                            <a:off x="0" y="0"/>
                            <a:ext cx="1122707" cy="685800"/>
                          </a:xfrm>
                          <a:prstGeom prst="rect">
                            <a:avLst/>
                          </a:prstGeom>
                        </pic:spPr>
                      </pic:pic>
                    </a:graphicData>
                  </a:graphic>
                </wp:inline>
              </w:drawing>
            </w:r>
            <w:r>
              <w:rPr>
                <w:sz w:val="20"/>
              </w:rPr>
            </w:r>
          </w:p>
          <w:p>
            <w:pPr>
              <w:pStyle w:val="TableParagraph"/>
              <w:rPr>
                <w:b/>
                <w:sz w:val="20"/>
              </w:rPr>
            </w:pPr>
          </w:p>
          <w:p>
            <w:pPr>
              <w:pStyle w:val="TableParagraph"/>
              <w:spacing w:before="6"/>
              <w:rPr>
                <w:b/>
                <w:sz w:val="23"/>
              </w:rPr>
            </w:pPr>
          </w:p>
        </w:tc>
      </w:tr>
      <w:tr>
        <w:trPr>
          <w:trHeight w:val="1850" w:hRule="exact"/>
        </w:trPr>
        <w:tc>
          <w:tcPr>
            <w:tcW w:w="1174" w:type="dxa"/>
            <w:vMerge/>
          </w:tcPr>
          <w:p>
            <w:pPr/>
          </w:p>
        </w:tc>
        <w:tc>
          <w:tcPr>
            <w:tcW w:w="148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3"/>
              <w:rPr>
                <w:b/>
                <w:sz w:val="14"/>
              </w:rPr>
            </w:pPr>
          </w:p>
          <w:p>
            <w:pPr>
              <w:pStyle w:val="TableParagraph"/>
              <w:spacing w:before="1"/>
              <w:ind w:left="17"/>
              <w:rPr>
                <w:sz w:val="12"/>
              </w:rPr>
            </w:pPr>
            <w:r>
              <w:rPr>
                <w:sz w:val="12"/>
              </w:rPr>
              <w:t>San Mateo Tlaltenango</w:t>
            </w:r>
          </w:p>
        </w:tc>
        <w:tc>
          <w:tcPr>
            <w:tcW w:w="2204"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8"/>
              <w:rPr>
                <w:b/>
                <w:sz w:val="12"/>
              </w:rPr>
            </w:pPr>
          </w:p>
          <w:p>
            <w:pPr>
              <w:pStyle w:val="TableParagraph"/>
              <w:spacing w:line="271" w:lineRule="auto" w:before="1"/>
              <w:ind w:left="17"/>
              <w:rPr>
                <w:sz w:val="12"/>
              </w:rPr>
            </w:pPr>
            <w:r>
              <w:rPr>
                <w:sz w:val="12"/>
              </w:rPr>
              <w:t>El tejido es poco denso y disperso. Existen caminos internos, viviendas consolidadas rodeadas de zonas de agricultura.</w:t>
            </w:r>
          </w:p>
        </w:tc>
        <w:tc>
          <w:tcPr>
            <w:tcW w:w="2336" w:type="dxa"/>
          </w:tcPr>
          <w:p>
            <w:pPr>
              <w:pStyle w:val="TableParagraph"/>
              <w:ind w:left="105"/>
              <w:rPr>
                <w:sz w:val="20"/>
              </w:rPr>
            </w:pPr>
            <w:r>
              <w:rPr>
                <w:sz w:val="20"/>
              </w:rPr>
              <w:drawing>
                <wp:inline distT="0" distB="0" distL="0" distR="0">
                  <wp:extent cx="1144848" cy="1124712"/>
                  <wp:effectExtent l="0" t="0" r="0" b="0"/>
                  <wp:docPr id="61" name="image75.jpeg" descr=""/>
                  <wp:cNvGraphicFramePr>
                    <a:graphicFrameLocks noChangeAspect="1"/>
                  </wp:cNvGraphicFramePr>
                  <a:graphic>
                    <a:graphicData uri="http://schemas.openxmlformats.org/drawingml/2006/picture">
                      <pic:pic>
                        <pic:nvPicPr>
                          <pic:cNvPr id="62" name="image75.jpeg"/>
                          <pic:cNvPicPr/>
                        </pic:nvPicPr>
                        <pic:blipFill>
                          <a:blip r:embed="rId80" cstate="print"/>
                          <a:stretch>
                            <a:fillRect/>
                          </a:stretch>
                        </pic:blipFill>
                        <pic:spPr>
                          <a:xfrm>
                            <a:off x="0" y="0"/>
                            <a:ext cx="1144848" cy="1124712"/>
                          </a:xfrm>
                          <a:prstGeom prst="rect">
                            <a:avLst/>
                          </a:prstGeom>
                        </pic:spPr>
                      </pic:pic>
                    </a:graphicData>
                  </a:graphic>
                </wp:inline>
              </w:drawing>
            </w:r>
            <w:r>
              <w:rPr>
                <w:sz w:val="20"/>
              </w:rPr>
            </w:r>
          </w:p>
        </w:tc>
        <w:tc>
          <w:tcPr>
            <w:tcW w:w="2036" w:type="dxa"/>
          </w:tcPr>
          <w:p>
            <w:pPr>
              <w:pStyle w:val="TableParagraph"/>
              <w:spacing w:before="10"/>
              <w:rPr>
                <w:b/>
                <w:sz w:val="15"/>
              </w:rPr>
            </w:pPr>
          </w:p>
          <w:p>
            <w:pPr>
              <w:pStyle w:val="TableParagraph"/>
              <w:ind w:left="32"/>
              <w:rPr>
                <w:sz w:val="20"/>
              </w:rPr>
            </w:pPr>
            <w:r>
              <w:rPr>
                <w:sz w:val="20"/>
              </w:rPr>
              <w:drawing>
                <wp:inline distT="0" distB="0" distL="0" distR="0">
                  <wp:extent cx="1194943" cy="731519"/>
                  <wp:effectExtent l="0" t="0" r="0" b="0"/>
                  <wp:docPr id="63" name="image76.jpeg" descr=""/>
                  <wp:cNvGraphicFramePr>
                    <a:graphicFrameLocks noChangeAspect="1"/>
                  </wp:cNvGraphicFramePr>
                  <a:graphic>
                    <a:graphicData uri="http://schemas.openxmlformats.org/drawingml/2006/picture">
                      <pic:pic>
                        <pic:nvPicPr>
                          <pic:cNvPr id="64" name="image76.jpeg"/>
                          <pic:cNvPicPr/>
                        </pic:nvPicPr>
                        <pic:blipFill>
                          <a:blip r:embed="rId81" cstate="print"/>
                          <a:stretch>
                            <a:fillRect/>
                          </a:stretch>
                        </pic:blipFill>
                        <pic:spPr>
                          <a:xfrm>
                            <a:off x="0" y="0"/>
                            <a:ext cx="1194943" cy="731519"/>
                          </a:xfrm>
                          <a:prstGeom prst="rect">
                            <a:avLst/>
                          </a:prstGeom>
                        </pic:spPr>
                      </pic:pic>
                    </a:graphicData>
                  </a:graphic>
                </wp:inline>
              </w:drawing>
            </w:r>
            <w:r>
              <w:rPr>
                <w:sz w:val="20"/>
              </w:rPr>
            </w:r>
          </w:p>
          <w:p>
            <w:pPr>
              <w:pStyle w:val="TableParagraph"/>
              <w:rPr>
                <w:b/>
                <w:sz w:val="20"/>
              </w:rPr>
            </w:pPr>
          </w:p>
          <w:p>
            <w:pPr>
              <w:pStyle w:val="TableParagraph"/>
              <w:spacing w:before="2"/>
              <w:rPr>
                <w:b/>
                <w:sz w:val="24"/>
              </w:rPr>
            </w:pPr>
          </w:p>
        </w:tc>
        <w:tc>
          <w:tcPr>
            <w:tcW w:w="1875" w:type="dxa"/>
          </w:tcPr>
          <w:p>
            <w:pPr>
              <w:pStyle w:val="TableParagraph"/>
              <w:rPr>
                <w:b/>
                <w:sz w:val="18"/>
              </w:rPr>
            </w:pPr>
          </w:p>
          <w:p>
            <w:pPr>
              <w:pStyle w:val="TableParagraph"/>
              <w:ind w:left="13" w:right="-27"/>
              <w:rPr>
                <w:sz w:val="20"/>
              </w:rPr>
            </w:pPr>
            <w:r>
              <w:rPr>
                <w:sz w:val="20"/>
              </w:rPr>
              <w:drawing>
                <wp:inline distT="0" distB="0" distL="0" distR="0">
                  <wp:extent cx="1169560" cy="713232"/>
                  <wp:effectExtent l="0" t="0" r="0" b="0"/>
                  <wp:docPr id="65" name="image77.jpeg" descr=""/>
                  <wp:cNvGraphicFramePr>
                    <a:graphicFrameLocks noChangeAspect="1"/>
                  </wp:cNvGraphicFramePr>
                  <a:graphic>
                    <a:graphicData uri="http://schemas.openxmlformats.org/drawingml/2006/picture">
                      <pic:pic>
                        <pic:nvPicPr>
                          <pic:cNvPr id="66" name="image77.jpeg"/>
                          <pic:cNvPicPr/>
                        </pic:nvPicPr>
                        <pic:blipFill>
                          <a:blip r:embed="rId82" cstate="print"/>
                          <a:stretch>
                            <a:fillRect/>
                          </a:stretch>
                        </pic:blipFill>
                        <pic:spPr>
                          <a:xfrm>
                            <a:off x="0" y="0"/>
                            <a:ext cx="1169560" cy="713232"/>
                          </a:xfrm>
                          <a:prstGeom prst="rect">
                            <a:avLst/>
                          </a:prstGeom>
                        </pic:spPr>
                      </pic:pic>
                    </a:graphicData>
                  </a:graphic>
                </wp:inline>
              </w:drawing>
            </w:r>
            <w:r>
              <w:rPr>
                <w:sz w:val="20"/>
              </w:rPr>
            </w:r>
          </w:p>
          <w:p>
            <w:pPr>
              <w:pStyle w:val="TableParagraph"/>
              <w:rPr>
                <w:b/>
                <w:sz w:val="20"/>
              </w:rPr>
            </w:pPr>
          </w:p>
          <w:p>
            <w:pPr>
              <w:pStyle w:val="TableParagraph"/>
              <w:spacing w:before="6"/>
              <w:rPr>
                <w:b/>
                <w:sz w:val="24"/>
              </w:rPr>
            </w:pPr>
          </w:p>
        </w:tc>
        <w:tc>
          <w:tcPr>
            <w:tcW w:w="1892" w:type="dxa"/>
          </w:tcPr>
          <w:p>
            <w:pPr>
              <w:pStyle w:val="TableParagraph"/>
              <w:rPr>
                <w:b/>
                <w:sz w:val="18"/>
              </w:rPr>
            </w:pPr>
          </w:p>
          <w:p>
            <w:pPr>
              <w:pStyle w:val="TableParagraph"/>
              <w:ind w:left="30"/>
              <w:rPr>
                <w:sz w:val="20"/>
              </w:rPr>
            </w:pPr>
            <w:r>
              <w:rPr>
                <w:sz w:val="20"/>
              </w:rPr>
              <w:drawing>
                <wp:inline distT="0" distB="0" distL="0" distR="0">
                  <wp:extent cx="1150506" cy="704088"/>
                  <wp:effectExtent l="0" t="0" r="0" b="0"/>
                  <wp:docPr id="67" name="image78.jpeg" descr=""/>
                  <wp:cNvGraphicFramePr>
                    <a:graphicFrameLocks noChangeAspect="1"/>
                  </wp:cNvGraphicFramePr>
                  <a:graphic>
                    <a:graphicData uri="http://schemas.openxmlformats.org/drawingml/2006/picture">
                      <pic:pic>
                        <pic:nvPicPr>
                          <pic:cNvPr id="68" name="image78.jpeg"/>
                          <pic:cNvPicPr/>
                        </pic:nvPicPr>
                        <pic:blipFill>
                          <a:blip r:embed="rId83" cstate="print"/>
                          <a:stretch>
                            <a:fillRect/>
                          </a:stretch>
                        </pic:blipFill>
                        <pic:spPr>
                          <a:xfrm>
                            <a:off x="0" y="0"/>
                            <a:ext cx="1150506" cy="704088"/>
                          </a:xfrm>
                          <a:prstGeom prst="rect">
                            <a:avLst/>
                          </a:prstGeom>
                        </pic:spPr>
                      </pic:pic>
                    </a:graphicData>
                  </a:graphic>
                </wp:inline>
              </w:drawing>
            </w:r>
            <w:r>
              <w:rPr>
                <w:sz w:val="20"/>
              </w:rPr>
            </w:r>
          </w:p>
          <w:p>
            <w:pPr>
              <w:pStyle w:val="TableParagraph"/>
              <w:rPr>
                <w:b/>
                <w:sz w:val="20"/>
              </w:rPr>
            </w:pPr>
          </w:p>
          <w:p>
            <w:pPr>
              <w:pStyle w:val="TableParagraph"/>
              <w:spacing w:before="10"/>
              <w:rPr>
                <w:b/>
                <w:sz w:val="25"/>
              </w:rPr>
            </w:pPr>
          </w:p>
        </w:tc>
      </w:tr>
      <w:tr>
        <w:trPr>
          <w:trHeight w:val="1808" w:hRule="exact"/>
        </w:trPr>
        <w:tc>
          <w:tcPr>
            <w:tcW w:w="1174" w:type="dxa"/>
            <w:vMerge/>
          </w:tcPr>
          <w:p>
            <w:pPr/>
          </w:p>
        </w:tc>
        <w:tc>
          <w:tcPr>
            <w:tcW w:w="148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2"/>
              <w:rPr>
                <w:b/>
                <w:sz w:val="12"/>
              </w:rPr>
            </w:pPr>
          </w:p>
          <w:p>
            <w:pPr>
              <w:pStyle w:val="TableParagraph"/>
              <w:spacing w:before="1"/>
              <w:ind w:left="17"/>
              <w:rPr>
                <w:sz w:val="12"/>
              </w:rPr>
            </w:pPr>
            <w:r>
              <w:rPr>
                <w:sz w:val="12"/>
              </w:rPr>
              <w:t>Santa Rosa Xochiac</w:t>
            </w:r>
          </w:p>
        </w:tc>
        <w:tc>
          <w:tcPr>
            <w:tcW w:w="2204"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10"/>
              </w:rPr>
            </w:pPr>
          </w:p>
          <w:p>
            <w:pPr>
              <w:pStyle w:val="TableParagraph"/>
              <w:spacing w:line="271" w:lineRule="auto" w:before="1"/>
              <w:ind w:left="17"/>
              <w:rPr>
                <w:sz w:val="12"/>
              </w:rPr>
            </w:pPr>
            <w:r>
              <w:rPr>
                <w:sz w:val="12"/>
              </w:rPr>
              <w:t>Se muestra poco denso, principalmente rodeado de zonas agrícolas y con caminos internos.</w:t>
            </w:r>
          </w:p>
        </w:tc>
        <w:tc>
          <w:tcPr>
            <w:tcW w:w="2336" w:type="dxa"/>
          </w:tcPr>
          <w:p>
            <w:pPr>
              <w:pStyle w:val="TableParagraph"/>
              <w:ind w:left="147"/>
              <w:rPr>
                <w:sz w:val="20"/>
              </w:rPr>
            </w:pPr>
            <w:r>
              <w:rPr>
                <w:sz w:val="20"/>
              </w:rPr>
              <w:drawing>
                <wp:inline distT="0" distB="0" distL="0" distR="0">
                  <wp:extent cx="1107697" cy="1129284"/>
                  <wp:effectExtent l="0" t="0" r="0" b="0"/>
                  <wp:docPr id="69" name="image79.jpeg" descr=""/>
                  <wp:cNvGraphicFramePr>
                    <a:graphicFrameLocks noChangeAspect="1"/>
                  </wp:cNvGraphicFramePr>
                  <a:graphic>
                    <a:graphicData uri="http://schemas.openxmlformats.org/drawingml/2006/picture">
                      <pic:pic>
                        <pic:nvPicPr>
                          <pic:cNvPr id="70" name="image79.jpeg"/>
                          <pic:cNvPicPr/>
                        </pic:nvPicPr>
                        <pic:blipFill>
                          <a:blip r:embed="rId84" cstate="print"/>
                          <a:stretch>
                            <a:fillRect/>
                          </a:stretch>
                        </pic:blipFill>
                        <pic:spPr>
                          <a:xfrm>
                            <a:off x="0" y="0"/>
                            <a:ext cx="1107697" cy="1129284"/>
                          </a:xfrm>
                          <a:prstGeom prst="rect">
                            <a:avLst/>
                          </a:prstGeom>
                        </pic:spPr>
                      </pic:pic>
                    </a:graphicData>
                  </a:graphic>
                </wp:inline>
              </w:drawing>
            </w:r>
            <w:r>
              <w:rPr>
                <w:sz w:val="20"/>
              </w:rPr>
            </w:r>
          </w:p>
        </w:tc>
        <w:tc>
          <w:tcPr>
            <w:tcW w:w="2036" w:type="dxa"/>
          </w:tcPr>
          <w:p>
            <w:pPr>
              <w:pStyle w:val="TableParagraph"/>
              <w:spacing w:before="10"/>
              <w:rPr>
                <w:b/>
                <w:sz w:val="18"/>
              </w:rPr>
            </w:pPr>
          </w:p>
          <w:p>
            <w:pPr>
              <w:pStyle w:val="TableParagraph"/>
              <w:ind w:left="32"/>
              <w:rPr>
                <w:sz w:val="20"/>
              </w:rPr>
            </w:pPr>
            <w:r>
              <w:rPr>
                <w:sz w:val="20"/>
              </w:rPr>
              <w:drawing>
                <wp:inline distT="0" distB="0" distL="0" distR="0">
                  <wp:extent cx="1236733" cy="754380"/>
                  <wp:effectExtent l="0" t="0" r="0" b="0"/>
                  <wp:docPr id="71" name="image80.jpeg" descr=""/>
                  <wp:cNvGraphicFramePr>
                    <a:graphicFrameLocks noChangeAspect="1"/>
                  </wp:cNvGraphicFramePr>
                  <a:graphic>
                    <a:graphicData uri="http://schemas.openxmlformats.org/drawingml/2006/picture">
                      <pic:pic>
                        <pic:nvPicPr>
                          <pic:cNvPr id="72" name="image80.jpeg"/>
                          <pic:cNvPicPr/>
                        </pic:nvPicPr>
                        <pic:blipFill>
                          <a:blip r:embed="rId85" cstate="print"/>
                          <a:stretch>
                            <a:fillRect/>
                          </a:stretch>
                        </pic:blipFill>
                        <pic:spPr>
                          <a:xfrm>
                            <a:off x="0" y="0"/>
                            <a:ext cx="1236733" cy="754380"/>
                          </a:xfrm>
                          <a:prstGeom prst="rect">
                            <a:avLst/>
                          </a:prstGeom>
                        </pic:spPr>
                      </pic:pic>
                    </a:graphicData>
                  </a:graphic>
                </wp:inline>
              </w:drawing>
            </w:r>
            <w:r>
              <w:rPr>
                <w:sz w:val="20"/>
              </w:rPr>
            </w:r>
          </w:p>
          <w:p>
            <w:pPr>
              <w:pStyle w:val="TableParagraph"/>
              <w:rPr>
                <w:b/>
                <w:sz w:val="20"/>
              </w:rPr>
            </w:pPr>
          </w:p>
        </w:tc>
        <w:tc>
          <w:tcPr>
            <w:tcW w:w="1875" w:type="dxa"/>
          </w:tcPr>
          <w:p>
            <w:pPr>
              <w:pStyle w:val="TableParagraph"/>
              <w:rPr>
                <w:b/>
                <w:sz w:val="21"/>
              </w:rPr>
            </w:pPr>
          </w:p>
          <w:p>
            <w:pPr>
              <w:pStyle w:val="TableParagraph"/>
              <w:ind w:left="13" w:right="-3"/>
              <w:rPr>
                <w:sz w:val="20"/>
              </w:rPr>
            </w:pPr>
            <w:r>
              <w:rPr>
                <w:sz w:val="20"/>
              </w:rPr>
              <w:drawing>
                <wp:inline distT="0" distB="0" distL="0" distR="0">
                  <wp:extent cx="1154304" cy="704088"/>
                  <wp:effectExtent l="0" t="0" r="0" b="0"/>
                  <wp:docPr id="73" name="image81.jpeg" descr=""/>
                  <wp:cNvGraphicFramePr>
                    <a:graphicFrameLocks noChangeAspect="1"/>
                  </wp:cNvGraphicFramePr>
                  <a:graphic>
                    <a:graphicData uri="http://schemas.openxmlformats.org/drawingml/2006/picture">
                      <pic:pic>
                        <pic:nvPicPr>
                          <pic:cNvPr id="74" name="image81.jpeg"/>
                          <pic:cNvPicPr/>
                        </pic:nvPicPr>
                        <pic:blipFill>
                          <a:blip r:embed="rId86" cstate="print"/>
                          <a:stretch>
                            <a:fillRect/>
                          </a:stretch>
                        </pic:blipFill>
                        <pic:spPr>
                          <a:xfrm>
                            <a:off x="0" y="0"/>
                            <a:ext cx="1154304" cy="704088"/>
                          </a:xfrm>
                          <a:prstGeom prst="rect">
                            <a:avLst/>
                          </a:prstGeom>
                        </pic:spPr>
                      </pic:pic>
                    </a:graphicData>
                  </a:graphic>
                </wp:inline>
              </w:drawing>
            </w:r>
            <w:r>
              <w:rPr>
                <w:sz w:val="20"/>
              </w:rPr>
            </w:r>
          </w:p>
          <w:p>
            <w:pPr>
              <w:pStyle w:val="TableParagraph"/>
              <w:rPr>
                <w:b/>
                <w:sz w:val="20"/>
              </w:rPr>
            </w:pPr>
          </w:p>
          <w:p>
            <w:pPr>
              <w:pStyle w:val="TableParagraph"/>
              <w:spacing w:before="2"/>
              <w:rPr>
                <w:b/>
                <w:sz w:val="19"/>
              </w:rPr>
            </w:pPr>
          </w:p>
        </w:tc>
        <w:tc>
          <w:tcPr>
            <w:tcW w:w="1892" w:type="dxa"/>
          </w:tcPr>
          <w:p>
            <w:pPr>
              <w:pStyle w:val="TableParagraph"/>
              <w:spacing w:before="6"/>
              <w:rPr>
                <w:b/>
                <w:sz w:val="22"/>
              </w:rPr>
            </w:pPr>
          </w:p>
          <w:p>
            <w:pPr>
              <w:pStyle w:val="TableParagraph"/>
              <w:ind w:left="48"/>
              <w:rPr>
                <w:sz w:val="20"/>
              </w:rPr>
            </w:pPr>
            <w:r>
              <w:rPr>
                <w:sz w:val="20"/>
              </w:rPr>
              <w:drawing>
                <wp:inline distT="0" distB="0" distL="0" distR="0">
                  <wp:extent cx="1136609" cy="694944"/>
                  <wp:effectExtent l="0" t="0" r="0" b="0"/>
                  <wp:docPr id="75" name="image82.jpeg" descr=""/>
                  <wp:cNvGraphicFramePr>
                    <a:graphicFrameLocks noChangeAspect="1"/>
                  </wp:cNvGraphicFramePr>
                  <a:graphic>
                    <a:graphicData uri="http://schemas.openxmlformats.org/drawingml/2006/picture">
                      <pic:pic>
                        <pic:nvPicPr>
                          <pic:cNvPr id="76" name="image82.jpeg"/>
                          <pic:cNvPicPr/>
                        </pic:nvPicPr>
                        <pic:blipFill>
                          <a:blip r:embed="rId87" cstate="print"/>
                          <a:stretch>
                            <a:fillRect/>
                          </a:stretch>
                        </pic:blipFill>
                        <pic:spPr>
                          <a:xfrm>
                            <a:off x="0" y="0"/>
                            <a:ext cx="1136609" cy="694944"/>
                          </a:xfrm>
                          <a:prstGeom prst="rect">
                            <a:avLst/>
                          </a:prstGeom>
                        </pic:spPr>
                      </pic:pic>
                    </a:graphicData>
                  </a:graphic>
                </wp:inline>
              </w:drawing>
            </w:r>
            <w:r>
              <w:rPr>
                <w:sz w:val="20"/>
              </w:rPr>
            </w:r>
          </w:p>
          <w:p>
            <w:pPr>
              <w:pStyle w:val="TableParagraph"/>
              <w:rPr>
                <w:b/>
                <w:sz w:val="20"/>
              </w:rPr>
            </w:pPr>
          </w:p>
          <w:p>
            <w:pPr>
              <w:pStyle w:val="TableParagraph"/>
              <w:spacing w:before="10"/>
              <w:rPr>
                <w:b/>
                <w:sz w:val="18"/>
              </w:rPr>
            </w:pPr>
          </w:p>
        </w:tc>
      </w:tr>
    </w:tbl>
    <w:p>
      <w:pPr>
        <w:spacing w:after="0"/>
        <w:rPr>
          <w:sz w:val="18"/>
        </w:rPr>
        <w:sectPr>
          <w:pgSz w:w="15840" w:h="12240" w:orient="landscape"/>
          <w:pgMar w:top="1140" w:bottom="280" w:left="1300" w:right="1300"/>
        </w:sectPr>
      </w:pPr>
    </w:p>
    <w:p>
      <w:pPr>
        <w:pStyle w:val="BodyText"/>
        <w:rPr>
          <w:b/>
          <w:sz w:val="20"/>
        </w:rPr>
      </w:pPr>
    </w:p>
    <w:p>
      <w:pPr>
        <w:pStyle w:val="BodyText"/>
        <w:spacing w:before="6"/>
        <w:rPr>
          <w:b/>
          <w:sz w:val="28"/>
        </w:rPr>
      </w:pPr>
    </w:p>
    <w:p>
      <w:pPr>
        <w:pStyle w:val="BodyText"/>
        <w:ind w:left="118"/>
        <w:rPr>
          <w:sz w:val="20"/>
        </w:rPr>
      </w:pPr>
      <w:r>
        <w:rPr>
          <w:sz w:val="20"/>
        </w:rPr>
        <w:pict>
          <v:group style="width:650.35pt;height:92.2pt;mso-position-horizontal-relative:char;mso-position-vertical-relative:line" coordorigin="0,0" coordsize="13007,1844">
            <v:line style="position:absolute" from="9,6" to="12998,6" stroked="true" strokeweight=".297896pt" strokecolor="#000000"/>
            <v:line style="position:absolute" from="6,6" to="13001,6" stroked="true" strokeweight=".297896pt" strokecolor="#000000"/>
            <v:line style="position:absolute" from="7198,6" to="7198,1835" stroked="true" strokeweight=".299145pt" strokecolor="#000000"/>
            <v:line style="position:absolute" from="7198,3" to="7198,1838" stroked="true" strokeweight=".299135pt" strokecolor="#000000"/>
            <v:line style="position:absolute" from="9233,6" to="9233,1835" stroked="true" strokeweight=".299145pt" strokecolor="#000000"/>
            <v:line style="position:absolute" from="9233,3" to="9233,1838" stroked="true" strokeweight=".299165pt" strokecolor="#000000"/>
            <v:line style="position:absolute" from="11107,6" to="11107,1835" stroked="true" strokeweight=".299145pt" strokecolor="#000000"/>
            <v:line style="position:absolute" from="11107,3" to="11107,1838" stroked="true" strokeweight=".299135pt" strokecolor="#000000"/>
            <v:line style="position:absolute" from="9,1835" to="12998,1835" stroked="true" strokeweight=".297896pt" strokecolor="#000000"/>
            <v:line style="position:absolute" from="6,1835" to="13001,1835" stroked="true" strokeweight=".297901pt" strokecolor="#000000"/>
            <v:line style="position:absolute" from="12998,6" to="12998,1835" stroked="true" strokeweight=".299145pt" strokecolor="#000000"/>
            <v:line style="position:absolute" from="12998,3" to="12998,1838" stroked="true" strokeweight=".299135pt" strokecolor="#000000"/>
            <v:line style="position:absolute" from="3,6" to="3,1841" stroked="true" strokeweight=".299145pt" strokecolor="#000000"/>
            <v:line style="position:absolute" from="3,3" to="3,1838" stroked="true" strokeweight=".299145pt" strokecolor="#000000"/>
            <v:line style="position:absolute" from="1176,6" to="1176,1841" stroked="true" strokeweight=".299145pt" strokecolor="#000000"/>
            <v:line style="position:absolute" from="1176,3" to="1176,1838" stroked="true" strokeweight=".299145pt" strokecolor="#000000"/>
            <v:line style="position:absolute" from="2661,6" to="2661,1841" stroked="true" strokeweight=".299145pt" strokecolor="#000000"/>
            <v:line style="position:absolute" from="2661,3" to="2661,1838" stroked="true" strokeweight=".299150pt" strokecolor="#000000"/>
            <v:line style="position:absolute" from="4863,6" to="4863,1841" stroked="true" strokeweight=".299145pt" strokecolor="#000000"/>
            <v:line style="position:absolute" from="4863,3" to="4863,1838" stroked="true" strokeweight=".299135pt" strokecolor="#000000"/>
            <v:line style="position:absolute" from="7198,1841" to="7198,1841" stroked="true" strokeweight=".297896pt" strokecolor="#d3d3d3"/>
            <v:line style="position:absolute" from="9233,1841" to="9233,1841" stroked="true" strokeweight=".297896pt" strokecolor="#d3d3d3"/>
            <v:line style="position:absolute" from="11107,1841" to="11107,1841" stroked="true" strokeweight=".297896pt" strokecolor="#d3d3d3"/>
            <v:line style="position:absolute" from="12998,1841" to="12998,1841" stroked="true" strokeweight=".297896pt" strokecolor="#d3d3d3"/>
            <v:line style="position:absolute" from="13004,6" to="13004,6" stroked="true" strokeweight=".297896pt" strokecolor="#d3d3d3"/>
            <v:line style="position:absolute" from="13004,1835" to="13004,1835" stroked="true" strokeweight=".297896pt" strokecolor="#d3d3d3"/>
            <v:shape style="position:absolute;left:5044;top:33;width:1729;height:1764" type="#_x0000_t75" stroked="false">
              <v:imagedata r:id="rId88" o:title=""/>
            </v:shape>
            <v:shape style="position:absolute;left:7215;top:283;width:1980;height:1203" type="#_x0000_t75" stroked="false">
              <v:imagedata r:id="rId89" o:title=""/>
            </v:shape>
            <v:shape style="position:absolute;left:9250;top:307;width:1831;height:1108" type="#_x0000_t75" stroked="false">
              <v:imagedata r:id="rId90" o:title=""/>
            </v:shape>
            <v:shape style="position:absolute;left:11146;top:283;width:1813;height:1102" type="#_x0000_t75" stroked="false">
              <v:imagedata r:id="rId91" o:title=""/>
            </v:shape>
            <v:shape style="position:absolute;left:1197;top:869;width:597;height:120" type="#_x0000_t202" filled="false" stroked="false">
              <v:textbox inset="0,0,0,0">
                <w:txbxContent>
                  <w:p>
                    <w:pPr>
                      <w:spacing w:line="120" w:lineRule="exact" w:before="0"/>
                      <w:ind w:left="0" w:right="-8" w:firstLine="0"/>
                      <w:jc w:val="left"/>
                      <w:rPr>
                        <w:sz w:val="12"/>
                      </w:rPr>
                    </w:pPr>
                    <w:r>
                      <w:rPr>
                        <w:spacing w:val="-2"/>
                        <w:sz w:val="12"/>
                      </w:rPr>
                      <w:t>Tlacoyaques</w:t>
                    </w:r>
                  </w:p>
                </w:txbxContent>
              </v:textbox>
              <w10:wrap type="none"/>
            </v:shape>
            <v:shape style="position:absolute;left:2661;top:6;width:2203;height:1830" type="#_x0000_t202" filled="false" stroked="false">
              <v:textbox inset="0,0,0,0">
                <w:txbxContent>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71" w:lineRule="auto" w:before="79"/>
                      <w:ind w:left="20" w:right="216" w:firstLine="0"/>
                      <w:jc w:val="left"/>
                      <w:rPr>
                        <w:sz w:val="12"/>
                      </w:rPr>
                    </w:pPr>
                    <w:r>
                      <w:rPr>
                        <w:sz w:val="12"/>
                      </w:rPr>
                      <w:t>Se muestran en pequeños conjuntos y en pronta cercanía con la zona urbana.</w:t>
                    </w:r>
                  </w:p>
                </w:txbxContent>
              </v:textbox>
              <w10:wrap type="none"/>
            </v:shape>
          </v:group>
        </w:pict>
      </w:r>
      <w:r>
        <w:rPr>
          <w:sz w:val="20"/>
        </w:rPr>
      </w:r>
    </w:p>
    <w:p>
      <w:pPr>
        <w:spacing w:line="146" w:lineRule="exact" w:before="0"/>
        <w:ind w:left="5726" w:right="5732" w:firstLine="0"/>
        <w:jc w:val="center"/>
        <w:rPr>
          <w:sz w:val="16"/>
        </w:rPr>
      </w:pPr>
      <w:r>
        <w:rPr>
          <w:sz w:val="16"/>
        </w:rPr>
        <w:t>Fuente: Elaboración propia</w:t>
      </w:r>
    </w:p>
    <w:p>
      <w:pPr>
        <w:spacing w:after="0" w:line="146" w:lineRule="exact"/>
        <w:jc w:val="center"/>
        <w:rPr>
          <w:sz w:val="16"/>
        </w:rPr>
        <w:sectPr>
          <w:pgSz w:w="15840" w:h="12240" w:orient="landscape"/>
          <w:pgMar w:top="1140" w:bottom="280" w:left="1300" w:right="1300"/>
        </w:sectPr>
      </w:pPr>
    </w:p>
    <w:p>
      <w:pPr>
        <w:pStyle w:val="BodyText"/>
        <w:rPr>
          <w:sz w:val="20"/>
        </w:rPr>
      </w:pPr>
    </w:p>
    <w:p>
      <w:pPr>
        <w:pStyle w:val="BodyText"/>
        <w:spacing w:before="1"/>
      </w:pPr>
    </w:p>
    <w:p>
      <w:pPr>
        <w:pStyle w:val="Heading1"/>
        <w:spacing w:before="72" w:after="4"/>
        <w:ind w:left="2421"/>
        <w:jc w:val="left"/>
      </w:pPr>
      <w:r>
        <w:rPr/>
        <w:t>Tabla 5. Descripción de las tipologías de ocupación informal en la Delegación Cuajimalpa</w:t>
      </w: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9"/>
        <w:gridCol w:w="1539"/>
        <w:gridCol w:w="2236"/>
        <w:gridCol w:w="2050"/>
        <w:gridCol w:w="2017"/>
        <w:gridCol w:w="2110"/>
        <w:gridCol w:w="2130"/>
      </w:tblGrid>
      <w:tr>
        <w:trPr>
          <w:trHeight w:val="331" w:hRule="exact"/>
        </w:trPr>
        <w:tc>
          <w:tcPr>
            <w:tcW w:w="909" w:type="dxa"/>
            <w:shd w:val="clear" w:color="auto" w:fill="333E4F"/>
          </w:tcPr>
          <w:p>
            <w:pPr>
              <w:pStyle w:val="TableParagraph"/>
              <w:spacing w:before="93"/>
              <w:ind w:left="172"/>
              <w:rPr>
                <w:b/>
                <w:sz w:val="12"/>
              </w:rPr>
            </w:pPr>
            <w:r>
              <w:rPr>
                <w:b/>
                <w:color w:val="FFFFFF"/>
                <w:sz w:val="12"/>
              </w:rPr>
              <w:t>Delegación</w:t>
            </w:r>
          </w:p>
        </w:tc>
        <w:tc>
          <w:tcPr>
            <w:tcW w:w="1539" w:type="dxa"/>
            <w:shd w:val="clear" w:color="auto" w:fill="333E4F"/>
          </w:tcPr>
          <w:p>
            <w:pPr>
              <w:pStyle w:val="TableParagraph"/>
              <w:spacing w:before="93"/>
              <w:ind w:left="232"/>
              <w:rPr>
                <w:b/>
                <w:sz w:val="12"/>
              </w:rPr>
            </w:pPr>
            <w:r>
              <w:rPr>
                <w:b/>
                <w:color w:val="FFFFFF"/>
                <w:sz w:val="12"/>
              </w:rPr>
              <w:t>Nombre del poblado</w:t>
            </w:r>
          </w:p>
        </w:tc>
        <w:tc>
          <w:tcPr>
            <w:tcW w:w="2236" w:type="dxa"/>
            <w:shd w:val="clear" w:color="auto" w:fill="333E4F"/>
          </w:tcPr>
          <w:p>
            <w:pPr>
              <w:pStyle w:val="TableParagraph"/>
              <w:spacing w:before="93"/>
              <w:ind w:left="464" w:right="6"/>
              <w:rPr>
                <w:b/>
                <w:sz w:val="12"/>
              </w:rPr>
            </w:pPr>
            <w:r>
              <w:rPr>
                <w:b/>
                <w:color w:val="FFFFFF"/>
                <w:sz w:val="12"/>
              </w:rPr>
              <w:t>Características espaciales</w:t>
            </w:r>
          </w:p>
        </w:tc>
        <w:tc>
          <w:tcPr>
            <w:tcW w:w="2050" w:type="dxa"/>
            <w:shd w:val="clear" w:color="auto" w:fill="333E4F"/>
          </w:tcPr>
          <w:p>
            <w:pPr>
              <w:pStyle w:val="TableParagraph"/>
              <w:spacing w:before="93"/>
              <w:ind w:left="251"/>
              <w:rPr>
                <w:b/>
                <w:sz w:val="12"/>
              </w:rPr>
            </w:pPr>
            <w:r>
              <w:rPr>
                <w:b/>
                <w:color w:val="FFFFFF"/>
                <w:sz w:val="12"/>
              </w:rPr>
              <w:t>Patrón de ocupación informal</w:t>
            </w:r>
          </w:p>
        </w:tc>
        <w:tc>
          <w:tcPr>
            <w:tcW w:w="6256" w:type="dxa"/>
            <w:gridSpan w:val="3"/>
            <w:shd w:val="clear" w:color="auto" w:fill="333E4F"/>
          </w:tcPr>
          <w:p>
            <w:pPr>
              <w:pStyle w:val="TableParagraph"/>
              <w:spacing w:before="93"/>
              <w:ind w:left="2851" w:right="2851"/>
              <w:jc w:val="center"/>
              <w:rPr>
                <w:b/>
                <w:sz w:val="12"/>
              </w:rPr>
            </w:pPr>
            <w:r>
              <w:rPr>
                <w:b/>
                <w:color w:val="FFFFFF"/>
                <w:sz w:val="12"/>
              </w:rPr>
              <w:t>Viviendas</w:t>
            </w:r>
          </w:p>
        </w:tc>
      </w:tr>
      <w:tr>
        <w:trPr>
          <w:trHeight w:val="1743" w:hRule="exact"/>
        </w:trPr>
        <w:tc>
          <w:tcPr>
            <w:tcW w:w="909"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2"/>
              </w:rPr>
            </w:pPr>
          </w:p>
          <w:p>
            <w:pPr>
              <w:pStyle w:val="TableParagraph"/>
              <w:ind w:left="179"/>
              <w:rPr>
                <w:sz w:val="12"/>
              </w:rPr>
            </w:pPr>
            <w:r>
              <w:rPr>
                <w:sz w:val="12"/>
              </w:rPr>
              <w:t>Cuajimalpa</w:t>
            </w: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9"/>
              </w:rPr>
            </w:pPr>
          </w:p>
          <w:p>
            <w:pPr>
              <w:pStyle w:val="TableParagraph"/>
              <w:ind w:left="19"/>
              <w:rPr>
                <w:sz w:val="12"/>
              </w:rPr>
            </w:pPr>
            <w:r>
              <w:rPr>
                <w:sz w:val="12"/>
              </w:rPr>
              <w:t>Ahuatenco</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0"/>
              <w:rPr>
                <w:b/>
                <w:sz w:val="14"/>
              </w:rPr>
            </w:pPr>
          </w:p>
          <w:p>
            <w:pPr>
              <w:pStyle w:val="TableParagraph"/>
              <w:spacing w:line="264" w:lineRule="auto"/>
              <w:ind w:left="20" w:right="6"/>
              <w:rPr>
                <w:sz w:val="12"/>
              </w:rPr>
            </w:pPr>
            <w:r>
              <w:rPr>
                <w:sz w:val="12"/>
              </w:rPr>
              <w:t>Se presenta un tejido poco denso, con pequeñas agrupaciones. Existen caminos</w:t>
            </w:r>
          </w:p>
        </w:tc>
        <w:tc>
          <w:tcPr>
            <w:tcW w:w="2050" w:type="dxa"/>
          </w:tcPr>
          <w:p>
            <w:pPr>
              <w:pStyle w:val="TableParagraph"/>
              <w:spacing w:before="5"/>
              <w:rPr>
                <w:b/>
                <w:sz w:val="3"/>
              </w:rPr>
            </w:pPr>
          </w:p>
          <w:p>
            <w:pPr>
              <w:pStyle w:val="TableParagraph"/>
              <w:ind w:left="70"/>
              <w:rPr>
                <w:sz w:val="20"/>
              </w:rPr>
            </w:pPr>
            <w:r>
              <w:rPr>
                <w:sz w:val="20"/>
              </w:rPr>
              <w:drawing>
                <wp:inline distT="0" distB="0" distL="0" distR="0">
                  <wp:extent cx="1199573" cy="1051560"/>
                  <wp:effectExtent l="0" t="0" r="0" b="0"/>
                  <wp:docPr id="77" name="image87.jpeg" descr=""/>
                  <wp:cNvGraphicFramePr>
                    <a:graphicFrameLocks noChangeAspect="1"/>
                  </wp:cNvGraphicFramePr>
                  <a:graphic>
                    <a:graphicData uri="http://schemas.openxmlformats.org/drawingml/2006/picture">
                      <pic:pic>
                        <pic:nvPicPr>
                          <pic:cNvPr id="78" name="image87.jpeg"/>
                          <pic:cNvPicPr/>
                        </pic:nvPicPr>
                        <pic:blipFill>
                          <a:blip r:embed="rId92" cstate="print"/>
                          <a:stretch>
                            <a:fillRect/>
                          </a:stretch>
                        </pic:blipFill>
                        <pic:spPr>
                          <a:xfrm>
                            <a:off x="0" y="0"/>
                            <a:ext cx="1199573" cy="1051560"/>
                          </a:xfrm>
                          <a:prstGeom prst="rect">
                            <a:avLst/>
                          </a:prstGeom>
                        </pic:spPr>
                      </pic:pic>
                    </a:graphicData>
                  </a:graphic>
                </wp:inline>
              </w:drawing>
            </w:r>
            <w:r>
              <w:rPr>
                <w:sz w:val="20"/>
              </w:rPr>
            </w:r>
          </w:p>
        </w:tc>
        <w:tc>
          <w:tcPr>
            <w:tcW w:w="2017" w:type="dxa"/>
          </w:tcPr>
          <w:p>
            <w:pPr>
              <w:pStyle w:val="TableParagraph"/>
              <w:spacing w:before="6"/>
              <w:rPr>
                <w:b/>
                <w:sz w:val="15"/>
              </w:rPr>
            </w:pPr>
          </w:p>
          <w:p>
            <w:pPr>
              <w:pStyle w:val="TableParagraph"/>
              <w:ind w:left="43"/>
              <w:rPr>
                <w:sz w:val="20"/>
              </w:rPr>
            </w:pPr>
            <w:r>
              <w:rPr>
                <w:sz w:val="20"/>
              </w:rPr>
              <w:drawing>
                <wp:inline distT="0" distB="0" distL="0" distR="0">
                  <wp:extent cx="1219106" cy="740663"/>
                  <wp:effectExtent l="0" t="0" r="0" b="0"/>
                  <wp:docPr id="79" name="image88.jpeg" descr=""/>
                  <wp:cNvGraphicFramePr>
                    <a:graphicFrameLocks noChangeAspect="1"/>
                  </wp:cNvGraphicFramePr>
                  <a:graphic>
                    <a:graphicData uri="http://schemas.openxmlformats.org/drawingml/2006/picture">
                      <pic:pic>
                        <pic:nvPicPr>
                          <pic:cNvPr id="80" name="image88.jpeg"/>
                          <pic:cNvPicPr/>
                        </pic:nvPicPr>
                        <pic:blipFill>
                          <a:blip r:embed="rId93" cstate="print"/>
                          <a:stretch>
                            <a:fillRect/>
                          </a:stretch>
                        </pic:blipFill>
                        <pic:spPr>
                          <a:xfrm>
                            <a:off x="0" y="0"/>
                            <a:ext cx="1219106" cy="740663"/>
                          </a:xfrm>
                          <a:prstGeom prst="rect">
                            <a:avLst/>
                          </a:prstGeom>
                        </pic:spPr>
                      </pic:pic>
                    </a:graphicData>
                  </a:graphic>
                </wp:inline>
              </w:drawing>
            </w:r>
            <w:r>
              <w:rPr>
                <w:sz w:val="20"/>
              </w:rPr>
            </w:r>
          </w:p>
          <w:p>
            <w:pPr>
              <w:pStyle w:val="TableParagraph"/>
              <w:rPr>
                <w:b/>
                <w:sz w:val="20"/>
              </w:rPr>
            </w:pPr>
          </w:p>
        </w:tc>
        <w:tc>
          <w:tcPr>
            <w:tcW w:w="2110" w:type="dxa"/>
          </w:tcPr>
          <w:p>
            <w:pPr>
              <w:pStyle w:val="TableParagraph"/>
              <w:spacing w:before="6"/>
              <w:rPr>
                <w:b/>
                <w:sz w:val="15"/>
              </w:rPr>
            </w:pPr>
          </w:p>
          <w:p>
            <w:pPr>
              <w:pStyle w:val="TableParagraph"/>
              <w:ind w:left="55"/>
              <w:rPr>
                <w:sz w:val="20"/>
              </w:rPr>
            </w:pPr>
            <w:r>
              <w:rPr>
                <w:sz w:val="20"/>
              </w:rPr>
              <w:drawing>
                <wp:inline distT="0" distB="0" distL="0" distR="0">
                  <wp:extent cx="1269030" cy="768096"/>
                  <wp:effectExtent l="0" t="0" r="0" b="0"/>
                  <wp:docPr id="81" name="image89.jpeg" descr=""/>
                  <wp:cNvGraphicFramePr>
                    <a:graphicFrameLocks noChangeAspect="1"/>
                  </wp:cNvGraphicFramePr>
                  <a:graphic>
                    <a:graphicData uri="http://schemas.openxmlformats.org/drawingml/2006/picture">
                      <pic:pic>
                        <pic:nvPicPr>
                          <pic:cNvPr id="82" name="image89.jpeg"/>
                          <pic:cNvPicPr/>
                        </pic:nvPicPr>
                        <pic:blipFill>
                          <a:blip r:embed="rId94" cstate="print"/>
                          <a:stretch>
                            <a:fillRect/>
                          </a:stretch>
                        </pic:blipFill>
                        <pic:spPr>
                          <a:xfrm>
                            <a:off x="0" y="0"/>
                            <a:ext cx="1269030" cy="768096"/>
                          </a:xfrm>
                          <a:prstGeom prst="rect">
                            <a:avLst/>
                          </a:prstGeom>
                        </pic:spPr>
                      </pic:pic>
                    </a:graphicData>
                  </a:graphic>
                </wp:inline>
              </w:drawing>
            </w:r>
            <w:r>
              <w:rPr>
                <w:sz w:val="20"/>
              </w:rPr>
            </w:r>
          </w:p>
          <w:p>
            <w:pPr>
              <w:pStyle w:val="TableParagraph"/>
              <w:rPr>
                <w:b/>
                <w:sz w:val="20"/>
              </w:rPr>
            </w:pPr>
          </w:p>
        </w:tc>
        <w:tc>
          <w:tcPr>
            <w:tcW w:w="2130" w:type="dxa"/>
          </w:tcPr>
          <w:p>
            <w:pPr>
              <w:pStyle w:val="TableParagraph"/>
              <w:spacing w:before="6"/>
              <w:rPr>
                <w:b/>
                <w:sz w:val="15"/>
              </w:rPr>
            </w:pPr>
          </w:p>
          <w:p>
            <w:pPr>
              <w:pStyle w:val="TableParagraph"/>
              <w:ind w:left="21"/>
              <w:rPr>
                <w:sz w:val="20"/>
              </w:rPr>
            </w:pPr>
            <w:r>
              <w:rPr>
                <w:sz w:val="20"/>
              </w:rPr>
              <w:drawing>
                <wp:inline distT="0" distB="0" distL="0" distR="0">
                  <wp:extent cx="1296714" cy="786384"/>
                  <wp:effectExtent l="0" t="0" r="0" b="0"/>
                  <wp:docPr id="83" name="image90.jpeg" descr=""/>
                  <wp:cNvGraphicFramePr>
                    <a:graphicFrameLocks noChangeAspect="1"/>
                  </wp:cNvGraphicFramePr>
                  <a:graphic>
                    <a:graphicData uri="http://schemas.openxmlformats.org/drawingml/2006/picture">
                      <pic:pic>
                        <pic:nvPicPr>
                          <pic:cNvPr id="84" name="image90.jpeg"/>
                          <pic:cNvPicPr/>
                        </pic:nvPicPr>
                        <pic:blipFill>
                          <a:blip r:embed="rId95" cstate="print"/>
                          <a:stretch>
                            <a:fillRect/>
                          </a:stretch>
                        </pic:blipFill>
                        <pic:spPr>
                          <a:xfrm>
                            <a:off x="0" y="0"/>
                            <a:ext cx="1296714" cy="786384"/>
                          </a:xfrm>
                          <a:prstGeom prst="rect">
                            <a:avLst/>
                          </a:prstGeom>
                        </pic:spPr>
                      </pic:pic>
                    </a:graphicData>
                  </a:graphic>
                </wp:inline>
              </w:drawing>
            </w:r>
            <w:r>
              <w:rPr>
                <w:sz w:val="20"/>
              </w:rPr>
            </w:r>
          </w:p>
          <w:p>
            <w:pPr>
              <w:pStyle w:val="TableParagraph"/>
              <w:spacing w:before="8"/>
              <w:rPr>
                <w:b/>
                <w:sz w:val="27"/>
              </w:rPr>
            </w:pPr>
          </w:p>
        </w:tc>
      </w:tr>
      <w:tr>
        <w:trPr>
          <w:trHeight w:val="1777" w:hRule="exact"/>
        </w:trPr>
        <w:tc>
          <w:tcPr>
            <w:tcW w:w="909" w:type="dxa"/>
            <w:vMerge/>
          </w:tcPr>
          <w:p>
            <w:pP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0"/>
              </w:rPr>
            </w:pPr>
          </w:p>
          <w:p>
            <w:pPr>
              <w:pStyle w:val="TableParagraph"/>
              <w:ind w:left="19"/>
              <w:rPr>
                <w:sz w:val="12"/>
              </w:rPr>
            </w:pPr>
            <w:r>
              <w:rPr>
                <w:sz w:val="12"/>
              </w:rPr>
              <w:t>Contadero</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
              <w:rPr>
                <w:b/>
                <w:sz w:val="9"/>
              </w:rPr>
            </w:pPr>
          </w:p>
          <w:p>
            <w:pPr>
              <w:pStyle w:val="TableParagraph"/>
              <w:spacing w:line="266" w:lineRule="auto" w:before="1"/>
              <w:ind w:left="20" w:right="6"/>
              <w:rPr>
                <w:sz w:val="12"/>
              </w:rPr>
            </w:pPr>
            <w:r>
              <w:rPr>
                <w:sz w:val="12"/>
              </w:rPr>
              <w:t>Es un tejido disperso, con vivendas consolidadas. Un sector se encuentra a orillas de una vialidad principal.</w:t>
            </w:r>
          </w:p>
        </w:tc>
        <w:tc>
          <w:tcPr>
            <w:tcW w:w="2050" w:type="dxa"/>
          </w:tcPr>
          <w:p>
            <w:pPr>
              <w:pStyle w:val="TableParagraph"/>
              <w:spacing w:before="5"/>
              <w:rPr>
                <w:b/>
                <w:sz w:val="4"/>
              </w:rPr>
            </w:pPr>
          </w:p>
          <w:p>
            <w:pPr>
              <w:pStyle w:val="TableParagraph"/>
              <w:ind w:left="50"/>
              <w:rPr>
                <w:sz w:val="20"/>
              </w:rPr>
            </w:pPr>
            <w:r>
              <w:rPr>
                <w:sz w:val="20"/>
              </w:rPr>
              <w:drawing>
                <wp:inline distT="0" distB="0" distL="0" distR="0">
                  <wp:extent cx="1228440" cy="996696"/>
                  <wp:effectExtent l="0" t="0" r="0" b="0"/>
                  <wp:docPr id="85" name="image91.jpeg" descr=""/>
                  <wp:cNvGraphicFramePr>
                    <a:graphicFrameLocks noChangeAspect="1"/>
                  </wp:cNvGraphicFramePr>
                  <a:graphic>
                    <a:graphicData uri="http://schemas.openxmlformats.org/drawingml/2006/picture">
                      <pic:pic>
                        <pic:nvPicPr>
                          <pic:cNvPr id="86" name="image91.jpeg"/>
                          <pic:cNvPicPr/>
                        </pic:nvPicPr>
                        <pic:blipFill>
                          <a:blip r:embed="rId96" cstate="print"/>
                          <a:stretch>
                            <a:fillRect/>
                          </a:stretch>
                        </pic:blipFill>
                        <pic:spPr>
                          <a:xfrm>
                            <a:off x="0" y="0"/>
                            <a:ext cx="1228440" cy="996696"/>
                          </a:xfrm>
                          <a:prstGeom prst="rect">
                            <a:avLst/>
                          </a:prstGeom>
                        </pic:spPr>
                      </pic:pic>
                    </a:graphicData>
                  </a:graphic>
                </wp:inline>
              </w:drawing>
            </w:r>
            <w:r>
              <w:rPr>
                <w:sz w:val="20"/>
              </w:rPr>
            </w:r>
          </w:p>
        </w:tc>
        <w:tc>
          <w:tcPr>
            <w:tcW w:w="2017" w:type="dxa"/>
          </w:tcPr>
          <w:p>
            <w:pPr>
              <w:pStyle w:val="TableParagraph"/>
              <w:spacing w:before="9"/>
              <w:rPr>
                <w:b/>
                <w:sz w:val="18"/>
              </w:rPr>
            </w:pPr>
          </w:p>
          <w:p>
            <w:pPr>
              <w:pStyle w:val="TableParagraph"/>
              <w:ind w:left="9" w:right="-4"/>
              <w:rPr>
                <w:sz w:val="20"/>
              </w:rPr>
            </w:pPr>
            <w:r>
              <w:rPr>
                <w:sz w:val="20"/>
              </w:rPr>
              <w:drawing>
                <wp:inline distT="0" distB="0" distL="0" distR="0">
                  <wp:extent cx="1246788" cy="758951"/>
                  <wp:effectExtent l="0" t="0" r="0" b="0"/>
                  <wp:docPr id="87" name="image92.jpeg" descr=""/>
                  <wp:cNvGraphicFramePr>
                    <a:graphicFrameLocks noChangeAspect="1"/>
                  </wp:cNvGraphicFramePr>
                  <a:graphic>
                    <a:graphicData uri="http://schemas.openxmlformats.org/drawingml/2006/picture">
                      <pic:pic>
                        <pic:nvPicPr>
                          <pic:cNvPr id="88" name="image92.jpeg"/>
                          <pic:cNvPicPr/>
                        </pic:nvPicPr>
                        <pic:blipFill>
                          <a:blip r:embed="rId97" cstate="print"/>
                          <a:stretch>
                            <a:fillRect/>
                          </a:stretch>
                        </pic:blipFill>
                        <pic:spPr>
                          <a:xfrm>
                            <a:off x="0" y="0"/>
                            <a:ext cx="1246788" cy="758951"/>
                          </a:xfrm>
                          <a:prstGeom prst="rect">
                            <a:avLst/>
                          </a:prstGeom>
                        </pic:spPr>
                      </pic:pic>
                    </a:graphicData>
                  </a:graphic>
                </wp:inline>
              </w:drawing>
            </w:r>
            <w:r>
              <w:rPr>
                <w:sz w:val="20"/>
              </w:rPr>
            </w:r>
          </w:p>
          <w:p>
            <w:pPr>
              <w:pStyle w:val="TableParagraph"/>
              <w:rPr>
                <w:b/>
                <w:sz w:val="20"/>
              </w:rPr>
            </w:pPr>
          </w:p>
        </w:tc>
        <w:tc>
          <w:tcPr>
            <w:tcW w:w="2110" w:type="dxa"/>
          </w:tcPr>
          <w:p>
            <w:pPr>
              <w:pStyle w:val="TableParagraph"/>
              <w:spacing w:before="6"/>
              <w:rPr>
                <w:b/>
                <w:sz w:val="16"/>
              </w:rPr>
            </w:pPr>
          </w:p>
          <w:p>
            <w:pPr>
              <w:pStyle w:val="TableParagraph"/>
              <w:ind w:left="28"/>
              <w:rPr>
                <w:sz w:val="20"/>
              </w:rPr>
            </w:pPr>
            <w:r>
              <w:rPr>
                <w:sz w:val="20"/>
              </w:rPr>
              <w:drawing>
                <wp:inline distT="0" distB="0" distL="0" distR="0">
                  <wp:extent cx="1291898" cy="781812"/>
                  <wp:effectExtent l="0" t="0" r="0" b="0"/>
                  <wp:docPr id="89" name="image93.jpeg" descr=""/>
                  <wp:cNvGraphicFramePr>
                    <a:graphicFrameLocks noChangeAspect="1"/>
                  </wp:cNvGraphicFramePr>
                  <a:graphic>
                    <a:graphicData uri="http://schemas.openxmlformats.org/drawingml/2006/picture">
                      <pic:pic>
                        <pic:nvPicPr>
                          <pic:cNvPr id="90" name="image93.jpeg"/>
                          <pic:cNvPicPr/>
                        </pic:nvPicPr>
                        <pic:blipFill>
                          <a:blip r:embed="rId98" cstate="print"/>
                          <a:stretch>
                            <a:fillRect/>
                          </a:stretch>
                        </pic:blipFill>
                        <pic:spPr>
                          <a:xfrm>
                            <a:off x="0" y="0"/>
                            <a:ext cx="1291898" cy="781812"/>
                          </a:xfrm>
                          <a:prstGeom prst="rect">
                            <a:avLst/>
                          </a:prstGeom>
                        </pic:spPr>
                      </pic:pic>
                    </a:graphicData>
                  </a:graphic>
                </wp:inline>
              </w:drawing>
            </w:r>
            <w:r>
              <w:rPr>
                <w:sz w:val="20"/>
              </w:rPr>
            </w:r>
          </w:p>
          <w:p>
            <w:pPr>
              <w:pStyle w:val="TableParagraph"/>
              <w:rPr>
                <w:b/>
                <w:sz w:val="20"/>
              </w:rPr>
            </w:pPr>
          </w:p>
        </w:tc>
        <w:tc>
          <w:tcPr>
            <w:tcW w:w="2130" w:type="dxa"/>
          </w:tcPr>
          <w:p>
            <w:pPr>
              <w:pStyle w:val="TableParagraph"/>
              <w:spacing w:before="4"/>
              <w:rPr>
                <w:b/>
                <w:sz w:val="15"/>
              </w:rPr>
            </w:pPr>
          </w:p>
          <w:p>
            <w:pPr>
              <w:pStyle w:val="TableParagraph"/>
              <w:ind w:left="40"/>
              <w:rPr>
                <w:sz w:val="20"/>
              </w:rPr>
            </w:pPr>
            <w:r>
              <w:rPr>
                <w:sz w:val="20"/>
              </w:rPr>
              <w:drawing>
                <wp:inline distT="0" distB="0" distL="0" distR="0">
                  <wp:extent cx="1274461" cy="777239"/>
                  <wp:effectExtent l="0" t="0" r="0" b="0"/>
                  <wp:docPr id="91" name="image94.jpeg" descr=""/>
                  <wp:cNvGraphicFramePr>
                    <a:graphicFrameLocks noChangeAspect="1"/>
                  </wp:cNvGraphicFramePr>
                  <a:graphic>
                    <a:graphicData uri="http://schemas.openxmlformats.org/drawingml/2006/picture">
                      <pic:pic>
                        <pic:nvPicPr>
                          <pic:cNvPr id="92" name="image94.jpeg"/>
                          <pic:cNvPicPr/>
                        </pic:nvPicPr>
                        <pic:blipFill>
                          <a:blip r:embed="rId99" cstate="print"/>
                          <a:stretch>
                            <a:fillRect/>
                          </a:stretch>
                        </pic:blipFill>
                        <pic:spPr>
                          <a:xfrm>
                            <a:off x="0" y="0"/>
                            <a:ext cx="1274461" cy="777239"/>
                          </a:xfrm>
                          <a:prstGeom prst="rect">
                            <a:avLst/>
                          </a:prstGeom>
                        </pic:spPr>
                      </pic:pic>
                    </a:graphicData>
                  </a:graphic>
                </wp:inline>
              </w:drawing>
            </w:r>
            <w:r>
              <w:rPr>
                <w:sz w:val="20"/>
              </w:rPr>
            </w:r>
          </w:p>
          <w:p>
            <w:pPr>
              <w:pStyle w:val="TableParagraph"/>
              <w:rPr>
                <w:b/>
                <w:sz w:val="20"/>
              </w:rPr>
            </w:pPr>
          </w:p>
        </w:tc>
      </w:tr>
      <w:tr>
        <w:trPr>
          <w:trHeight w:val="1770" w:hRule="exact"/>
        </w:trPr>
        <w:tc>
          <w:tcPr>
            <w:tcW w:w="909" w:type="dxa"/>
            <w:vMerge/>
          </w:tcPr>
          <w:p>
            <w:pP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0"/>
              </w:rPr>
            </w:pPr>
          </w:p>
          <w:p>
            <w:pPr>
              <w:pStyle w:val="TableParagraph"/>
              <w:ind w:left="19"/>
              <w:rPr>
                <w:sz w:val="12"/>
              </w:rPr>
            </w:pPr>
            <w:r>
              <w:rPr>
                <w:sz w:val="12"/>
              </w:rPr>
              <w:t>San Lorenzo Acopilco</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spacing w:line="264" w:lineRule="auto" w:before="97"/>
              <w:ind w:left="20" w:right="-4"/>
              <w:rPr>
                <w:sz w:val="12"/>
              </w:rPr>
            </w:pPr>
            <w:r>
              <w:rPr>
                <w:sz w:val="12"/>
              </w:rPr>
              <w:t>Son un conjunto que en su mayoría se encuentra agrupado, se ubican cerca a vialidades principales y caminos. La construcción de las viviendas son de concreto y con disposición de luz eléctrica.</w:t>
            </w:r>
          </w:p>
        </w:tc>
        <w:tc>
          <w:tcPr>
            <w:tcW w:w="2050" w:type="dxa"/>
          </w:tcPr>
          <w:p>
            <w:pPr>
              <w:pStyle w:val="TableParagraph"/>
              <w:ind w:left="50"/>
              <w:rPr>
                <w:sz w:val="20"/>
              </w:rPr>
            </w:pPr>
            <w:r>
              <w:rPr>
                <w:sz w:val="20"/>
              </w:rPr>
              <w:drawing>
                <wp:inline distT="0" distB="0" distL="0" distR="0">
                  <wp:extent cx="1215159" cy="1083564"/>
                  <wp:effectExtent l="0" t="0" r="0" b="0"/>
                  <wp:docPr id="93" name="image95.jpeg" descr=""/>
                  <wp:cNvGraphicFramePr>
                    <a:graphicFrameLocks noChangeAspect="1"/>
                  </wp:cNvGraphicFramePr>
                  <a:graphic>
                    <a:graphicData uri="http://schemas.openxmlformats.org/drawingml/2006/picture">
                      <pic:pic>
                        <pic:nvPicPr>
                          <pic:cNvPr id="94" name="image95.jpeg"/>
                          <pic:cNvPicPr/>
                        </pic:nvPicPr>
                        <pic:blipFill>
                          <a:blip r:embed="rId100" cstate="print"/>
                          <a:stretch>
                            <a:fillRect/>
                          </a:stretch>
                        </pic:blipFill>
                        <pic:spPr>
                          <a:xfrm>
                            <a:off x="0" y="0"/>
                            <a:ext cx="1215159" cy="1083564"/>
                          </a:xfrm>
                          <a:prstGeom prst="rect">
                            <a:avLst/>
                          </a:prstGeom>
                        </pic:spPr>
                      </pic:pic>
                    </a:graphicData>
                  </a:graphic>
                </wp:inline>
              </w:drawing>
            </w:r>
            <w:r>
              <w:rPr>
                <w:sz w:val="20"/>
              </w:rPr>
            </w:r>
          </w:p>
        </w:tc>
        <w:tc>
          <w:tcPr>
            <w:tcW w:w="2017" w:type="dxa"/>
          </w:tcPr>
          <w:p>
            <w:pPr>
              <w:pStyle w:val="TableParagraph"/>
              <w:spacing w:before="11"/>
              <w:rPr>
                <w:b/>
                <w:sz w:val="16"/>
              </w:rPr>
            </w:pPr>
          </w:p>
          <w:p>
            <w:pPr>
              <w:pStyle w:val="TableParagraph"/>
              <w:ind w:left="23" w:right="-8"/>
              <w:rPr>
                <w:sz w:val="20"/>
              </w:rPr>
            </w:pPr>
            <w:r>
              <w:rPr>
                <w:sz w:val="20"/>
              </w:rPr>
              <w:drawing>
                <wp:inline distT="0" distB="0" distL="0" distR="0">
                  <wp:extent cx="1240812" cy="777239"/>
                  <wp:effectExtent l="0" t="0" r="0" b="0"/>
                  <wp:docPr id="95" name="image96.jpeg" descr=""/>
                  <wp:cNvGraphicFramePr>
                    <a:graphicFrameLocks noChangeAspect="1"/>
                  </wp:cNvGraphicFramePr>
                  <a:graphic>
                    <a:graphicData uri="http://schemas.openxmlformats.org/drawingml/2006/picture">
                      <pic:pic>
                        <pic:nvPicPr>
                          <pic:cNvPr id="96" name="image96.jpeg"/>
                          <pic:cNvPicPr/>
                        </pic:nvPicPr>
                        <pic:blipFill>
                          <a:blip r:embed="rId101" cstate="print"/>
                          <a:stretch>
                            <a:fillRect/>
                          </a:stretch>
                        </pic:blipFill>
                        <pic:spPr>
                          <a:xfrm>
                            <a:off x="0" y="0"/>
                            <a:ext cx="1240812" cy="777239"/>
                          </a:xfrm>
                          <a:prstGeom prst="rect">
                            <a:avLst/>
                          </a:prstGeom>
                        </pic:spPr>
                      </pic:pic>
                    </a:graphicData>
                  </a:graphic>
                </wp:inline>
              </w:drawing>
            </w:r>
            <w:r>
              <w:rPr>
                <w:sz w:val="20"/>
              </w:rPr>
            </w:r>
          </w:p>
          <w:p>
            <w:pPr>
              <w:pStyle w:val="TableParagraph"/>
              <w:spacing w:before="10"/>
              <w:rPr>
                <w:b/>
                <w:sz w:val="29"/>
              </w:rPr>
            </w:pPr>
          </w:p>
        </w:tc>
        <w:tc>
          <w:tcPr>
            <w:tcW w:w="2110" w:type="dxa"/>
          </w:tcPr>
          <w:p>
            <w:pPr>
              <w:pStyle w:val="TableParagraph"/>
              <w:spacing w:before="11"/>
              <w:rPr>
                <w:b/>
                <w:sz w:val="16"/>
              </w:rPr>
            </w:pPr>
          </w:p>
          <w:p>
            <w:pPr>
              <w:pStyle w:val="TableParagraph"/>
              <w:ind w:left="55"/>
              <w:rPr>
                <w:sz w:val="20"/>
              </w:rPr>
            </w:pPr>
            <w:r>
              <w:rPr>
                <w:sz w:val="20"/>
              </w:rPr>
              <w:drawing>
                <wp:inline distT="0" distB="0" distL="0" distR="0">
                  <wp:extent cx="1256315" cy="786384"/>
                  <wp:effectExtent l="0" t="0" r="0" b="0"/>
                  <wp:docPr id="97" name="image97.jpeg" descr=""/>
                  <wp:cNvGraphicFramePr>
                    <a:graphicFrameLocks noChangeAspect="1"/>
                  </wp:cNvGraphicFramePr>
                  <a:graphic>
                    <a:graphicData uri="http://schemas.openxmlformats.org/drawingml/2006/picture">
                      <pic:pic>
                        <pic:nvPicPr>
                          <pic:cNvPr id="98" name="image97.jpeg"/>
                          <pic:cNvPicPr/>
                        </pic:nvPicPr>
                        <pic:blipFill>
                          <a:blip r:embed="rId102" cstate="print"/>
                          <a:stretch>
                            <a:fillRect/>
                          </a:stretch>
                        </pic:blipFill>
                        <pic:spPr>
                          <a:xfrm>
                            <a:off x="0" y="0"/>
                            <a:ext cx="1256315" cy="786384"/>
                          </a:xfrm>
                          <a:prstGeom prst="rect">
                            <a:avLst/>
                          </a:prstGeom>
                        </pic:spPr>
                      </pic:pic>
                    </a:graphicData>
                  </a:graphic>
                </wp:inline>
              </w:drawing>
            </w:r>
            <w:r>
              <w:rPr>
                <w:sz w:val="20"/>
              </w:rPr>
            </w:r>
          </w:p>
          <w:p>
            <w:pPr>
              <w:pStyle w:val="TableParagraph"/>
              <w:spacing w:before="7"/>
              <w:rPr>
                <w:b/>
                <w:sz w:val="28"/>
              </w:rPr>
            </w:pPr>
          </w:p>
        </w:tc>
        <w:tc>
          <w:tcPr>
            <w:tcW w:w="2130" w:type="dxa"/>
          </w:tcPr>
          <w:p>
            <w:pPr>
              <w:pStyle w:val="TableParagraph"/>
              <w:spacing w:before="2" w:after="1"/>
              <w:rPr>
                <w:b/>
                <w:sz w:val="15"/>
              </w:rPr>
            </w:pPr>
          </w:p>
          <w:p>
            <w:pPr>
              <w:pStyle w:val="TableParagraph"/>
              <w:ind w:left="14"/>
              <w:rPr>
                <w:sz w:val="20"/>
              </w:rPr>
            </w:pPr>
            <w:r>
              <w:rPr>
                <w:sz w:val="20"/>
              </w:rPr>
              <w:drawing>
                <wp:inline distT="0" distB="0" distL="0" distR="0">
                  <wp:extent cx="1288727" cy="809244"/>
                  <wp:effectExtent l="0" t="0" r="0" b="0"/>
                  <wp:docPr id="99" name="image98.jpeg" descr=""/>
                  <wp:cNvGraphicFramePr>
                    <a:graphicFrameLocks noChangeAspect="1"/>
                  </wp:cNvGraphicFramePr>
                  <a:graphic>
                    <a:graphicData uri="http://schemas.openxmlformats.org/drawingml/2006/picture">
                      <pic:pic>
                        <pic:nvPicPr>
                          <pic:cNvPr id="100" name="image98.jpeg"/>
                          <pic:cNvPicPr/>
                        </pic:nvPicPr>
                        <pic:blipFill>
                          <a:blip r:embed="rId103" cstate="print"/>
                          <a:stretch>
                            <a:fillRect/>
                          </a:stretch>
                        </pic:blipFill>
                        <pic:spPr>
                          <a:xfrm>
                            <a:off x="0" y="0"/>
                            <a:ext cx="1288727" cy="809244"/>
                          </a:xfrm>
                          <a:prstGeom prst="rect">
                            <a:avLst/>
                          </a:prstGeom>
                        </pic:spPr>
                      </pic:pic>
                    </a:graphicData>
                  </a:graphic>
                </wp:inline>
              </w:drawing>
            </w:r>
            <w:r>
              <w:rPr>
                <w:sz w:val="20"/>
              </w:rPr>
            </w:r>
          </w:p>
          <w:p>
            <w:pPr>
              <w:pStyle w:val="TableParagraph"/>
              <w:spacing w:before="2"/>
              <w:rPr>
                <w:b/>
                <w:sz w:val="27"/>
              </w:rPr>
            </w:pPr>
          </w:p>
        </w:tc>
      </w:tr>
      <w:tr>
        <w:trPr>
          <w:trHeight w:val="1777" w:hRule="exact"/>
        </w:trPr>
        <w:tc>
          <w:tcPr>
            <w:tcW w:w="909" w:type="dxa"/>
            <w:vMerge/>
          </w:tcPr>
          <w:p>
            <w:pP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1"/>
              <w:rPr>
                <w:b/>
                <w:sz w:val="10"/>
              </w:rPr>
            </w:pPr>
          </w:p>
          <w:p>
            <w:pPr>
              <w:pStyle w:val="TableParagraph"/>
              <w:ind w:left="19"/>
              <w:rPr>
                <w:sz w:val="12"/>
              </w:rPr>
            </w:pPr>
            <w:r>
              <w:rPr>
                <w:sz w:val="12"/>
              </w:rPr>
              <w:t>San Mateo Tlaltenango</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spacing w:before="4"/>
              <w:rPr>
                <w:b/>
                <w:sz w:val="15"/>
              </w:rPr>
            </w:pPr>
          </w:p>
          <w:p>
            <w:pPr>
              <w:pStyle w:val="TableParagraph"/>
              <w:spacing w:line="264" w:lineRule="auto"/>
              <w:ind w:left="20" w:right="39"/>
              <w:rPr>
                <w:sz w:val="12"/>
              </w:rPr>
            </w:pPr>
            <w:r>
              <w:rPr>
                <w:sz w:val="12"/>
              </w:rPr>
              <w:t>En su mayoría se presenta como un conjunto denso y cercano a principales vialidades. Se presentan caminos internos y viviendas consolidadas.</w:t>
            </w:r>
          </w:p>
        </w:tc>
        <w:tc>
          <w:tcPr>
            <w:tcW w:w="2050" w:type="dxa"/>
          </w:tcPr>
          <w:p>
            <w:pPr>
              <w:pStyle w:val="TableParagraph"/>
              <w:spacing w:before="2"/>
              <w:rPr>
                <w:b/>
                <w:sz w:val="8"/>
              </w:rPr>
            </w:pPr>
          </w:p>
          <w:p>
            <w:pPr>
              <w:pStyle w:val="TableParagraph"/>
              <w:ind w:left="63"/>
              <w:rPr>
                <w:sz w:val="20"/>
              </w:rPr>
            </w:pPr>
            <w:r>
              <w:rPr>
                <w:sz w:val="20"/>
              </w:rPr>
              <w:drawing>
                <wp:inline distT="0" distB="0" distL="0" distR="0">
                  <wp:extent cx="1206874" cy="1033272"/>
                  <wp:effectExtent l="0" t="0" r="0" b="0"/>
                  <wp:docPr id="101" name="image99.jpeg" descr=""/>
                  <wp:cNvGraphicFramePr>
                    <a:graphicFrameLocks noChangeAspect="1"/>
                  </wp:cNvGraphicFramePr>
                  <a:graphic>
                    <a:graphicData uri="http://schemas.openxmlformats.org/drawingml/2006/picture">
                      <pic:pic>
                        <pic:nvPicPr>
                          <pic:cNvPr id="102" name="image99.jpeg"/>
                          <pic:cNvPicPr/>
                        </pic:nvPicPr>
                        <pic:blipFill>
                          <a:blip r:embed="rId104" cstate="print"/>
                          <a:stretch>
                            <a:fillRect/>
                          </a:stretch>
                        </pic:blipFill>
                        <pic:spPr>
                          <a:xfrm>
                            <a:off x="0" y="0"/>
                            <a:ext cx="1206874" cy="1033272"/>
                          </a:xfrm>
                          <a:prstGeom prst="rect">
                            <a:avLst/>
                          </a:prstGeom>
                        </pic:spPr>
                      </pic:pic>
                    </a:graphicData>
                  </a:graphic>
                </wp:inline>
              </w:drawing>
            </w:r>
            <w:r>
              <w:rPr>
                <w:sz w:val="20"/>
              </w:rPr>
            </w:r>
          </w:p>
        </w:tc>
        <w:tc>
          <w:tcPr>
            <w:tcW w:w="2017" w:type="dxa"/>
          </w:tcPr>
          <w:p>
            <w:pPr>
              <w:pStyle w:val="TableParagraph"/>
              <w:spacing w:before="3" w:after="1"/>
              <w:rPr>
                <w:b/>
                <w:sz w:val="24"/>
              </w:rPr>
            </w:pPr>
          </w:p>
          <w:p>
            <w:pPr>
              <w:pStyle w:val="TableParagraph"/>
              <w:ind w:left="43"/>
              <w:rPr>
                <w:sz w:val="20"/>
              </w:rPr>
            </w:pPr>
            <w:r>
              <w:rPr>
                <w:sz w:val="20"/>
              </w:rPr>
              <w:drawing>
                <wp:inline distT="0" distB="0" distL="0" distR="0">
                  <wp:extent cx="1201076" cy="731519"/>
                  <wp:effectExtent l="0" t="0" r="0" b="0"/>
                  <wp:docPr id="103" name="image100.jpeg" descr=""/>
                  <wp:cNvGraphicFramePr>
                    <a:graphicFrameLocks noChangeAspect="1"/>
                  </wp:cNvGraphicFramePr>
                  <a:graphic>
                    <a:graphicData uri="http://schemas.openxmlformats.org/drawingml/2006/picture">
                      <pic:pic>
                        <pic:nvPicPr>
                          <pic:cNvPr id="104" name="image100.jpeg"/>
                          <pic:cNvPicPr/>
                        </pic:nvPicPr>
                        <pic:blipFill>
                          <a:blip r:embed="rId105" cstate="print"/>
                          <a:stretch>
                            <a:fillRect/>
                          </a:stretch>
                        </pic:blipFill>
                        <pic:spPr>
                          <a:xfrm>
                            <a:off x="0" y="0"/>
                            <a:ext cx="1201076" cy="731519"/>
                          </a:xfrm>
                          <a:prstGeom prst="rect">
                            <a:avLst/>
                          </a:prstGeom>
                        </pic:spPr>
                      </pic:pic>
                    </a:graphicData>
                  </a:graphic>
                </wp:inline>
              </w:drawing>
            </w:r>
            <w:r>
              <w:rPr>
                <w:sz w:val="20"/>
              </w:rPr>
            </w:r>
          </w:p>
          <w:p>
            <w:pPr>
              <w:pStyle w:val="TableParagraph"/>
              <w:spacing w:before="4"/>
              <w:rPr>
                <w:b/>
                <w:sz w:val="29"/>
              </w:rPr>
            </w:pPr>
          </w:p>
        </w:tc>
        <w:tc>
          <w:tcPr>
            <w:tcW w:w="2110" w:type="dxa"/>
          </w:tcPr>
          <w:p>
            <w:pPr>
              <w:pStyle w:val="TableParagraph"/>
              <w:spacing w:before="5"/>
              <w:rPr>
                <w:b/>
                <w:sz w:val="21"/>
              </w:rPr>
            </w:pPr>
          </w:p>
          <w:p>
            <w:pPr>
              <w:pStyle w:val="TableParagraph"/>
              <w:ind w:left="28"/>
              <w:rPr>
                <w:sz w:val="20"/>
              </w:rPr>
            </w:pPr>
            <w:r>
              <w:rPr>
                <w:sz w:val="20"/>
              </w:rPr>
              <w:drawing>
                <wp:inline distT="0" distB="0" distL="0" distR="0">
                  <wp:extent cx="1278667" cy="777239"/>
                  <wp:effectExtent l="0" t="0" r="0" b="0"/>
                  <wp:docPr id="105" name="image101.jpeg" descr=""/>
                  <wp:cNvGraphicFramePr>
                    <a:graphicFrameLocks noChangeAspect="1"/>
                  </wp:cNvGraphicFramePr>
                  <a:graphic>
                    <a:graphicData uri="http://schemas.openxmlformats.org/drawingml/2006/picture">
                      <pic:pic>
                        <pic:nvPicPr>
                          <pic:cNvPr id="106" name="image101.jpeg"/>
                          <pic:cNvPicPr/>
                        </pic:nvPicPr>
                        <pic:blipFill>
                          <a:blip r:embed="rId106" cstate="print"/>
                          <a:stretch>
                            <a:fillRect/>
                          </a:stretch>
                        </pic:blipFill>
                        <pic:spPr>
                          <a:xfrm>
                            <a:off x="0" y="0"/>
                            <a:ext cx="1278667" cy="777239"/>
                          </a:xfrm>
                          <a:prstGeom prst="rect">
                            <a:avLst/>
                          </a:prstGeom>
                        </pic:spPr>
                      </pic:pic>
                    </a:graphicData>
                  </a:graphic>
                </wp:inline>
              </w:drawing>
            </w:r>
            <w:r>
              <w:rPr>
                <w:sz w:val="20"/>
              </w:rPr>
            </w:r>
          </w:p>
          <w:p>
            <w:pPr>
              <w:pStyle w:val="TableParagraph"/>
              <w:rPr>
                <w:b/>
                <w:sz w:val="26"/>
              </w:rPr>
            </w:pPr>
          </w:p>
        </w:tc>
        <w:tc>
          <w:tcPr>
            <w:tcW w:w="2130" w:type="dxa"/>
          </w:tcPr>
          <w:p>
            <w:pPr>
              <w:pStyle w:val="TableParagraph"/>
              <w:spacing w:before="10"/>
              <w:rPr>
                <w:b/>
                <w:sz w:val="20"/>
              </w:rPr>
            </w:pPr>
          </w:p>
          <w:p>
            <w:pPr>
              <w:pStyle w:val="TableParagraph"/>
              <w:ind w:left="21"/>
              <w:rPr>
                <w:sz w:val="20"/>
              </w:rPr>
            </w:pPr>
            <w:r>
              <w:rPr>
                <w:sz w:val="20"/>
              </w:rPr>
              <w:drawing>
                <wp:inline distT="0" distB="0" distL="0" distR="0">
                  <wp:extent cx="1298192" cy="786383"/>
                  <wp:effectExtent l="0" t="0" r="0" b="0"/>
                  <wp:docPr id="107" name="image102.jpeg" descr=""/>
                  <wp:cNvGraphicFramePr>
                    <a:graphicFrameLocks noChangeAspect="1"/>
                  </wp:cNvGraphicFramePr>
                  <a:graphic>
                    <a:graphicData uri="http://schemas.openxmlformats.org/drawingml/2006/picture">
                      <pic:pic>
                        <pic:nvPicPr>
                          <pic:cNvPr id="108" name="image102.jpeg"/>
                          <pic:cNvPicPr/>
                        </pic:nvPicPr>
                        <pic:blipFill>
                          <a:blip r:embed="rId107" cstate="print"/>
                          <a:stretch>
                            <a:fillRect/>
                          </a:stretch>
                        </pic:blipFill>
                        <pic:spPr>
                          <a:xfrm>
                            <a:off x="0" y="0"/>
                            <a:ext cx="1298192" cy="786383"/>
                          </a:xfrm>
                          <a:prstGeom prst="rect">
                            <a:avLst/>
                          </a:prstGeom>
                        </pic:spPr>
                      </pic:pic>
                    </a:graphicData>
                  </a:graphic>
                </wp:inline>
              </w:drawing>
            </w:r>
            <w:r>
              <w:rPr>
                <w:sz w:val="20"/>
              </w:rPr>
            </w:r>
          </w:p>
          <w:p>
            <w:pPr>
              <w:pStyle w:val="TableParagraph"/>
              <w:spacing w:before="3"/>
              <w:rPr>
                <w:b/>
                <w:sz w:val="25"/>
              </w:rPr>
            </w:pPr>
          </w:p>
        </w:tc>
      </w:tr>
    </w:tbl>
    <w:p>
      <w:pPr>
        <w:spacing w:after="0"/>
        <w:rPr>
          <w:sz w:val="25"/>
        </w:rPr>
        <w:sectPr>
          <w:pgSz w:w="15840" w:h="12240" w:orient="landscape"/>
          <w:pgMar w:top="1140" w:bottom="280" w:left="1300" w:right="1320"/>
        </w:sectPr>
      </w:pPr>
    </w:p>
    <w:p>
      <w:pPr>
        <w:pStyle w:val="BodyText"/>
        <w:rPr>
          <w:b/>
          <w:sz w:val="20"/>
        </w:rPr>
      </w:pPr>
    </w:p>
    <w:p>
      <w:pPr>
        <w:pStyle w:val="BodyText"/>
        <w:spacing w:before="9"/>
        <w:rPr>
          <w:b/>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09"/>
        <w:gridCol w:w="1539"/>
        <w:gridCol w:w="2236"/>
        <w:gridCol w:w="2050"/>
        <w:gridCol w:w="2017"/>
        <w:gridCol w:w="2110"/>
        <w:gridCol w:w="2130"/>
      </w:tblGrid>
      <w:tr>
        <w:trPr>
          <w:trHeight w:val="1803" w:hRule="exact"/>
        </w:trPr>
        <w:tc>
          <w:tcPr>
            <w:tcW w:w="909"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77"/>
              <w:ind w:left="179"/>
              <w:rPr>
                <w:sz w:val="12"/>
              </w:rPr>
            </w:pPr>
            <w:r>
              <w:rPr>
                <w:sz w:val="12"/>
              </w:rPr>
              <w:t>Cuajimalpa</w:t>
            </w: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1"/>
              <w:rPr>
                <w:b/>
                <w:sz w:val="12"/>
              </w:rPr>
            </w:pPr>
          </w:p>
          <w:p>
            <w:pPr>
              <w:pStyle w:val="TableParagraph"/>
              <w:ind w:left="19"/>
              <w:rPr>
                <w:sz w:val="12"/>
              </w:rPr>
            </w:pPr>
            <w:r>
              <w:rPr>
                <w:sz w:val="12"/>
              </w:rPr>
              <w:t>San Pablo Chimalpa</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spacing w:before="7"/>
              <w:rPr>
                <w:b/>
                <w:sz w:val="9"/>
              </w:rPr>
            </w:pPr>
          </w:p>
          <w:p>
            <w:pPr>
              <w:pStyle w:val="TableParagraph"/>
              <w:spacing w:line="266" w:lineRule="auto"/>
              <w:ind w:left="20" w:right="6"/>
              <w:rPr>
                <w:sz w:val="12"/>
              </w:rPr>
            </w:pPr>
            <w:r>
              <w:rPr>
                <w:sz w:val="12"/>
              </w:rPr>
              <w:t>La ubicación de asentamientos se encuentra con un tejido más disperso, alejados de vias principales aunque con caminos. Algunos asentamientos se encuentran rodeados de zonas de agricultura.</w:t>
            </w:r>
          </w:p>
        </w:tc>
        <w:tc>
          <w:tcPr>
            <w:tcW w:w="2050" w:type="dxa"/>
          </w:tcPr>
          <w:p>
            <w:pPr>
              <w:pStyle w:val="TableParagraph"/>
              <w:spacing w:before="10"/>
              <w:rPr>
                <w:b/>
                <w:sz w:val="2"/>
              </w:rPr>
            </w:pPr>
          </w:p>
          <w:p>
            <w:pPr>
              <w:pStyle w:val="TableParagraph"/>
              <w:ind w:left="77"/>
              <w:rPr>
                <w:sz w:val="20"/>
              </w:rPr>
            </w:pPr>
            <w:r>
              <w:rPr>
                <w:sz w:val="20"/>
              </w:rPr>
              <w:drawing>
                <wp:inline distT="0" distB="0" distL="0" distR="0">
                  <wp:extent cx="1207288" cy="1088136"/>
                  <wp:effectExtent l="0" t="0" r="0" b="0"/>
                  <wp:docPr id="109" name="image103.jpeg" descr=""/>
                  <wp:cNvGraphicFramePr>
                    <a:graphicFrameLocks noChangeAspect="1"/>
                  </wp:cNvGraphicFramePr>
                  <a:graphic>
                    <a:graphicData uri="http://schemas.openxmlformats.org/drawingml/2006/picture">
                      <pic:pic>
                        <pic:nvPicPr>
                          <pic:cNvPr id="110" name="image103.jpeg"/>
                          <pic:cNvPicPr/>
                        </pic:nvPicPr>
                        <pic:blipFill>
                          <a:blip r:embed="rId108" cstate="print"/>
                          <a:stretch>
                            <a:fillRect/>
                          </a:stretch>
                        </pic:blipFill>
                        <pic:spPr>
                          <a:xfrm>
                            <a:off x="0" y="0"/>
                            <a:ext cx="1207288" cy="1088136"/>
                          </a:xfrm>
                          <a:prstGeom prst="rect">
                            <a:avLst/>
                          </a:prstGeom>
                        </pic:spPr>
                      </pic:pic>
                    </a:graphicData>
                  </a:graphic>
                </wp:inline>
              </w:drawing>
            </w:r>
            <w:r>
              <w:rPr>
                <w:sz w:val="20"/>
              </w:rPr>
            </w:r>
          </w:p>
        </w:tc>
        <w:tc>
          <w:tcPr>
            <w:tcW w:w="2017" w:type="dxa"/>
          </w:tcPr>
          <w:p>
            <w:pPr>
              <w:pStyle w:val="TableParagraph"/>
              <w:spacing w:before="3" w:after="1"/>
              <w:rPr>
                <w:b/>
                <w:sz w:val="25"/>
              </w:rPr>
            </w:pPr>
          </w:p>
          <w:p>
            <w:pPr>
              <w:pStyle w:val="TableParagraph"/>
              <w:ind w:left="29"/>
              <w:rPr>
                <w:sz w:val="20"/>
              </w:rPr>
            </w:pPr>
            <w:r>
              <w:rPr>
                <w:sz w:val="20"/>
              </w:rPr>
              <w:drawing>
                <wp:inline distT="0" distB="0" distL="0" distR="0">
                  <wp:extent cx="1205386" cy="731520"/>
                  <wp:effectExtent l="0" t="0" r="0" b="0"/>
                  <wp:docPr id="111" name="image104.jpeg" descr=""/>
                  <wp:cNvGraphicFramePr>
                    <a:graphicFrameLocks noChangeAspect="1"/>
                  </wp:cNvGraphicFramePr>
                  <a:graphic>
                    <a:graphicData uri="http://schemas.openxmlformats.org/drawingml/2006/picture">
                      <pic:pic>
                        <pic:nvPicPr>
                          <pic:cNvPr id="112" name="image104.jpeg"/>
                          <pic:cNvPicPr/>
                        </pic:nvPicPr>
                        <pic:blipFill>
                          <a:blip r:embed="rId109" cstate="print"/>
                          <a:stretch>
                            <a:fillRect/>
                          </a:stretch>
                        </pic:blipFill>
                        <pic:spPr>
                          <a:xfrm>
                            <a:off x="0" y="0"/>
                            <a:ext cx="1205386" cy="731520"/>
                          </a:xfrm>
                          <a:prstGeom prst="rect">
                            <a:avLst/>
                          </a:prstGeom>
                        </pic:spPr>
                      </pic:pic>
                    </a:graphicData>
                  </a:graphic>
                </wp:inline>
              </w:drawing>
            </w:r>
            <w:r>
              <w:rPr>
                <w:sz w:val="20"/>
              </w:rPr>
            </w:r>
          </w:p>
          <w:p>
            <w:pPr>
              <w:pStyle w:val="TableParagraph"/>
              <w:rPr>
                <w:b/>
                <w:sz w:val="20"/>
              </w:rPr>
            </w:pPr>
          </w:p>
        </w:tc>
        <w:tc>
          <w:tcPr>
            <w:tcW w:w="2110" w:type="dxa"/>
          </w:tcPr>
          <w:p>
            <w:pPr>
              <w:pStyle w:val="TableParagraph"/>
              <w:spacing w:before="3" w:after="1"/>
              <w:rPr>
                <w:b/>
                <w:sz w:val="25"/>
              </w:rPr>
            </w:pPr>
          </w:p>
          <w:p>
            <w:pPr>
              <w:pStyle w:val="TableParagraph"/>
              <w:ind w:left="48"/>
              <w:rPr>
                <w:sz w:val="20"/>
              </w:rPr>
            </w:pPr>
            <w:r>
              <w:rPr>
                <w:sz w:val="20"/>
              </w:rPr>
              <w:drawing>
                <wp:inline distT="0" distB="0" distL="0" distR="0">
                  <wp:extent cx="1210216" cy="736091"/>
                  <wp:effectExtent l="0" t="0" r="0" b="0"/>
                  <wp:docPr id="113" name="image105.jpeg" descr=""/>
                  <wp:cNvGraphicFramePr>
                    <a:graphicFrameLocks noChangeAspect="1"/>
                  </wp:cNvGraphicFramePr>
                  <a:graphic>
                    <a:graphicData uri="http://schemas.openxmlformats.org/drawingml/2006/picture">
                      <pic:pic>
                        <pic:nvPicPr>
                          <pic:cNvPr id="114" name="image105.jpeg"/>
                          <pic:cNvPicPr/>
                        </pic:nvPicPr>
                        <pic:blipFill>
                          <a:blip r:embed="rId110" cstate="print"/>
                          <a:stretch>
                            <a:fillRect/>
                          </a:stretch>
                        </pic:blipFill>
                        <pic:spPr>
                          <a:xfrm>
                            <a:off x="0" y="0"/>
                            <a:ext cx="1210216" cy="736091"/>
                          </a:xfrm>
                          <a:prstGeom prst="rect">
                            <a:avLst/>
                          </a:prstGeom>
                        </pic:spPr>
                      </pic:pic>
                    </a:graphicData>
                  </a:graphic>
                </wp:inline>
              </w:drawing>
            </w:r>
            <w:r>
              <w:rPr>
                <w:sz w:val="20"/>
              </w:rPr>
            </w:r>
          </w:p>
          <w:p>
            <w:pPr>
              <w:pStyle w:val="TableParagraph"/>
              <w:rPr>
                <w:b/>
                <w:sz w:val="20"/>
              </w:rPr>
            </w:pPr>
          </w:p>
        </w:tc>
        <w:tc>
          <w:tcPr>
            <w:tcW w:w="2130" w:type="dxa"/>
          </w:tcPr>
          <w:p>
            <w:pPr>
              <w:pStyle w:val="TableParagraph"/>
              <w:spacing w:before="8"/>
              <w:rPr>
                <w:b/>
                <w:sz w:val="24"/>
              </w:rPr>
            </w:pPr>
          </w:p>
          <w:p>
            <w:pPr>
              <w:pStyle w:val="TableParagraph"/>
              <w:ind w:left="54"/>
              <w:rPr>
                <w:sz w:val="20"/>
              </w:rPr>
            </w:pPr>
            <w:r>
              <w:rPr>
                <w:sz w:val="20"/>
              </w:rPr>
              <w:drawing>
                <wp:inline distT="0" distB="0" distL="0" distR="0">
                  <wp:extent cx="1223422" cy="740663"/>
                  <wp:effectExtent l="0" t="0" r="0" b="0"/>
                  <wp:docPr id="115" name="image106.jpeg" descr=""/>
                  <wp:cNvGraphicFramePr>
                    <a:graphicFrameLocks noChangeAspect="1"/>
                  </wp:cNvGraphicFramePr>
                  <a:graphic>
                    <a:graphicData uri="http://schemas.openxmlformats.org/drawingml/2006/picture">
                      <pic:pic>
                        <pic:nvPicPr>
                          <pic:cNvPr id="116" name="image106.jpeg"/>
                          <pic:cNvPicPr/>
                        </pic:nvPicPr>
                        <pic:blipFill>
                          <a:blip r:embed="rId111" cstate="print"/>
                          <a:stretch>
                            <a:fillRect/>
                          </a:stretch>
                        </pic:blipFill>
                        <pic:spPr>
                          <a:xfrm>
                            <a:off x="0" y="0"/>
                            <a:ext cx="1223422" cy="740663"/>
                          </a:xfrm>
                          <a:prstGeom prst="rect">
                            <a:avLst/>
                          </a:prstGeom>
                        </pic:spPr>
                      </pic:pic>
                    </a:graphicData>
                  </a:graphic>
                </wp:inline>
              </w:drawing>
            </w:r>
            <w:r>
              <w:rPr>
                <w:sz w:val="20"/>
              </w:rPr>
            </w:r>
          </w:p>
          <w:p>
            <w:pPr>
              <w:pStyle w:val="TableParagraph"/>
              <w:rPr>
                <w:b/>
                <w:sz w:val="20"/>
              </w:rPr>
            </w:pPr>
          </w:p>
        </w:tc>
      </w:tr>
      <w:tr>
        <w:trPr>
          <w:trHeight w:val="1923" w:hRule="exact"/>
        </w:trPr>
        <w:tc>
          <w:tcPr>
            <w:tcW w:w="909" w:type="dxa"/>
            <w:vMerge/>
          </w:tcPr>
          <w:p>
            <w:pP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3"/>
              <w:rPr>
                <w:b/>
                <w:sz w:val="17"/>
              </w:rPr>
            </w:pPr>
          </w:p>
          <w:p>
            <w:pPr>
              <w:pStyle w:val="TableParagraph"/>
              <w:ind w:left="19"/>
              <w:rPr>
                <w:sz w:val="12"/>
              </w:rPr>
            </w:pPr>
            <w:r>
              <w:rPr>
                <w:sz w:val="12"/>
              </w:rPr>
              <w:t>Santa Rosa Xochiac</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6"/>
              </w:rPr>
            </w:pPr>
          </w:p>
          <w:p>
            <w:pPr>
              <w:pStyle w:val="TableParagraph"/>
              <w:spacing w:line="264" w:lineRule="auto"/>
              <w:ind w:left="20" w:right="6"/>
              <w:rPr>
                <w:sz w:val="12"/>
              </w:rPr>
            </w:pPr>
            <w:r>
              <w:rPr>
                <w:sz w:val="12"/>
              </w:rPr>
              <w:t>Existe un tejido de mediana densidad y con viviendas cosolidadas. La ocupación en su gran mayoría se da en áreas agricolas.</w:t>
            </w:r>
          </w:p>
        </w:tc>
        <w:tc>
          <w:tcPr>
            <w:tcW w:w="2050" w:type="dxa"/>
          </w:tcPr>
          <w:p>
            <w:pPr>
              <w:pStyle w:val="TableParagraph"/>
              <w:spacing w:before="9"/>
              <w:rPr>
                <w:b/>
                <w:sz w:val="3"/>
              </w:rPr>
            </w:pPr>
          </w:p>
          <w:p>
            <w:pPr>
              <w:pStyle w:val="TableParagraph"/>
              <w:ind w:left="50"/>
              <w:rPr>
                <w:sz w:val="20"/>
              </w:rPr>
            </w:pPr>
            <w:r>
              <w:rPr>
                <w:sz w:val="20"/>
              </w:rPr>
              <w:drawing>
                <wp:inline distT="0" distB="0" distL="0" distR="0">
                  <wp:extent cx="1195936" cy="1156715"/>
                  <wp:effectExtent l="0" t="0" r="0" b="0"/>
                  <wp:docPr id="117" name="image107.jpeg" descr=""/>
                  <wp:cNvGraphicFramePr>
                    <a:graphicFrameLocks noChangeAspect="1"/>
                  </wp:cNvGraphicFramePr>
                  <a:graphic>
                    <a:graphicData uri="http://schemas.openxmlformats.org/drawingml/2006/picture">
                      <pic:pic>
                        <pic:nvPicPr>
                          <pic:cNvPr id="118" name="image107.jpeg"/>
                          <pic:cNvPicPr/>
                        </pic:nvPicPr>
                        <pic:blipFill>
                          <a:blip r:embed="rId112" cstate="print"/>
                          <a:stretch>
                            <a:fillRect/>
                          </a:stretch>
                        </pic:blipFill>
                        <pic:spPr>
                          <a:xfrm>
                            <a:off x="0" y="0"/>
                            <a:ext cx="1195936" cy="1156715"/>
                          </a:xfrm>
                          <a:prstGeom prst="rect">
                            <a:avLst/>
                          </a:prstGeom>
                        </pic:spPr>
                      </pic:pic>
                    </a:graphicData>
                  </a:graphic>
                </wp:inline>
              </w:drawing>
            </w:r>
            <w:r>
              <w:rPr>
                <w:sz w:val="20"/>
              </w:rPr>
            </w:r>
          </w:p>
        </w:tc>
        <w:tc>
          <w:tcPr>
            <w:tcW w:w="2017" w:type="dxa"/>
          </w:tcPr>
          <w:p>
            <w:pPr>
              <w:pStyle w:val="TableParagraph"/>
              <w:spacing w:before="11"/>
              <w:rPr>
                <w:b/>
                <w:sz w:val="23"/>
              </w:rPr>
            </w:pPr>
          </w:p>
          <w:p>
            <w:pPr>
              <w:pStyle w:val="TableParagraph"/>
              <w:ind w:left="29"/>
              <w:rPr>
                <w:sz w:val="20"/>
              </w:rPr>
            </w:pPr>
            <w:r>
              <w:rPr>
                <w:sz w:val="20"/>
              </w:rPr>
              <w:drawing>
                <wp:inline distT="0" distB="0" distL="0" distR="0">
                  <wp:extent cx="1223422" cy="740663"/>
                  <wp:effectExtent l="0" t="0" r="0" b="0"/>
                  <wp:docPr id="119" name="image108.jpeg" descr=""/>
                  <wp:cNvGraphicFramePr>
                    <a:graphicFrameLocks noChangeAspect="1"/>
                  </wp:cNvGraphicFramePr>
                  <a:graphic>
                    <a:graphicData uri="http://schemas.openxmlformats.org/drawingml/2006/picture">
                      <pic:pic>
                        <pic:nvPicPr>
                          <pic:cNvPr id="120" name="image108.jpeg"/>
                          <pic:cNvPicPr/>
                        </pic:nvPicPr>
                        <pic:blipFill>
                          <a:blip r:embed="rId113" cstate="print"/>
                          <a:stretch>
                            <a:fillRect/>
                          </a:stretch>
                        </pic:blipFill>
                        <pic:spPr>
                          <a:xfrm>
                            <a:off x="0" y="0"/>
                            <a:ext cx="1223422" cy="740663"/>
                          </a:xfrm>
                          <a:prstGeom prst="rect">
                            <a:avLst/>
                          </a:prstGeom>
                        </pic:spPr>
                      </pic:pic>
                    </a:graphicData>
                  </a:graphic>
                </wp:inline>
              </w:drawing>
            </w:r>
            <w:r>
              <w:rPr>
                <w:sz w:val="20"/>
              </w:rPr>
            </w:r>
          </w:p>
          <w:p>
            <w:pPr>
              <w:pStyle w:val="TableParagraph"/>
              <w:rPr>
                <w:b/>
                <w:sz w:val="20"/>
              </w:rPr>
            </w:pPr>
          </w:p>
          <w:p>
            <w:pPr>
              <w:pStyle w:val="TableParagraph"/>
              <w:spacing w:before="1"/>
              <w:rPr>
                <w:b/>
                <w:sz w:val="21"/>
              </w:rPr>
            </w:pPr>
          </w:p>
        </w:tc>
        <w:tc>
          <w:tcPr>
            <w:tcW w:w="2110" w:type="dxa"/>
          </w:tcPr>
          <w:p>
            <w:pPr>
              <w:pStyle w:val="TableParagraph"/>
              <w:spacing w:before="6"/>
              <w:rPr>
                <w:b/>
                <w:sz w:val="24"/>
              </w:rPr>
            </w:pPr>
          </w:p>
          <w:p>
            <w:pPr>
              <w:pStyle w:val="TableParagraph"/>
              <w:ind w:left="42"/>
              <w:rPr>
                <w:sz w:val="20"/>
              </w:rPr>
            </w:pPr>
            <w:r>
              <w:rPr>
                <w:sz w:val="20"/>
              </w:rPr>
              <w:drawing>
                <wp:inline distT="0" distB="0" distL="0" distR="0">
                  <wp:extent cx="1269778" cy="772668"/>
                  <wp:effectExtent l="0" t="0" r="0" b="0"/>
                  <wp:docPr id="121" name="image109.jpeg" descr=""/>
                  <wp:cNvGraphicFramePr>
                    <a:graphicFrameLocks noChangeAspect="1"/>
                  </wp:cNvGraphicFramePr>
                  <a:graphic>
                    <a:graphicData uri="http://schemas.openxmlformats.org/drawingml/2006/picture">
                      <pic:pic>
                        <pic:nvPicPr>
                          <pic:cNvPr id="122" name="image109.jpeg"/>
                          <pic:cNvPicPr/>
                        </pic:nvPicPr>
                        <pic:blipFill>
                          <a:blip r:embed="rId114" cstate="print"/>
                          <a:stretch>
                            <a:fillRect/>
                          </a:stretch>
                        </pic:blipFill>
                        <pic:spPr>
                          <a:xfrm>
                            <a:off x="0" y="0"/>
                            <a:ext cx="1269778" cy="772668"/>
                          </a:xfrm>
                          <a:prstGeom prst="rect">
                            <a:avLst/>
                          </a:prstGeom>
                        </pic:spPr>
                      </pic:pic>
                    </a:graphicData>
                  </a:graphic>
                </wp:inline>
              </w:drawing>
            </w:r>
            <w:r>
              <w:rPr>
                <w:sz w:val="20"/>
              </w:rPr>
            </w:r>
          </w:p>
          <w:p>
            <w:pPr>
              <w:pStyle w:val="TableParagraph"/>
              <w:rPr>
                <w:b/>
                <w:sz w:val="20"/>
              </w:rPr>
            </w:pPr>
          </w:p>
          <w:p>
            <w:pPr>
              <w:pStyle w:val="TableParagraph"/>
              <w:spacing w:before="2"/>
              <w:rPr>
                <w:b/>
                <w:sz w:val="16"/>
              </w:rPr>
            </w:pPr>
          </w:p>
        </w:tc>
        <w:tc>
          <w:tcPr>
            <w:tcW w:w="2130" w:type="dxa"/>
          </w:tcPr>
          <w:p>
            <w:pPr>
              <w:pStyle w:val="TableParagraph"/>
              <w:spacing w:before="6"/>
              <w:rPr>
                <w:b/>
                <w:sz w:val="24"/>
              </w:rPr>
            </w:pPr>
          </w:p>
          <w:p>
            <w:pPr>
              <w:pStyle w:val="TableParagraph"/>
              <w:ind w:left="21"/>
              <w:rPr>
                <w:sz w:val="20"/>
              </w:rPr>
            </w:pPr>
            <w:r>
              <w:rPr>
                <w:sz w:val="20"/>
              </w:rPr>
              <w:drawing>
                <wp:inline distT="0" distB="0" distL="0" distR="0">
                  <wp:extent cx="1287824" cy="781812"/>
                  <wp:effectExtent l="0" t="0" r="0" b="0"/>
                  <wp:docPr id="123" name="image110.jpeg" descr=""/>
                  <wp:cNvGraphicFramePr>
                    <a:graphicFrameLocks noChangeAspect="1"/>
                  </wp:cNvGraphicFramePr>
                  <a:graphic>
                    <a:graphicData uri="http://schemas.openxmlformats.org/drawingml/2006/picture">
                      <pic:pic>
                        <pic:nvPicPr>
                          <pic:cNvPr id="124" name="image110.jpeg"/>
                          <pic:cNvPicPr/>
                        </pic:nvPicPr>
                        <pic:blipFill>
                          <a:blip r:embed="rId115" cstate="print"/>
                          <a:stretch>
                            <a:fillRect/>
                          </a:stretch>
                        </pic:blipFill>
                        <pic:spPr>
                          <a:xfrm>
                            <a:off x="0" y="0"/>
                            <a:ext cx="1287824" cy="781812"/>
                          </a:xfrm>
                          <a:prstGeom prst="rect">
                            <a:avLst/>
                          </a:prstGeom>
                        </pic:spPr>
                      </pic:pic>
                    </a:graphicData>
                  </a:graphic>
                </wp:inline>
              </w:drawing>
            </w:r>
            <w:r>
              <w:rPr>
                <w:sz w:val="20"/>
              </w:rPr>
            </w:r>
          </w:p>
          <w:p>
            <w:pPr>
              <w:pStyle w:val="TableParagraph"/>
              <w:rPr>
                <w:b/>
                <w:sz w:val="20"/>
              </w:rPr>
            </w:pPr>
          </w:p>
        </w:tc>
      </w:tr>
      <w:tr>
        <w:trPr>
          <w:trHeight w:val="1823" w:hRule="exact"/>
        </w:trPr>
        <w:tc>
          <w:tcPr>
            <w:tcW w:w="909" w:type="dxa"/>
            <w:vMerge/>
          </w:tcPr>
          <w:p>
            <w:pPr/>
          </w:p>
        </w:tc>
        <w:tc>
          <w:tcPr>
            <w:tcW w:w="1539"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3"/>
              <w:rPr>
                <w:b/>
                <w:sz w:val="13"/>
              </w:rPr>
            </w:pPr>
          </w:p>
          <w:p>
            <w:pPr>
              <w:pStyle w:val="TableParagraph"/>
              <w:ind w:left="19"/>
              <w:rPr>
                <w:sz w:val="12"/>
              </w:rPr>
            </w:pPr>
            <w:r>
              <w:rPr>
                <w:sz w:val="12"/>
              </w:rPr>
              <w:t>Zentlapatl</w:t>
            </w:r>
          </w:p>
        </w:tc>
        <w:tc>
          <w:tcPr>
            <w:tcW w:w="2236"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64" w:lineRule="auto"/>
              <w:ind w:left="20" w:right="483"/>
              <w:jc w:val="both"/>
              <w:rPr>
                <w:sz w:val="12"/>
              </w:rPr>
            </w:pPr>
            <w:r>
              <w:rPr>
                <w:sz w:val="12"/>
              </w:rPr>
              <w:t>Se presenta por varios</w:t>
            </w:r>
            <w:r>
              <w:rPr>
                <w:spacing w:val="-8"/>
                <w:sz w:val="12"/>
              </w:rPr>
              <w:t> </w:t>
            </w:r>
            <w:r>
              <w:rPr>
                <w:sz w:val="12"/>
              </w:rPr>
              <w:t>subconjuntos agrupados, con </w:t>
            </w:r>
            <w:r>
              <w:rPr>
                <w:spacing w:val="-3"/>
                <w:sz w:val="12"/>
              </w:rPr>
              <w:t>vialidades </w:t>
            </w:r>
            <w:r>
              <w:rPr>
                <w:sz w:val="12"/>
              </w:rPr>
              <w:t>internas y </w:t>
            </w:r>
            <w:r>
              <w:rPr>
                <w:spacing w:val="-1"/>
                <w:sz w:val="12"/>
              </w:rPr>
              <w:t>viviendas</w:t>
            </w:r>
            <w:r>
              <w:rPr>
                <w:spacing w:val="-11"/>
                <w:sz w:val="12"/>
              </w:rPr>
              <w:t> </w:t>
            </w:r>
            <w:r>
              <w:rPr>
                <w:spacing w:val="-1"/>
                <w:sz w:val="12"/>
              </w:rPr>
              <w:t>consolidadas.</w:t>
            </w:r>
          </w:p>
        </w:tc>
        <w:tc>
          <w:tcPr>
            <w:tcW w:w="2050" w:type="dxa"/>
          </w:tcPr>
          <w:p>
            <w:pPr>
              <w:pStyle w:val="TableParagraph"/>
              <w:spacing w:before="2"/>
              <w:rPr>
                <w:b/>
                <w:sz w:val="4"/>
              </w:rPr>
            </w:pPr>
          </w:p>
          <w:p>
            <w:pPr>
              <w:pStyle w:val="TableParagraph"/>
              <w:ind w:left="43"/>
              <w:rPr>
                <w:sz w:val="20"/>
              </w:rPr>
            </w:pPr>
            <w:r>
              <w:rPr>
                <w:sz w:val="20"/>
              </w:rPr>
              <w:drawing>
                <wp:inline distT="0" distB="0" distL="0" distR="0">
                  <wp:extent cx="1195074" cy="1092708"/>
                  <wp:effectExtent l="0" t="0" r="0" b="0"/>
                  <wp:docPr id="125" name="image111.jpeg" descr=""/>
                  <wp:cNvGraphicFramePr>
                    <a:graphicFrameLocks noChangeAspect="1"/>
                  </wp:cNvGraphicFramePr>
                  <a:graphic>
                    <a:graphicData uri="http://schemas.openxmlformats.org/drawingml/2006/picture">
                      <pic:pic>
                        <pic:nvPicPr>
                          <pic:cNvPr id="126" name="image111.jpeg"/>
                          <pic:cNvPicPr/>
                        </pic:nvPicPr>
                        <pic:blipFill>
                          <a:blip r:embed="rId116" cstate="print"/>
                          <a:stretch>
                            <a:fillRect/>
                          </a:stretch>
                        </pic:blipFill>
                        <pic:spPr>
                          <a:xfrm>
                            <a:off x="0" y="0"/>
                            <a:ext cx="1195074" cy="1092708"/>
                          </a:xfrm>
                          <a:prstGeom prst="rect">
                            <a:avLst/>
                          </a:prstGeom>
                        </pic:spPr>
                      </pic:pic>
                    </a:graphicData>
                  </a:graphic>
                </wp:inline>
              </w:drawing>
            </w:r>
            <w:r>
              <w:rPr>
                <w:sz w:val="20"/>
              </w:rPr>
            </w:r>
          </w:p>
        </w:tc>
        <w:tc>
          <w:tcPr>
            <w:tcW w:w="2017" w:type="dxa"/>
          </w:tcPr>
          <w:p>
            <w:pPr>
              <w:pStyle w:val="TableParagraph"/>
              <w:spacing w:before="5"/>
              <w:rPr>
                <w:b/>
                <w:sz w:val="13"/>
              </w:rPr>
            </w:pPr>
          </w:p>
          <w:p>
            <w:pPr>
              <w:pStyle w:val="TableParagraph"/>
              <w:ind w:left="49"/>
              <w:rPr>
                <w:sz w:val="20"/>
              </w:rPr>
            </w:pPr>
            <w:r>
              <w:rPr>
                <w:sz w:val="20"/>
              </w:rPr>
              <w:drawing>
                <wp:inline distT="0" distB="0" distL="0" distR="0">
                  <wp:extent cx="1210216" cy="736091"/>
                  <wp:effectExtent l="0" t="0" r="0" b="0"/>
                  <wp:docPr id="127" name="image112.jpeg" descr=""/>
                  <wp:cNvGraphicFramePr>
                    <a:graphicFrameLocks noChangeAspect="1"/>
                  </wp:cNvGraphicFramePr>
                  <a:graphic>
                    <a:graphicData uri="http://schemas.openxmlformats.org/drawingml/2006/picture">
                      <pic:pic>
                        <pic:nvPicPr>
                          <pic:cNvPr id="128" name="image112.jpeg"/>
                          <pic:cNvPicPr/>
                        </pic:nvPicPr>
                        <pic:blipFill>
                          <a:blip r:embed="rId117" cstate="print"/>
                          <a:stretch>
                            <a:fillRect/>
                          </a:stretch>
                        </pic:blipFill>
                        <pic:spPr>
                          <a:xfrm>
                            <a:off x="0" y="0"/>
                            <a:ext cx="1210216" cy="736091"/>
                          </a:xfrm>
                          <a:prstGeom prst="rect">
                            <a:avLst/>
                          </a:prstGeom>
                        </pic:spPr>
                      </pic:pic>
                    </a:graphicData>
                  </a:graphic>
                </wp:inline>
              </w:drawing>
            </w:r>
            <w:r>
              <w:rPr>
                <w:sz w:val="20"/>
              </w:rPr>
            </w:r>
          </w:p>
          <w:p>
            <w:pPr>
              <w:pStyle w:val="TableParagraph"/>
              <w:rPr>
                <w:b/>
                <w:sz w:val="20"/>
              </w:rPr>
            </w:pPr>
          </w:p>
          <w:p>
            <w:pPr>
              <w:pStyle w:val="TableParagraph"/>
              <w:spacing w:before="7"/>
              <w:rPr>
                <w:b/>
                <w:sz w:val="23"/>
              </w:rPr>
            </w:pPr>
          </w:p>
        </w:tc>
        <w:tc>
          <w:tcPr>
            <w:tcW w:w="2110" w:type="dxa"/>
          </w:tcPr>
          <w:p>
            <w:pPr>
              <w:pStyle w:val="TableParagraph"/>
              <w:spacing w:before="3"/>
              <w:rPr>
                <w:b/>
                <w:sz w:val="12"/>
              </w:rPr>
            </w:pPr>
          </w:p>
          <w:p>
            <w:pPr>
              <w:pStyle w:val="TableParagraph"/>
              <w:ind w:left="61"/>
              <w:rPr>
                <w:sz w:val="20"/>
              </w:rPr>
            </w:pPr>
            <w:r>
              <w:rPr>
                <w:sz w:val="20"/>
              </w:rPr>
              <w:drawing>
                <wp:inline distT="0" distB="0" distL="0" distR="0">
                  <wp:extent cx="1246292" cy="754379"/>
                  <wp:effectExtent l="0" t="0" r="0" b="0"/>
                  <wp:docPr id="129" name="image113.jpeg" descr=""/>
                  <wp:cNvGraphicFramePr>
                    <a:graphicFrameLocks noChangeAspect="1"/>
                  </wp:cNvGraphicFramePr>
                  <a:graphic>
                    <a:graphicData uri="http://schemas.openxmlformats.org/drawingml/2006/picture">
                      <pic:pic>
                        <pic:nvPicPr>
                          <pic:cNvPr id="130" name="image113.jpeg"/>
                          <pic:cNvPicPr/>
                        </pic:nvPicPr>
                        <pic:blipFill>
                          <a:blip r:embed="rId118" cstate="print"/>
                          <a:stretch>
                            <a:fillRect/>
                          </a:stretch>
                        </pic:blipFill>
                        <pic:spPr>
                          <a:xfrm>
                            <a:off x="0" y="0"/>
                            <a:ext cx="1246292" cy="754379"/>
                          </a:xfrm>
                          <a:prstGeom prst="rect">
                            <a:avLst/>
                          </a:prstGeom>
                        </pic:spPr>
                      </pic:pic>
                    </a:graphicData>
                  </a:graphic>
                </wp:inline>
              </w:drawing>
            </w:r>
            <w:r>
              <w:rPr>
                <w:sz w:val="20"/>
              </w:rPr>
            </w:r>
          </w:p>
          <w:p>
            <w:pPr>
              <w:pStyle w:val="TableParagraph"/>
              <w:rPr>
                <w:b/>
                <w:sz w:val="20"/>
              </w:rPr>
            </w:pPr>
          </w:p>
          <w:p>
            <w:pPr>
              <w:pStyle w:val="TableParagraph"/>
              <w:spacing w:before="4"/>
              <w:rPr>
                <w:b/>
                <w:sz w:val="22"/>
              </w:rPr>
            </w:pPr>
          </w:p>
        </w:tc>
        <w:tc>
          <w:tcPr>
            <w:tcW w:w="2130" w:type="dxa"/>
          </w:tcPr>
          <w:p>
            <w:pPr>
              <w:pStyle w:val="TableParagraph"/>
              <w:spacing w:before="6"/>
              <w:rPr>
                <w:b/>
                <w:sz w:val="10"/>
              </w:rPr>
            </w:pPr>
          </w:p>
          <w:p>
            <w:pPr>
              <w:pStyle w:val="TableParagraph"/>
              <w:ind w:left="27"/>
              <w:rPr>
                <w:sz w:val="20"/>
              </w:rPr>
            </w:pPr>
            <w:r>
              <w:rPr>
                <w:sz w:val="20"/>
              </w:rPr>
              <w:drawing>
                <wp:inline distT="0" distB="0" distL="0" distR="0">
                  <wp:extent cx="1250488" cy="754379"/>
                  <wp:effectExtent l="0" t="0" r="0" b="0"/>
                  <wp:docPr id="131" name="image114.jpeg" descr=""/>
                  <wp:cNvGraphicFramePr>
                    <a:graphicFrameLocks noChangeAspect="1"/>
                  </wp:cNvGraphicFramePr>
                  <a:graphic>
                    <a:graphicData uri="http://schemas.openxmlformats.org/drawingml/2006/picture">
                      <pic:pic>
                        <pic:nvPicPr>
                          <pic:cNvPr id="132" name="image114.jpeg"/>
                          <pic:cNvPicPr/>
                        </pic:nvPicPr>
                        <pic:blipFill>
                          <a:blip r:embed="rId119" cstate="print"/>
                          <a:stretch>
                            <a:fillRect/>
                          </a:stretch>
                        </pic:blipFill>
                        <pic:spPr>
                          <a:xfrm>
                            <a:off x="0" y="0"/>
                            <a:ext cx="1250488" cy="754379"/>
                          </a:xfrm>
                          <a:prstGeom prst="rect">
                            <a:avLst/>
                          </a:prstGeom>
                        </pic:spPr>
                      </pic:pic>
                    </a:graphicData>
                  </a:graphic>
                </wp:inline>
              </w:drawing>
            </w:r>
            <w:r>
              <w:rPr>
                <w:sz w:val="20"/>
              </w:rPr>
            </w:r>
          </w:p>
          <w:p>
            <w:pPr>
              <w:pStyle w:val="TableParagraph"/>
              <w:rPr>
                <w:b/>
                <w:sz w:val="20"/>
              </w:rPr>
            </w:pPr>
          </w:p>
          <w:p>
            <w:pPr>
              <w:pStyle w:val="TableParagraph"/>
              <w:spacing w:before="1"/>
              <w:rPr>
                <w:b/>
                <w:sz w:val="24"/>
              </w:rPr>
            </w:pPr>
          </w:p>
        </w:tc>
      </w:tr>
    </w:tbl>
    <w:p>
      <w:pPr>
        <w:spacing w:line="182" w:lineRule="exact" w:before="0"/>
        <w:ind w:left="5724" w:right="5713" w:firstLine="0"/>
        <w:jc w:val="center"/>
        <w:rPr>
          <w:sz w:val="16"/>
        </w:rPr>
      </w:pPr>
      <w:r>
        <w:rPr>
          <w:sz w:val="16"/>
        </w:rPr>
        <w:t>Fuente: Elaboración propia</w:t>
      </w:r>
    </w:p>
    <w:p>
      <w:pPr>
        <w:spacing w:after="0" w:line="182" w:lineRule="exact"/>
        <w:jc w:val="center"/>
        <w:rPr>
          <w:sz w:val="16"/>
        </w:rPr>
        <w:sectPr>
          <w:pgSz w:w="15840" w:h="12240" w:orient="landscape"/>
          <w:pgMar w:top="1140" w:bottom="280" w:left="1300" w:right="1320"/>
        </w:sectPr>
      </w:pPr>
    </w:p>
    <w:p>
      <w:pPr>
        <w:pStyle w:val="BodyText"/>
        <w:rPr>
          <w:sz w:val="20"/>
        </w:rPr>
      </w:pPr>
    </w:p>
    <w:p>
      <w:pPr>
        <w:pStyle w:val="BodyText"/>
        <w:spacing w:before="8"/>
        <w:rPr>
          <w:sz w:val="21"/>
        </w:rPr>
      </w:pPr>
    </w:p>
    <w:p>
      <w:pPr>
        <w:spacing w:before="76" w:after="5"/>
        <w:ind w:left="2353" w:right="2377" w:firstLine="0"/>
        <w:jc w:val="center"/>
        <w:rPr>
          <w:b/>
          <w:sz w:val="20"/>
        </w:rPr>
      </w:pPr>
      <w:r>
        <w:rPr/>
        <w:pict>
          <v:line style="position:absolute;mso-position-horizontal-relative:page;mso-position-vertical-relative:paragraph;z-index:4072" from="722.058472pt,15.717269pt" to="722.058472pt,15.717269pt" stroked="true" strokeweight=".33239pt" strokecolor="#d3d3d3">
            <w10:wrap type="none"/>
          </v:line>
        </w:pict>
      </w:r>
      <w:r>
        <w:rPr/>
        <w:pict>
          <v:line style="position:absolute;mso-position-horizontal-relative:page;mso-position-vertical-relative:paragraph;z-index:4096" from="722.058472pt,23.705711pt" to="722.058472pt,23.705711pt" stroked="true" strokeweight=".33239pt" strokecolor="#d3d3d3">
            <w10:wrap type="none"/>
          </v:line>
        </w:pict>
      </w:r>
      <w:r>
        <w:rPr/>
        <w:pict>
          <v:line style="position:absolute;mso-position-horizontal-relative:page;mso-position-vertical-relative:paragraph;z-index:4120" from="722.058472pt,114.547928pt" to="722.058472pt,114.547928pt" stroked="true" strokeweight=".33239pt" strokecolor="#d3d3d3">
            <w10:wrap type="none"/>
          </v:line>
        </w:pict>
      </w:r>
      <w:r>
        <w:rPr>
          <w:b/>
          <w:sz w:val="20"/>
        </w:rPr>
        <w:t>Tabla 6. Descripción de las tipologías de ocupación informal en la Delegación Magdalena Contreras</w:t>
      </w: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83"/>
        <w:gridCol w:w="1477"/>
        <w:gridCol w:w="1945"/>
        <w:gridCol w:w="2192"/>
        <w:gridCol w:w="2125"/>
        <w:gridCol w:w="2065"/>
        <w:gridCol w:w="2226"/>
      </w:tblGrid>
      <w:tr>
        <w:trPr>
          <w:trHeight w:val="160" w:hRule="exact"/>
        </w:trPr>
        <w:tc>
          <w:tcPr>
            <w:tcW w:w="983" w:type="dxa"/>
            <w:shd w:val="clear" w:color="auto" w:fill="333E4F"/>
          </w:tcPr>
          <w:p>
            <w:pPr>
              <w:pStyle w:val="TableParagraph"/>
              <w:spacing w:before="8"/>
              <w:ind w:left="207"/>
              <w:rPr>
                <w:b/>
                <w:sz w:val="12"/>
              </w:rPr>
            </w:pPr>
            <w:r>
              <w:rPr>
                <w:b/>
                <w:color w:val="FFFFFF"/>
                <w:sz w:val="12"/>
              </w:rPr>
              <w:t>Delegación</w:t>
            </w:r>
          </w:p>
        </w:tc>
        <w:tc>
          <w:tcPr>
            <w:tcW w:w="1477" w:type="dxa"/>
            <w:shd w:val="clear" w:color="auto" w:fill="333E4F"/>
          </w:tcPr>
          <w:p>
            <w:pPr>
              <w:pStyle w:val="TableParagraph"/>
              <w:spacing w:before="8"/>
              <w:ind w:left="200"/>
              <w:rPr>
                <w:b/>
                <w:sz w:val="12"/>
              </w:rPr>
            </w:pPr>
            <w:r>
              <w:rPr>
                <w:b/>
                <w:color w:val="FFFFFF"/>
                <w:sz w:val="12"/>
              </w:rPr>
              <w:t>Nombre del poblado</w:t>
            </w:r>
          </w:p>
        </w:tc>
        <w:tc>
          <w:tcPr>
            <w:tcW w:w="1945" w:type="dxa"/>
            <w:shd w:val="clear" w:color="auto" w:fill="333E4F"/>
          </w:tcPr>
          <w:p>
            <w:pPr>
              <w:pStyle w:val="TableParagraph"/>
              <w:spacing w:before="8"/>
              <w:ind w:left="314" w:right="55"/>
              <w:rPr>
                <w:b/>
                <w:sz w:val="12"/>
              </w:rPr>
            </w:pPr>
            <w:r>
              <w:rPr>
                <w:b/>
                <w:color w:val="FFFFFF"/>
                <w:sz w:val="12"/>
              </w:rPr>
              <w:t>Características espaciales</w:t>
            </w:r>
          </w:p>
        </w:tc>
        <w:tc>
          <w:tcPr>
            <w:tcW w:w="2192" w:type="dxa"/>
            <w:shd w:val="clear" w:color="auto" w:fill="333E4F"/>
          </w:tcPr>
          <w:p>
            <w:pPr>
              <w:pStyle w:val="TableParagraph"/>
              <w:spacing w:before="8"/>
              <w:ind w:left="320"/>
              <w:rPr>
                <w:b/>
                <w:sz w:val="12"/>
              </w:rPr>
            </w:pPr>
            <w:r>
              <w:rPr>
                <w:b/>
                <w:color w:val="FFFFFF"/>
                <w:sz w:val="12"/>
              </w:rPr>
              <w:t>Patrón de ocupación informal</w:t>
            </w:r>
          </w:p>
        </w:tc>
        <w:tc>
          <w:tcPr>
            <w:tcW w:w="6416" w:type="dxa"/>
            <w:gridSpan w:val="3"/>
            <w:shd w:val="clear" w:color="auto" w:fill="333E4F"/>
          </w:tcPr>
          <w:p>
            <w:pPr>
              <w:pStyle w:val="TableParagraph"/>
              <w:spacing w:before="8"/>
              <w:ind w:left="2928" w:right="2933"/>
              <w:jc w:val="center"/>
              <w:rPr>
                <w:b/>
                <w:sz w:val="12"/>
              </w:rPr>
            </w:pPr>
            <w:r>
              <w:rPr>
                <w:b/>
                <w:color w:val="FFFFFF"/>
                <w:sz w:val="12"/>
              </w:rPr>
              <w:t>Viviendas</w:t>
            </w:r>
          </w:p>
        </w:tc>
      </w:tr>
      <w:tr>
        <w:trPr>
          <w:trHeight w:val="1817" w:hRule="exact"/>
        </w:trPr>
        <w:tc>
          <w:tcPr>
            <w:tcW w:w="983" w:type="dxa"/>
            <w:vMerge w:val="restart"/>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66" w:lineRule="auto" w:before="86"/>
              <w:ind w:left="20"/>
              <w:rPr>
                <w:sz w:val="12"/>
              </w:rPr>
            </w:pPr>
            <w:r>
              <w:rPr>
                <w:sz w:val="12"/>
              </w:rPr>
              <w:t>Magdalena Contreras</w:t>
            </w:r>
          </w:p>
        </w:tc>
        <w:tc>
          <w:tcPr>
            <w:tcW w:w="1477"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3"/>
              </w:rPr>
            </w:pPr>
          </w:p>
          <w:p>
            <w:pPr>
              <w:pStyle w:val="TableParagraph"/>
              <w:ind w:left="20"/>
              <w:rPr>
                <w:sz w:val="12"/>
              </w:rPr>
            </w:pPr>
            <w:r>
              <w:rPr>
                <w:sz w:val="12"/>
              </w:rPr>
              <w:t>Magdalena Atlitic</w:t>
            </w:r>
          </w:p>
        </w:tc>
        <w:tc>
          <w:tcPr>
            <w:tcW w:w="194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line="266" w:lineRule="auto" w:before="69"/>
              <w:ind w:left="20" w:right="55"/>
              <w:rPr>
                <w:sz w:val="12"/>
              </w:rPr>
            </w:pPr>
            <w:r>
              <w:rPr>
                <w:sz w:val="12"/>
              </w:rPr>
              <w:t>Compuesto por viviendas de concreto, sin caminos y calles,</w:t>
            </w:r>
          </w:p>
        </w:tc>
        <w:tc>
          <w:tcPr>
            <w:tcW w:w="2192" w:type="dxa"/>
          </w:tcPr>
          <w:p>
            <w:pPr>
              <w:pStyle w:val="TableParagraph"/>
              <w:spacing w:before="10"/>
              <w:rPr>
                <w:b/>
                <w:sz w:val="2"/>
              </w:rPr>
            </w:pPr>
          </w:p>
          <w:p>
            <w:pPr>
              <w:pStyle w:val="TableParagraph"/>
              <w:ind w:left="64"/>
              <w:rPr>
                <w:sz w:val="20"/>
              </w:rPr>
            </w:pPr>
            <w:r>
              <w:rPr>
                <w:sz w:val="20"/>
              </w:rPr>
              <w:drawing>
                <wp:inline distT="0" distB="0" distL="0" distR="0">
                  <wp:extent cx="1215958" cy="1083564"/>
                  <wp:effectExtent l="0" t="0" r="0" b="0"/>
                  <wp:docPr id="133" name="image115.jpeg" descr=""/>
                  <wp:cNvGraphicFramePr>
                    <a:graphicFrameLocks noChangeAspect="1"/>
                  </wp:cNvGraphicFramePr>
                  <a:graphic>
                    <a:graphicData uri="http://schemas.openxmlformats.org/drawingml/2006/picture">
                      <pic:pic>
                        <pic:nvPicPr>
                          <pic:cNvPr id="134" name="image115.jpeg"/>
                          <pic:cNvPicPr/>
                        </pic:nvPicPr>
                        <pic:blipFill>
                          <a:blip r:embed="rId120" cstate="print"/>
                          <a:stretch>
                            <a:fillRect/>
                          </a:stretch>
                        </pic:blipFill>
                        <pic:spPr>
                          <a:xfrm>
                            <a:off x="0" y="0"/>
                            <a:ext cx="1215958" cy="1083564"/>
                          </a:xfrm>
                          <a:prstGeom prst="rect">
                            <a:avLst/>
                          </a:prstGeom>
                        </pic:spPr>
                      </pic:pic>
                    </a:graphicData>
                  </a:graphic>
                </wp:inline>
              </w:drawing>
            </w:r>
            <w:r>
              <w:rPr>
                <w:sz w:val="20"/>
              </w:rPr>
            </w:r>
          </w:p>
        </w:tc>
        <w:tc>
          <w:tcPr>
            <w:tcW w:w="2125" w:type="dxa"/>
          </w:tcPr>
          <w:p>
            <w:pPr>
              <w:pStyle w:val="TableParagraph"/>
              <w:spacing w:before="5"/>
              <w:rPr>
                <w:b/>
                <w:sz w:val="18"/>
              </w:rPr>
            </w:pPr>
          </w:p>
          <w:p>
            <w:pPr>
              <w:pStyle w:val="TableParagraph"/>
              <w:ind w:left="30"/>
              <w:rPr>
                <w:sz w:val="20"/>
              </w:rPr>
            </w:pPr>
            <w:r>
              <w:rPr>
                <w:sz w:val="20"/>
              </w:rPr>
              <w:drawing>
                <wp:inline distT="0" distB="0" distL="0" distR="0">
                  <wp:extent cx="1297319" cy="786384"/>
                  <wp:effectExtent l="0" t="0" r="0" b="0"/>
                  <wp:docPr id="135" name="image116.jpeg" descr=""/>
                  <wp:cNvGraphicFramePr>
                    <a:graphicFrameLocks noChangeAspect="1"/>
                  </wp:cNvGraphicFramePr>
                  <a:graphic>
                    <a:graphicData uri="http://schemas.openxmlformats.org/drawingml/2006/picture">
                      <pic:pic>
                        <pic:nvPicPr>
                          <pic:cNvPr id="136" name="image116.jpeg"/>
                          <pic:cNvPicPr/>
                        </pic:nvPicPr>
                        <pic:blipFill>
                          <a:blip r:embed="rId121" cstate="print"/>
                          <a:stretch>
                            <a:fillRect/>
                          </a:stretch>
                        </pic:blipFill>
                        <pic:spPr>
                          <a:xfrm>
                            <a:off x="0" y="0"/>
                            <a:ext cx="1297319" cy="786384"/>
                          </a:xfrm>
                          <a:prstGeom prst="rect">
                            <a:avLst/>
                          </a:prstGeom>
                        </pic:spPr>
                      </pic:pic>
                    </a:graphicData>
                  </a:graphic>
                </wp:inline>
              </w:drawing>
            </w:r>
            <w:r>
              <w:rPr>
                <w:sz w:val="20"/>
              </w:rPr>
            </w:r>
          </w:p>
          <w:p>
            <w:pPr>
              <w:pStyle w:val="TableParagraph"/>
              <w:rPr>
                <w:b/>
                <w:sz w:val="20"/>
              </w:rPr>
            </w:pPr>
          </w:p>
        </w:tc>
        <w:tc>
          <w:tcPr>
            <w:tcW w:w="2065" w:type="dxa"/>
          </w:tcPr>
          <w:p>
            <w:pPr>
              <w:pStyle w:val="TableParagraph"/>
              <w:spacing w:before="8"/>
              <w:rPr>
                <w:b/>
                <w:sz w:val="16"/>
              </w:rPr>
            </w:pPr>
          </w:p>
          <w:p>
            <w:pPr>
              <w:pStyle w:val="TableParagraph"/>
              <w:ind w:left="35"/>
              <w:rPr>
                <w:sz w:val="20"/>
              </w:rPr>
            </w:pPr>
            <w:r>
              <w:rPr>
                <w:sz w:val="20"/>
              </w:rPr>
              <w:drawing>
                <wp:inline distT="0" distB="0" distL="0" distR="0">
                  <wp:extent cx="1258971" cy="763524"/>
                  <wp:effectExtent l="0" t="0" r="0" b="0"/>
                  <wp:docPr id="137" name="image117.jpeg" descr=""/>
                  <wp:cNvGraphicFramePr>
                    <a:graphicFrameLocks noChangeAspect="1"/>
                  </wp:cNvGraphicFramePr>
                  <a:graphic>
                    <a:graphicData uri="http://schemas.openxmlformats.org/drawingml/2006/picture">
                      <pic:pic>
                        <pic:nvPicPr>
                          <pic:cNvPr id="138" name="image117.jpeg"/>
                          <pic:cNvPicPr/>
                        </pic:nvPicPr>
                        <pic:blipFill>
                          <a:blip r:embed="rId122" cstate="print"/>
                          <a:stretch>
                            <a:fillRect/>
                          </a:stretch>
                        </pic:blipFill>
                        <pic:spPr>
                          <a:xfrm>
                            <a:off x="0" y="0"/>
                            <a:ext cx="1258971" cy="763524"/>
                          </a:xfrm>
                          <a:prstGeom prst="rect">
                            <a:avLst/>
                          </a:prstGeom>
                        </pic:spPr>
                      </pic:pic>
                    </a:graphicData>
                  </a:graphic>
                </wp:inline>
              </w:drawing>
            </w:r>
            <w:r>
              <w:rPr>
                <w:sz w:val="20"/>
              </w:rPr>
            </w:r>
          </w:p>
          <w:p>
            <w:pPr>
              <w:pStyle w:val="TableParagraph"/>
              <w:rPr>
                <w:b/>
                <w:sz w:val="20"/>
              </w:rPr>
            </w:pPr>
          </w:p>
          <w:p>
            <w:pPr>
              <w:pStyle w:val="TableParagraph"/>
              <w:rPr>
                <w:b/>
                <w:sz w:val="16"/>
              </w:rPr>
            </w:pPr>
          </w:p>
        </w:tc>
        <w:tc>
          <w:tcPr>
            <w:tcW w:w="2226" w:type="dxa"/>
          </w:tcPr>
          <w:p>
            <w:pPr>
              <w:pStyle w:val="TableParagraph"/>
              <w:spacing w:before="3"/>
              <w:rPr>
                <w:b/>
                <w:sz w:val="17"/>
              </w:rPr>
            </w:pPr>
          </w:p>
          <w:p>
            <w:pPr>
              <w:pStyle w:val="TableParagraph"/>
              <w:ind w:left="81"/>
              <w:rPr>
                <w:sz w:val="20"/>
              </w:rPr>
            </w:pPr>
            <w:r>
              <w:rPr>
                <w:sz w:val="20"/>
              </w:rPr>
              <w:drawing>
                <wp:inline distT="0" distB="0" distL="0" distR="0">
                  <wp:extent cx="1320263" cy="800100"/>
                  <wp:effectExtent l="0" t="0" r="0" b="0"/>
                  <wp:docPr id="139" name="image118.jpeg" descr=""/>
                  <wp:cNvGraphicFramePr>
                    <a:graphicFrameLocks noChangeAspect="1"/>
                  </wp:cNvGraphicFramePr>
                  <a:graphic>
                    <a:graphicData uri="http://schemas.openxmlformats.org/drawingml/2006/picture">
                      <pic:pic>
                        <pic:nvPicPr>
                          <pic:cNvPr id="140" name="image118.jpeg"/>
                          <pic:cNvPicPr/>
                        </pic:nvPicPr>
                        <pic:blipFill>
                          <a:blip r:embed="rId123" cstate="print"/>
                          <a:stretch>
                            <a:fillRect/>
                          </a:stretch>
                        </pic:blipFill>
                        <pic:spPr>
                          <a:xfrm>
                            <a:off x="0" y="0"/>
                            <a:ext cx="1320263" cy="800100"/>
                          </a:xfrm>
                          <a:prstGeom prst="rect">
                            <a:avLst/>
                          </a:prstGeom>
                        </pic:spPr>
                      </pic:pic>
                    </a:graphicData>
                  </a:graphic>
                </wp:inline>
              </w:drawing>
            </w:r>
            <w:r>
              <w:rPr>
                <w:sz w:val="20"/>
              </w:rPr>
            </w:r>
          </w:p>
          <w:p>
            <w:pPr>
              <w:pStyle w:val="TableParagraph"/>
              <w:rPr>
                <w:b/>
                <w:sz w:val="20"/>
              </w:rPr>
            </w:pPr>
          </w:p>
        </w:tc>
      </w:tr>
      <w:tr>
        <w:trPr>
          <w:trHeight w:val="1830" w:hRule="exact"/>
        </w:trPr>
        <w:tc>
          <w:tcPr>
            <w:tcW w:w="983" w:type="dxa"/>
            <w:vMerge/>
          </w:tcPr>
          <w:p>
            <w:pPr/>
          </w:p>
        </w:tc>
        <w:tc>
          <w:tcPr>
            <w:tcW w:w="1477"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6"/>
              <w:rPr>
                <w:b/>
                <w:sz w:val="13"/>
              </w:rPr>
            </w:pPr>
          </w:p>
          <w:p>
            <w:pPr>
              <w:pStyle w:val="TableParagraph"/>
              <w:spacing w:before="1"/>
              <w:ind w:left="20"/>
              <w:rPr>
                <w:sz w:val="12"/>
              </w:rPr>
            </w:pPr>
            <w:r>
              <w:rPr>
                <w:sz w:val="12"/>
              </w:rPr>
              <w:t>San Bernabe Ocotepec</w:t>
            </w:r>
          </w:p>
        </w:tc>
        <w:tc>
          <w:tcPr>
            <w:tcW w:w="1945" w:type="dxa"/>
          </w:tcPr>
          <w:p>
            <w:pPr>
              <w:pStyle w:val="TableParagraph"/>
              <w:rPr>
                <w:b/>
                <w:sz w:val="12"/>
              </w:rPr>
            </w:pPr>
          </w:p>
          <w:p>
            <w:pPr>
              <w:pStyle w:val="TableParagraph"/>
              <w:rPr>
                <w:b/>
                <w:sz w:val="12"/>
              </w:rPr>
            </w:pPr>
          </w:p>
          <w:p>
            <w:pPr>
              <w:pStyle w:val="TableParagraph"/>
              <w:rPr>
                <w:b/>
                <w:sz w:val="12"/>
              </w:rPr>
            </w:pPr>
          </w:p>
          <w:p>
            <w:pPr>
              <w:pStyle w:val="TableParagraph"/>
              <w:spacing w:before="4"/>
              <w:rPr>
                <w:b/>
                <w:sz w:val="17"/>
              </w:rPr>
            </w:pPr>
          </w:p>
          <w:p>
            <w:pPr>
              <w:pStyle w:val="TableParagraph"/>
              <w:spacing w:line="266" w:lineRule="auto"/>
              <w:ind w:left="20" w:right="85"/>
              <w:rPr>
                <w:sz w:val="12"/>
              </w:rPr>
            </w:pPr>
            <w:r>
              <w:rPr>
                <w:sz w:val="12"/>
              </w:rPr>
              <w:t>Compuesto por viviendas de concreto en los límites de la zona  urbana.</w:t>
            </w:r>
          </w:p>
          <w:p>
            <w:pPr>
              <w:pStyle w:val="TableParagraph"/>
              <w:spacing w:line="266" w:lineRule="auto"/>
              <w:ind w:left="20" w:right="162"/>
              <w:rPr>
                <w:sz w:val="12"/>
              </w:rPr>
            </w:pPr>
            <w:r>
              <w:rPr>
                <w:sz w:val="12"/>
              </w:rPr>
              <w:t>Presentan baja estructura de calles y caminos.</w:t>
            </w:r>
          </w:p>
        </w:tc>
        <w:tc>
          <w:tcPr>
            <w:tcW w:w="2192" w:type="dxa"/>
          </w:tcPr>
          <w:p>
            <w:pPr>
              <w:pStyle w:val="TableParagraph"/>
              <w:spacing w:before="6"/>
              <w:rPr>
                <w:b/>
                <w:sz w:val="5"/>
              </w:rPr>
            </w:pPr>
          </w:p>
          <w:p>
            <w:pPr>
              <w:pStyle w:val="TableParagraph"/>
              <w:ind w:left="57"/>
              <w:rPr>
                <w:sz w:val="20"/>
              </w:rPr>
            </w:pPr>
            <w:r>
              <w:rPr>
                <w:sz w:val="20"/>
              </w:rPr>
              <w:drawing>
                <wp:inline distT="0" distB="0" distL="0" distR="0">
                  <wp:extent cx="1254089" cy="1083564"/>
                  <wp:effectExtent l="0" t="0" r="0" b="0"/>
                  <wp:docPr id="141" name="image119.jpeg" descr=""/>
                  <wp:cNvGraphicFramePr>
                    <a:graphicFrameLocks noChangeAspect="1"/>
                  </wp:cNvGraphicFramePr>
                  <a:graphic>
                    <a:graphicData uri="http://schemas.openxmlformats.org/drawingml/2006/picture">
                      <pic:pic>
                        <pic:nvPicPr>
                          <pic:cNvPr id="142" name="image119.jpeg"/>
                          <pic:cNvPicPr/>
                        </pic:nvPicPr>
                        <pic:blipFill>
                          <a:blip r:embed="rId124" cstate="print"/>
                          <a:stretch>
                            <a:fillRect/>
                          </a:stretch>
                        </pic:blipFill>
                        <pic:spPr>
                          <a:xfrm>
                            <a:off x="0" y="0"/>
                            <a:ext cx="1254089" cy="1083564"/>
                          </a:xfrm>
                          <a:prstGeom prst="rect">
                            <a:avLst/>
                          </a:prstGeom>
                        </pic:spPr>
                      </pic:pic>
                    </a:graphicData>
                  </a:graphic>
                </wp:inline>
              </w:drawing>
            </w:r>
            <w:r>
              <w:rPr>
                <w:sz w:val="20"/>
              </w:rPr>
            </w:r>
          </w:p>
        </w:tc>
        <w:tc>
          <w:tcPr>
            <w:tcW w:w="2125" w:type="dxa"/>
          </w:tcPr>
          <w:p>
            <w:pPr>
              <w:pStyle w:val="TableParagraph"/>
              <w:spacing w:before="10"/>
              <w:rPr>
                <w:b/>
                <w:sz w:val="22"/>
              </w:rPr>
            </w:pPr>
          </w:p>
          <w:p>
            <w:pPr>
              <w:pStyle w:val="TableParagraph"/>
              <w:ind w:left="36"/>
              <w:rPr>
                <w:sz w:val="20"/>
              </w:rPr>
            </w:pPr>
            <w:r>
              <w:rPr>
                <w:sz w:val="20"/>
              </w:rPr>
              <w:drawing>
                <wp:inline distT="0" distB="0" distL="0" distR="0">
                  <wp:extent cx="1279208" cy="777239"/>
                  <wp:effectExtent l="0" t="0" r="0" b="0"/>
                  <wp:docPr id="143" name="image120.jpeg" descr=""/>
                  <wp:cNvGraphicFramePr>
                    <a:graphicFrameLocks noChangeAspect="1"/>
                  </wp:cNvGraphicFramePr>
                  <a:graphic>
                    <a:graphicData uri="http://schemas.openxmlformats.org/drawingml/2006/picture">
                      <pic:pic>
                        <pic:nvPicPr>
                          <pic:cNvPr id="144" name="image120.jpeg"/>
                          <pic:cNvPicPr/>
                        </pic:nvPicPr>
                        <pic:blipFill>
                          <a:blip r:embed="rId125" cstate="print"/>
                          <a:stretch>
                            <a:fillRect/>
                          </a:stretch>
                        </pic:blipFill>
                        <pic:spPr>
                          <a:xfrm>
                            <a:off x="0" y="0"/>
                            <a:ext cx="1279208" cy="777239"/>
                          </a:xfrm>
                          <a:prstGeom prst="rect">
                            <a:avLst/>
                          </a:prstGeom>
                        </pic:spPr>
                      </pic:pic>
                    </a:graphicData>
                  </a:graphic>
                </wp:inline>
              </w:drawing>
            </w:r>
            <w:r>
              <w:rPr>
                <w:sz w:val="20"/>
              </w:rPr>
            </w:r>
          </w:p>
          <w:p>
            <w:pPr>
              <w:pStyle w:val="TableParagraph"/>
              <w:spacing w:before="2"/>
              <w:rPr>
                <w:b/>
                <w:sz w:val="29"/>
              </w:rPr>
            </w:pPr>
          </w:p>
        </w:tc>
        <w:tc>
          <w:tcPr>
            <w:tcW w:w="2065" w:type="dxa"/>
          </w:tcPr>
          <w:p>
            <w:pPr>
              <w:pStyle w:val="TableParagraph"/>
              <w:spacing w:before="1"/>
              <w:rPr>
                <w:b/>
                <w:sz w:val="24"/>
              </w:rPr>
            </w:pPr>
          </w:p>
          <w:p>
            <w:pPr>
              <w:pStyle w:val="TableParagraph"/>
              <w:ind w:left="15"/>
              <w:rPr>
                <w:sz w:val="20"/>
              </w:rPr>
            </w:pPr>
            <w:r>
              <w:rPr>
                <w:sz w:val="20"/>
              </w:rPr>
              <w:drawing>
                <wp:inline distT="0" distB="0" distL="0" distR="0">
                  <wp:extent cx="1262622" cy="758951"/>
                  <wp:effectExtent l="0" t="0" r="0" b="0"/>
                  <wp:docPr id="145" name="image121.jpeg" descr=""/>
                  <wp:cNvGraphicFramePr>
                    <a:graphicFrameLocks noChangeAspect="1"/>
                  </wp:cNvGraphicFramePr>
                  <a:graphic>
                    <a:graphicData uri="http://schemas.openxmlformats.org/drawingml/2006/picture">
                      <pic:pic>
                        <pic:nvPicPr>
                          <pic:cNvPr id="146" name="image121.jpeg"/>
                          <pic:cNvPicPr/>
                        </pic:nvPicPr>
                        <pic:blipFill>
                          <a:blip r:embed="rId126" cstate="print"/>
                          <a:stretch>
                            <a:fillRect/>
                          </a:stretch>
                        </pic:blipFill>
                        <pic:spPr>
                          <a:xfrm>
                            <a:off x="0" y="0"/>
                            <a:ext cx="1262622" cy="758951"/>
                          </a:xfrm>
                          <a:prstGeom prst="rect">
                            <a:avLst/>
                          </a:prstGeom>
                        </pic:spPr>
                      </pic:pic>
                    </a:graphicData>
                  </a:graphic>
                </wp:inline>
              </w:drawing>
            </w:r>
            <w:r>
              <w:rPr>
                <w:sz w:val="20"/>
              </w:rPr>
            </w:r>
          </w:p>
          <w:p>
            <w:pPr>
              <w:pStyle w:val="TableParagraph"/>
              <w:rPr>
                <w:b/>
                <w:sz w:val="20"/>
              </w:rPr>
            </w:pPr>
          </w:p>
        </w:tc>
        <w:tc>
          <w:tcPr>
            <w:tcW w:w="2226" w:type="dxa"/>
          </w:tcPr>
          <w:p>
            <w:pPr>
              <w:pStyle w:val="TableParagraph"/>
              <w:spacing w:before="8" w:after="1"/>
              <w:rPr>
                <w:b/>
                <w:sz w:val="21"/>
              </w:rPr>
            </w:pPr>
          </w:p>
          <w:p>
            <w:pPr>
              <w:pStyle w:val="TableParagraph"/>
              <w:ind w:left="47"/>
              <w:rPr>
                <w:sz w:val="20"/>
              </w:rPr>
            </w:pPr>
            <w:r>
              <w:rPr>
                <w:sz w:val="20"/>
              </w:rPr>
              <w:drawing>
                <wp:inline distT="0" distB="0" distL="0" distR="0">
                  <wp:extent cx="1329323" cy="804672"/>
                  <wp:effectExtent l="0" t="0" r="0" b="0"/>
                  <wp:docPr id="147" name="image122.jpeg" descr=""/>
                  <wp:cNvGraphicFramePr>
                    <a:graphicFrameLocks noChangeAspect="1"/>
                  </wp:cNvGraphicFramePr>
                  <a:graphic>
                    <a:graphicData uri="http://schemas.openxmlformats.org/drawingml/2006/picture">
                      <pic:pic>
                        <pic:nvPicPr>
                          <pic:cNvPr id="148" name="image122.jpeg"/>
                          <pic:cNvPicPr/>
                        </pic:nvPicPr>
                        <pic:blipFill>
                          <a:blip r:embed="rId127" cstate="print"/>
                          <a:stretch>
                            <a:fillRect/>
                          </a:stretch>
                        </pic:blipFill>
                        <pic:spPr>
                          <a:xfrm>
                            <a:off x="0" y="0"/>
                            <a:ext cx="1329323" cy="804672"/>
                          </a:xfrm>
                          <a:prstGeom prst="rect">
                            <a:avLst/>
                          </a:prstGeom>
                        </pic:spPr>
                      </pic:pic>
                    </a:graphicData>
                  </a:graphic>
                </wp:inline>
              </w:drawing>
            </w:r>
            <w:r>
              <w:rPr>
                <w:sz w:val="20"/>
              </w:rPr>
            </w:r>
          </w:p>
          <w:p>
            <w:pPr>
              <w:pStyle w:val="TableParagraph"/>
              <w:spacing w:before="6"/>
              <w:rPr>
                <w:b/>
                <w:sz w:val="26"/>
              </w:rPr>
            </w:pPr>
          </w:p>
        </w:tc>
      </w:tr>
      <w:tr>
        <w:trPr>
          <w:trHeight w:val="1790" w:hRule="exact"/>
        </w:trPr>
        <w:tc>
          <w:tcPr>
            <w:tcW w:w="983" w:type="dxa"/>
            <w:vMerge/>
          </w:tcPr>
          <w:p>
            <w:pPr/>
          </w:p>
        </w:tc>
        <w:tc>
          <w:tcPr>
            <w:tcW w:w="1477"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9"/>
              <w:rPr>
                <w:b/>
                <w:sz w:val="11"/>
              </w:rPr>
            </w:pPr>
          </w:p>
          <w:p>
            <w:pPr>
              <w:pStyle w:val="TableParagraph"/>
              <w:spacing w:before="1"/>
              <w:ind w:left="20"/>
              <w:rPr>
                <w:sz w:val="12"/>
              </w:rPr>
            </w:pPr>
            <w:r>
              <w:rPr>
                <w:sz w:val="12"/>
              </w:rPr>
              <w:t>San Nicolas Totolapan</w:t>
            </w:r>
          </w:p>
        </w:tc>
        <w:tc>
          <w:tcPr>
            <w:tcW w:w="1945" w:type="dxa"/>
          </w:tcPr>
          <w:p>
            <w:pPr>
              <w:pStyle w:val="TableParagraph"/>
              <w:rPr>
                <w:b/>
                <w:sz w:val="12"/>
              </w:rPr>
            </w:pPr>
          </w:p>
          <w:p>
            <w:pPr>
              <w:pStyle w:val="TableParagraph"/>
              <w:rPr>
                <w:b/>
                <w:sz w:val="12"/>
              </w:rPr>
            </w:pPr>
          </w:p>
          <w:p>
            <w:pPr>
              <w:pStyle w:val="TableParagraph"/>
              <w:rPr>
                <w:b/>
                <w:sz w:val="12"/>
              </w:rPr>
            </w:pPr>
          </w:p>
          <w:p>
            <w:pPr>
              <w:pStyle w:val="TableParagraph"/>
              <w:rPr>
                <w:b/>
                <w:sz w:val="12"/>
              </w:rPr>
            </w:pPr>
          </w:p>
          <w:p>
            <w:pPr>
              <w:pStyle w:val="TableParagraph"/>
              <w:spacing w:before="6"/>
              <w:rPr>
                <w:b/>
                <w:sz w:val="10"/>
              </w:rPr>
            </w:pPr>
          </w:p>
          <w:p>
            <w:pPr>
              <w:pStyle w:val="TableParagraph"/>
              <w:spacing w:line="266" w:lineRule="auto"/>
              <w:ind w:left="20" w:right="55"/>
              <w:rPr>
                <w:sz w:val="12"/>
              </w:rPr>
            </w:pPr>
            <w:r>
              <w:rPr>
                <w:sz w:val="12"/>
              </w:rPr>
              <w:t>Compuesto por viviendas dispersas, con poca estructura de caminos y calles,</w:t>
            </w:r>
          </w:p>
        </w:tc>
        <w:tc>
          <w:tcPr>
            <w:tcW w:w="2192" w:type="dxa"/>
          </w:tcPr>
          <w:p>
            <w:pPr>
              <w:pStyle w:val="TableParagraph"/>
              <w:ind w:left="77"/>
              <w:rPr>
                <w:sz w:val="20"/>
              </w:rPr>
            </w:pPr>
            <w:r>
              <w:rPr>
                <w:sz w:val="20"/>
              </w:rPr>
              <w:drawing>
                <wp:inline distT="0" distB="0" distL="0" distR="0">
                  <wp:extent cx="1271452" cy="1088136"/>
                  <wp:effectExtent l="0" t="0" r="0" b="0"/>
                  <wp:docPr id="149" name="image123.jpeg" descr=""/>
                  <wp:cNvGraphicFramePr>
                    <a:graphicFrameLocks noChangeAspect="1"/>
                  </wp:cNvGraphicFramePr>
                  <a:graphic>
                    <a:graphicData uri="http://schemas.openxmlformats.org/drawingml/2006/picture">
                      <pic:pic>
                        <pic:nvPicPr>
                          <pic:cNvPr id="150" name="image123.jpeg"/>
                          <pic:cNvPicPr/>
                        </pic:nvPicPr>
                        <pic:blipFill>
                          <a:blip r:embed="rId128" cstate="print"/>
                          <a:stretch>
                            <a:fillRect/>
                          </a:stretch>
                        </pic:blipFill>
                        <pic:spPr>
                          <a:xfrm>
                            <a:off x="0" y="0"/>
                            <a:ext cx="1271452" cy="1088136"/>
                          </a:xfrm>
                          <a:prstGeom prst="rect">
                            <a:avLst/>
                          </a:prstGeom>
                        </pic:spPr>
                      </pic:pic>
                    </a:graphicData>
                  </a:graphic>
                </wp:inline>
              </w:drawing>
            </w:r>
            <w:r>
              <w:rPr>
                <w:sz w:val="20"/>
              </w:rPr>
            </w:r>
          </w:p>
        </w:tc>
        <w:tc>
          <w:tcPr>
            <w:tcW w:w="2125" w:type="dxa"/>
          </w:tcPr>
          <w:p>
            <w:pPr>
              <w:pStyle w:val="TableParagraph"/>
              <w:spacing w:before="5"/>
              <w:rPr>
                <w:b/>
                <w:sz w:val="24"/>
              </w:rPr>
            </w:pPr>
          </w:p>
          <w:p>
            <w:pPr>
              <w:pStyle w:val="TableParagraph"/>
              <w:ind w:left="63"/>
              <w:rPr>
                <w:sz w:val="20"/>
              </w:rPr>
            </w:pPr>
            <w:r>
              <w:rPr>
                <w:sz w:val="20"/>
              </w:rPr>
              <w:drawing>
                <wp:inline distT="0" distB="0" distL="0" distR="0">
                  <wp:extent cx="1263210" cy="763524"/>
                  <wp:effectExtent l="0" t="0" r="0" b="0"/>
                  <wp:docPr id="151" name="image124.jpeg" descr=""/>
                  <wp:cNvGraphicFramePr>
                    <a:graphicFrameLocks noChangeAspect="1"/>
                  </wp:cNvGraphicFramePr>
                  <a:graphic>
                    <a:graphicData uri="http://schemas.openxmlformats.org/drawingml/2006/picture">
                      <pic:pic>
                        <pic:nvPicPr>
                          <pic:cNvPr id="152" name="image124.jpeg"/>
                          <pic:cNvPicPr/>
                        </pic:nvPicPr>
                        <pic:blipFill>
                          <a:blip r:embed="rId129" cstate="print"/>
                          <a:stretch>
                            <a:fillRect/>
                          </a:stretch>
                        </pic:blipFill>
                        <pic:spPr>
                          <a:xfrm>
                            <a:off x="0" y="0"/>
                            <a:ext cx="1263210" cy="763524"/>
                          </a:xfrm>
                          <a:prstGeom prst="rect">
                            <a:avLst/>
                          </a:prstGeom>
                        </pic:spPr>
                      </pic:pic>
                    </a:graphicData>
                  </a:graphic>
                </wp:inline>
              </w:drawing>
            </w:r>
            <w:r>
              <w:rPr>
                <w:sz w:val="20"/>
              </w:rPr>
            </w:r>
          </w:p>
          <w:p>
            <w:pPr>
              <w:pStyle w:val="TableParagraph"/>
              <w:rPr>
                <w:b/>
                <w:sz w:val="26"/>
              </w:rPr>
            </w:pPr>
          </w:p>
        </w:tc>
        <w:tc>
          <w:tcPr>
            <w:tcW w:w="2065" w:type="dxa"/>
          </w:tcPr>
          <w:p>
            <w:pPr>
              <w:pStyle w:val="TableParagraph"/>
              <w:spacing w:before="10"/>
              <w:rPr>
                <w:b/>
                <w:sz w:val="27"/>
              </w:rPr>
            </w:pPr>
          </w:p>
          <w:p>
            <w:pPr>
              <w:pStyle w:val="TableParagraph"/>
              <w:ind w:left="28"/>
              <w:rPr>
                <w:sz w:val="20"/>
              </w:rPr>
            </w:pPr>
            <w:r>
              <w:rPr>
                <w:sz w:val="20"/>
              </w:rPr>
              <w:drawing>
                <wp:inline distT="0" distB="0" distL="0" distR="0">
                  <wp:extent cx="1249911" cy="758951"/>
                  <wp:effectExtent l="0" t="0" r="0" b="0"/>
                  <wp:docPr id="153" name="image125.jpeg" descr=""/>
                  <wp:cNvGraphicFramePr>
                    <a:graphicFrameLocks noChangeAspect="1"/>
                  </wp:cNvGraphicFramePr>
                  <a:graphic>
                    <a:graphicData uri="http://schemas.openxmlformats.org/drawingml/2006/picture">
                      <pic:pic>
                        <pic:nvPicPr>
                          <pic:cNvPr id="154" name="image125.jpeg"/>
                          <pic:cNvPicPr/>
                        </pic:nvPicPr>
                        <pic:blipFill>
                          <a:blip r:embed="rId130" cstate="print"/>
                          <a:stretch>
                            <a:fillRect/>
                          </a:stretch>
                        </pic:blipFill>
                        <pic:spPr>
                          <a:xfrm>
                            <a:off x="0" y="0"/>
                            <a:ext cx="1249911" cy="758951"/>
                          </a:xfrm>
                          <a:prstGeom prst="rect">
                            <a:avLst/>
                          </a:prstGeom>
                        </pic:spPr>
                      </pic:pic>
                    </a:graphicData>
                  </a:graphic>
                </wp:inline>
              </w:drawing>
            </w:r>
            <w:r>
              <w:rPr>
                <w:sz w:val="20"/>
              </w:rPr>
            </w:r>
          </w:p>
          <w:p>
            <w:pPr>
              <w:pStyle w:val="TableParagraph"/>
              <w:spacing w:before="2"/>
              <w:rPr>
                <w:b/>
                <w:sz w:val="23"/>
              </w:rPr>
            </w:pPr>
          </w:p>
        </w:tc>
        <w:tc>
          <w:tcPr>
            <w:tcW w:w="2226" w:type="dxa"/>
          </w:tcPr>
          <w:p>
            <w:pPr>
              <w:pStyle w:val="TableParagraph"/>
              <w:spacing w:before="7"/>
              <w:rPr>
                <w:b/>
                <w:sz w:val="25"/>
              </w:rPr>
            </w:pPr>
          </w:p>
          <w:p>
            <w:pPr>
              <w:pStyle w:val="TableParagraph"/>
              <w:ind w:left="74"/>
              <w:rPr>
                <w:sz w:val="20"/>
              </w:rPr>
            </w:pPr>
            <w:r>
              <w:rPr>
                <w:sz w:val="20"/>
              </w:rPr>
              <w:drawing>
                <wp:inline distT="0" distB="0" distL="0" distR="0">
                  <wp:extent cx="1292486" cy="781812"/>
                  <wp:effectExtent l="0" t="0" r="0" b="0"/>
                  <wp:docPr id="155" name="image126.jpeg" descr=""/>
                  <wp:cNvGraphicFramePr>
                    <a:graphicFrameLocks noChangeAspect="1"/>
                  </wp:cNvGraphicFramePr>
                  <a:graphic>
                    <a:graphicData uri="http://schemas.openxmlformats.org/drawingml/2006/picture">
                      <pic:pic>
                        <pic:nvPicPr>
                          <pic:cNvPr id="156" name="image126.jpeg"/>
                          <pic:cNvPicPr/>
                        </pic:nvPicPr>
                        <pic:blipFill>
                          <a:blip r:embed="rId131" cstate="print"/>
                          <a:stretch>
                            <a:fillRect/>
                          </a:stretch>
                        </pic:blipFill>
                        <pic:spPr>
                          <a:xfrm>
                            <a:off x="0" y="0"/>
                            <a:ext cx="1292486" cy="781812"/>
                          </a:xfrm>
                          <a:prstGeom prst="rect">
                            <a:avLst/>
                          </a:prstGeom>
                        </pic:spPr>
                      </pic:pic>
                    </a:graphicData>
                  </a:graphic>
                </wp:inline>
              </w:drawing>
            </w:r>
            <w:r>
              <w:rPr>
                <w:sz w:val="20"/>
              </w:rPr>
            </w:r>
          </w:p>
          <w:p>
            <w:pPr>
              <w:pStyle w:val="TableParagraph"/>
              <w:spacing w:before="4"/>
              <w:rPr>
                <w:b/>
                <w:sz w:val="22"/>
              </w:rPr>
            </w:pPr>
          </w:p>
        </w:tc>
      </w:tr>
    </w:tbl>
    <w:p>
      <w:pPr>
        <w:spacing w:before="3"/>
        <w:ind w:left="2351" w:right="2377" w:firstLine="0"/>
        <w:jc w:val="center"/>
        <w:rPr>
          <w:sz w:val="16"/>
        </w:rPr>
      </w:pPr>
      <w:r>
        <w:rPr/>
        <w:pict>
          <v:line style="position:absolute;mso-position-horizontal-relative:page;mso-position-vertical-relative:paragraph;z-index:3880" from="71.067009pt,.152226pt" to="71.067009pt,.152226pt" stroked="true" strokeweight=".33239pt" strokecolor="#d3d3d3">
            <w10:wrap type="none"/>
          </v:line>
        </w:pict>
      </w:r>
      <w:r>
        <w:rPr/>
        <w:pict>
          <v:line style="position:absolute;mso-position-horizontal-relative:page;mso-position-vertical-relative:paragraph;z-index:3904" from="120.194763pt,.152226pt" to="120.194763pt,.152226pt" stroked="true" strokeweight=".33239pt" strokecolor="#d3d3d3">
            <w10:wrap type="none"/>
          </v:line>
        </w:pict>
      </w:r>
      <w:r>
        <w:rPr/>
        <w:pict>
          <v:line style="position:absolute;mso-position-horizontal-relative:page;mso-position-vertical-relative:paragraph;z-index:3928" from="194.039474pt,.152226pt" to="194.039474pt,.152226pt" stroked="true" strokeweight=".33239pt" strokecolor="#d3d3d3">
            <w10:wrap type="none"/>
          </v:line>
        </w:pict>
      </w:r>
      <w:r>
        <w:rPr/>
        <w:pict>
          <v:line style="position:absolute;mso-position-horizontal-relative:page;mso-position-vertical-relative:paragraph;z-index:3952" from="291.292938pt,.152226pt" to="291.292938pt,.152226pt" stroked="true" strokeweight=".33239pt" strokecolor="#d3d3d3">
            <w10:wrap type="none"/>
          </v:line>
        </w:pict>
      </w:r>
      <w:r>
        <w:rPr/>
        <w:pict>
          <v:line style="position:absolute;mso-position-horizontal-relative:page;mso-position-vertical-relative:paragraph;z-index:-246184" from="400.904907pt,.152226pt" to="400.904907pt,.152226pt" stroked="true" strokeweight=".33239pt" strokecolor="#d3d3d3">
            <w10:wrap type="none"/>
          </v:line>
        </w:pict>
      </w:r>
      <w:r>
        <w:rPr/>
        <w:pict>
          <v:line style="position:absolute;mso-position-horizontal-relative:page;mso-position-vertical-relative:paragraph;z-index:4000" from="507.176727pt,.152226pt" to="507.176727pt,.152226pt" stroked="true" strokeweight=".33239pt" strokecolor="#d3d3d3">
            <w10:wrap type="none"/>
          </v:line>
        </w:pict>
      </w:r>
      <w:r>
        <w:rPr/>
        <w:pict>
          <v:line style="position:absolute;mso-position-horizontal-relative:page;mso-position-vertical-relative:paragraph;z-index:4024" from="610.442444pt,.152226pt" to="610.442444pt,.152226pt" stroked="true" strokeweight=".33239pt" strokecolor="#d3d3d3">
            <w10:wrap type="none"/>
          </v:line>
        </w:pict>
      </w:r>
      <w:r>
        <w:rPr/>
        <w:pict>
          <v:shape style="position:absolute;margin-left:1169.099976pt;margin-top:234.933838pt;width:.6pt;height:.6pt;mso-position-horizontal-relative:page;mso-position-vertical-relative:paragraph;z-index:4048" coordorigin="23382,4699" coordsize="12,12" path="m14434,3l14434,3m14441,-4l14441,-4e" filled="false" stroked="true" strokeweight=".333202pt" strokecolor="#d3d3d3">
            <v:path arrowok="t"/>
            <w10:wrap type="none"/>
          </v:shape>
        </w:pict>
      </w:r>
      <w:r>
        <w:rPr/>
        <w:pict>
          <v:line style="position:absolute;mso-position-horizontal-relative:page;mso-position-vertical-relative:paragraph;z-index:4144" from="722.058472pt,-89.701187pt" to="722.058472pt,-89.701187pt" stroked="true" strokeweight=".33239pt" strokecolor="#d3d3d3">
            <w10:wrap type="none"/>
          </v:line>
        </w:pict>
      </w:r>
      <w:r>
        <w:rPr>
          <w:sz w:val="16"/>
        </w:rPr>
        <w:t>Fuente: Elaboración propia</w:t>
      </w:r>
    </w:p>
    <w:p>
      <w:pPr>
        <w:spacing w:after="0"/>
        <w:jc w:val="center"/>
        <w:rPr>
          <w:sz w:val="16"/>
        </w:rPr>
        <w:sectPr>
          <w:pgSz w:w="15840" w:h="12240" w:orient="landscape"/>
          <w:pgMar w:top="1140" w:bottom="280" w:left="1300" w:right="1280"/>
        </w:sectPr>
      </w:pPr>
    </w:p>
    <w:p>
      <w:pPr>
        <w:pStyle w:val="BodyText"/>
        <w:spacing w:line="362" w:lineRule="auto" w:before="52"/>
        <w:ind w:left="119" w:right="118"/>
        <w:jc w:val="both"/>
      </w:pPr>
      <w:r>
        <w:rPr/>
        <w:t>Mediante la aplicación de una metodología basada en fotointerpretación de imágenes aéreas </w:t>
      </w:r>
      <w:r>
        <w:rPr>
          <w:spacing w:val="2"/>
        </w:rPr>
        <w:t>se </w:t>
      </w:r>
      <w:r>
        <w:rPr>
          <w:spacing w:val="-3"/>
        </w:rPr>
        <w:t>ha </w:t>
      </w:r>
      <w:r>
        <w:rPr/>
        <w:t>podido conocer, desde una aproximación morfológica, </w:t>
      </w:r>
      <w:r>
        <w:rPr>
          <w:spacing w:val="-3"/>
        </w:rPr>
        <w:t>los </w:t>
      </w:r>
      <w:r>
        <w:rPr/>
        <w:t>procesos de ocupación informal en la zona poniente de la Ciudad de México. En su elaboración </w:t>
      </w:r>
      <w:r>
        <w:rPr>
          <w:spacing w:val="2"/>
        </w:rPr>
        <w:t>se </w:t>
      </w:r>
      <w:r>
        <w:rPr>
          <w:spacing w:val="-3"/>
        </w:rPr>
        <w:t>ha </w:t>
      </w:r>
      <w:r>
        <w:rPr/>
        <w:t>desarrollado un espacio para  análisis futuros o comparativos con ciudades mexicanas y/o</w:t>
      </w:r>
      <w:r>
        <w:rPr>
          <w:spacing w:val="-29"/>
        </w:rPr>
        <w:t> </w:t>
      </w:r>
      <w:r>
        <w:rPr/>
        <w:t>latinoamericanas.</w:t>
      </w:r>
    </w:p>
    <w:p>
      <w:pPr>
        <w:pStyle w:val="BodyText"/>
        <w:spacing w:line="360" w:lineRule="auto" w:before="160"/>
        <w:ind w:left="119" w:right="117"/>
        <w:jc w:val="both"/>
      </w:pPr>
      <w:r>
        <w:rPr/>
        <w:t>De su aplicación se obtuvo información relevante sobre el proceso de ocupación, tanto a nivel delegacional como a nivel poblado, permitiendo conocer el tejido y la distribución irregular en el suelo de conservación. El proceso más importante de localización son los tejidos poco densos pero con presencia de zonas agrícolas porque puede significar nuevos procesos de ocupación a partir del desdoblamiento de los ya existentes, por lo que requieren de mayor atención por parte de las autoridades para evitar la expansión territorial, así como el impacto ambiental que esto traería consigo. No obstante, los tejidos próximos a la frontera urbana también son áreas de invasión que puede derivar en nuevos asentamientos.</w:t>
      </w:r>
    </w:p>
    <w:p>
      <w:pPr>
        <w:pStyle w:val="BodyText"/>
      </w:pPr>
    </w:p>
    <w:p>
      <w:pPr>
        <w:pStyle w:val="BodyText"/>
        <w:spacing w:before="2"/>
        <w:rPr>
          <w:sz w:val="30"/>
        </w:rPr>
      </w:pPr>
    </w:p>
    <w:p>
      <w:pPr>
        <w:pStyle w:val="Heading1"/>
        <w:numPr>
          <w:ilvl w:val="1"/>
          <w:numId w:val="20"/>
        </w:numPr>
        <w:tabs>
          <w:tab w:pos="451" w:val="left" w:leader="none"/>
        </w:tabs>
        <w:spacing w:line="240" w:lineRule="auto" w:before="0" w:after="0"/>
        <w:ind w:left="450" w:right="0" w:hanging="331"/>
        <w:jc w:val="both"/>
      </w:pPr>
      <w:bookmarkStart w:name="_bookmark45" w:id="80"/>
      <w:bookmarkEnd w:id="80"/>
      <w:r>
        <w:rPr>
          <w:b w:val="0"/>
        </w:rPr>
      </w:r>
      <w:bookmarkStart w:name="_bookmark45" w:id="81"/>
      <w:bookmarkEnd w:id="81"/>
      <w:r>
        <w:rPr/>
        <w:t>S</w:t>
      </w:r>
      <w:r>
        <w:rPr/>
        <w:t>egmentación</w:t>
      </w:r>
      <w:r>
        <w:rPr>
          <w:spacing w:val="-6"/>
        </w:rPr>
        <w:t> </w:t>
      </w:r>
      <w:r>
        <w:rPr/>
        <w:t>mediante</w:t>
      </w:r>
      <w:r>
        <w:rPr>
          <w:spacing w:val="-5"/>
        </w:rPr>
        <w:t> </w:t>
      </w:r>
      <w:r>
        <w:rPr/>
        <w:t>Evaluación</w:t>
      </w:r>
      <w:r>
        <w:rPr>
          <w:spacing w:val="-11"/>
        </w:rPr>
        <w:t> </w:t>
      </w:r>
      <w:r>
        <w:rPr/>
        <w:t>Multicriterio</w:t>
      </w:r>
      <w:r>
        <w:rPr>
          <w:spacing w:val="-3"/>
        </w:rPr>
        <w:t> </w:t>
      </w:r>
      <w:r>
        <w:rPr/>
        <w:t>para</w:t>
      </w:r>
      <w:r>
        <w:rPr>
          <w:spacing w:val="-8"/>
        </w:rPr>
        <w:t> </w:t>
      </w:r>
      <w:r>
        <w:rPr/>
        <w:t>áreas</w:t>
      </w:r>
      <w:r>
        <w:rPr>
          <w:spacing w:val="-3"/>
        </w:rPr>
        <w:t> </w:t>
      </w:r>
      <w:r>
        <w:rPr/>
        <w:t>susceptibles</w:t>
      </w:r>
      <w:r>
        <w:rPr>
          <w:spacing w:val="-3"/>
        </w:rPr>
        <w:t> </w:t>
      </w:r>
      <w:r>
        <w:rPr/>
        <w:t>a</w:t>
      </w:r>
      <w:r>
        <w:rPr>
          <w:spacing w:val="-8"/>
        </w:rPr>
        <w:t> </w:t>
      </w:r>
      <w:r>
        <w:rPr/>
        <w:t>deslizamientos</w:t>
      </w:r>
    </w:p>
    <w:p>
      <w:pPr>
        <w:pStyle w:val="BodyText"/>
        <w:rPr>
          <w:b/>
        </w:rPr>
      </w:pPr>
    </w:p>
    <w:p>
      <w:pPr>
        <w:pStyle w:val="BodyText"/>
        <w:rPr>
          <w:b/>
          <w:sz w:val="19"/>
        </w:rPr>
      </w:pPr>
    </w:p>
    <w:p>
      <w:pPr>
        <w:pStyle w:val="BodyText"/>
        <w:spacing w:line="360" w:lineRule="auto"/>
        <w:ind w:left="119" w:right="116"/>
        <w:jc w:val="both"/>
      </w:pPr>
      <w:r>
        <w:rPr/>
        <w:t>De acuerdo con los resultados obtenidos de la Evaluación Multicriterio </w:t>
      </w:r>
      <w:r>
        <w:rPr>
          <w:spacing w:val="2"/>
        </w:rPr>
        <w:t>se </w:t>
      </w:r>
      <w:r>
        <w:rPr/>
        <w:t>registraron 4 zonas de susceptibilidad a deslizamientos en la zona poniente de la Ciudad de México. Encontrando dos  áreas importantes entre la Delegación Álvaro Obregón y Cuajimalpa, una tercera área en la Delegación Magdalena Contreras y una </w:t>
      </w:r>
      <w:r>
        <w:rPr>
          <w:spacing w:val="-3"/>
        </w:rPr>
        <w:t>última </w:t>
      </w:r>
      <w:r>
        <w:rPr/>
        <w:t>al sur de la Delegación</w:t>
      </w:r>
      <w:r>
        <w:rPr>
          <w:spacing w:val="-13"/>
        </w:rPr>
        <w:t> </w:t>
      </w:r>
      <w:r>
        <w:rPr/>
        <w:t>Cuajimalpa.</w:t>
      </w:r>
    </w:p>
    <w:p>
      <w:pPr>
        <w:pStyle w:val="BodyText"/>
        <w:spacing w:line="360" w:lineRule="auto" w:before="163"/>
        <w:ind w:left="119" w:right="120"/>
        <w:jc w:val="both"/>
      </w:pPr>
      <w:r>
        <w:rPr/>
        <w:t>Es considerable resaltar que el área susceptible cercana a la zona urbana tiene la presencia de asentamientos irregulares entre los que destacan el Quizazotle, El Rosal y La Zanja en el Poblado  de San Mateo Tlaltenango en la Delegación Cuajimalpa. Por su parte, dentro de la Delegación Álvaro Obregón los asentamientos que presentan riesgo por deslizamientos son:  Totomastitla, Tierra Nueva Tlaxomulco, Ampliación Cooperativa Miguel Gaona, en el poblado Cooperativa Miguel Gaona. Además de 46 viviendas distribuidas en los asentamiento del Cedral, Paraje Rancho San Francisco, La </w:t>
      </w:r>
      <w:r>
        <w:rPr>
          <w:spacing w:val="-3"/>
        </w:rPr>
        <w:t>Loma </w:t>
      </w:r>
      <w:r>
        <w:rPr/>
        <w:t>y Ampliación Ixtlahuaca en el poblado de San Mateo Tlaltenango en la </w:t>
      </w:r>
      <w:r>
        <w:rPr>
          <w:spacing w:val="-3"/>
        </w:rPr>
        <w:t>misma </w:t>
      </w:r>
      <w:r>
        <w:rPr/>
        <w:t>delegación. Finalmente, en el asentamiento Lomas de Tepozcuatla en el poblado de San Bartolo Ameyalco </w:t>
      </w:r>
      <w:r>
        <w:rPr>
          <w:spacing w:val="2"/>
        </w:rPr>
        <w:t>se </w:t>
      </w:r>
      <w:r>
        <w:rPr/>
        <w:t>presentan 24 viviendas </w:t>
      </w:r>
      <w:r>
        <w:rPr>
          <w:spacing w:val="-2"/>
        </w:rPr>
        <w:t>más </w:t>
      </w:r>
      <w:r>
        <w:rPr/>
        <w:t>en zonas de</w:t>
      </w:r>
      <w:r>
        <w:rPr>
          <w:spacing w:val="-33"/>
        </w:rPr>
        <w:t> </w:t>
      </w:r>
      <w:r>
        <w:rPr/>
        <w:t>susceptibilidad.</w:t>
      </w:r>
    </w:p>
    <w:p>
      <w:pPr>
        <w:pStyle w:val="BodyText"/>
        <w:spacing w:line="360" w:lineRule="auto" w:before="163"/>
        <w:ind w:left="119" w:right="126"/>
        <w:jc w:val="both"/>
      </w:pPr>
      <w:r>
        <w:rPr/>
        <w:t>Respecto a las 3 áreas restantes que resultaron del modelo se puede describir que corresponden a zonas adentradas en el suelo de conservación, que con ayuda del servidor Google Earth y la capa de uso de suelo y vegetación se pueden notar que son zonas de bosque con vegetación abundante, sin embargo son áreas con pendientes pronunciadas y caminos que atraviesan la zona. Es importante</w:t>
      </w:r>
    </w:p>
    <w:p>
      <w:pPr>
        <w:spacing w:after="0" w:line="360" w:lineRule="auto"/>
        <w:jc w:val="both"/>
        <w:sectPr>
          <w:pgSz w:w="12240" w:h="15840"/>
          <w:pgMar w:top="1360" w:bottom="280" w:left="1580" w:right="1580"/>
        </w:sectPr>
      </w:pPr>
    </w:p>
    <w:p>
      <w:pPr>
        <w:pStyle w:val="BodyText"/>
        <w:spacing w:line="362" w:lineRule="auto" w:before="52"/>
        <w:ind w:left="119" w:right="98"/>
        <w:jc w:val="both"/>
      </w:pPr>
      <w:r>
        <w:rPr/>
        <w:t>mencionar que a pesar que estas áreas no tienen presencia de asentamientos humanos, si se encuentran cercanos a las áreas con viviendas irregulares, que durante un proceso de deslizamiento podrían resultar afectadas por su condición física de piedemonte donde se realiza el depósito de material.</w:t>
      </w:r>
    </w:p>
    <w:p>
      <w:pPr>
        <w:spacing w:after="0" w:line="362" w:lineRule="auto"/>
        <w:jc w:val="both"/>
        <w:sectPr>
          <w:pgSz w:w="12240" w:h="15840"/>
          <w:pgMar w:top="1360" w:bottom="280" w:left="1580" w:right="1600"/>
        </w:sectPr>
      </w:pPr>
    </w:p>
    <w:p>
      <w:pPr>
        <w:spacing w:before="52" w:after="6"/>
        <w:ind w:left="139" w:right="145" w:firstLine="0"/>
        <w:jc w:val="center"/>
        <w:rPr>
          <w:b/>
          <w:sz w:val="20"/>
        </w:rPr>
      </w:pPr>
      <w:r>
        <w:rPr>
          <w:b/>
          <w:sz w:val="20"/>
        </w:rPr>
        <w:t>Ilustración 8. Mapa de zonas susceptibles a deslizamientos en la zona poniente</w:t>
      </w:r>
    </w:p>
    <w:p>
      <w:pPr>
        <w:pStyle w:val="BodyText"/>
        <w:ind w:left="101"/>
        <w:rPr>
          <w:sz w:val="20"/>
        </w:rPr>
      </w:pPr>
      <w:r>
        <w:rPr>
          <w:sz w:val="20"/>
        </w:rPr>
        <w:drawing>
          <wp:inline distT="0" distB="0" distL="0" distR="0">
            <wp:extent cx="5529372" cy="7155275"/>
            <wp:effectExtent l="0" t="0" r="0" b="0"/>
            <wp:docPr id="157" name="image127.jpeg" descr=""/>
            <wp:cNvGraphicFramePr>
              <a:graphicFrameLocks noChangeAspect="1"/>
            </wp:cNvGraphicFramePr>
            <a:graphic>
              <a:graphicData uri="http://schemas.openxmlformats.org/drawingml/2006/picture">
                <pic:pic>
                  <pic:nvPicPr>
                    <pic:cNvPr id="158" name="image127.jpeg"/>
                    <pic:cNvPicPr/>
                  </pic:nvPicPr>
                  <pic:blipFill>
                    <a:blip r:embed="rId132" cstate="print"/>
                    <a:stretch>
                      <a:fillRect/>
                    </a:stretch>
                  </pic:blipFill>
                  <pic:spPr>
                    <a:xfrm>
                      <a:off x="0" y="0"/>
                      <a:ext cx="5529372" cy="7155275"/>
                    </a:xfrm>
                    <a:prstGeom prst="rect">
                      <a:avLst/>
                    </a:prstGeom>
                  </pic:spPr>
                </pic:pic>
              </a:graphicData>
            </a:graphic>
          </wp:inline>
        </w:drawing>
      </w:r>
      <w:r>
        <w:rPr>
          <w:sz w:val="20"/>
        </w:rPr>
      </w:r>
    </w:p>
    <w:p>
      <w:pPr>
        <w:spacing w:before="167"/>
        <w:ind w:left="139" w:right="145"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BodyText"/>
        <w:spacing w:line="360" w:lineRule="auto" w:before="52"/>
        <w:ind w:left="119" w:right="127"/>
        <w:jc w:val="both"/>
      </w:pPr>
      <w:r>
        <w:rPr/>
        <w:t>La identificación de las áreas susceptibles para esta investigación resultó de un proceso de selección de variables en la su conjugación permitió brindar información relevante especialmente porque de acuerdo con la literatura y las aseveraciones antes realizadas, los asentamientos irregulares además de generar un impacto ambiental importante durante el proceso de antropización, se asientan en zonas de riesgo latentes.</w:t>
      </w:r>
    </w:p>
    <w:p>
      <w:pPr>
        <w:pStyle w:val="BodyText"/>
        <w:spacing w:line="360" w:lineRule="auto" w:before="163"/>
        <w:ind w:left="119" w:right="116"/>
        <w:jc w:val="both"/>
      </w:pPr>
      <w:r>
        <w:rPr/>
        <w:t>La </w:t>
      </w:r>
      <w:r>
        <w:rPr>
          <w:spacing w:val="-3"/>
        </w:rPr>
        <w:t>zona </w:t>
      </w:r>
      <w:r>
        <w:rPr/>
        <w:t>poniente de la Ciudad de México </w:t>
      </w:r>
      <w:r>
        <w:rPr>
          <w:spacing w:val="-4"/>
        </w:rPr>
        <w:t>es </w:t>
      </w:r>
      <w:r>
        <w:rPr/>
        <w:t>un ejemplo interesante que permitió llegar hasta este resultado debido a sus características territoriales, principalmente compuestas de barrancas, áreas naturales y procesos sociales que lograron asociarse. No obstante, la comprobación del modelo </w:t>
      </w:r>
      <w:r>
        <w:rPr>
          <w:spacing w:val="-4"/>
        </w:rPr>
        <w:t>es  </w:t>
      </w:r>
      <w:r>
        <w:rPr/>
        <w:t>un paso importante para que los resultados de la segmentación sean</w:t>
      </w:r>
      <w:r>
        <w:rPr>
          <w:spacing w:val="-30"/>
        </w:rPr>
        <w:t> </w:t>
      </w:r>
      <w:r>
        <w:rPr/>
        <w:t>válidos.</w:t>
      </w:r>
    </w:p>
    <w:p>
      <w:pPr>
        <w:pStyle w:val="BodyText"/>
        <w:spacing w:line="360" w:lineRule="auto" w:before="168"/>
        <w:ind w:left="119" w:right="126"/>
        <w:jc w:val="both"/>
      </w:pPr>
      <w:r>
        <w:rPr/>
        <w:t>En el siguiente apartado, se presentan los registros históricos de deslizamientos en la zona de estudio, los cuales permiten valorar la evolución de los mismos en el tiempo y los lugares donde ocurrieron desde la década de 1970 al año 2013.</w:t>
      </w:r>
    </w:p>
    <w:p>
      <w:pPr>
        <w:pStyle w:val="BodyText"/>
      </w:pPr>
    </w:p>
    <w:p>
      <w:pPr>
        <w:pStyle w:val="BodyText"/>
        <w:spacing w:before="9"/>
        <w:rPr>
          <w:sz w:val="31"/>
        </w:rPr>
      </w:pPr>
    </w:p>
    <w:p>
      <w:pPr>
        <w:pStyle w:val="Heading1"/>
        <w:numPr>
          <w:ilvl w:val="1"/>
          <w:numId w:val="20"/>
        </w:numPr>
        <w:tabs>
          <w:tab w:pos="456" w:val="left" w:leader="none"/>
        </w:tabs>
        <w:spacing w:line="240" w:lineRule="auto" w:before="0" w:after="0"/>
        <w:ind w:left="455" w:right="0" w:hanging="336"/>
        <w:jc w:val="both"/>
      </w:pPr>
      <w:bookmarkStart w:name="_bookmark46" w:id="82"/>
      <w:bookmarkEnd w:id="82"/>
      <w:r>
        <w:rPr>
          <w:b w:val="0"/>
        </w:rPr>
      </w:r>
      <w:bookmarkStart w:name="_bookmark46" w:id="83"/>
      <w:bookmarkEnd w:id="83"/>
      <w:r>
        <w:rPr/>
        <w:t>C</w:t>
      </w:r>
      <w:r>
        <w:rPr/>
        <w:t>omprobación del </w:t>
      </w:r>
      <w:r>
        <w:rPr>
          <w:spacing w:val="-3"/>
        </w:rPr>
        <w:t>modelo </w:t>
      </w:r>
      <w:r>
        <w:rPr/>
        <w:t>de deslizamientos a partir de registros</w:t>
      </w:r>
      <w:r>
        <w:rPr>
          <w:spacing w:val="-21"/>
        </w:rPr>
        <w:t> </w:t>
      </w:r>
      <w:r>
        <w:rPr/>
        <w:t>históricos</w:t>
      </w:r>
    </w:p>
    <w:p>
      <w:pPr>
        <w:pStyle w:val="BodyText"/>
        <w:rPr>
          <w:b/>
        </w:rPr>
      </w:pPr>
    </w:p>
    <w:p>
      <w:pPr>
        <w:pStyle w:val="BodyText"/>
        <w:rPr>
          <w:b/>
        </w:rPr>
      </w:pPr>
    </w:p>
    <w:p>
      <w:pPr>
        <w:pStyle w:val="BodyText"/>
        <w:spacing w:line="360" w:lineRule="auto" w:before="153"/>
        <w:ind w:left="119" w:right="122"/>
        <w:jc w:val="both"/>
      </w:pPr>
      <w:r>
        <w:rPr/>
        <w:t>De acuerdo con la información extraída del Sistema de inventario de efectos de desastres, en la zona de estudio se registraron 105 eventos de deslizamientos de los cuales se lograron espacializar sólo 74 debido a la falta de ubicación específica en los registros en cada delegación. Desde la década de 1970 al año 2013 se registraron 105 eventos en la zona de estudio (ver anexo 2); 38 registros de deslizamientos en la Delegación Álvaro Obregón, 44 en la Delegación Cuajimalpa y 23 en la Delegación Magdalena Contreras.</w:t>
      </w:r>
    </w:p>
    <w:p>
      <w:pPr>
        <w:pStyle w:val="BodyText"/>
        <w:spacing w:line="360" w:lineRule="auto" w:before="163"/>
        <w:ind w:left="119" w:right="131"/>
        <w:jc w:val="both"/>
      </w:pPr>
      <w:r>
        <w:rPr/>
        <w:t>A continuación se presenta una tabla resumen, en la que se muestra el período de registro desde el año más antiguo con el que cuenta cada delegación hasta el actual, el número de deslizamientos, número de muertos, damnificados, viviendas destruidas, viviendas afectadas y tipo de causa.</w:t>
      </w:r>
    </w:p>
    <w:p>
      <w:pPr>
        <w:spacing w:after="0" w:line="360" w:lineRule="auto"/>
        <w:jc w:val="both"/>
        <w:sectPr>
          <w:pgSz w:w="12240" w:h="15840"/>
          <w:pgMar w:top="1360" w:bottom="280" w:left="1580" w:right="1580"/>
        </w:sectPr>
      </w:pPr>
    </w:p>
    <w:p>
      <w:pPr>
        <w:spacing w:before="52" w:after="11"/>
        <w:ind w:left="1038" w:right="1028" w:firstLine="0"/>
        <w:jc w:val="center"/>
        <w:rPr>
          <w:b/>
          <w:sz w:val="20"/>
        </w:rPr>
      </w:pPr>
      <w:r>
        <w:rPr>
          <w:b/>
          <w:sz w:val="20"/>
        </w:rPr>
        <w:t>Tabla 7. Resumen de los registros históricos de deslizamientos en la zona poniente</w:t>
      </w:r>
    </w:p>
    <w:tbl>
      <w:tblPr>
        <w:tblW w:w="0" w:type="auto"/>
        <w:jc w:val="left"/>
        <w:tblInd w:w="121" w:type="dxa"/>
        <w:tblBorders>
          <w:top w:val="single" w:sz="3" w:space="0" w:color="D3D3D3"/>
          <w:left w:val="single" w:sz="3" w:space="0" w:color="D3D3D3"/>
          <w:bottom w:val="single" w:sz="3" w:space="0" w:color="D3D3D3"/>
          <w:right w:val="single" w:sz="3" w:space="0" w:color="D3D3D3"/>
          <w:insideH w:val="single" w:sz="3" w:space="0" w:color="D3D3D3"/>
          <w:insideV w:val="single" w:sz="3" w:space="0" w:color="D3D3D3"/>
        </w:tblBorders>
        <w:tblLayout w:type="fixed"/>
        <w:tblCellMar>
          <w:top w:w="0" w:type="dxa"/>
          <w:left w:w="0" w:type="dxa"/>
          <w:bottom w:w="0" w:type="dxa"/>
          <w:right w:w="0" w:type="dxa"/>
        </w:tblCellMar>
        <w:tblLook w:val="01E0"/>
      </w:tblPr>
      <w:tblGrid>
        <w:gridCol w:w="1453"/>
        <w:gridCol w:w="909"/>
        <w:gridCol w:w="1113"/>
        <w:gridCol w:w="883"/>
        <w:gridCol w:w="1164"/>
        <w:gridCol w:w="1087"/>
        <w:gridCol w:w="1045"/>
        <w:gridCol w:w="1181"/>
      </w:tblGrid>
      <w:tr>
        <w:trPr>
          <w:trHeight w:val="667" w:hRule="exact"/>
        </w:trPr>
        <w:tc>
          <w:tcPr>
            <w:tcW w:w="8835" w:type="dxa"/>
            <w:gridSpan w:val="8"/>
            <w:tcBorders>
              <w:top w:val="nil"/>
              <w:left w:val="nil"/>
              <w:bottom w:val="nil"/>
              <w:right w:val="nil"/>
            </w:tcBorders>
            <w:shd w:val="clear" w:color="auto" w:fill="212B35"/>
          </w:tcPr>
          <w:p>
            <w:pPr>
              <w:pStyle w:val="TableParagraph"/>
              <w:rPr>
                <w:b/>
                <w:sz w:val="17"/>
              </w:rPr>
            </w:pPr>
          </w:p>
          <w:p>
            <w:pPr>
              <w:pStyle w:val="TableParagraph"/>
              <w:tabs>
                <w:tab w:pos="1626" w:val="left" w:leader="none"/>
                <w:tab w:pos="2620" w:val="left" w:leader="none"/>
                <w:tab w:pos="3614" w:val="left" w:leader="none"/>
                <w:tab w:pos="4464" w:val="left" w:leader="none"/>
                <w:tab w:pos="5696" w:val="left" w:leader="none"/>
                <w:tab w:pos="6783" w:val="left" w:leader="none"/>
                <w:tab w:pos="7752" w:val="left" w:leader="none"/>
              </w:tabs>
              <w:spacing w:line="136" w:lineRule="auto"/>
              <w:ind w:left="2391" w:right="105" w:hanging="2057"/>
              <w:rPr>
                <w:b/>
                <w:sz w:val="17"/>
              </w:rPr>
            </w:pPr>
            <w:r>
              <w:rPr>
                <w:b/>
                <w:color w:val="FFFFFF"/>
                <w:sz w:val="17"/>
              </w:rPr>
              <w:t>Delegación</w:t>
              <w:tab/>
              <w:t>Período</w:t>
              <w:tab/>
              <w:tab/>
            </w:r>
            <w:r>
              <w:rPr>
                <w:b/>
                <w:color w:val="FFFFFF"/>
                <w:spacing w:val="-8"/>
                <w:position w:val="11"/>
                <w:sz w:val="17"/>
              </w:rPr>
              <w:t>Num.</w:t>
            </w:r>
            <w:r>
              <w:rPr>
                <w:b/>
                <w:color w:val="FFFFFF"/>
                <w:position w:val="11"/>
                <w:sz w:val="17"/>
              </w:rPr>
              <w:t> </w:t>
            </w:r>
            <w:r>
              <w:rPr>
                <w:b/>
                <w:color w:val="FFFFFF"/>
                <w:spacing w:val="-6"/>
                <w:position w:val="11"/>
                <w:sz w:val="17"/>
              </w:rPr>
              <w:t>de</w:t>
              <w:tab/>
            </w:r>
            <w:r>
              <w:rPr>
                <w:b/>
                <w:color w:val="FFFFFF"/>
                <w:spacing w:val="-3"/>
                <w:sz w:val="17"/>
              </w:rPr>
              <w:t>Muertos</w:t>
              <w:tab/>
            </w:r>
            <w:r>
              <w:rPr>
                <w:b/>
                <w:color w:val="FFFFFF"/>
                <w:spacing w:val="-5"/>
                <w:sz w:val="17"/>
              </w:rPr>
              <w:t>Damnificados</w:t>
              <w:tab/>
            </w:r>
            <w:r>
              <w:rPr>
                <w:b/>
                <w:color w:val="FFFFFF"/>
                <w:spacing w:val="-3"/>
                <w:position w:val="11"/>
                <w:sz w:val="17"/>
              </w:rPr>
              <w:t>Viviendas</w:t>
              <w:tab/>
              <w:t>Viviendas</w:t>
              <w:tab/>
            </w:r>
            <w:r>
              <w:rPr>
                <w:b/>
                <w:color w:val="FFFFFF"/>
                <w:position w:val="11"/>
                <w:sz w:val="17"/>
              </w:rPr>
              <w:t> </w:t>
            </w:r>
            <w:r>
              <w:rPr>
                <w:b/>
                <w:color w:val="FFFFFF"/>
                <w:spacing w:val="-5"/>
                <w:sz w:val="17"/>
              </w:rPr>
              <w:t>Tipo de</w:t>
            </w:r>
            <w:r>
              <w:rPr>
                <w:b/>
                <w:color w:val="FFFFFF"/>
                <w:spacing w:val="-2"/>
                <w:sz w:val="17"/>
              </w:rPr>
              <w:t> </w:t>
            </w:r>
            <w:r>
              <w:rPr>
                <w:b/>
                <w:color w:val="FFFFFF"/>
                <w:sz w:val="17"/>
              </w:rPr>
              <w:t>causa</w:t>
            </w:r>
            <w:r>
              <w:rPr>
                <w:b/>
                <w:color w:val="FFFFFF"/>
                <w:spacing w:val="-7"/>
                <w:sz w:val="17"/>
              </w:rPr>
              <w:t> </w:t>
            </w:r>
            <w:r>
              <w:rPr>
                <w:b/>
                <w:color w:val="FFFFFF"/>
                <w:sz w:val="17"/>
              </w:rPr>
              <w:t>deslizamientos</w:t>
              <w:tab/>
              <w:tab/>
              <w:tab/>
            </w:r>
            <w:r>
              <w:rPr>
                <w:b/>
                <w:color w:val="FFFFFF"/>
                <w:spacing w:val="-4"/>
                <w:sz w:val="17"/>
              </w:rPr>
              <w:t>destruidas</w:t>
              <w:tab/>
            </w:r>
            <w:r>
              <w:rPr>
                <w:b/>
                <w:color w:val="FFFFFF"/>
                <w:sz w:val="17"/>
              </w:rPr>
              <w:t>afectadas</w:t>
            </w:r>
          </w:p>
        </w:tc>
      </w:tr>
      <w:tr>
        <w:trPr>
          <w:trHeight w:val="509" w:hRule="exact"/>
        </w:trPr>
        <w:tc>
          <w:tcPr>
            <w:tcW w:w="1453" w:type="dxa"/>
            <w:tcBorders>
              <w:top w:val="nil"/>
            </w:tcBorders>
          </w:tcPr>
          <w:p>
            <w:pPr>
              <w:pStyle w:val="TableParagraph"/>
              <w:rPr>
                <w:b/>
                <w:sz w:val="16"/>
              </w:rPr>
            </w:pPr>
          </w:p>
          <w:p>
            <w:pPr>
              <w:pStyle w:val="TableParagraph"/>
              <w:spacing w:before="122"/>
              <w:ind w:left="25" w:right="-25"/>
              <w:rPr>
                <w:sz w:val="17"/>
              </w:rPr>
            </w:pPr>
            <w:r>
              <w:rPr>
                <w:sz w:val="17"/>
              </w:rPr>
              <w:t>Álvaro Obregón</w:t>
            </w:r>
          </w:p>
        </w:tc>
        <w:tc>
          <w:tcPr>
            <w:tcW w:w="909" w:type="dxa"/>
            <w:tcBorders>
              <w:top w:val="nil"/>
              <w:right w:val="single" w:sz="4" w:space="0" w:color="D3D3D3"/>
            </w:tcBorders>
          </w:tcPr>
          <w:p>
            <w:pPr>
              <w:pStyle w:val="TableParagraph"/>
              <w:rPr>
                <w:b/>
                <w:sz w:val="16"/>
              </w:rPr>
            </w:pPr>
          </w:p>
          <w:p>
            <w:pPr>
              <w:pStyle w:val="TableParagraph"/>
              <w:spacing w:before="122"/>
              <w:ind w:right="23"/>
              <w:jc w:val="right"/>
              <w:rPr>
                <w:sz w:val="17"/>
              </w:rPr>
            </w:pPr>
            <w:r>
              <w:rPr>
                <w:sz w:val="17"/>
              </w:rPr>
              <w:t>1972-2013</w:t>
            </w:r>
          </w:p>
        </w:tc>
        <w:tc>
          <w:tcPr>
            <w:tcW w:w="1113" w:type="dxa"/>
            <w:tcBorders>
              <w:top w:val="nil"/>
              <w:left w:val="single" w:sz="4" w:space="0" w:color="D3D3D3"/>
            </w:tcBorders>
          </w:tcPr>
          <w:p>
            <w:pPr>
              <w:pStyle w:val="TableParagraph"/>
              <w:rPr>
                <w:b/>
                <w:sz w:val="16"/>
              </w:rPr>
            </w:pPr>
          </w:p>
          <w:p>
            <w:pPr>
              <w:pStyle w:val="TableParagraph"/>
              <w:spacing w:before="122"/>
              <w:ind w:right="23"/>
              <w:jc w:val="right"/>
              <w:rPr>
                <w:sz w:val="17"/>
              </w:rPr>
            </w:pPr>
            <w:r>
              <w:rPr>
                <w:sz w:val="17"/>
              </w:rPr>
              <w:t>38</w:t>
            </w:r>
          </w:p>
        </w:tc>
        <w:tc>
          <w:tcPr>
            <w:tcW w:w="883" w:type="dxa"/>
            <w:tcBorders>
              <w:top w:val="nil"/>
            </w:tcBorders>
          </w:tcPr>
          <w:p>
            <w:pPr>
              <w:pStyle w:val="TableParagraph"/>
              <w:rPr>
                <w:b/>
                <w:sz w:val="16"/>
              </w:rPr>
            </w:pPr>
          </w:p>
          <w:p>
            <w:pPr>
              <w:pStyle w:val="TableParagraph"/>
              <w:spacing w:before="122"/>
              <w:ind w:right="23"/>
              <w:jc w:val="right"/>
              <w:rPr>
                <w:sz w:val="17"/>
              </w:rPr>
            </w:pPr>
            <w:r>
              <w:rPr>
                <w:sz w:val="17"/>
              </w:rPr>
              <w:t>34</w:t>
            </w:r>
          </w:p>
        </w:tc>
        <w:tc>
          <w:tcPr>
            <w:tcW w:w="1164" w:type="dxa"/>
            <w:tcBorders>
              <w:top w:val="nil"/>
            </w:tcBorders>
          </w:tcPr>
          <w:p>
            <w:pPr>
              <w:pStyle w:val="TableParagraph"/>
              <w:rPr>
                <w:b/>
                <w:sz w:val="16"/>
              </w:rPr>
            </w:pPr>
          </w:p>
          <w:p>
            <w:pPr>
              <w:pStyle w:val="TableParagraph"/>
              <w:spacing w:before="122"/>
              <w:ind w:right="23"/>
              <w:jc w:val="right"/>
              <w:rPr>
                <w:sz w:val="17"/>
              </w:rPr>
            </w:pPr>
            <w:r>
              <w:rPr>
                <w:sz w:val="17"/>
              </w:rPr>
              <w:t>690</w:t>
            </w:r>
          </w:p>
        </w:tc>
        <w:tc>
          <w:tcPr>
            <w:tcW w:w="1087" w:type="dxa"/>
            <w:tcBorders>
              <w:top w:val="nil"/>
            </w:tcBorders>
          </w:tcPr>
          <w:p>
            <w:pPr>
              <w:pStyle w:val="TableParagraph"/>
              <w:rPr>
                <w:b/>
                <w:sz w:val="16"/>
              </w:rPr>
            </w:pPr>
          </w:p>
          <w:p>
            <w:pPr>
              <w:pStyle w:val="TableParagraph"/>
              <w:spacing w:before="122"/>
              <w:ind w:right="23"/>
              <w:jc w:val="right"/>
              <w:rPr>
                <w:sz w:val="17"/>
              </w:rPr>
            </w:pPr>
            <w:r>
              <w:rPr>
                <w:sz w:val="17"/>
              </w:rPr>
              <w:t>52</w:t>
            </w:r>
          </w:p>
        </w:tc>
        <w:tc>
          <w:tcPr>
            <w:tcW w:w="1045" w:type="dxa"/>
            <w:tcBorders>
              <w:top w:val="nil"/>
            </w:tcBorders>
          </w:tcPr>
          <w:p>
            <w:pPr>
              <w:pStyle w:val="TableParagraph"/>
              <w:rPr>
                <w:b/>
                <w:sz w:val="16"/>
              </w:rPr>
            </w:pPr>
          </w:p>
          <w:p>
            <w:pPr>
              <w:pStyle w:val="TableParagraph"/>
              <w:spacing w:before="122"/>
              <w:ind w:right="23"/>
              <w:jc w:val="right"/>
              <w:rPr>
                <w:sz w:val="17"/>
              </w:rPr>
            </w:pPr>
            <w:r>
              <w:rPr>
                <w:sz w:val="17"/>
              </w:rPr>
              <w:t>213</w:t>
            </w:r>
          </w:p>
        </w:tc>
        <w:tc>
          <w:tcPr>
            <w:tcW w:w="1181" w:type="dxa"/>
            <w:tcBorders>
              <w:top w:val="nil"/>
            </w:tcBorders>
          </w:tcPr>
          <w:p>
            <w:pPr>
              <w:pStyle w:val="TableParagraph"/>
              <w:spacing w:line="273" w:lineRule="auto" w:before="83"/>
              <w:ind w:left="221" w:hanging="145"/>
              <w:rPr>
                <w:sz w:val="17"/>
              </w:rPr>
            </w:pPr>
            <w:r>
              <w:rPr>
                <w:sz w:val="17"/>
              </w:rPr>
              <w:t>Principalmente por lluvias</w:t>
            </w:r>
          </w:p>
        </w:tc>
      </w:tr>
      <w:tr>
        <w:trPr>
          <w:trHeight w:val="649" w:hRule="exact"/>
        </w:trPr>
        <w:tc>
          <w:tcPr>
            <w:tcW w:w="1453" w:type="dxa"/>
          </w:tcPr>
          <w:p>
            <w:pPr>
              <w:pStyle w:val="TableParagraph"/>
              <w:rPr>
                <w:b/>
                <w:sz w:val="16"/>
              </w:rPr>
            </w:pPr>
          </w:p>
          <w:p>
            <w:pPr>
              <w:pStyle w:val="TableParagraph"/>
              <w:spacing w:before="5"/>
              <w:rPr>
                <w:b/>
                <w:sz w:val="22"/>
              </w:rPr>
            </w:pPr>
          </w:p>
          <w:p>
            <w:pPr>
              <w:pStyle w:val="TableParagraph"/>
              <w:spacing w:before="1"/>
              <w:ind w:left="25" w:right="-25"/>
              <w:rPr>
                <w:sz w:val="17"/>
              </w:rPr>
            </w:pPr>
            <w:r>
              <w:rPr>
                <w:sz w:val="17"/>
              </w:rPr>
              <w:t>Cuajimalpa</w:t>
            </w:r>
          </w:p>
        </w:tc>
        <w:tc>
          <w:tcPr>
            <w:tcW w:w="909" w:type="dxa"/>
            <w:tcBorders>
              <w:right w:val="single" w:sz="4" w:space="0" w:color="D3D3D3"/>
            </w:tcBorders>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1974-2013</w:t>
            </w:r>
          </w:p>
        </w:tc>
        <w:tc>
          <w:tcPr>
            <w:tcW w:w="1113" w:type="dxa"/>
            <w:tcBorders>
              <w:left w:val="single" w:sz="4" w:space="0" w:color="D3D3D3"/>
            </w:tcBorders>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44</w:t>
            </w:r>
          </w:p>
        </w:tc>
        <w:tc>
          <w:tcPr>
            <w:tcW w:w="883" w:type="dxa"/>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23</w:t>
            </w:r>
          </w:p>
        </w:tc>
        <w:tc>
          <w:tcPr>
            <w:tcW w:w="1164" w:type="dxa"/>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61</w:t>
            </w:r>
          </w:p>
        </w:tc>
        <w:tc>
          <w:tcPr>
            <w:tcW w:w="1087" w:type="dxa"/>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12</w:t>
            </w:r>
          </w:p>
        </w:tc>
        <w:tc>
          <w:tcPr>
            <w:tcW w:w="1045" w:type="dxa"/>
          </w:tcPr>
          <w:p>
            <w:pPr>
              <w:pStyle w:val="TableParagraph"/>
              <w:rPr>
                <w:b/>
                <w:sz w:val="16"/>
              </w:rPr>
            </w:pPr>
          </w:p>
          <w:p>
            <w:pPr>
              <w:pStyle w:val="TableParagraph"/>
              <w:spacing w:before="5"/>
              <w:rPr>
                <w:b/>
                <w:sz w:val="22"/>
              </w:rPr>
            </w:pPr>
          </w:p>
          <w:p>
            <w:pPr>
              <w:pStyle w:val="TableParagraph"/>
              <w:spacing w:before="1"/>
              <w:ind w:right="23"/>
              <w:jc w:val="right"/>
              <w:rPr>
                <w:sz w:val="17"/>
              </w:rPr>
            </w:pPr>
            <w:r>
              <w:rPr>
                <w:sz w:val="17"/>
              </w:rPr>
              <w:t>51</w:t>
            </w:r>
          </w:p>
        </w:tc>
        <w:tc>
          <w:tcPr>
            <w:tcW w:w="1181" w:type="dxa"/>
          </w:tcPr>
          <w:p>
            <w:pPr>
              <w:pStyle w:val="TableParagraph"/>
              <w:spacing w:before="1"/>
              <w:rPr>
                <w:b/>
                <w:sz w:val="19"/>
              </w:rPr>
            </w:pPr>
          </w:p>
          <w:p>
            <w:pPr>
              <w:pStyle w:val="TableParagraph"/>
              <w:spacing w:line="273" w:lineRule="auto" w:before="1"/>
              <w:ind w:left="221" w:hanging="145"/>
              <w:rPr>
                <w:sz w:val="17"/>
              </w:rPr>
            </w:pPr>
            <w:r>
              <w:rPr>
                <w:sz w:val="17"/>
              </w:rPr>
              <w:t>Principalmente por lluvias</w:t>
            </w:r>
          </w:p>
        </w:tc>
      </w:tr>
      <w:tr>
        <w:trPr>
          <w:trHeight w:val="598" w:hRule="exact"/>
        </w:trPr>
        <w:tc>
          <w:tcPr>
            <w:tcW w:w="1453" w:type="dxa"/>
          </w:tcPr>
          <w:p>
            <w:pPr>
              <w:pStyle w:val="TableParagraph"/>
              <w:rPr>
                <w:b/>
                <w:sz w:val="16"/>
              </w:rPr>
            </w:pPr>
          </w:p>
          <w:p>
            <w:pPr>
              <w:pStyle w:val="TableParagraph"/>
              <w:rPr>
                <w:b/>
                <w:sz w:val="18"/>
              </w:rPr>
            </w:pPr>
          </w:p>
          <w:p>
            <w:pPr>
              <w:pStyle w:val="TableParagraph"/>
              <w:ind w:left="25" w:right="-25"/>
              <w:rPr>
                <w:sz w:val="17"/>
              </w:rPr>
            </w:pPr>
            <w:r>
              <w:rPr>
                <w:spacing w:val="-3"/>
                <w:sz w:val="17"/>
              </w:rPr>
              <w:t>Magdalena</w:t>
            </w:r>
            <w:r>
              <w:rPr>
                <w:spacing w:val="-8"/>
                <w:sz w:val="17"/>
              </w:rPr>
              <w:t> </w:t>
            </w:r>
            <w:r>
              <w:rPr>
                <w:sz w:val="17"/>
              </w:rPr>
              <w:t>Contreras</w:t>
            </w:r>
          </w:p>
        </w:tc>
        <w:tc>
          <w:tcPr>
            <w:tcW w:w="909" w:type="dxa"/>
            <w:tcBorders>
              <w:right w:val="single" w:sz="4" w:space="0" w:color="D3D3D3"/>
            </w:tcBorders>
          </w:tcPr>
          <w:p>
            <w:pPr>
              <w:pStyle w:val="TableParagraph"/>
              <w:rPr>
                <w:b/>
                <w:sz w:val="16"/>
              </w:rPr>
            </w:pPr>
          </w:p>
          <w:p>
            <w:pPr>
              <w:pStyle w:val="TableParagraph"/>
              <w:rPr>
                <w:b/>
                <w:sz w:val="18"/>
              </w:rPr>
            </w:pPr>
          </w:p>
          <w:p>
            <w:pPr>
              <w:pStyle w:val="TableParagraph"/>
              <w:ind w:right="23"/>
              <w:jc w:val="right"/>
              <w:rPr>
                <w:sz w:val="17"/>
              </w:rPr>
            </w:pPr>
            <w:r>
              <w:rPr>
                <w:sz w:val="17"/>
              </w:rPr>
              <w:t>1979-2013</w:t>
            </w:r>
          </w:p>
        </w:tc>
        <w:tc>
          <w:tcPr>
            <w:tcW w:w="1113" w:type="dxa"/>
            <w:tcBorders>
              <w:left w:val="single" w:sz="4" w:space="0" w:color="D3D3D3"/>
            </w:tcBorders>
          </w:tcPr>
          <w:p>
            <w:pPr>
              <w:pStyle w:val="TableParagraph"/>
              <w:rPr>
                <w:b/>
                <w:sz w:val="16"/>
              </w:rPr>
            </w:pPr>
          </w:p>
          <w:p>
            <w:pPr>
              <w:pStyle w:val="TableParagraph"/>
              <w:rPr>
                <w:b/>
                <w:sz w:val="18"/>
              </w:rPr>
            </w:pPr>
          </w:p>
          <w:p>
            <w:pPr>
              <w:pStyle w:val="TableParagraph"/>
              <w:ind w:right="23"/>
              <w:jc w:val="right"/>
              <w:rPr>
                <w:sz w:val="17"/>
              </w:rPr>
            </w:pPr>
            <w:r>
              <w:rPr>
                <w:sz w:val="17"/>
              </w:rPr>
              <w:t>23</w:t>
            </w:r>
          </w:p>
        </w:tc>
        <w:tc>
          <w:tcPr>
            <w:tcW w:w="883" w:type="dxa"/>
          </w:tcPr>
          <w:p>
            <w:pPr>
              <w:pStyle w:val="TableParagraph"/>
              <w:rPr>
                <w:b/>
                <w:sz w:val="16"/>
              </w:rPr>
            </w:pPr>
          </w:p>
          <w:p>
            <w:pPr>
              <w:pStyle w:val="TableParagraph"/>
              <w:rPr>
                <w:b/>
                <w:sz w:val="18"/>
              </w:rPr>
            </w:pPr>
          </w:p>
          <w:p>
            <w:pPr>
              <w:pStyle w:val="TableParagraph"/>
              <w:ind w:right="23"/>
              <w:jc w:val="right"/>
              <w:rPr>
                <w:sz w:val="17"/>
              </w:rPr>
            </w:pPr>
            <w:r>
              <w:rPr>
                <w:sz w:val="17"/>
              </w:rPr>
              <w:t>16</w:t>
            </w:r>
          </w:p>
        </w:tc>
        <w:tc>
          <w:tcPr>
            <w:tcW w:w="1164" w:type="dxa"/>
          </w:tcPr>
          <w:p>
            <w:pPr>
              <w:pStyle w:val="TableParagraph"/>
              <w:rPr>
                <w:b/>
                <w:sz w:val="16"/>
              </w:rPr>
            </w:pPr>
          </w:p>
          <w:p>
            <w:pPr>
              <w:pStyle w:val="TableParagraph"/>
              <w:rPr>
                <w:b/>
                <w:sz w:val="18"/>
              </w:rPr>
            </w:pPr>
          </w:p>
          <w:p>
            <w:pPr>
              <w:pStyle w:val="TableParagraph"/>
              <w:ind w:right="23"/>
              <w:jc w:val="right"/>
              <w:rPr>
                <w:sz w:val="17"/>
              </w:rPr>
            </w:pPr>
            <w:r>
              <w:rPr>
                <w:w w:val="100"/>
                <w:sz w:val="17"/>
              </w:rPr>
              <w:t>0</w:t>
            </w:r>
          </w:p>
        </w:tc>
        <w:tc>
          <w:tcPr>
            <w:tcW w:w="1087" w:type="dxa"/>
          </w:tcPr>
          <w:p>
            <w:pPr>
              <w:pStyle w:val="TableParagraph"/>
              <w:rPr>
                <w:b/>
                <w:sz w:val="16"/>
              </w:rPr>
            </w:pPr>
          </w:p>
          <w:p>
            <w:pPr>
              <w:pStyle w:val="TableParagraph"/>
              <w:rPr>
                <w:b/>
                <w:sz w:val="18"/>
              </w:rPr>
            </w:pPr>
          </w:p>
          <w:p>
            <w:pPr>
              <w:pStyle w:val="TableParagraph"/>
              <w:ind w:right="23"/>
              <w:jc w:val="right"/>
              <w:rPr>
                <w:sz w:val="17"/>
              </w:rPr>
            </w:pPr>
            <w:r>
              <w:rPr>
                <w:sz w:val="17"/>
              </w:rPr>
              <w:t>16</w:t>
            </w:r>
          </w:p>
        </w:tc>
        <w:tc>
          <w:tcPr>
            <w:tcW w:w="1045" w:type="dxa"/>
          </w:tcPr>
          <w:p>
            <w:pPr>
              <w:pStyle w:val="TableParagraph"/>
              <w:rPr>
                <w:b/>
                <w:sz w:val="16"/>
              </w:rPr>
            </w:pPr>
          </w:p>
          <w:p>
            <w:pPr>
              <w:pStyle w:val="TableParagraph"/>
              <w:rPr>
                <w:b/>
                <w:sz w:val="18"/>
              </w:rPr>
            </w:pPr>
          </w:p>
          <w:p>
            <w:pPr>
              <w:pStyle w:val="TableParagraph"/>
              <w:ind w:right="23"/>
              <w:jc w:val="right"/>
              <w:rPr>
                <w:sz w:val="17"/>
              </w:rPr>
            </w:pPr>
            <w:r>
              <w:rPr>
                <w:sz w:val="17"/>
              </w:rPr>
              <w:t>926</w:t>
            </w:r>
          </w:p>
        </w:tc>
        <w:tc>
          <w:tcPr>
            <w:tcW w:w="1181" w:type="dxa"/>
          </w:tcPr>
          <w:p>
            <w:pPr>
              <w:pStyle w:val="TableParagraph"/>
              <w:spacing w:before="8"/>
              <w:rPr>
                <w:b/>
                <w:sz w:val="14"/>
              </w:rPr>
            </w:pPr>
          </w:p>
          <w:p>
            <w:pPr>
              <w:pStyle w:val="TableParagraph"/>
              <w:spacing w:line="273" w:lineRule="auto"/>
              <w:ind w:left="221" w:hanging="145"/>
              <w:rPr>
                <w:sz w:val="17"/>
              </w:rPr>
            </w:pPr>
            <w:r>
              <w:rPr>
                <w:sz w:val="17"/>
              </w:rPr>
              <w:t>Principalmente por lluvias</w:t>
            </w:r>
          </w:p>
        </w:tc>
      </w:tr>
    </w:tbl>
    <w:p>
      <w:pPr>
        <w:spacing w:before="0"/>
        <w:ind w:left="1038" w:right="1026" w:firstLine="0"/>
        <w:jc w:val="center"/>
        <w:rPr>
          <w:sz w:val="16"/>
        </w:rPr>
      </w:pPr>
      <w:r>
        <w:rPr>
          <w:sz w:val="16"/>
        </w:rPr>
        <w:t>Fuente: Elaboración propia con base en el Sistema de inventario de efectos de desastres</w:t>
      </w:r>
    </w:p>
    <w:p>
      <w:pPr>
        <w:pStyle w:val="BodyText"/>
        <w:rPr>
          <w:sz w:val="16"/>
        </w:rPr>
      </w:pPr>
    </w:p>
    <w:p>
      <w:pPr>
        <w:pStyle w:val="BodyText"/>
        <w:spacing w:before="2"/>
        <w:rPr>
          <w:sz w:val="23"/>
        </w:rPr>
      </w:pPr>
    </w:p>
    <w:p>
      <w:pPr>
        <w:pStyle w:val="BodyText"/>
        <w:spacing w:line="360" w:lineRule="auto"/>
        <w:ind w:left="119" w:right="117"/>
        <w:jc w:val="both"/>
      </w:pPr>
      <w:r>
        <w:rPr/>
        <w:t>Según con la información antes presentada, la Delegación Cuajimalpa </w:t>
      </w:r>
      <w:r>
        <w:rPr>
          <w:spacing w:val="-4"/>
        </w:rPr>
        <w:t>es </w:t>
      </w:r>
      <w:r>
        <w:rPr/>
        <w:t>la que alberga </w:t>
      </w:r>
      <w:r>
        <w:rPr>
          <w:spacing w:val="-4"/>
        </w:rPr>
        <w:t>el </w:t>
      </w:r>
      <w:r>
        <w:rPr>
          <w:spacing w:val="-3"/>
        </w:rPr>
        <w:t>mayor </w:t>
      </w:r>
      <w:r>
        <w:rPr/>
        <w:t>número de sucesos con 44 registros, seguida de la Delegación Álvaro Obregón con 38 y en </w:t>
      </w:r>
      <w:r>
        <w:rPr>
          <w:spacing w:val="-3"/>
        </w:rPr>
        <w:t>menor </w:t>
      </w:r>
      <w:r>
        <w:rPr/>
        <w:t>proporción, la Delegación Magdalena Contreras con 23. No obstante, el mayor número de damnificados (690 personas) y viviendas destruidas (52) </w:t>
      </w:r>
      <w:r>
        <w:rPr>
          <w:spacing w:val="2"/>
        </w:rPr>
        <w:t>se </w:t>
      </w:r>
      <w:r>
        <w:rPr/>
        <w:t>localizan en la Delegación Álvaro Obregón, mientras que el </w:t>
      </w:r>
      <w:r>
        <w:rPr>
          <w:spacing w:val="-3"/>
        </w:rPr>
        <w:t>mayor </w:t>
      </w:r>
      <w:r>
        <w:rPr/>
        <w:t>número de viviendas afectadas se ubican en la Delegación Magdalena Contreras. Es importante señalar, que el tipo de causa de los deslizamientos en la zona de estudio </w:t>
      </w:r>
      <w:r>
        <w:rPr>
          <w:spacing w:val="2"/>
        </w:rPr>
        <w:t>se </w:t>
      </w:r>
      <w:r>
        <w:rPr/>
        <w:t>debe principalmente a las lluvias. En la siguiente cartografía se muestran los registros históricos de los deslizamientos en la</w:t>
      </w:r>
      <w:r>
        <w:rPr>
          <w:spacing w:val="-14"/>
        </w:rPr>
        <w:t> </w:t>
      </w:r>
      <w:r>
        <w:rPr/>
        <w:t>zona.</w:t>
      </w:r>
    </w:p>
    <w:p>
      <w:pPr>
        <w:spacing w:after="0" w:line="360" w:lineRule="auto"/>
        <w:jc w:val="both"/>
        <w:sectPr>
          <w:pgSz w:w="12240" w:h="15840"/>
          <w:pgMar w:top="1360" w:bottom="280" w:left="1580" w:right="1580"/>
        </w:sectPr>
      </w:pPr>
    </w:p>
    <w:p>
      <w:pPr>
        <w:spacing w:before="52"/>
        <w:ind w:left="139" w:right="136" w:firstLine="0"/>
        <w:jc w:val="center"/>
        <w:rPr>
          <w:b/>
          <w:sz w:val="20"/>
        </w:rPr>
      </w:pPr>
      <w:r>
        <w:rPr/>
        <w:drawing>
          <wp:anchor distT="0" distB="0" distL="0" distR="0" allowOverlap="1" layoutInCell="1" locked="0" behindDoc="0" simplePos="0" relativeHeight="4168">
            <wp:simplePos x="0" y="0"/>
            <wp:positionH relativeFrom="page">
              <wp:posOffset>1080135</wp:posOffset>
            </wp:positionH>
            <wp:positionV relativeFrom="paragraph">
              <wp:posOffset>255853</wp:posOffset>
            </wp:positionV>
            <wp:extent cx="5657863" cy="7321677"/>
            <wp:effectExtent l="0" t="0" r="0" b="0"/>
            <wp:wrapTopAndBottom/>
            <wp:docPr id="159" name="image128.jpeg" descr=""/>
            <wp:cNvGraphicFramePr>
              <a:graphicFrameLocks noChangeAspect="1"/>
            </wp:cNvGraphicFramePr>
            <a:graphic>
              <a:graphicData uri="http://schemas.openxmlformats.org/drawingml/2006/picture">
                <pic:pic>
                  <pic:nvPicPr>
                    <pic:cNvPr id="160" name="image128.jpeg"/>
                    <pic:cNvPicPr/>
                  </pic:nvPicPr>
                  <pic:blipFill>
                    <a:blip r:embed="rId133" cstate="print"/>
                    <a:stretch>
                      <a:fillRect/>
                    </a:stretch>
                  </pic:blipFill>
                  <pic:spPr>
                    <a:xfrm>
                      <a:off x="0" y="0"/>
                      <a:ext cx="5657863" cy="7321677"/>
                    </a:xfrm>
                    <a:prstGeom prst="rect">
                      <a:avLst/>
                    </a:prstGeom>
                  </pic:spPr>
                </pic:pic>
              </a:graphicData>
            </a:graphic>
          </wp:anchor>
        </w:drawing>
      </w:r>
      <w:r>
        <w:rPr>
          <w:b/>
          <w:sz w:val="20"/>
        </w:rPr>
        <w:t>Ilustración 9. Mapa de deslizamientos históricos en la zona poniente de la Ciudad de México</w:t>
      </w:r>
    </w:p>
    <w:p>
      <w:pPr>
        <w:spacing w:before="11"/>
        <w:ind w:left="139" w:right="145"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BodyText"/>
        <w:spacing w:line="360" w:lineRule="auto" w:before="52"/>
        <w:ind w:left="119" w:right="100"/>
        <w:jc w:val="both"/>
      </w:pPr>
      <w:r>
        <w:rPr/>
        <w:t>Una vez que se espacializaron los sucesos, se elaboró una segunda cartografía que permitió comparar las con las zonas de susceptibilidad a deslizamientos obtenidas del modelo generado mediante Evaluación Multicriterio y los registros históricos. La finalidad de realizar este proceso comparativo fue la validación el modelo en el cual se observó que si existe una correspondencia entre el modelado y lo sucedido históricamente.</w:t>
      </w:r>
    </w:p>
    <w:p>
      <w:pPr>
        <w:pStyle w:val="BodyText"/>
        <w:spacing w:line="360" w:lineRule="auto" w:before="163"/>
        <w:ind w:left="119" w:right="102"/>
        <w:jc w:val="both"/>
      </w:pPr>
      <w:r>
        <w:rPr/>
        <w:t>Las zonas de correspondencia fueron en el área ubicada en la frontera con la zona urbana entre la Delegación Cuajimalpa y la Delegación Álvaro Obregón. En el análisis histórico estas delegaciones habían presentado el mayor número de deslizamientos y en la asociación entre el modelo se encontraron 3 registros, 1 en la década de 1980-1990 y 2 en la década de 1990-2000.</w:t>
      </w:r>
    </w:p>
    <w:p>
      <w:pPr>
        <w:pStyle w:val="BodyText"/>
        <w:spacing w:line="360" w:lineRule="auto" w:before="168"/>
        <w:ind w:left="119" w:right="106"/>
        <w:jc w:val="both"/>
      </w:pPr>
      <w:r>
        <w:rPr/>
        <w:t>No obstante, las zonas modeladas que no tuvieron algún evento histórico puede deberse, entre otras cosas, a la recuperación de cobertura vegetal que ha permitido que el suelo tenga mayor cohesión, también es posible observar que en el inventario de desastres en muchas ocasiones se toma el registro del evento donde se depositó el material y no donde se originó el evento.</w:t>
      </w:r>
    </w:p>
    <w:p>
      <w:pPr>
        <w:spacing w:after="0" w:line="360" w:lineRule="auto"/>
        <w:jc w:val="both"/>
        <w:sectPr>
          <w:pgSz w:w="12240" w:h="15840"/>
          <w:pgMar w:top="1360" w:bottom="280" w:left="1580" w:right="1600"/>
        </w:sectPr>
      </w:pPr>
    </w:p>
    <w:p>
      <w:pPr>
        <w:spacing w:before="52" w:after="6"/>
        <w:ind w:left="139" w:right="139" w:firstLine="0"/>
        <w:jc w:val="center"/>
        <w:rPr>
          <w:b/>
          <w:sz w:val="20"/>
        </w:rPr>
      </w:pPr>
      <w:r>
        <w:rPr>
          <w:b/>
          <w:sz w:val="20"/>
        </w:rPr>
        <w:t>Ilustración 10. Mapa de registros históricos de deslizamientos y zonas de susceptibilidad en la zona poniente de la Ciudad de México</w:t>
      </w:r>
    </w:p>
    <w:p>
      <w:pPr>
        <w:pStyle w:val="BodyText"/>
        <w:ind w:left="101"/>
        <w:rPr>
          <w:sz w:val="20"/>
        </w:rPr>
      </w:pPr>
      <w:r>
        <w:rPr>
          <w:sz w:val="20"/>
        </w:rPr>
        <w:drawing>
          <wp:inline distT="0" distB="0" distL="0" distR="0">
            <wp:extent cx="5529275" cy="7155275"/>
            <wp:effectExtent l="0" t="0" r="0" b="0"/>
            <wp:docPr id="161" name="image129.jpeg" descr=""/>
            <wp:cNvGraphicFramePr>
              <a:graphicFrameLocks noChangeAspect="1"/>
            </wp:cNvGraphicFramePr>
            <a:graphic>
              <a:graphicData uri="http://schemas.openxmlformats.org/drawingml/2006/picture">
                <pic:pic>
                  <pic:nvPicPr>
                    <pic:cNvPr id="162" name="image129.jpeg"/>
                    <pic:cNvPicPr/>
                  </pic:nvPicPr>
                  <pic:blipFill>
                    <a:blip r:embed="rId134" cstate="print"/>
                    <a:stretch>
                      <a:fillRect/>
                    </a:stretch>
                  </pic:blipFill>
                  <pic:spPr>
                    <a:xfrm>
                      <a:off x="0" y="0"/>
                      <a:ext cx="5529275" cy="7155275"/>
                    </a:xfrm>
                    <a:prstGeom prst="rect">
                      <a:avLst/>
                    </a:prstGeom>
                  </pic:spPr>
                </pic:pic>
              </a:graphicData>
            </a:graphic>
          </wp:inline>
        </w:drawing>
      </w:r>
      <w:r>
        <w:rPr>
          <w:sz w:val="20"/>
        </w:rPr>
      </w:r>
    </w:p>
    <w:p>
      <w:pPr>
        <w:spacing w:before="167"/>
        <w:ind w:left="139" w:right="145"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Heading1"/>
        <w:numPr>
          <w:ilvl w:val="1"/>
          <w:numId w:val="20"/>
        </w:numPr>
        <w:tabs>
          <w:tab w:pos="470" w:val="left" w:leader="none"/>
        </w:tabs>
        <w:spacing w:line="360" w:lineRule="auto" w:before="57" w:after="0"/>
        <w:ind w:left="119" w:right="132" w:firstLine="0"/>
        <w:jc w:val="both"/>
      </w:pPr>
      <w:bookmarkStart w:name="_bookmark47" w:id="84"/>
      <w:bookmarkEnd w:id="84"/>
      <w:r>
        <w:rPr>
          <w:b w:val="0"/>
        </w:rPr>
      </w:r>
      <w:bookmarkStart w:name="_bookmark47" w:id="85"/>
      <w:bookmarkEnd w:id="85"/>
      <w:r>
        <w:rPr/>
        <w:t>E</w:t>
      </w:r>
      <w:r>
        <w:rPr/>
        <w:t>scenario prospectivo de expansión de asentamientos humanos irregulares en la zona de estudio</w:t>
      </w:r>
    </w:p>
    <w:p>
      <w:pPr>
        <w:pStyle w:val="BodyText"/>
        <w:rPr>
          <w:b/>
        </w:rPr>
      </w:pPr>
    </w:p>
    <w:p>
      <w:pPr>
        <w:pStyle w:val="BodyText"/>
        <w:spacing w:before="2"/>
        <w:rPr>
          <w:b/>
          <w:sz w:val="17"/>
        </w:rPr>
      </w:pPr>
    </w:p>
    <w:p>
      <w:pPr>
        <w:pStyle w:val="BodyText"/>
        <w:spacing w:line="360" w:lineRule="auto" w:before="1"/>
        <w:ind w:left="119" w:right="123"/>
        <w:jc w:val="both"/>
      </w:pPr>
      <w:r>
        <w:rPr/>
        <w:t>El diseño de un escenario prospectivo, como se mencionó anteriormente, puede resultar complejo, sobre todo si lo que se quiere mostrar es un crecimiento irregular donde las variables que los condicionan en muchos casos pueden ser difíciles de medir, por ejemplo, quienes serán los nuevos pobladores que adquieran su vivienda bajo compra fraudulenta o bien, sean producto de la corrupción y falta de legislación efectiva.</w:t>
      </w:r>
    </w:p>
    <w:p>
      <w:pPr>
        <w:pStyle w:val="BodyText"/>
        <w:spacing w:line="360" w:lineRule="auto" w:before="167"/>
        <w:ind w:left="119" w:right="116"/>
        <w:jc w:val="both"/>
      </w:pPr>
      <w:r>
        <w:rPr/>
        <w:t>Los resultados de este modelo estuvieron basados tanto en una interpretación visual así como de la ocupación de las variables físicas que condicionan el crecimiento urbano, donde el análisis de identificación de patrones de ocupación informal fue fundamental para predecir  futuras expansiones. Es importante mencionar que existieron poblados que no se pudieron cartografiar porque sus condiciones no permitían considerar una expansión tendencia, como el poblado de San Nicolás Totolapan y Tlacoyaques.</w:t>
      </w:r>
    </w:p>
    <w:p>
      <w:pPr>
        <w:pStyle w:val="BodyText"/>
        <w:spacing w:line="360" w:lineRule="auto" w:before="168"/>
        <w:ind w:left="119" w:right="120"/>
        <w:jc w:val="both"/>
      </w:pPr>
      <w:r>
        <w:rPr/>
        <w:t>El primer poblado que se analizó, se encuentra localizado en la Delegación Cuajimalpa nombrado Ahuatenco. En este asentamiento es posible demostrar que las relaciones entre la pendiente y la cobertura de suelo configuraron el asentamiento, mientras que el polígono envolvente permite decir que sí se llegara a dar un desdoblamiento sería al interior del poblado, ya que cuenta con las condiciones de suelo descubierto sobre una cima estable.</w:t>
      </w:r>
    </w:p>
    <w:p>
      <w:pPr>
        <w:spacing w:after="0" w:line="360" w:lineRule="auto"/>
        <w:jc w:val="both"/>
        <w:sectPr>
          <w:pgSz w:w="12240" w:h="15840"/>
          <w:pgMar w:top="1360" w:bottom="280" w:left="1580" w:right="1580"/>
        </w:sectPr>
      </w:pPr>
    </w:p>
    <w:p>
      <w:pPr>
        <w:spacing w:before="52"/>
        <w:ind w:left="139" w:right="149" w:firstLine="0"/>
        <w:jc w:val="center"/>
        <w:rPr>
          <w:b/>
          <w:sz w:val="20"/>
        </w:rPr>
      </w:pPr>
      <w:r>
        <w:rPr>
          <w:b/>
          <w:sz w:val="20"/>
        </w:rPr>
        <w:t>Ilustración 11. Mapa de expansión de asentamientos irregulares en el poblado Ahuatenco, Cuajimalpa</w:t>
      </w:r>
    </w:p>
    <w:p>
      <w:pPr>
        <w:pStyle w:val="BodyText"/>
        <w:rPr>
          <w:b/>
          <w:sz w:val="20"/>
        </w:rPr>
      </w:pPr>
    </w:p>
    <w:p>
      <w:pPr>
        <w:pStyle w:val="BodyText"/>
        <w:spacing w:before="1"/>
        <w:rPr>
          <w:b/>
          <w:sz w:val="10"/>
        </w:rPr>
      </w:pPr>
      <w:r>
        <w:rPr/>
        <w:drawing>
          <wp:anchor distT="0" distB="0" distL="0" distR="0" allowOverlap="1" layoutInCell="1" locked="0" behindDoc="0" simplePos="0" relativeHeight="4192">
            <wp:simplePos x="0" y="0"/>
            <wp:positionH relativeFrom="page">
              <wp:posOffset>1080135</wp:posOffset>
            </wp:positionH>
            <wp:positionV relativeFrom="paragraph">
              <wp:posOffset>98652</wp:posOffset>
            </wp:positionV>
            <wp:extent cx="5657863" cy="7321677"/>
            <wp:effectExtent l="0" t="0" r="0" b="0"/>
            <wp:wrapTopAndBottom/>
            <wp:docPr id="163" name="image130.jpeg" descr=""/>
            <wp:cNvGraphicFramePr>
              <a:graphicFrameLocks noChangeAspect="1"/>
            </wp:cNvGraphicFramePr>
            <a:graphic>
              <a:graphicData uri="http://schemas.openxmlformats.org/drawingml/2006/picture">
                <pic:pic>
                  <pic:nvPicPr>
                    <pic:cNvPr id="164" name="image130.jpeg"/>
                    <pic:cNvPicPr/>
                  </pic:nvPicPr>
                  <pic:blipFill>
                    <a:blip r:embed="rId135" cstate="print"/>
                    <a:stretch>
                      <a:fillRect/>
                    </a:stretch>
                  </pic:blipFill>
                  <pic:spPr>
                    <a:xfrm>
                      <a:off x="0" y="0"/>
                      <a:ext cx="5657863" cy="7321677"/>
                    </a:xfrm>
                    <a:prstGeom prst="rect">
                      <a:avLst/>
                    </a:prstGeom>
                  </pic:spPr>
                </pic:pic>
              </a:graphicData>
            </a:graphic>
          </wp:anchor>
        </w:drawing>
      </w:r>
    </w:p>
    <w:p>
      <w:pPr>
        <w:spacing w:before="1"/>
        <w:ind w:left="139" w:right="145" w:firstLine="0"/>
        <w:jc w:val="center"/>
        <w:rPr>
          <w:sz w:val="16"/>
        </w:rPr>
      </w:pPr>
      <w:r>
        <w:rPr>
          <w:sz w:val="16"/>
        </w:rPr>
        <w:t>Fuente: Elaboración propia</w:t>
      </w:r>
    </w:p>
    <w:p>
      <w:pPr>
        <w:spacing w:after="0"/>
        <w:jc w:val="center"/>
        <w:rPr>
          <w:sz w:val="16"/>
        </w:rPr>
        <w:sectPr>
          <w:pgSz w:w="12240" w:h="15840"/>
          <w:pgMar w:top="1360" w:bottom="280" w:left="1600" w:right="1600"/>
        </w:sectPr>
      </w:pPr>
    </w:p>
    <w:p>
      <w:pPr>
        <w:pStyle w:val="BodyText"/>
        <w:spacing w:line="362" w:lineRule="auto" w:before="52"/>
        <w:ind w:left="119" w:right="105"/>
        <w:jc w:val="both"/>
      </w:pPr>
      <w:r>
        <w:rPr/>
        <w:drawing>
          <wp:anchor distT="0" distB="0" distL="0" distR="0" allowOverlap="1" layoutInCell="1" locked="0" behindDoc="1" simplePos="0" relativeHeight="268189511">
            <wp:simplePos x="0" y="0"/>
            <wp:positionH relativeFrom="page">
              <wp:posOffset>1316736</wp:posOffset>
            </wp:positionH>
            <wp:positionV relativeFrom="paragraph">
              <wp:posOffset>1540884</wp:posOffset>
            </wp:positionV>
            <wp:extent cx="5033462" cy="6512814"/>
            <wp:effectExtent l="0" t="0" r="0" b="0"/>
            <wp:wrapNone/>
            <wp:docPr id="165" name="image131.jpeg" descr=""/>
            <wp:cNvGraphicFramePr>
              <a:graphicFrameLocks noChangeAspect="1"/>
            </wp:cNvGraphicFramePr>
            <a:graphic>
              <a:graphicData uri="http://schemas.openxmlformats.org/drawingml/2006/picture">
                <pic:pic>
                  <pic:nvPicPr>
                    <pic:cNvPr id="166" name="image131.jpeg"/>
                    <pic:cNvPicPr/>
                  </pic:nvPicPr>
                  <pic:blipFill>
                    <a:blip r:embed="rId136" cstate="print"/>
                    <a:stretch>
                      <a:fillRect/>
                    </a:stretch>
                  </pic:blipFill>
                  <pic:spPr>
                    <a:xfrm>
                      <a:off x="0" y="0"/>
                      <a:ext cx="5033462" cy="6512814"/>
                    </a:xfrm>
                    <a:prstGeom prst="rect">
                      <a:avLst/>
                    </a:prstGeom>
                  </pic:spPr>
                </pic:pic>
              </a:graphicData>
            </a:graphic>
          </wp:anchor>
        </w:drawing>
      </w:r>
      <w:r>
        <w:rPr/>
        <w:t>El poblado del Contadero en la Delegación Cuajimalpa tiene poca presencia de AHI, es una zona cubierta por bosque abundante, lo cual posiblemente impida la futura invasión de asentamientos, considerando se siga conservando el uso de suelo actual. En esta área la expansión no será interna, más bien externa hacia las zonas agrícolas circundantes.</w:t>
      </w:r>
    </w:p>
    <w:p>
      <w:pPr>
        <w:pStyle w:val="BodyText"/>
        <w:rPr>
          <w:sz w:val="16"/>
        </w:rPr>
      </w:pPr>
    </w:p>
    <w:tbl>
      <w:tblPr>
        <w:tblW w:w="0" w:type="auto"/>
        <w:jc w:val="left"/>
        <w:tblInd w:w="4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31"/>
      </w:tblGrid>
      <w:tr>
        <w:trPr>
          <w:trHeight w:val="5772" w:hRule="exact"/>
        </w:trPr>
        <w:tc>
          <w:tcPr>
            <w:tcW w:w="8031" w:type="dxa"/>
          </w:tcPr>
          <w:p>
            <w:pPr>
              <w:pStyle w:val="TableParagraph"/>
              <w:spacing w:line="205" w:lineRule="exact"/>
              <w:ind w:left="176" w:right="176"/>
              <w:jc w:val="center"/>
              <w:rPr>
                <w:b/>
                <w:sz w:val="20"/>
              </w:rPr>
            </w:pPr>
            <w:r>
              <w:rPr>
                <w:b/>
                <w:sz w:val="20"/>
              </w:rPr>
              <w:t>Ilustración 12. Mapa de expansión de asentamientos irregulares en el poblado Contadero,</w:t>
            </w:r>
          </w:p>
          <w:p>
            <w:pPr>
              <w:pStyle w:val="TableParagraph"/>
              <w:spacing w:before="115"/>
              <w:ind w:left="176" w:right="174"/>
              <w:jc w:val="center"/>
              <w:rPr>
                <w:b/>
                <w:sz w:val="20"/>
              </w:rPr>
            </w:pPr>
            <w:r>
              <w:rPr>
                <w:b/>
                <w:sz w:val="20"/>
              </w:rPr>
              <w:t>Cuajimalpa</w:t>
            </w:r>
          </w:p>
        </w:tc>
      </w:tr>
      <w:tr>
        <w:trPr>
          <w:trHeight w:val="5383" w:hRule="exact"/>
        </w:trPr>
        <w:tc>
          <w:tcPr>
            <w:tcW w:w="8031"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5"/>
              <w:rPr>
                <w:sz w:val="20"/>
              </w:rPr>
            </w:pPr>
          </w:p>
          <w:p>
            <w:pPr>
              <w:pStyle w:val="TableParagraph"/>
              <w:ind w:left="176" w:right="176"/>
              <w:jc w:val="center"/>
              <w:rPr>
                <w:sz w:val="16"/>
              </w:rPr>
            </w:pPr>
            <w:r>
              <w:rPr>
                <w:sz w:val="16"/>
              </w:rPr>
              <w:t>Fuente: Elaboración propia</w:t>
            </w:r>
          </w:p>
        </w:tc>
      </w:tr>
    </w:tbl>
    <w:p>
      <w:pPr>
        <w:spacing w:after="0"/>
        <w:jc w:val="center"/>
        <w:rPr>
          <w:sz w:val="16"/>
        </w:rPr>
        <w:sectPr>
          <w:pgSz w:w="12240" w:h="15840"/>
          <w:pgMar w:top="1360" w:bottom="280" w:left="1580" w:right="1600"/>
        </w:sectPr>
      </w:pPr>
    </w:p>
    <w:p>
      <w:pPr>
        <w:pStyle w:val="BodyText"/>
        <w:spacing w:line="360" w:lineRule="auto" w:before="52"/>
        <w:ind w:left="199" w:right="116"/>
        <w:jc w:val="both"/>
      </w:pPr>
      <w:r>
        <w:rPr/>
        <w:drawing>
          <wp:anchor distT="0" distB="0" distL="0" distR="0" allowOverlap="1" layoutInCell="1" locked="0" behindDoc="1" simplePos="0" relativeHeight="268189535">
            <wp:simplePos x="0" y="0"/>
            <wp:positionH relativeFrom="page">
              <wp:posOffset>1362075</wp:posOffset>
            </wp:positionH>
            <wp:positionV relativeFrom="paragraph">
              <wp:posOffset>1635372</wp:posOffset>
            </wp:positionV>
            <wp:extent cx="4949499" cy="6403848"/>
            <wp:effectExtent l="0" t="0" r="0" b="0"/>
            <wp:wrapNone/>
            <wp:docPr id="167" name="image132.jpeg" descr=""/>
            <wp:cNvGraphicFramePr>
              <a:graphicFrameLocks noChangeAspect="1"/>
            </wp:cNvGraphicFramePr>
            <a:graphic>
              <a:graphicData uri="http://schemas.openxmlformats.org/drawingml/2006/picture">
                <pic:pic>
                  <pic:nvPicPr>
                    <pic:cNvPr id="168" name="image132.jpeg"/>
                    <pic:cNvPicPr/>
                  </pic:nvPicPr>
                  <pic:blipFill>
                    <a:blip r:embed="rId137" cstate="print"/>
                    <a:stretch>
                      <a:fillRect/>
                    </a:stretch>
                  </pic:blipFill>
                  <pic:spPr>
                    <a:xfrm>
                      <a:off x="0" y="0"/>
                      <a:ext cx="4949499" cy="6403848"/>
                    </a:xfrm>
                    <a:prstGeom prst="rect">
                      <a:avLst/>
                    </a:prstGeom>
                  </pic:spPr>
                </pic:pic>
              </a:graphicData>
            </a:graphic>
          </wp:anchor>
        </w:drawing>
      </w:r>
      <w:r>
        <w:rPr/>
        <w:t>En el poblado de Cooperativa Miguel Gaona en la Delegación Cuajimalpa se observan conjuntos de asentamientos irregulares medianamente agrupados, una posible expansión de asentamientos se podría ver obstruida por una frontera natural importante, sin embargo los polígonos tendenciales de expansión se establecerían en el suelo agrícola que tienen vecindad con los AHI del poblado, por lo que su crecimiento será al interior.</w:t>
      </w:r>
    </w:p>
    <w:p>
      <w:pPr>
        <w:pStyle w:val="BodyText"/>
        <w:spacing w:before="2"/>
        <w:rPr>
          <w:sz w:val="1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82"/>
      </w:tblGrid>
      <w:tr>
        <w:trPr>
          <w:trHeight w:val="5443" w:hRule="exact"/>
        </w:trPr>
        <w:tc>
          <w:tcPr>
            <w:tcW w:w="8782" w:type="dxa"/>
          </w:tcPr>
          <w:p>
            <w:pPr>
              <w:pStyle w:val="TableParagraph"/>
              <w:spacing w:line="205" w:lineRule="exact"/>
              <w:ind w:left="179" w:right="179"/>
              <w:jc w:val="center"/>
              <w:rPr>
                <w:b/>
                <w:sz w:val="20"/>
              </w:rPr>
            </w:pPr>
            <w:r>
              <w:rPr>
                <w:b/>
                <w:sz w:val="20"/>
              </w:rPr>
              <w:t>Ilustración 13. Mapa de expansión de asentamientos irregulares en el poblado Cooperativa Miguel</w:t>
            </w:r>
          </w:p>
          <w:p>
            <w:pPr>
              <w:pStyle w:val="TableParagraph"/>
              <w:spacing w:before="1"/>
              <w:ind w:left="179" w:right="179"/>
              <w:jc w:val="center"/>
              <w:rPr>
                <w:b/>
                <w:sz w:val="20"/>
              </w:rPr>
            </w:pPr>
            <w:r>
              <w:rPr>
                <w:b/>
                <w:sz w:val="20"/>
              </w:rPr>
              <w:t>Gaona, Cuajimalpa</w:t>
            </w:r>
          </w:p>
        </w:tc>
      </w:tr>
      <w:tr>
        <w:trPr>
          <w:trHeight w:val="5169" w:hRule="exact"/>
        </w:trPr>
        <w:tc>
          <w:tcPr>
            <w:tcW w:w="8782"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9"/>
              <w:rPr>
                <w:sz w:val="17"/>
              </w:rPr>
            </w:pPr>
          </w:p>
          <w:p>
            <w:pPr>
              <w:pStyle w:val="TableParagraph"/>
              <w:spacing w:before="1"/>
              <w:ind w:left="170" w:right="179"/>
              <w:jc w:val="center"/>
              <w:rPr>
                <w:sz w:val="16"/>
              </w:rPr>
            </w:pPr>
            <w:r>
              <w:rPr>
                <w:sz w:val="16"/>
              </w:rPr>
              <w:t>Fuente: Elaboración propia</w:t>
            </w:r>
          </w:p>
        </w:tc>
      </w:tr>
    </w:tbl>
    <w:p>
      <w:pPr>
        <w:spacing w:after="0"/>
        <w:jc w:val="center"/>
        <w:rPr>
          <w:sz w:val="16"/>
        </w:rPr>
        <w:sectPr>
          <w:pgSz w:w="12240" w:h="15840"/>
          <w:pgMar w:top="1360" w:bottom="280" w:left="1500" w:right="1580"/>
        </w:sectPr>
      </w:pPr>
    </w:p>
    <w:p>
      <w:pPr>
        <w:pStyle w:val="BodyText"/>
        <w:spacing w:line="362" w:lineRule="auto" w:before="52"/>
        <w:ind w:left="139" w:right="101"/>
        <w:jc w:val="both"/>
      </w:pPr>
      <w:r>
        <w:rPr/>
        <w:drawing>
          <wp:anchor distT="0" distB="0" distL="0" distR="0" allowOverlap="1" layoutInCell="1" locked="0" behindDoc="1" simplePos="0" relativeHeight="268189559">
            <wp:simplePos x="0" y="0"/>
            <wp:positionH relativeFrom="page">
              <wp:posOffset>1309369</wp:posOffset>
            </wp:positionH>
            <wp:positionV relativeFrom="paragraph">
              <wp:posOffset>1556124</wp:posOffset>
            </wp:positionV>
            <wp:extent cx="4948071" cy="6401657"/>
            <wp:effectExtent l="0" t="0" r="0" b="0"/>
            <wp:wrapNone/>
            <wp:docPr id="169" name="image133.jpeg" descr=""/>
            <wp:cNvGraphicFramePr>
              <a:graphicFrameLocks noChangeAspect="1"/>
            </wp:cNvGraphicFramePr>
            <a:graphic>
              <a:graphicData uri="http://schemas.openxmlformats.org/drawingml/2006/picture">
                <pic:pic>
                  <pic:nvPicPr>
                    <pic:cNvPr id="170" name="image133.jpeg"/>
                    <pic:cNvPicPr/>
                  </pic:nvPicPr>
                  <pic:blipFill>
                    <a:blip r:embed="rId138" cstate="print"/>
                    <a:stretch>
                      <a:fillRect/>
                    </a:stretch>
                  </pic:blipFill>
                  <pic:spPr>
                    <a:xfrm>
                      <a:off x="0" y="0"/>
                      <a:ext cx="4948071" cy="6401657"/>
                    </a:xfrm>
                    <a:prstGeom prst="rect">
                      <a:avLst/>
                    </a:prstGeom>
                  </pic:spPr>
                </pic:pic>
              </a:graphicData>
            </a:graphic>
          </wp:anchor>
        </w:drawing>
      </w:r>
      <w:r>
        <w:rPr/>
        <w:t>En el poblado de Magdalena Atlitic las futuras expansiones probablemente se darían en la cercanía con el AHI de mayor extensión, puesto que el suelo sin cubierta vegetal se encuentra presente en la zona, propiciando un posible desdoblamiento del AHI existentes. De igual manera, su expansión será hacia el interior.</w:t>
      </w:r>
    </w:p>
    <w:p>
      <w:pPr>
        <w:pStyle w:val="BodyText"/>
        <w:rPr>
          <w:sz w:val="16"/>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63"/>
      </w:tblGrid>
      <w:tr>
        <w:trPr>
          <w:trHeight w:val="5673" w:hRule="exact"/>
        </w:trPr>
        <w:tc>
          <w:tcPr>
            <w:tcW w:w="8663" w:type="dxa"/>
          </w:tcPr>
          <w:p>
            <w:pPr>
              <w:pStyle w:val="TableParagraph"/>
              <w:spacing w:line="205" w:lineRule="exact"/>
              <w:ind w:left="178" w:right="178"/>
              <w:jc w:val="center"/>
              <w:rPr>
                <w:b/>
                <w:sz w:val="20"/>
              </w:rPr>
            </w:pPr>
            <w:r>
              <w:rPr>
                <w:b/>
                <w:sz w:val="20"/>
              </w:rPr>
              <w:t>Ilustración 14. Mapa de expansión de asentamientos irregulares en el poblado Magdalena Atlitic,</w:t>
            </w:r>
          </w:p>
          <w:p>
            <w:pPr>
              <w:pStyle w:val="TableParagraph"/>
              <w:ind w:left="178" w:right="169"/>
              <w:jc w:val="center"/>
              <w:rPr>
                <w:b/>
                <w:sz w:val="20"/>
              </w:rPr>
            </w:pPr>
            <w:r>
              <w:rPr>
                <w:b/>
                <w:sz w:val="20"/>
              </w:rPr>
              <w:t>Magdalena Contreras</w:t>
            </w:r>
          </w:p>
        </w:tc>
      </w:tr>
      <w:tr>
        <w:trPr>
          <w:trHeight w:val="5400" w:hRule="exact"/>
        </w:trPr>
        <w:tc>
          <w:tcPr>
            <w:tcW w:w="8663"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10"/>
              <w:rPr>
                <w:sz w:val="21"/>
              </w:rPr>
            </w:pPr>
          </w:p>
          <w:p>
            <w:pPr>
              <w:pStyle w:val="TableParagraph"/>
              <w:ind w:left="172" w:right="178"/>
              <w:jc w:val="center"/>
              <w:rPr>
                <w:sz w:val="16"/>
              </w:rPr>
            </w:pPr>
            <w:r>
              <w:rPr>
                <w:sz w:val="16"/>
              </w:rPr>
              <w:t>Fuente: Elaboración propia</w:t>
            </w:r>
          </w:p>
        </w:tc>
      </w:tr>
    </w:tbl>
    <w:p>
      <w:pPr>
        <w:spacing w:after="0"/>
        <w:jc w:val="center"/>
        <w:rPr>
          <w:sz w:val="16"/>
        </w:rPr>
        <w:sectPr>
          <w:pgSz w:w="12240" w:h="15840"/>
          <w:pgMar w:top="1360" w:bottom="280" w:left="1560" w:right="1600"/>
        </w:sectPr>
      </w:pPr>
    </w:p>
    <w:p>
      <w:pPr>
        <w:pStyle w:val="BodyText"/>
        <w:spacing w:line="362" w:lineRule="auto" w:before="52"/>
        <w:ind w:left="319" w:right="100"/>
        <w:jc w:val="both"/>
      </w:pPr>
      <w:r>
        <w:rPr/>
        <w:drawing>
          <wp:anchor distT="0" distB="0" distL="0" distR="0" allowOverlap="1" layoutInCell="1" locked="0" behindDoc="1" simplePos="0" relativeHeight="268189583">
            <wp:simplePos x="0" y="0"/>
            <wp:positionH relativeFrom="page">
              <wp:posOffset>1080135</wp:posOffset>
            </wp:positionH>
            <wp:positionV relativeFrom="paragraph">
              <wp:posOffset>1153788</wp:posOffset>
            </wp:positionV>
            <wp:extent cx="5386429" cy="6969633"/>
            <wp:effectExtent l="0" t="0" r="0" b="0"/>
            <wp:wrapNone/>
            <wp:docPr id="171" name="image134.jpeg" descr=""/>
            <wp:cNvGraphicFramePr>
              <a:graphicFrameLocks noChangeAspect="1"/>
            </wp:cNvGraphicFramePr>
            <a:graphic>
              <a:graphicData uri="http://schemas.openxmlformats.org/drawingml/2006/picture">
                <pic:pic>
                  <pic:nvPicPr>
                    <pic:cNvPr id="172" name="image134.jpeg"/>
                    <pic:cNvPicPr/>
                  </pic:nvPicPr>
                  <pic:blipFill>
                    <a:blip r:embed="rId139" cstate="print"/>
                    <a:stretch>
                      <a:fillRect/>
                    </a:stretch>
                  </pic:blipFill>
                  <pic:spPr>
                    <a:xfrm>
                      <a:off x="0" y="0"/>
                      <a:ext cx="5386429" cy="6969633"/>
                    </a:xfrm>
                    <a:prstGeom prst="rect">
                      <a:avLst/>
                    </a:prstGeom>
                  </pic:spPr>
                </pic:pic>
              </a:graphicData>
            </a:graphic>
          </wp:anchor>
        </w:drawing>
      </w:r>
      <w:r>
        <w:rPr/>
        <w:t>En el poblado San Lorenzo Acopilco en la Delegación Cuajimalpa se observan varios polígonos tendenciales de expansión irregular, principalmente porque la zona presenta suelos agrícolas y con pendientes suavizadas al interior del conjunto.</w:t>
      </w:r>
    </w:p>
    <w:p>
      <w:pPr>
        <w:pStyle w:val="BodyText"/>
        <w:rPr>
          <w:sz w:val="1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99"/>
      </w:tblGrid>
      <w:tr>
        <w:trPr>
          <w:trHeight w:val="5882" w:hRule="exact"/>
        </w:trPr>
        <w:tc>
          <w:tcPr>
            <w:tcW w:w="8999" w:type="dxa"/>
          </w:tcPr>
          <w:p>
            <w:pPr>
              <w:pStyle w:val="TableParagraph"/>
              <w:spacing w:line="205" w:lineRule="exact"/>
              <w:ind w:left="176" w:right="176"/>
              <w:jc w:val="center"/>
              <w:rPr>
                <w:b/>
                <w:sz w:val="20"/>
              </w:rPr>
            </w:pPr>
            <w:r>
              <w:rPr>
                <w:b/>
                <w:sz w:val="20"/>
              </w:rPr>
              <w:t>Ilustración 15. Mapa de expansión de asentamientos irregulares en el poblado San Lorenzo Acopilco,</w:t>
            </w:r>
          </w:p>
          <w:p>
            <w:pPr>
              <w:pStyle w:val="TableParagraph"/>
              <w:ind w:left="176" w:right="171"/>
              <w:jc w:val="center"/>
              <w:rPr>
                <w:b/>
                <w:sz w:val="20"/>
              </w:rPr>
            </w:pPr>
            <w:r>
              <w:rPr>
                <w:b/>
                <w:sz w:val="20"/>
              </w:rPr>
              <w:t>Cuajimalpa</w:t>
            </w:r>
          </w:p>
        </w:tc>
      </w:tr>
      <w:tr>
        <w:trPr>
          <w:trHeight w:val="5609" w:hRule="exact"/>
        </w:trPr>
        <w:tc>
          <w:tcPr>
            <w:tcW w:w="8999"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92"/>
              <w:ind w:left="176" w:right="175"/>
              <w:jc w:val="center"/>
              <w:rPr>
                <w:sz w:val="16"/>
              </w:rPr>
            </w:pPr>
            <w:r>
              <w:rPr>
                <w:sz w:val="16"/>
              </w:rPr>
              <w:t>Fuente: Elaboración propia</w:t>
            </w:r>
          </w:p>
        </w:tc>
      </w:tr>
    </w:tbl>
    <w:p>
      <w:pPr>
        <w:spacing w:after="0"/>
        <w:jc w:val="center"/>
        <w:rPr>
          <w:sz w:val="16"/>
        </w:rPr>
        <w:sectPr>
          <w:pgSz w:w="12240" w:h="15840"/>
          <w:pgMar w:top="1360" w:bottom="280" w:left="1380" w:right="1600"/>
        </w:sectPr>
      </w:pPr>
    </w:p>
    <w:p>
      <w:pPr>
        <w:pStyle w:val="BodyText"/>
        <w:spacing w:line="360" w:lineRule="auto" w:before="52"/>
        <w:ind w:left="119" w:right="98"/>
        <w:jc w:val="both"/>
      </w:pPr>
      <w:r>
        <w:rPr/>
        <w:drawing>
          <wp:anchor distT="0" distB="0" distL="0" distR="0" allowOverlap="1" layoutInCell="1" locked="0" behindDoc="1" simplePos="0" relativeHeight="268189607">
            <wp:simplePos x="0" y="0"/>
            <wp:positionH relativeFrom="page">
              <wp:posOffset>1423669</wp:posOffset>
            </wp:positionH>
            <wp:positionV relativeFrom="paragraph">
              <wp:posOffset>1876164</wp:posOffset>
            </wp:positionV>
            <wp:extent cx="4809559" cy="6223635"/>
            <wp:effectExtent l="0" t="0" r="0" b="0"/>
            <wp:wrapNone/>
            <wp:docPr id="173" name="image135.jpeg" descr=""/>
            <wp:cNvGraphicFramePr>
              <a:graphicFrameLocks noChangeAspect="1"/>
            </wp:cNvGraphicFramePr>
            <a:graphic>
              <a:graphicData uri="http://schemas.openxmlformats.org/drawingml/2006/picture">
                <pic:pic>
                  <pic:nvPicPr>
                    <pic:cNvPr id="174" name="image135.jpeg"/>
                    <pic:cNvPicPr/>
                  </pic:nvPicPr>
                  <pic:blipFill>
                    <a:blip r:embed="rId140" cstate="print"/>
                    <a:stretch>
                      <a:fillRect/>
                    </a:stretch>
                  </pic:blipFill>
                  <pic:spPr>
                    <a:xfrm>
                      <a:off x="0" y="0"/>
                      <a:ext cx="4809559" cy="6223635"/>
                    </a:xfrm>
                    <a:prstGeom prst="rect">
                      <a:avLst/>
                    </a:prstGeom>
                  </pic:spPr>
                </pic:pic>
              </a:graphicData>
            </a:graphic>
          </wp:anchor>
        </w:drawing>
      </w:r>
      <w:r>
        <w:rPr/>
        <w:t>En el poblado de San Mateo Tlaltenango los asentamientos irregulares </w:t>
      </w:r>
      <w:r>
        <w:rPr>
          <w:spacing w:val="2"/>
        </w:rPr>
        <w:t>se </w:t>
      </w:r>
      <w:r>
        <w:rPr/>
        <w:t>encuentran próximos con el límite urbano de la Delegación Álvaro Obregón. Las áreas de expansión tendencial corresponden a espacios del tejido donde quedan áreas con suelo sin cubierta vegetal y áreas agrícolas. Los  valores de las pendientes son bajos, </w:t>
      </w:r>
      <w:r>
        <w:rPr>
          <w:spacing w:val="-4"/>
        </w:rPr>
        <w:t>es </w:t>
      </w:r>
      <w:r>
        <w:rPr/>
        <w:t>decir, no presentan inclinaciones que pongan en riesgo a las personas que posiblemente puedan asentarse en </w:t>
      </w:r>
      <w:r>
        <w:rPr>
          <w:spacing w:val="-3"/>
        </w:rPr>
        <w:t>esa </w:t>
      </w:r>
      <w:r>
        <w:rPr/>
        <w:t>zona, por lo que su crecimiento puede ser al interior como al</w:t>
      </w:r>
      <w:r>
        <w:rPr>
          <w:spacing w:val="-11"/>
        </w:rPr>
        <w:t> </w:t>
      </w:r>
      <w:r>
        <w:rPr/>
        <w:t>exterior.</w:t>
      </w:r>
    </w:p>
    <w:p>
      <w:pPr>
        <w:pStyle w:val="BodyText"/>
        <w:spacing w:before="3"/>
        <w:rPr>
          <w:sz w:val="16"/>
        </w:rPr>
      </w:pPr>
    </w:p>
    <w:tbl>
      <w:tblPr>
        <w:tblW w:w="0" w:type="auto"/>
        <w:jc w:val="left"/>
        <w:tblInd w:w="4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95"/>
      </w:tblGrid>
      <w:tr>
        <w:trPr>
          <w:trHeight w:val="5311" w:hRule="exact"/>
        </w:trPr>
        <w:tc>
          <w:tcPr>
            <w:tcW w:w="7995" w:type="dxa"/>
          </w:tcPr>
          <w:p>
            <w:pPr>
              <w:pStyle w:val="TableParagraph"/>
              <w:spacing w:line="205" w:lineRule="exact"/>
              <w:ind w:left="180" w:right="180"/>
              <w:jc w:val="center"/>
              <w:rPr>
                <w:b/>
                <w:sz w:val="20"/>
              </w:rPr>
            </w:pPr>
            <w:r>
              <w:rPr>
                <w:b/>
                <w:sz w:val="20"/>
              </w:rPr>
              <w:t>Ilustración 16. Mapa de expansión de asentamientos irregulares en el poblado San Mateo</w:t>
            </w:r>
          </w:p>
          <w:p>
            <w:pPr>
              <w:pStyle w:val="TableParagraph"/>
              <w:ind w:left="180" w:right="176"/>
              <w:jc w:val="center"/>
              <w:rPr>
                <w:b/>
                <w:sz w:val="20"/>
              </w:rPr>
            </w:pPr>
            <w:r>
              <w:rPr>
                <w:b/>
                <w:sz w:val="20"/>
              </w:rPr>
              <w:t>Tlaltenango, Álvaro Obregón</w:t>
            </w:r>
          </w:p>
        </w:tc>
      </w:tr>
      <w:tr>
        <w:trPr>
          <w:trHeight w:val="5037" w:hRule="exact"/>
        </w:trPr>
        <w:tc>
          <w:tcPr>
            <w:tcW w:w="7995"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4"/>
              <w:rPr>
                <w:sz w:val="22"/>
              </w:rPr>
            </w:pPr>
          </w:p>
          <w:p>
            <w:pPr>
              <w:pStyle w:val="TableParagraph"/>
              <w:ind w:left="169" w:right="180"/>
              <w:jc w:val="center"/>
              <w:rPr>
                <w:sz w:val="16"/>
              </w:rPr>
            </w:pPr>
            <w:r>
              <w:rPr>
                <w:sz w:val="16"/>
              </w:rPr>
              <w:t>Fuente: Elaboración</w:t>
            </w:r>
            <w:r>
              <w:rPr>
                <w:spacing w:val="-18"/>
                <w:sz w:val="16"/>
              </w:rPr>
              <w:t> </w:t>
            </w:r>
            <w:r>
              <w:rPr>
                <w:sz w:val="16"/>
              </w:rPr>
              <w:t>propia</w:t>
            </w:r>
          </w:p>
        </w:tc>
      </w:tr>
    </w:tbl>
    <w:p>
      <w:pPr>
        <w:spacing w:after="0"/>
        <w:jc w:val="center"/>
        <w:rPr>
          <w:sz w:val="16"/>
        </w:rPr>
        <w:sectPr>
          <w:pgSz w:w="12240" w:h="15840"/>
          <w:pgMar w:top="1360" w:bottom="280" w:left="1580" w:right="1600"/>
        </w:sectPr>
      </w:pPr>
    </w:p>
    <w:p>
      <w:pPr>
        <w:pStyle w:val="BodyText"/>
        <w:spacing w:line="362" w:lineRule="auto" w:before="52"/>
        <w:ind w:left="239" w:right="116"/>
        <w:jc w:val="both"/>
      </w:pPr>
      <w:r>
        <w:rPr/>
        <w:drawing>
          <wp:anchor distT="0" distB="0" distL="0" distR="0" allowOverlap="1" layoutInCell="1" locked="0" behindDoc="1" simplePos="0" relativeHeight="268189631">
            <wp:simplePos x="0" y="0"/>
            <wp:positionH relativeFrom="page">
              <wp:posOffset>1252219</wp:posOffset>
            </wp:positionH>
            <wp:positionV relativeFrom="paragraph">
              <wp:posOffset>1394580</wp:posOffset>
            </wp:positionV>
            <wp:extent cx="5156354" cy="6672072"/>
            <wp:effectExtent l="0" t="0" r="0" b="0"/>
            <wp:wrapNone/>
            <wp:docPr id="175" name="image136.jpeg" descr=""/>
            <wp:cNvGraphicFramePr>
              <a:graphicFrameLocks noChangeAspect="1"/>
            </wp:cNvGraphicFramePr>
            <a:graphic>
              <a:graphicData uri="http://schemas.openxmlformats.org/drawingml/2006/picture">
                <pic:pic>
                  <pic:nvPicPr>
                    <pic:cNvPr id="176" name="image136.jpeg"/>
                    <pic:cNvPicPr/>
                  </pic:nvPicPr>
                  <pic:blipFill>
                    <a:blip r:embed="rId141" cstate="print"/>
                    <a:stretch>
                      <a:fillRect/>
                    </a:stretch>
                  </pic:blipFill>
                  <pic:spPr>
                    <a:xfrm>
                      <a:off x="0" y="0"/>
                      <a:ext cx="5156354" cy="6672072"/>
                    </a:xfrm>
                    <a:prstGeom prst="rect">
                      <a:avLst/>
                    </a:prstGeom>
                  </pic:spPr>
                </pic:pic>
              </a:graphicData>
            </a:graphic>
          </wp:anchor>
        </w:drawing>
      </w:r>
      <w:r>
        <w:rPr/>
        <w:t>En el poblado de San Pablo Chimalpa en la Delegación Cuajimalpa los AHI se encuentran fragmentados, en la zona existen espacios importantes de zona agrícola que puede presentar futuras invasiones, en este caso, únicamente se consideraron las zona sur, ya que hacia la parte centro-oeste las pendientes presentan una inclinación más prominente.</w:t>
      </w: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81"/>
      </w:tblGrid>
      <w:tr>
        <w:trPr>
          <w:trHeight w:val="5666" w:hRule="exact"/>
        </w:trPr>
        <w:tc>
          <w:tcPr>
            <w:tcW w:w="8881" w:type="dxa"/>
          </w:tcPr>
          <w:p>
            <w:pPr>
              <w:pStyle w:val="TableParagraph"/>
              <w:spacing w:line="205" w:lineRule="exact"/>
              <w:ind w:left="178" w:right="178"/>
              <w:jc w:val="center"/>
              <w:rPr>
                <w:b/>
                <w:sz w:val="20"/>
              </w:rPr>
            </w:pPr>
            <w:r>
              <w:rPr>
                <w:b/>
                <w:sz w:val="20"/>
              </w:rPr>
              <w:t>Ilustración 17. Mapa de expansión de asentamientos irregulares en el poblado San Pablo Chimalpa,</w:t>
            </w:r>
          </w:p>
          <w:p>
            <w:pPr>
              <w:pStyle w:val="TableParagraph"/>
              <w:ind w:left="176" w:right="178"/>
              <w:jc w:val="center"/>
              <w:rPr>
                <w:b/>
                <w:sz w:val="20"/>
              </w:rPr>
            </w:pPr>
            <w:r>
              <w:rPr>
                <w:b/>
                <w:sz w:val="20"/>
              </w:rPr>
              <w:t>Cuajimalpa</w:t>
            </w:r>
          </w:p>
        </w:tc>
      </w:tr>
      <w:tr>
        <w:trPr>
          <w:trHeight w:val="5393" w:hRule="exact"/>
        </w:trPr>
        <w:tc>
          <w:tcPr>
            <w:tcW w:w="8881"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3"/>
              <w:rPr>
                <w:sz w:val="21"/>
              </w:rPr>
            </w:pPr>
          </w:p>
          <w:p>
            <w:pPr>
              <w:pStyle w:val="TableParagraph"/>
              <w:ind w:left="175" w:right="178"/>
              <w:jc w:val="center"/>
              <w:rPr>
                <w:sz w:val="16"/>
              </w:rPr>
            </w:pPr>
            <w:r>
              <w:rPr>
                <w:sz w:val="16"/>
              </w:rPr>
              <w:t>Fuente: Elaboración</w:t>
            </w:r>
            <w:r>
              <w:rPr>
                <w:spacing w:val="-18"/>
                <w:sz w:val="16"/>
              </w:rPr>
              <w:t> </w:t>
            </w:r>
            <w:r>
              <w:rPr>
                <w:sz w:val="16"/>
              </w:rPr>
              <w:t>propia</w:t>
            </w:r>
          </w:p>
        </w:tc>
      </w:tr>
    </w:tbl>
    <w:p>
      <w:pPr>
        <w:spacing w:after="0"/>
        <w:jc w:val="center"/>
        <w:rPr>
          <w:sz w:val="16"/>
        </w:rPr>
        <w:sectPr>
          <w:pgSz w:w="12240" w:h="15840"/>
          <w:pgMar w:top="1360" w:bottom="280" w:left="1460" w:right="1580"/>
        </w:sectPr>
      </w:pPr>
    </w:p>
    <w:p>
      <w:pPr>
        <w:pStyle w:val="BodyText"/>
        <w:spacing w:line="362" w:lineRule="auto" w:before="52"/>
        <w:ind w:left="219" w:right="103"/>
        <w:jc w:val="both"/>
      </w:pPr>
      <w:r>
        <w:rPr/>
        <w:drawing>
          <wp:anchor distT="0" distB="0" distL="0" distR="0" allowOverlap="1" layoutInCell="1" locked="0" behindDoc="1" simplePos="0" relativeHeight="268189655">
            <wp:simplePos x="0" y="0"/>
            <wp:positionH relativeFrom="page">
              <wp:posOffset>1080135</wp:posOffset>
            </wp:positionH>
            <wp:positionV relativeFrom="paragraph">
              <wp:posOffset>1394580</wp:posOffset>
            </wp:positionV>
            <wp:extent cx="5068770" cy="6557295"/>
            <wp:effectExtent l="0" t="0" r="0" b="0"/>
            <wp:wrapNone/>
            <wp:docPr id="177" name="image137.jpeg" descr=""/>
            <wp:cNvGraphicFramePr>
              <a:graphicFrameLocks noChangeAspect="1"/>
            </wp:cNvGraphicFramePr>
            <a:graphic>
              <a:graphicData uri="http://schemas.openxmlformats.org/drawingml/2006/picture">
                <pic:pic>
                  <pic:nvPicPr>
                    <pic:cNvPr id="178" name="image137.jpeg"/>
                    <pic:cNvPicPr/>
                  </pic:nvPicPr>
                  <pic:blipFill>
                    <a:blip r:embed="rId142" cstate="print"/>
                    <a:stretch>
                      <a:fillRect/>
                    </a:stretch>
                  </pic:blipFill>
                  <pic:spPr>
                    <a:xfrm>
                      <a:off x="0" y="0"/>
                      <a:ext cx="5068770" cy="6557295"/>
                    </a:xfrm>
                    <a:prstGeom prst="rect">
                      <a:avLst/>
                    </a:prstGeom>
                  </pic:spPr>
                </pic:pic>
              </a:graphicData>
            </a:graphic>
          </wp:anchor>
        </w:drawing>
      </w:r>
      <w:r>
        <w:rPr/>
        <w:t>En el poblado de Santa Rosa Xochiac comprendido entre las delegaciones Cuajimalpa y Álvaro Obregón se presentan un mayor número de AHI y las zonas de expansión tendencial se dan hacia la zona con alto número de zonas agrícolas ubicadas en zonas planas. Su crecimiento puede suponer expansión hacia las afueras de poblado.</w:t>
      </w:r>
    </w:p>
    <w:p>
      <w:pPr>
        <w:pStyle w:val="BodyText"/>
        <w:rPr>
          <w:sz w:val="16"/>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23"/>
      </w:tblGrid>
      <w:tr>
        <w:trPr>
          <w:trHeight w:val="5669" w:hRule="exact"/>
        </w:trPr>
        <w:tc>
          <w:tcPr>
            <w:tcW w:w="8823" w:type="dxa"/>
          </w:tcPr>
          <w:p>
            <w:pPr>
              <w:pStyle w:val="TableParagraph"/>
              <w:spacing w:line="205" w:lineRule="exact"/>
              <w:ind w:left="177" w:right="177"/>
              <w:jc w:val="center"/>
              <w:rPr>
                <w:b/>
                <w:sz w:val="20"/>
              </w:rPr>
            </w:pPr>
            <w:r>
              <w:rPr>
                <w:b/>
                <w:sz w:val="20"/>
              </w:rPr>
              <w:t>Ilustración 18. Mapa de expansión de asentamientos irregulares en el poblado Santa Rosa Xochiac,</w:t>
            </w:r>
          </w:p>
          <w:p>
            <w:pPr>
              <w:pStyle w:val="TableParagraph"/>
              <w:ind w:left="177" w:right="169"/>
              <w:jc w:val="center"/>
              <w:rPr>
                <w:b/>
                <w:sz w:val="20"/>
              </w:rPr>
            </w:pPr>
            <w:r>
              <w:rPr>
                <w:b/>
                <w:sz w:val="20"/>
              </w:rPr>
              <w:t>Cuajimalpa y Álvaro Obregón</w:t>
            </w:r>
          </w:p>
        </w:tc>
      </w:tr>
      <w:tr>
        <w:trPr>
          <w:trHeight w:val="5395" w:hRule="exact"/>
        </w:trPr>
        <w:tc>
          <w:tcPr>
            <w:tcW w:w="8823"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5"/>
              <w:rPr>
                <w:sz w:val="21"/>
              </w:rPr>
            </w:pPr>
          </w:p>
          <w:p>
            <w:pPr>
              <w:pStyle w:val="TableParagraph"/>
              <w:ind w:left="174" w:right="177"/>
              <w:jc w:val="center"/>
              <w:rPr>
                <w:sz w:val="16"/>
              </w:rPr>
            </w:pPr>
            <w:r>
              <w:rPr>
                <w:sz w:val="16"/>
              </w:rPr>
              <w:t>Fuente: Elaboración</w:t>
            </w:r>
            <w:r>
              <w:rPr>
                <w:spacing w:val="-18"/>
                <w:sz w:val="16"/>
              </w:rPr>
              <w:t> </w:t>
            </w:r>
            <w:r>
              <w:rPr>
                <w:sz w:val="16"/>
              </w:rPr>
              <w:t>propia</w:t>
            </w:r>
          </w:p>
        </w:tc>
      </w:tr>
    </w:tbl>
    <w:p>
      <w:pPr>
        <w:spacing w:after="0"/>
        <w:jc w:val="center"/>
        <w:rPr>
          <w:sz w:val="16"/>
        </w:rPr>
        <w:sectPr>
          <w:pgSz w:w="12240" w:h="15840"/>
          <w:pgMar w:top="1360" w:bottom="280" w:left="1480" w:right="1600"/>
        </w:sectPr>
      </w:pPr>
    </w:p>
    <w:p>
      <w:pPr>
        <w:pStyle w:val="BodyText"/>
        <w:spacing w:line="362" w:lineRule="auto" w:before="52"/>
        <w:ind w:left="119" w:right="99"/>
        <w:jc w:val="both"/>
      </w:pPr>
      <w:r>
        <w:rPr/>
        <w:drawing>
          <wp:anchor distT="0" distB="0" distL="0" distR="0" allowOverlap="1" layoutInCell="1" locked="0" behindDoc="1" simplePos="0" relativeHeight="268189679">
            <wp:simplePos x="0" y="0"/>
            <wp:positionH relativeFrom="page">
              <wp:posOffset>1318894</wp:posOffset>
            </wp:positionH>
            <wp:positionV relativeFrom="paragraph">
              <wp:posOffset>1300092</wp:posOffset>
            </wp:positionV>
            <wp:extent cx="5040121" cy="6521196"/>
            <wp:effectExtent l="0" t="0" r="0" b="0"/>
            <wp:wrapNone/>
            <wp:docPr id="179" name="image138.jpeg" descr=""/>
            <wp:cNvGraphicFramePr>
              <a:graphicFrameLocks noChangeAspect="1"/>
            </wp:cNvGraphicFramePr>
            <a:graphic>
              <a:graphicData uri="http://schemas.openxmlformats.org/drawingml/2006/picture">
                <pic:pic>
                  <pic:nvPicPr>
                    <pic:cNvPr id="180" name="image138.jpeg"/>
                    <pic:cNvPicPr/>
                  </pic:nvPicPr>
                  <pic:blipFill>
                    <a:blip r:embed="rId143" cstate="print"/>
                    <a:stretch>
                      <a:fillRect/>
                    </a:stretch>
                  </pic:blipFill>
                  <pic:spPr>
                    <a:xfrm>
                      <a:off x="0" y="0"/>
                      <a:ext cx="5040121" cy="6521196"/>
                    </a:xfrm>
                    <a:prstGeom prst="rect">
                      <a:avLst/>
                    </a:prstGeom>
                  </pic:spPr>
                </pic:pic>
              </a:graphicData>
            </a:graphic>
          </wp:anchor>
        </w:drawing>
      </w:r>
      <w:r>
        <w:rPr/>
        <w:t>En el poblado de Zentlapatl en la Delegación Cuajimalpa las zonas de expansión tendencial apuntan también hacia las zonas agrícolas y áreas antropizadas con pendientes suavizadas. La expansión supone crecimiento hacia el interior.</w:t>
      </w:r>
    </w:p>
    <w:p>
      <w:pPr>
        <w:pStyle w:val="BodyText"/>
        <w:rPr>
          <w:sz w:val="16"/>
        </w:rPr>
      </w:pPr>
    </w:p>
    <w:tbl>
      <w:tblPr>
        <w:tblW w:w="0" w:type="auto"/>
        <w:jc w:val="left"/>
        <w:tblInd w:w="4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12"/>
      </w:tblGrid>
      <w:tr>
        <w:trPr>
          <w:trHeight w:val="5767" w:hRule="exact"/>
        </w:trPr>
        <w:tc>
          <w:tcPr>
            <w:tcW w:w="8012" w:type="dxa"/>
          </w:tcPr>
          <w:p>
            <w:pPr>
              <w:pStyle w:val="TableParagraph"/>
              <w:spacing w:line="205" w:lineRule="exact"/>
              <w:ind w:left="177" w:right="177"/>
              <w:jc w:val="center"/>
              <w:rPr>
                <w:b/>
                <w:sz w:val="20"/>
              </w:rPr>
            </w:pPr>
            <w:r>
              <w:rPr>
                <w:b/>
                <w:sz w:val="20"/>
              </w:rPr>
              <w:t>Ilustración 19. Mapa de expansión de asentamientos irregulares en el poblado Zentlapatl,</w:t>
            </w:r>
          </w:p>
          <w:p>
            <w:pPr>
              <w:pStyle w:val="TableParagraph"/>
              <w:spacing w:before="115"/>
              <w:ind w:left="177" w:right="175"/>
              <w:jc w:val="center"/>
              <w:rPr>
                <w:b/>
                <w:sz w:val="20"/>
              </w:rPr>
            </w:pPr>
            <w:r>
              <w:rPr>
                <w:b/>
                <w:sz w:val="20"/>
              </w:rPr>
              <w:t>Cuajimalpa</w:t>
            </w:r>
          </w:p>
        </w:tc>
      </w:tr>
      <w:tr>
        <w:trPr>
          <w:trHeight w:val="5378" w:hRule="exact"/>
        </w:trPr>
        <w:tc>
          <w:tcPr>
            <w:tcW w:w="8012"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20"/>
              </w:rPr>
            </w:pPr>
          </w:p>
          <w:p>
            <w:pPr>
              <w:pStyle w:val="TableParagraph"/>
              <w:ind w:left="177" w:right="177"/>
              <w:jc w:val="center"/>
              <w:rPr>
                <w:sz w:val="16"/>
              </w:rPr>
            </w:pPr>
            <w:r>
              <w:rPr>
                <w:sz w:val="16"/>
              </w:rPr>
              <w:t>Fuente: Elaboración propia</w:t>
            </w:r>
          </w:p>
        </w:tc>
      </w:tr>
    </w:tbl>
    <w:p>
      <w:pPr>
        <w:spacing w:after="0"/>
        <w:jc w:val="center"/>
        <w:rPr>
          <w:sz w:val="16"/>
        </w:rPr>
        <w:sectPr>
          <w:pgSz w:w="12240" w:h="15840"/>
          <w:pgMar w:top="1360" w:bottom="280" w:left="1580" w:right="1600"/>
        </w:sectPr>
      </w:pPr>
    </w:p>
    <w:p>
      <w:pPr>
        <w:pStyle w:val="Heading1"/>
      </w:pPr>
      <w:bookmarkStart w:name="_bookmark48" w:id="86"/>
      <w:bookmarkEnd w:id="86"/>
      <w:r>
        <w:rPr>
          <w:b w:val="0"/>
        </w:rPr>
      </w:r>
      <w:r>
        <w:rPr/>
        <w:t>CONCLUSIONES</w:t>
      </w:r>
    </w:p>
    <w:p>
      <w:pPr>
        <w:pStyle w:val="BodyText"/>
        <w:rPr>
          <w:b/>
        </w:rPr>
      </w:pPr>
    </w:p>
    <w:p>
      <w:pPr>
        <w:pStyle w:val="BodyText"/>
        <w:rPr>
          <w:b/>
          <w:sz w:val="19"/>
        </w:rPr>
      </w:pPr>
    </w:p>
    <w:p>
      <w:pPr>
        <w:pStyle w:val="BodyText"/>
        <w:spacing w:line="360" w:lineRule="auto" w:before="1"/>
        <w:ind w:left="119" w:right="98"/>
        <w:jc w:val="both"/>
      </w:pPr>
      <w:r>
        <w:rPr/>
        <w:t>La zona poniente de la Ciudad de México ha sido un ejemplo práctico de estudio para entender el funcionamiento de la planeación urbana y formas de ocupación de la vivienda irregular. Es cierto que la ocupación irregular no es un proceso reciente, sin embargo ha sufrido un crecimiento en gran escala debido a los cambios demográficos en la Ciudad de México. Es importante mencionar los objetivos desarrollados en esta investigación contextualizaron el problema de estudio a través de la distribución espacial de los asentamientos irregulares, que dieron como resultado un diagnóstico de la situación actual.</w:t>
      </w:r>
    </w:p>
    <w:p>
      <w:pPr>
        <w:pStyle w:val="BodyText"/>
        <w:spacing w:line="360" w:lineRule="auto" w:before="167"/>
        <w:ind w:left="119" w:right="106"/>
        <w:jc w:val="both"/>
      </w:pPr>
      <w:r>
        <w:rPr/>
        <w:t>Un objetivo medular de esta investigación para entender la dinámica espacial de los AHI, fue la identificación de los patrones de ocupación informal, los cuales dieron como resultado diversas formas de ocupar y acondicionar el espacio; además de visualizar el grado de urbanización en el que se encuentra cada poblado.</w:t>
      </w:r>
    </w:p>
    <w:p>
      <w:pPr>
        <w:pStyle w:val="BodyText"/>
        <w:spacing w:line="360" w:lineRule="auto" w:before="163"/>
        <w:ind w:left="119" w:right="99"/>
        <w:jc w:val="both"/>
      </w:pPr>
      <w:r>
        <w:rPr/>
        <w:t>Por su parte, la segmentación de áreas susceptibles a deslizamientos permitió aplicar el análisis espacial mediante una metodología que incorporo variables físicas y sociales. La intención de conocer las zonas de riesgo y los asentamientos susceptibles a deslizamientos, fue ampliar la visión sobre los estudios meramente teórico-sociales que se presentan sobre este proceso. El resultado fue satisfactorio porque espacialmente se pudieron conocer las áreas cuyos factores son propicios a la ocurrencia de un deslizamiento y que además, históricamente si se habían registrado en la zona. Por lo que, el modelo pudo comprobarse positivamente.</w:t>
      </w:r>
    </w:p>
    <w:p>
      <w:pPr>
        <w:pStyle w:val="BodyText"/>
        <w:spacing w:line="360" w:lineRule="auto" w:before="163"/>
        <w:ind w:left="119" w:right="101"/>
        <w:jc w:val="both"/>
      </w:pPr>
      <w:r>
        <w:rPr/>
        <w:t>Finalmente, la elaboración de un escenario prospectivo de expansión de asentamientos irregulares a través de un método similar al utilizado para la identificación de patrones, cumplió el objetivo de visualizar las áreas propensas a invadirse a partir de las variables físicas de la zona de estudio. El escenario hipotético de expansión de asentamientos humanos irregulares, resultó interesante en  tanto que </w:t>
      </w:r>
      <w:r>
        <w:rPr>
          <w:spacing w:val="2"/>
        </w:rPr>
        <w:t>se </w:t>
      </w:r>
      <w:r>
        <w:rPr/>
        <w:t>pudo implementar de manera rápida y eficaz debido al nivel de escala al que </w:t>
      </w:r>
      <w:r>
        <w:rPr>
          <w:spacing w:val="2"/>
        </w:rPr>
        <w:t>se </w:t>
      </w:r>
      <w:r>
        <w:rPr/>
        <w:t>manejó permitiendo un análisis claro y consistente con las condiciones</w:t>
      </w:r>
      <w:r>
        <w:rPr>
          <w:spacing w:val="-32"/>
        </w:rPr>
        <w:t> </w:t>
      </w:r>
      <w:r>
        <w:rPr/>
        <w:t>reales.</w:t>
      </w:r>
    </w:p>
    <w:p>
      <w:pPr>
        <w:pStyle w:val="BodyText"/>
        <w:spacing w:line="360" w:lineRule="auto" w:before="167"/>
        <w:ind w:left="119" w:right="98"/>
        <w:jc w:val="both"/>
      </w:pPr>
      <w:r>
        <w:rPr/>
        <w:t>A manera de reflexión, se puede decir que la dimensión espacial fue particularmente importante en esta investigación por su relación con la pobreza urbana, ya que existen diferencias entre los pobres que viven en barrios dentro de la ciudad y quienes habitan en la periferia urbana. Mientras que los estudios se han centrado principalmente en las zonas urbanas, no se ha prestado una atención sistemática a las poblaciones informales de la periferia urbana.</w:t>
      </w:r>
    </w:p>
    <w:p>
      <w:pPr>
        <w:spacing w:after="0" w:line="360" w:lineRule="auto"/>
        <w:jc w:val="both"/>
        <w:sectPr>
          <w:pgSz w:w="12240" w:h="15840"/>
          <w:pgMar w:top="1360" w:bottom="280" w:left="1580" w:right="1600"/>
        </w:sectPr>
      </w:pPr>
    </w:p>
    <w:p>
      <w:pPr>
        <w:pStyle w:val="BodyText"/>
        <w:spacing w:line="360" w:lineRule="auto" w:before="52"/>
        <w:ind w:left="119" w:right="119"/>
        <w:jc w:val="both"/>
      </w:pPr>
      <w:r>
        <w:rPr/>
        <w:t>En el contexto estudiado se observa una falta de decisiones estratégicas para orientar la transformación del territorio y básicamente poner límites a la expansión irregular. La ocupación territorial por asentamientos de carácter ilegal no se dio de un día para otro, conllevo un proceso importante de antropización del medio natural y es el que está ocasionando consecuencias importantes a nivel social y natural.</w:t>
      </w:r>
    </w:p>
    <w:p>
      <w:pPr>
        <w:pStyle w:val="BodyText"/>
        <w:spacing w:line="360" w:lineRule="auto" w:before="163"/>
        <w:ind w:left="119" w:right="123"/>
        <w:jc w:val="both"/>
      </w:pPr>
      <w:r>
        <w:rPr/>
        <w:t>Los objetivos de esta investigación permitieron conocer las condiciones de habitabilidad humana, pensando cómo se localiza, cuáles son las áreas de riesgo, cómo se agrupan los sectores informales, y como se estarán urbanizando los nuevos espacios.</w:t>
      </w:r>
    </w:p>
    <w:p>
      <w:pPr>
        <w:pStyle w:val="BodyText"/>
        <w:spacing w:line="360" w:lineRule="auto" w:before="167"/>
        <w:ind w:left="119" w:right="122"/>
        <w:jc w:val="both"/>
      </w:pPr>
      <w:r>
        <w:rPr/>
        <w:t>Cuando </w:t>
      </w:r>
      <w:r>
        <w:rPr>
          <w:spacing w:val="2"/>
        </w:rPr>
        <w:t>se </w:t>
      </w:r>
      <w:r>
        <w:rPr/>
        <w:t>habla de aplicar la normatividad en los asentamientos irregulares en la Ciudad de  México principalmente para proteger el espacio de futuras invasiones, </w:t>
      </w:r>
      <w:r>
        <w:rPr>
          <w:spacing w:val="2"/>
        </w:rPr>
        <w:t>se </w:t>
      </w:r>
      <w:r>
        <w:rPr/>
        <w:t>está afirmando que los asentamientos </w:t>
      </w:r>
      <w:r>
        <w:rPr>
          <w:spacing w:val="-3"/>
        </w:rPr>
        <w:t>ya </w:t>
      </w:r>
      <w:r>
        <w:rPr/>
        <w:t>existentes son barrios </w:t>
      </w:r>
      <w:r>
        <w:rPr>
          <w:spacing w:val="-3"/>
        </w:rPr>
        <w:t>ya </w:t>
      </w:r>
      <w:r>
        <w:rPr/>
        <w:t>construidos, barrios que </w:t>
      </w:r>
      <w:r>
        <w:rPr>
          <w:spacing w:val="-4"/>
        </w:rPr>
        <w:t>es </w:t>
      </w:r>
      <w:r>
        <w:rPr/>
        <w:t>necesario mejorar </w:t>
      </w:r>
      <w:r>
        <w:rPr>
          <w:spacing w:val="-4"/>
        </w:rPr>
        <w:t>en </w:t>
      </w:r>
      <w:r>
        <w:rPr/>
        <w:t>el sentido de dotar de infraestructuras </w:t>
      </w:r>
      <w:r>
        <w:rPr>
          <w:spacing w:val="-3"/>
        </w:rPr>
        <w:t>locales </w:t>
      </w:r>
      <w:r>
        <w:rPr/>
        <w:t>y generales que necesitan, y barrios que </w:t>
      </w:r>
      <w:r>
        <w:rPr>
          <w:spacing w:val="-4"/>
        </w:rPr>
        <w:t>es </w:t>
      </w:r>
      <w:r>
        <w:rPr/>
        <w:t>necesario igualmente también conectar entre sí y conectar </w:t>
      </w:r>
      <w:r>
        <w:rPr>
          <w:spacing w:val="-3"/>
        </w:rPr>
        <w:t>con </w:t>
      </w:r>
      <w:r>
        <w:rPr/>
        <w:t>los centros</w:t>
      </w:r>
      <w:r>
        <w:rPr>
          <w:spacing w:val="-13"/>
        </w:rPr>
        <w:t> </w:t>
      </w:r>
      <w:r>
        <w:rPr/>
        <w:t>urbanos.</w:t>
      </w:r>
    </w:p>
    <w:p>
      <w:pPr>
        <w:pStyle w:val="BodyText"/>
        <w:spacing w:line="360" w:lineRule="auto" w:before="163"/>
        <w:ind w:left="119" w:right="112"/>
        <w:jc w:val="both"/>
      </w:pPr>
      <w:r>
        <w:rPr/>
        <w:t>Lo anterior puede resultar contraproducente, porque al dotarse de servicios urbanos estas áreas, se puede seguir reproduciendo el patrón de ocupación y nuevamente, continuar teniendo un impacto negativo hacia suelo de conservación que invaden. Es por </w:t>
      </w:r>
      <w:r>
        <w:rPr>
          <w:spacing w:val="-3"/>
        </w:rPr>
        <w:t>ello, </w:t>
      </w:r>
      <w:r>
        <w:rPr/>
        <w:t>que el diseño, implementación y ejecución de las políticas </w:t>
      </w:r>
      <w:r>
        <w:rPr>
          <w:spacing w:val="-4"/>
        </w:rPr>
        <w:t>es </w:t>
      </w:r>
      <w:r>
        <w:rPr/>
        <w:t>determinante para que la Ciudad de México conserve el área natural  </w:t>
      </w:r>
      <w:r>
        <w:rPr>
          <w:spacing w:val="-2"/>
        </w:rPr>
        <w:t>más </w:t>
      </w:r>
      <w:r>
        <w:rPr/>
        <w:t>grande que tiene y la que le provee de servicios ambientales importantes, porque </w:t>
      </w:r>
      <w:r>
        <w:rPr>
          <w:spacing w:val="-4"/>
        </w:rPr>
        <w:t>es </w:t>
      </w:r>
      <w:r>
        <w:rPr/>
        <w:t>cierto que son absolutamente fundamentales para la existencia de la</w:t>
      </w:r>
      <w:r>
        <w:rPr>
          <w:spacing w:val="-18"/>
        </w:rPr>
        <w:t> </w:t>
      </w:r>
      <w:r>
        <w:rPr/>
        <w:t>misma.</w:t>
      </w:r>
    </w:p>
    <w:p>
      <w:pPr>
        <w:pStyle w:val="BodyText"/>
        <w:spacing w:line="360" w:lineRule="auto" w:before="167"/>
        <w:ind w:left="119" w:right="118"/>
        <w:jc w:val="both"/>
      </w:pPr>
      <w:r>
        <w:rPr/>
        <w:t>Es importante tener en consideración que las consecuencias de la expansión urbana periférica son negativas, en tanto que habrá mayor número de habitantes viviendo en asentamientos irregulares, y ocupando zonas de conservación y protección en términos de amenaza y riesgo, entonces pensar en la expansión de la ciudad implica precisamente anticiparse a ese crecimiento que se va a dar de facto.</w:t>
      </w:r>
    </w:p>
    <w:p>
      <w:pPr>
        <w:pStyle w:val="BodyText"/>
        <w:spacing w:line="360" w:lineRule="auto" w:before="163"/>
        <w:ind w:left="119" w:right="116"/>
        <w:jc w:val="both"/>
      </w:pPr>
      <w:r>
        <w:rPr/>
        <w:t>Por estas razones, los asentamientos irregulares es más que un problema urbano, es un problema social, un problema económico y un problema ambiental, existiendo demasiadas personas en condiciones precarias, expuestas a riesgos y exposición a los desastres naturales, para la Ciudad de México resulta un gran problema al que se le ha prestado poca atención, pero que sus consecuencias en el mediano y largo plazo pueden ser de consecuencias irreparables.</w:t>
      </w:r>
    </w:p>
    <w:p>
      <w:pPr>
        <w:spacing w:after="0" w:line="360" w:lineRule="auto"/>
        <w:jc w:val="both"/>
        <w:sectPr>
          <w:pgSz w:w="12240" w:h="15840"/>
          <w:pgMar w:top="1360" w:bottom="280" w:left="1580" w:right="1580"/>
        </w:sectPr>
      </w:pPr>
    </w:p>
    <w:p>
      <w:pPr>
        <w:pStyle w:val="Heading1"/>
        <w:spacing w:before="57"/>
      </w:pPr>
      <w:bookmarkStart w:name="_bookmark49" w:id="87"/>
      <w:bookmarkEnd w:id="87"/>
      <w:r>
        <w:rPr>
          <w:b w:val="0"/>
        </w:rPr>
      </w:r>
      <w:r>
        <w:rPr/>
        <w:t>RECOMENDACIONES</w:t>
      </w:r>
    </w:p>
    <w:p>
      <w:pPr>
        <w:pStyle w:val="BodyText"/>
        <w:rPr>
          <w:b/>
        </w:rPr>
      </w:pPr>
    </w:p>
    <w:p>
      <w:pPr>
        <w:pStyle w:val="BodyText"/>
        <w:spacing w:before="7"/>
        <w:rPr>
          <w:b/>
          <w:sz w:val="18"/>
        </w:rPr>
      </w:pPr>
    </w:p>
    <w:p>
      <w:pPr>
        <w:pStyle w:val="BodyText"/>
        <w:spacing w:line="360" w:lineRule="auto"/>
        <w:ind w:left="119" w:right="105"/>
        <w:jc w:val="both"/>
      </w:pPr>
      <w:r>
        <w:rPr/>
        <w:t>Este trabajo de investigación tuvo como finalidad el análisis actual sobre el proceso de ocupación irregular en un área específica de la Ciudad de México, buscando contribuir en la ampliación de la visión sobre las dinámicas espaciales que podrían ser partícipes en una mejora en la toma de decisiones. En este estudio se utilizaron metodologías académicas diferentes a las utilizadas en las instituciones de gobierno, pero que presentan resultados confiables por la escala de trabajo en la que se trataron los datos permitiendo ser más específicos y detallados en comparación con estudios de donde se presentan metodologías de manera generalizada para todo el país.</w:t>
      </w:r>
    </w:p>
    <w:p>
      <w:pPr>
        <w:pStyle w:val="BodyText"/>
        <w:spacing w:line="360" w:lineRule="auto" w:before="167"/>
        <w:ind w:left="119" w:right="104"/>
        <w:jc w:val="both"/>
      </w:pPr>
      <w:r>
        <w:rPr/>
        <w:t>Este trabajo se recomienda para que sea consultado por las autoridades correspondientes tanto para aplicar las leyes ya existentes, así como para alertar a la población sobre los riesgos presentes en el área y los asentamientos con mayor susceptibilidad a deslizamientos. Asimismo para conocer el futuro proceso de expansión de los asentamientos irregulares por las condiciones físicas y sociales que se presentan.</w:t>
      </w:r>
    </w:p>
    <w:p>
      <w:pPr>
        <w:pStyle w:val="BodyText"/>
        <w:spacing w:line="360" w:lineRule="auto" w:before="163"/>
        <w:ind w:left="119" w:right="98"/>
        <w:jc w:val="both"/>
      </w:pPr>
      <w:r>
        <w:rPr/>
        <w:t>Es importante mencionar que la modificación de las metodologías así </w:t>
      </w:r>
      <w:r>
        <w:rPr>
          <w:spacing w:val="-3"/>
        </w:rPr>
        <w:t>como </w:t>
      </w:r>
      <w:r>
        <w:rPr/>
        <w:t>la integración de  nuevas variables podría arrojar nuevos resultados, replicando el contexto o bien, considerando otro de </w:t>
      </w:r>
      <w:r>
        <w:rPr>
          <w:spacing w:val="-3"/>
        </w:rPr>
        <w:t>menor </w:t>
      </w:r>
      <w:r>
        <w:rPr/>
        <w:t>o </w:t>
      </w:r>
      <w:r>
        <w:rPr>
          <w:spacing w:val="-3"/>
        </w:rPr>
        <w:t>mayor </w:t>
      </w:r>
      <w:r>
        <w:rPr/>
        <w:t>escala territorial. La aplicación del análisis espacial a los estudios del medio  físico y social tiene aportaciones importantes porque permite la asociación de variables cuantitativas y cualitativas; quedando demostrado en el estudio de la dinámica espacial de los asentamientos humanos irregulares en suelo de</w:t>
      </w:r>
      <w:r>
        <w:rPr>
          <w:spacing w:val="-21"/>
        </w:rPr>
        <w:t> </w:t>
      </w:r>
      <w:r>
        <w:rPr/>
        <w:t>conservación.</w:t>
      </w:r>
    </w:p>
    <w:p>
      <w:pPr>
        <w:spacing w:after="0" w:line="360" w:lineRule="auto"/>
        <w:jc w:val="both"/>
        <w:sectPr>
          <w:pgSz w:w="12240" w:h="15840"/>
          <w:pgMar w:top="1360" w:bottom="280" w:left="1580" w:right="1600"/>
        </w:sectPr>
      </w:pPr>
    </w:p>
    <w:p>
      <w:pPr>
        <w:pStyle w:val="Heading1"/>
        <w:spacing w:before="57"/>
        <w:ind w:right="40"/>
        <w:jc w:val="left"/>
      </w:pPr>
      <w:bookmarkStart w:name="_bookmark50" w:id="88"/>
      <w:bookmarkEnd w:id="88"/>
      <w:r>
        <w:rPr>
          <w:b w:val="0"/>
        </w:rPr>
      </w:r>
      <w:r>
        <w:rPr/>
        <w:t>BIBLIOGRAFÍA</w:t>
      </w:r>
    </w:p>
    <w:p>
      <w:pPr>
        <w:pStyle w:val="BodyText"/>
        <w:rPr>
          <w:b/>
        </w:rPr>
      </w:pPr>
    </w:p>
    <w:p>
      <w:pPr>
        <w:pStyle w:val="BodyText"/>
        <w:spacing w:before="2"/>
        <w:rPr>
          <w:b/>
          <w:sz w:val="18"/>
        </w:rPr>
      </w:pPr>
    </w:p>
    <w:p>
      <w:pPr>
        <w:pStyle w:val="ListParagraph"/>
        <w:numPr>
          <w:ilvl w:val="0"/>
          <w:numId w:val="21"/>
        </w:numPr>
        <w:tabs>
          <w:tab w:pos="841" w:val="left" w:leader="none"/>
        </w:tabs>
        <w:spacing w:line="264" w:lineRule="auto" w:before="1" w:after="0"/>
        <w:ind w:left="840" w:right="117" w:hanging="360"/>
        <w:jc w:val="both"/>
        <w:rPr>
          <w:sz w:val="22"/>
        </w:rPr>
      </w:pPr>
      <w:r>
        <w:rPr>
          <w:sz w:val="22"/>
        </w:rPr>
        <w:t>Aguilar, </w:t>
      </w:r>
      <w:r>
        <w:rPr>
          <w:spacing w:val="-3"/>
          <w:sz w:val="22"/>
        </w:rPr>
        <w:t>A. </w:t>
      </w:r>
      <w:r>
        <w:rPr>
          <w:sz w:val="22"/>
        </w:rPr>
        <w:t>y Escamilla I. (2009). </w:t>
      </w:r>
      <w:r>
        <w:rPr>
          <w:i/>
          <w:sz w:val="22"/>
        </w:rPr>
        <w:t>Periferia urbana. Deterioro ambiental y reestructuración </w:t>
      </w:r>
      <w:r>
        <w:rPr>
          <w:i/>
          <w:sz w:val="22"/>
        </w:rPr>
        <w:t>metropolitana. </w:t>
      </w:r>
      <w:r>
        <w:rPr>
          <w:sz w:val="22"/>
        </w:rPr>
        <w:t>México:</w:t>
      </w:r>
      <w:r>
        <w:rPr>
          <w:spacing w:val="-13"/>
          <w:sz w:val="22"/>
        </w:rPr>
        <w:t> </w:t>
      </w:r>
      <w:r>
        <w:rPr>
          <w:sz w:val="22"/>
        </w:rPr>
        <w:t>UNAM.</w:t>
      </w:r>
    </w:p>
    <w:p>
      <w:pPr>
        <w:pStyle w:val="ListParagraph"/>
        <w:numPr>
          <w:ilvl w:val="0"/>
          <w:numId w:val="21"/>
        </w:numPr>
        <w:tabs>
          <w:tab w:pos="841" w:val="left" w:leader="none"/>
        </w:tabs>
        <w:spacing w:line="264" w:lineRule="auto" w:before="150" w:after="0"/>
        <w:ind w:left="840" w:right="118" w:hanging="360"/>
        <w:jc w:val="both"/>
        <w:rPr>
          <w:sz w:val="22"/>
        </w:rPr>
      </w:pPr>
      <w:r>
        <w:rPr>
          <w:sz w:val="22"/>
        </w:rPr>
        <w:t>Aguilo, A., et.al., (2004). </w:t>
      </w:r>
      <w:r>
        <w:rPr>
          <w:i/>
          <w:sz w:val="22"/>
        </w:rPr>
        <w:t>Guía para la elaboración de estudios del medio físico. Contenido </w:t>
      </w:r>
      <w:r>
        <w:rPr>
          <w:i/>
          <w:sz w:val="22"/>
        </w:rPr>
        <w:t>y metodología</w:t>
      </w:r>
      <w:r>
        <w:rPr>
          <w:sz w:val="22"/>
        </w:rPr>
        <w:t>. Ministerio de Medio Ambiente.</w:t>
      </w:r>
      <w:r>
        <w:rPr>
          <w:spacing w:val="-18"/>
          <w:sz w:val="22"/>
        </w:rPr>
        <w:t> </w:t>
      </w:r>
      <w:r>
        <w:rPr>
          <w:sz w:val="22"/>
        </w:rPr>
        <w:t>España.</w:t>
      </w:r>
    </w:p>
    <w:p>
      <w:pPr>
        <w:pStyle w:val="ListParagraph"/>
        <w:numPr>
          <w:ilvl w:val="0"/>
          <w:numId w:val="21"/>
        </w:numPr>
        <w:tabs>
          <w:tab w:pos="841" w:val="left" w:leader="none"/>
        </w:tabs>
        <w:spacing w:line="261" w:lineRule="auto" w:before="150" w:after="0"/>
        <w:ind w:left="840" w:right="119" w:hanging="360"/>
        <w:jc w:val="both"/>
        <w:rPr>
          <w:sz w:val="22"/>
        </w:rPr>
      </w:pPr>
      <w:r>
        <w:rPr>
          <w:sz w:val="22"/>
        </w:rPr>
        <w:t>Bocco, G., Urquijo, P. (2013). Geografía ambiental: reflexiones teóricas y práctica institucional. Región y Sociedad XXV (Enero-Abril). </w:t>
      </w:r>
      <w:r>
        <w:rPr>
          <w:spacing w:val="-3"/>
          <w:sz w:val="22"/>
        </w:rPr>
        <w:t>Fecha </w:t>
      </w:r>
      <w:r>
        <w:rPr>
          <w:sz w:val="22"/>
        </w:rPr>
        <w:t>de acceso: 19-08-2014 De: </w:t>
      </w:r>
      <w:hyperlink r:id="rId144">
        <w:r>
          <w:rPr>
            <w:sz w:val="22"/>
          </w:rPr>
          <w:t>http://www.redalyc.org/articulo.oa?id=10225596001</w:t>
        </w:r>
      </w:hyperlink>
    </w:p>
    <w:p>
      <w:pPr>
        <w:pStyle w:val="ListParagraph"/>
        <w:numPr>
          <w:ilvl w:val="0"/>
          <w:numId w:val="21"/>
        </w:numPr>
        <w:tabs>
          <w:tab w:pos="841" w:val="left" w:leader="none"/>
        </w:tabs>
        <w:spacing w:line="261" w:lineRule="auto" w:before="152" w:after="0"/>
        <w:ind w:left="840" w:right="120" w:hanging="360"/>
        <w:jc w:val="both"/>
        <w:rPr>
          <w:sz w:val="22"/>
        </w:rPr>
      </w:pPr>
      <w:r>
        <w:rPr>
          <w:sz w:val="22"/>
        </w:rPr>
        <w:t>Baxandale, C. </w:t>
      </w:r>
      <w:r>
        <w:rPr>
          <w:i/>
          <w:sz w:val="22"/>
        </w:rPr>
        <w:t>Geografía y planificación urbana y regional: una reflexión sobre sus </w:t>
      </w:r>
      <w:r>
        <w:rPr>
          <w:i/>
          <w:sz w:val="22"/>
        </w:rPr>
        <w:t>enfoques e interrelaciones en las últimas décadas del siglo XX. </w:t>
      </w:r>
      <w:r>
        <w:rPr>
          <w:sz w:val="22"/>
        </w:rPr>
        <w:t>Fecha de acceso: 22-10- 2014 </w:t>
      </w:r>
      <w:r>
        <w:rPr>
          <w:spacing w:val="-3"/>
          <w:sz w:val="22"/>
        </w:rPr>
        <w:t>De:</w:t>
      </w:r>
      <w:r>
        <w:rPr>
          <w:spacing w:val="-19"/>
          <w:sz w:val="22"/>
        </w:rPr>
        <w:t> </w:t>
      </w:r>
      <w:hyperlink r:id="rId145">
        <w:r>
          <w:rPr>
            <w:sz w:val="22"/>
          </w:rPr>
          <w:t>http://www.planetario.gov.ar/images/Baxendale.pdf</w:t>
        </w:r>
      </w:hyperlink>
    </w:p>
    <w:p>
      <w:pPr>
        <w:pStyle w:val="ListParagraph"/>
        <w:numPr>
          <w:ilvl w:val="0"/>
          <w:numId w:val="21"/>
        </w:numPr>
        <w:tabs>
          <w:tab w:pos="841" w:val="left" w:leader="none"/>
        </w:tabs>
        <w:spacing w:line="264" w:lineRule="auto" w:before="153" w:after="0"/>
        <w:ind w:left="840" w:right="122" w:hanging="360"/>
        <w:jc w:val="both"/>
        <w:rPr>
          <w:sz w:val="22"/>
        </w:rPr>
      </w:pPr>
      <w:r>
        <w:rPr>
          <w:sz w:val="22"/>
        </w:rPr>
        <w:t>Bertrand, C. y Bertrand, G., (2006). </w:t>
      </w:r>
      <w:r>
        <w:rPr>
          <w:i/>
          <w:sz w:val="22"/>
        </w:rPr>
        <w:t>Geografía del Medio Ambiente. El Sistema GTP: </w:t>
      </w:r>
      <w:r>
        <w:rPr>
          <w:i/>
          <w:sz w:val="22"/>
        </w:rPr>
        <w:t>Geosistema, territorio y paisaje</w:t>
      </w:r>
      <w:r>
        <w:rPr>
          <w:sz w:val="22"/>
        </w:rPr>
        <w:t>, Granada, España, Universidad de Granada, p.</w:t>
      </w:r>
      <w:r>
        <w:rPr>
          <w:spacing w:val="-28"/>
          <w:sz w:val="22"/>
        </w:rPr>
        <w:t> </w:t>
      </w:r>
      <w:r>
        <w:rPr>
          <w:sz w:val="22"/>
        </w:rPr>
        <w:t>129.</w:t>
      </w:r>
    </w:p>
    <w:p>
      <w:pPr>
        <w:pStyle w:val="ListParagraph"/>
        <w:numPr>
          <w:ilvl w:val="0"/>
          <w:numId w:val="21"/>
        </w:numPr>
        <w:tabs>
          <w:tab w:pos="840" w:val="left" w:leader="none"/>
          <w:tab w:pos="841" w:val="left" w:leader="none"/>
          <w:tab w:pos="2366" w:val="left" w:leader="none"/>
          <w:tab w:pos="3882" w:val="left" w:leader="none"/>
          <w:tab w:pos="4995" w:val="left" w:leader="none"/>
          <w:tab w:pos="5786" w:val="left" w:leader="none"/>
          <w:tab w:pos="7019" w:val="left" w:leader="none"/>
          <w:tab w:pos="8637" w:val="left" w:leader="none"/>
        </w:tabs>
        <w:spacing w:line="261" w:lineRule="auto" w:before="150" w:after="0"/>
        <w:ind w:left="840" w:right="117" w:hanging="360"/>
        <w:jc w:val="left"/>
        <w:rPr>
          <w:sz w:val="22"/>
        </w:rPr>
      </w:pPr>
      <w:r>
        <w:rPr>
          <w:sz w:val="22"/>
        </w:rPr>
        <w:t>Buzai, G. y Baxendale, C., (2010) </w:t>
      </w:r>
      <w:r>
        <w:rPr>
          <w:i/>
          <w:sz w:val="22"/>
        </w:rPr>
        <w:t>Análisis espacial con sistemas de información </w:t>
      </w:r>
      <w:r>
        <w:rPr>
          <w:i/>
          <w:sz w:val="22"/>
        </w:rPr>
        <w:t>geográfica. aportes de la geografía para la elaboración del diagnóstico en el ordenamiento territorial</w:t>
      </w:r>
      <w:r>
        <w:rPr>
          <w:sz w:val="22"/>
        </w:rPr>
        <w:t>.</w:t>
        <w:tab/>
        <w:t>Argentina.</w:t>
        <w:tab/>
        <w:t>Fecha</w:t>
        <w:tab/>
        <w:t>de</w:t>
        <w:tab/>
        <w:t>acceso:</w:t>
        <w:tab/>
        <w:t>22-03-2015</w:t>
        <w:tab/>
        <w:t>De: </w:t>
      </w:r>
      <w:hyperlink r:id="rId146">
        <w:r>
          <w:rPr>
            <w:sz w:val="22"/>
          </w:rPr>
          <w:t>http://geogra.uah.es/1_cong_honduras/docs/ponencias_pdf/ponen3_pdf/ponencia_Buzai/Po</w:t>
        </w:r>
      </w:hyperlink>
      <w:r>
        <w:rPr>
          <w:sz w:val="22"/>
        </w:rPr>
        <w:t> nencia_Buzai-Baxendale-D2010.pdf</w:t>
      </w:r>
    </w:p>
    <w:p>
      <w:pPr>
        <w:pStyle w:val="ListParagraph"/>
        <w:numPr>
          <w:ilvl w:val="0"/>
          <w:numId w:val="21"/>
        </w:numPr>
        <w:tabs>
          <w:tab w:pos="841" w:val="left" w:leader="none"/>
        </w:tabs>
        <w:spacing w:line="264" w:lineRule="auto" w:before="152" w:after="0"/>
        <w:ind w:left="840" w:right="116" w:hanging="360"/>
        <w:jc w:val="both"/>
        <w:rPr>
          <w:sz w:val="22"/>
        </w:rPr>
      </w:pPr>
      <w:r>
        <w:rPr>
          <w:sz w:val="22"/>
        </w:rPr>
        <w:t>Buzai, G., y Baxandale, C., (2011). </w:t>
      </w:r>
      <w:r>
        <w:rPr>
          <w:i/>
          <w:sz w:val="22"/>
        </w:rPr>
        <w:t>Análisis socioespacial con sistemas de información </w:t>
      </w:r>
      <w:r>
        <w:rPr>
          <w:i/>
          <w:sz w:val="22"/>
        </w:rPr>
        <w:t>geográfica. Temática base ráster. </w:t>
      </w:r>
      <w:r>
        <w:rPr>
          <w:sz w:val="22"/>
        </w:rPr>
        <w:t>Tomo I. Editorial Lugar. Buenos Aires,</w:t>
      </w:r>
      <w:r>
        <w:rPr>
          <w:spacing w:val="-33"/>
          <w:sz w:val="22"/>
        </w:rPr>
        <w:t> </w:t>
      </w:r>
      <w:r>
        <w:rPr>
          <w:sz w:val="22"/>
        </w:rPr>
        <w:t>Argentina.</w:t>
      </w:r>
    </w:p>
    <w:p>
      <w:pPr>
        <w:pStyle w:val="ListParagraph"/>
        <w:numPr>
          <w:ilvl w:val="0"/>
          <w:numId w:val="21"/>
        </w:numPr>
        <w:tabs>
          <w:tab w:pos="840" w:val="left" w:leader="none"/>
          <w:tab w:pos="841" w:val="left" w:leader="none"/>
        </w:tabs>
        <w:spacing w:line="240" w:lineRule="auto" w:before="155" w:after="0"/>
        <w:ind w:left="840" w:right="0" w:hanging="360"/>
        <w:jc w:val="left"/>
        <w:rPr>
          <w:sz w:val="22"/>
        </w:rPr>
      </w:pPr>
      <w:r>
        <w:rPr>
          <w:sz w:val="22"/>
        </w:rPr>
        <w:t>Buzai, G. (2014). </w:t>
      </w:r>
      <w:r>
        <w:rPr>
          <w:i/>
          <w:sz w:val="22"/>
        </w:rPr>
        <w:t>Mapas sociales urbanos. </w:t>
      </w:r>
      <w:r>
        <w:rPr>
          <w:sz w:val="22"/>
        </w:rPr>
        <w:t>Editorial Lugar. Buenos Aires,</w:t>
      </w:r>
      <w:r>
        <w:rPr>
          <w:spacing w:val="-28"/>
          <w:sz w:val="22"/>
        </w:rPr>
        <w:t> </w:t>
      </w:r>
      <w:r>
        <w:rPr>
          <w:sz w:val="22"/>
        </w:rPr>
        <w:t>Argentina.</w:t>
      </w:r>
    </w:p>
    <w:p>
      <w:pPr>
        <w:pStyle w:val="ListParagraph"/>
        <w:numPr>
          <w:ilvl w:val="0"/>
          <w:numId w:val="21"/>
        </w:numPr>
        <w:tabs>
          <w:tab w:pos="840" w:val="left" w:leader="none"/>
          <w:tab w:pos="841" w:val="left" w:leader="none"/>
        </w:tabs>
        <w:spacing w:line="240" w:lineRule="auto" w:before="179" w:after="0"/>
        <w:ind w:left="840" w:right="0" w:hanging="360"/>
        <w:jc w:val="left"/>
        <w:rPr>
          <w:sz w:val="22"/>
        </w:rPr>
      </w:pPr>
      <w:r>
        <w:rPr>
          <w:sz w:val="22"/>
        </w:rPr>
        <w:t>Canto, R (2012). </w:t>
      </w:r>
      <w:r>
        <w:rPr>
          <w:i/>
          <w:sz w:val="22"/>
        </w:rPr>
        <w:t>Análisis geomorfológico de la DAO usando Gis. </w:t>
      </w:r>
      <w:r>
        <w:rPr>
          <w:sz w:val="22"/>
        </w:rPr>
        <w:t>México:</w:t>
      </w:r>
      <w:r>
        <w:rPr>
          <w:spacing w:val="-25"/>
          <w:sz w:val="22"/>
        </w:rPr>
        <w:t> </w:t>
      </w:r>
      <w:r>
        <w:rPr>
          <w:sz w:val="22"/>
        </w:rPr>
        <w:t>UNAM.</w:t>
      </w:r>
    </w:p>
    <w:p>
      <w:pPr>
        <w:pStyle w:val="ListParagraph"/>
        <w:numPr>
          <w:ilvl w:val="0"/>
          <w:numId w:val="21"/>
        </w:numPr>
        <w:tabs>
          <w:tab w:pos="841" w:val="left" w:leader="none"/>
        </w:tabs>
        <w:spacing w:line="264" w:lineRule="auto" w:before="174" w:after="0"/>
        <w:ind w:left="840" w:right="119" w:hanging="360"/>
        <w:jc w:val="both"/>
        <w:rPr>
          <w:sz w:val="22"/>
        </w:rPr>
      </w:pPr>
      <w:r>
        <w:rPr>
          <w:sz w:val="22"/>
        </w:rPr>
        <w:t>Cruz, </w:t>
      </w:r>
      <w:r>
        <w:rPr>
          <w:spacing w:val="-3"/>
          <w:sz w:val="22"/>
        </w:rPr>
        <w:t>M. </w:t>
      </w:r>
      <w:r>
        <w:rPr>
          <w:sz w:val="22"/>
        </w:rPr>
        <w:t>(1997). </w:t>
      </w:r>
      <w:r>
        <w:rPr>
          <w:i/>
          <w:sz w:val="22"/>
        </w:rPr>
        <w:t>Dinámica urbana y procesos sociopolíticos. </w:t>
      </w:r>
      <w:r>
        <w:rPr>
          <w:sz w:val="22"/>
        </w:rPr>
        <w:t>México: Universidad Autónoma Metropolitana Unidad</w:t>
      </w:r>
      <w:r>
        <w:rPr>
          <w:spacing w:val="-24"/>
          <w:sz w:val="22"/>
        </w:rPr>
        <w:t> </w:t>
      </w:r>
      <w:r>
        <w:rPr>
          <w:sz w:val="22"/>
        </w:rPr>
        <w:t>Azcapotzalco.</w:t>
      </w:r>
    </w:p>
    <w:p>
      <w:pPr>
        <w:pStyle w:val="ListParagraph"/>
        <w:numPr>
          <w:ilvl w:val="0"/>
          <w:numId w:val="21"/>
        </w:numPr>
        <w:tabs>
          <w:tab w:pos="841" w:val="left" w:leader="none"/>
        </w:tabs>
        <w:spacing w:line="259" w:lineRule="auto" w:before="155" w:after="0"/>
        <w:ind w:left="840" w:right="122" w:hanging="360"/>
        <w:jc w:val="both"/>
        <w:rPr>
          <w:sz w:val="22"/>
        </w:rPr>
      </w:pPr>
      <w:r>
        <w:rPr>
          <w:sz w:val="22"/>
        </w:rPr>
        <w:t>Cruz, </w:t>
      </w:r>
      <w:r>
        <w:rPr>
          <w:spacing w:val="-3"/>
          <w:sz w:val="22"/>
        </w:rPr>
        <w:t>M. </w:t>
      </w:r>
      <w:r>
        <w:rPr>
          <w:sz w:val="22"/>
        </w:rPr>
        <w:t>(2006). </w:t>
      </w:r>
      <w:r>
        <w:rPr>
          <w:i/>
          <w:sz w:val="22"/>
        </w:rPr>
        <w:t>Espacios metropolitanos 2. Población, planeación y políticas de  </w:t>
      </w:r>
      <w:r>
        <w:rPr>
          <w:i/>
          <w:sz w:val="22"/>
        </w:rPr>
        <w:t>gobierno. </w:t>
      </w:r>
      <w:r>
        <w:rPr>
          <w:sz w:val="22"/>
        </w:rPr>
        <w:t>Universidad Autónoma Metropolitana Unidad Azcapotzalco.</w:t>
      </w:r>
      <w:r>
        <w:rPr>
          <w:spacing w:val="-21"/>
          <w:sz w:val="22"/>
        </w:rPr>
        <w:t> </w:t>
      </w:r>
      <w:r>
        <w:rPr>
          <w:sz w:val="22"/>
        </w:rPr>
        <w:t>México.</w:t>
      </w:r>
    </w:p>
    <w:p>
      <w:pPr>
        <w:pStyle w:val="ListParagraph"/>
        <w:numPr>
          <w:ilvl w:val="0"/>
          <w:numId w:val="21"/>
        </w:numPr>
        <w:tabs>
          <w:tab w:pos="841" w:val="left" w:leader="none"/>
        </w:tabs>
        <w:spacing w:line="259" w:lineRule="auto" w:before="159" w:after="0"/>
        <w:ind w:left="840" w:right="134" w:hanging="360"/>
        <w:jc w:val="both"/>
        <w:rPr>
          <w:sz w:val="22"/>
        </w:rPr>
      </w:pPr>
      <w:r>
        <w:rPr>
          <w:sz w:val="22"/>
        </w:rPr>
        <w:t>Centro GEO (2002), Valoración económica de servicios ambientales. Versión Final, Mimeo. México,</w:t>
      </w:r>
      <w:r>
        <w:rPr>
          <w:spacing w:val="-4"/>
          <w:sz w:val="22"/>
        </w:rPr>
        <w:t> </w:t>
      </w:r>
      <w:r>
        <w:rPr>
          <w:sz w:val="22"/>
        </w:rPr>
        <w:t>D.F.</w:t>
      </w:r>
    </w:p>
    <w:p>
      <w:pPr>
        <w:pStyle w:val="ListParagraph"/>
        <w:numPr>
          <w:ilvl w:val="0"/>
          <w:numId w:val="21"/>
        </w:numPr>
        <w:tabs>
          <w:tab w:pos="841" w:val="left" w:leader="none"/>
        </w:tabs>
        <w:spacing w:line="264" w:lineRule="auto" w:before="160" w:after="0"/>
        <w:ind w:left="840" w:right="128" w:hanging="360"/>
        <w:jc w:val="both"/>
        <w:rPr>
          <w:sz w:val="22"/>
        </w:rPr>
      </w:pPr>
      <w:r>
        <w:rPr>
          <w:sz w:val="22"/>
        </w:rPr>
        <w:t>Centro GEO, Secretaría de Medio Ambiente, Gobierno del Distrito Federal y PNUMA (2003). </w:t>
      </w:r>
      <w:r>
        <w:rPr>
          <w:i/>
          <w:sz w:val="22"/>
        </w:rPr>
        <w:t>Ciudad de México: una visión territorial del sistema urbano ambiental</w:t>
      </w:r>
      <w:r>
        <w:rPr>
          <w:sz w:val="22"/>
        </w:rPr>
        <w:t>.</w:t>
      </w:r>
      <w:r>
        <w:rPr>
          <w:spacing w:val="-28"/>
          <w:sz w:val="22"/>
        </w:rPr>
        <w:t> </w:t>
      </w:r>
      <w:r>
        <w:rPr>
          <w:sz w:val="22"/>
        </w:rPr>
        <w:t>México.</w:t>
      </w:r>
    </w:p>
    <w:p>
      <w:pPr>
        <w:pStyle w:val="ListParagraph"/>
        <w:numPr>
          <w:ilvl w:val="0"/>
          <w:numId w:val="21"/>
        </w:numPr>
        <w:tabs>
          <w:tab w:pos="841" w:val="left" w:leader="none"/>
        </w:tabs>
        <w:spacing w:line="264" w:lineRule="auto" w:before="150" w:after="0"/>
        <w:ind w:left="840" w:right="117" w:hanging="360"/>
        <w:jc w:val="both"/>
        <w:rPr>
          <w:i/>
          <w:sz w:val="22"/>
        </w:rPr>
      </w:pPr>
      <w:r>
        <w:rPr>
          <w:sz w:val="22"/>
        </w:rPr>
        <w:t>Coulomb, R.; González, G.; Moreno, F. (2005). </w:t>
      </w:r>
      <w:r>
        <w:rPr>
          <w:i/>
          <w:sz w:val="22"/>
        </w:rPr>
        <w:t>El suelo y sus formas de apropiación. La </w:t>
      </w:r>
      <w:r>
        <w:rPr>
          <w:i/>
          <w:sz w:val="22"/>
        </w:rPr>
        <w:t>vivienda en el Distrito Federal: Retos actuales y nuevos desafíos. Pp.</w:t>
      </w:r>
      <w:r>
        <w:rPr>
          <w:i/>
          <w:spacing w:val="-23"/>
          <w:sz w:val="22"/>
        </w:rPr>
        <w:t> </w:t>
      </w:r>
      <w:r>
        <w:rPr>
          <w:i/>
          <w:sz w:val="22"/>
        </w:rPr>
        <w:t>239</w:t>
      </w:r>
    </w:p>
    <w:p>
      <w:pPr>
        <w:pStyle w:val="ListParagraph"/>
        <w:numPr>
          <w:ilvl w:val="0"/>
          <w:numId w:val="21"/>
        </w:numPr>
        <w:tabs>
          <w:tab w:pos="841" w:val="left" w:leader="none"/>
        </w:tabs>
        <w:spacing w:line="261" w:lineRule="auto" w:before="150" w:after="0"/>
        <w:ind w:left="840" w:right="120" w:hanging="360"/>
        <w:jc w:val="both"/>
        <w:rPr>
          <w:sz w:val="22"/>
        </w:rPr>
      </w:pPr>
      <w:r>
        <w:rPr>
          <w:spacing w:val="1"/>
          <w:w w:val="100"/>
          <w:sz w:val="22"/>
        </w:rPr>
        <w:t>C</w:t>
      </w:r>
      <w:r>
        <w:rPr>
          <w:spacing w:val="-5"/>
          <w:w w:val="100"/>
          <w:sz w:val="22"/>
        </w:rPr>
        <w:t>o</w:t>
      </w:r>
      <w:r>
        <w:rPr>
          <w:w w:val="100"/>
          <w:sz w:val="22"/>
        </w:rPr>
        <w:t>nnoll</w:t>
      </w:r>
      <w:r>
        <w:rPr>
          <w:spacing w:val="-5"/>
          <w:w w:val="100"/>
          <w:sz w:val="22"/>
        </w:rPr>
        <w:t>y</w:t>
      </w:r>
      <w:r>
        <w:rPr>
          <w:w w:val="100"/>
          <w:sz w:val="22"/>
        </w:rPr>
        <w:t>,</w:t>
      </w:r>
      <w:r>
        <w:rPr>
          <w:spacing w:val="9"/>
          <w:sz w:val="22"/>
        </w:rPr>
        <w:t> </w:t>
      </w:r>
      <w:r>
        <w:rPr>
          <w:spacing w:val="1"/>
          <w:w w:val="100"/>
          <w:sz w:val="22"/>
        </w:rPr>
        <w:t>P</w:t>
      </w:r>
      <w:r>
        <w:rPr>
          <w:w w:val="100"/>
          <w:sz w:val="22"/>
        </w:rPr>
        <w:t>.</w:t>
      </w:r>
      <w:r>
        <w:rPr>
          <w:spacing w:val="9"/>
          <w:sz w:val="22"/>
        </w:rPr>
        <w:t> </w:t>
      </w:r>
      <w:r>
        <w:rPr>
          <w:spacing w:val="-2"/>
          <w:w w:val="100"/>
          <w:sz w:val="22"/>
        </w:rPr>
        <w:t>(</w:t>
      </w:r>
      <w:r>
        <w:rPr>
          <w:w w:val="100"/>
          <w:sz w:val="22"/>
        </w:rPr>
        <w:t>2010</w:t>
      </w:r>
      <w:r>
        <w:rPr>
          <w:spacing w:val="-2"/>
          <w:w w:val="100"/>
          <w:sz w:val="22"/>
        </w:rPr>
        <w:t>)</w:t>
      </w:r>
      <w:r>
        <w:rPr>
          <w:w w:val="100"/>
          <w:sz w:val="22"/>
        </w:rPr>
        <w:t>.</w:t>
      </w:r>
      <w:r>
        <w:rPr>
          <w:spacing w:val="11"/>
          <w:sz w:val="22"/>
        </w:rPr>
        <w:t> </w:t>
      </w:r>
      <w:r>
        <w:rPr>
          <w:i/>
          <w:spacing w:val="1"/>
          <w:w w:val="100"/>
          <w:sz w:val="22"/>
        </w:rPr>
        <w:t>C</w:t>
      </w:r>
      <w:r>
        <w:rPr>
          <w:i/>
          <w:spacing w:val="-4"/>
          <w:w w:val="100"/>
          <w:sz w:val="22"/>
        </w:rPr>
        <w:t>i</w:t>
      </w:r>
      <w:r>
        <w:rPr>
          <w:i/>
          <w:w w:val="100"/>
          <w:sz w:val="22"/>
        </w:rPr>
        <w:t>udad</w:t>
      </w:r>
      <w:r>
        <w:rPr>
          <w:i/>
          <w:spacing w:val="-2"/>
          <w:w w:val="100"/>
          <w:sz w:val="22"/>
        </w:rPr>
        <w:t>e</w:t>
      </w:r>
      <w:r>
        <w:rPr>
          <w:i/>
          <w:w w:val="100"/>
          <w:sz w:val="22"/>
        </w:rPr>
        <w:t>s</w:t>
      </w:r>
      <w:r>
        <w:rPr>
          <w:i/>
          <w:spacing w:val="7"/>
          <w:sz w:val="22"/>
        </w:rPr>
        <w:t> </w:t>
      </w:r>
      <w:r>
        <w:rPr>
          <w:i/>
          <w:w w:val="100"/>
          <w:sz w:val="22"/>
        </w:rPr>
        <w:t>d</w:t>
      </w:r>
      <w:r>
        <w:rPr>
          <w:i/>
          <w:spacing w:val="-2"/>
          <w:w w:val="100"/>
          <w:sz w:val="22"/>
        </w:rPr>
        <w:t>e</w:t>
      </w:r>
      <w:r>
        <w:rPr>
          <w:i/>
          <w:w w:val="100"/>
          <w:sz w:val="22"/>
        </w:rPr>
        <w:t>l</w:t>
      </w:r>
      <w:r>
        <w:rPr>
          <w:i/>
          <w:spacing w:val="8"/>
          <w:sz w:val="22"/>
        </w:rPr>
        <w:t> </w:t>
      </w:r>
      <w:r>
        <w:rPr>
          <w:i/>
          <w:w w:val="100"/>
          <w:sz w:val="22"/>
        </w:rPr>
        <w:t>2010.</w:t>
      </w:r>
      <w:r>
        <w:rPr>
          <w:i/>
          <w:spacing w:val="11"/>
          <w:sz w:val="22"/>
        </w:rPr>
        <w:t> </w:t>
      </w:r>
      <w:r>
        <w:rPr>
          <w:spacing w:val="-4"/>
          <w:w w:val="100"/>
          <w:sz w:val="22"/>
        </w:rPr>
        <w:t>C</w:t>
      </w:r>
      <w:r>
        <w:rPr>
          <w:spacing w:val="2"/>
          <w:w w:val="100"/>
          <w:sz w:val="22"/>
        </w:rPr>
        <w:t>a</w:t>
      </w:r>
      <w:r>
        <w:rPr>
          <w:w w:val="100"/>
          <w:sz w:val="22"/>
        </w:rPr>
        <w:t>p</w:t>
      </w:r>
      <w:r>
        <w:rPr>
          <w:spacing w:val="7"/>
          <w:sz w:val="22"/>
        </w:rPr>
        <w:t> </w:t>
      </w:r>
      <w:r>
        <w:rPr>
          <w:spacing w:val="-6"/>
          <w:w w:val="100"/>
          <w:sz w:val="22"/>
        </w:rPr>
        <w:t>V</w:t>
      </w:r>
      <w:r>
        <w:rPr>
          <w:spacing w:val="-2"/>
          <w:w w:val="100"/>
          <w:sz w:val="22"/>
        </w:rPr>
        <w:t>II</w:t>
      </w:r>
      <w:r>
        <w:rPr>
          <w:w w:val="100"/>
          <w:sz w:val="22"/>
        </w:rPr>
        <w:t>.</w:t>
      </w:r>
      <w:r>
        <w:rPr>
          <w:spacing w:val="9"/>
          <w:sz w:val="22"/>
        </w:rPr>
        <w:t> </w:t>
      </w:r>
      <w:r>
        <w:rPr>
          <w:spacing w:val="2"/>
          <w:w w:val="44"/>
          <w:sz w:val="22"/>
        </w:rPr>
        <w:t>―</w:t>
      </w:r>
      <w:r>
        <w:rPr>
          <w:spacing w:val="1"/>
          <w:w w:val="100"/>
          <w:sz w:val="22"/>
        </w:rPr>
        <w:t>C</w:t>
      </w:r>
      <w:r>
        <w:rPr>
          <w:spacing w:val="-4"/>
          <w:w w:val="100"/>
          <w:sz w:val="22"/>
        </w:rPr>
        <w:t>i</w:t>
      </w:r>
      <w:r>
        <w:rPr>
          <w:w w:val="100"/>
          <w:sz w:val="22"/>
        </w:rPr>
        <w:t>u</w:t>
      </w:r>
      <w:r>
        <w:rPr>
          <w:spacing w:val="-5"/>
          <w:w w:val="100"/>
          <w:sz w:val="22"/>
        </w:rPr>
        <w:t>d</w:t>
      </w:r>
      <w:r>
        <w:rPr>
          <w:spacing w:val="2"/>
          <w:w w:val="100"/>
          <w:sz w:val="22"/>
        </w:rPr>
        <w:t>a</w:t>
      </w:r>
      <w:r>
        <w:rPr>
          <w:w w:val="100"/>
          <w:sz w:val="22"/>
        </w:rPr>
        <w:t>d</w:t>
      </w:r>
      <w:r>
        <w:rPr>
          <w:spacing w:val="7"/>
          <w:sz w:val="22"/>
        </w:rPr>
        <w:t> </w:t>
      </w:r>
      <w:r>
        <w:rPr>
          <w:w w:val="100"/>
          <w:sz w:val="22"/>
        </w:rPr>
        <w:t>dig</w:t>
      </w:r>
      <w:r>
        <w:rPr>
          <w:spacing w:val="-4"/>
          <w:w w:val="100"/>
          <w:sz w:val="22"/>
        </w:rPr>
        <w:t>i</w:t>
      </w:r>
      <w:r>
        <w:rPr>
          <w:w w:val="100"/>
          <w:sz w:val="22"/>
        </w:rPr>
        <w:t>t</w:t>
      </w:r>
      <w:r>
        <w:rPr>
          <w:spacing w:val="2"/>
          <w:w w:val="100"/>
          <w:sz w:val="22"/>
        </w:rPr>
        <w:t>a</w:t>
      </w:r>
      <w:r>
        <w:rPr>
          <w:spacing w:val="-4"/>
          <w:w w:val="100"/>
          <w:sz w:val="22"/>
        </w:rPr>
        <w:t>l</w:t>
      </w:r>
      <w:r>
        <w:rPr>
          <w:w w:val="100"/>
          <w:sz w:val="22"/>
        </w:rPr>
        <w:t>.</w:t>
      </w:r>
      <w:r>
        <w:rPr>
          <w:spacing w:val="9"/>
          <w:sz w:val="22"/>
        </w:rPr>
        <w:t> </w:t>
      </w:r>
      <w:r>
        <w:rPr>
          <w:w w:val="100"/>
          <w:sz w:val="22"/>
        </w:rPr>
        <w:t>L</w:t>
      </w:r>
      <w:r>
        <w:rPr>
          <w:spacing w:val="5"/>
          <w:w w:val="100"/>
          <w:sz w:val="22"/>
        </w:rPr>
        <w:t>a</w:t>
      </w:r>
      <w:r>
        <w:rPr>
          <w:w w:val="100"/>
          <w:sz w:val="22"/>
        </w:rPr>
        <w:t>s</w:t>
      </w:r>
      <w:r>
        <w:rPr>
          <w:spacing w:val="7"/>
          <w:sz w:val="22"/>
        </w:rPr>
        <w:t> </w:t>
      </w:r>
      <w:r>
        <w:rPr>
          <w:spacing w:val="-5"/>
          <w:w w:val="100"/>
          <w:sz w:val="22"/>
        </w:rPr>
        <w:t>n</w:t>
      </w:r>
      <w:r>
        <w:rPr>
          <w:spacing w:val="4"/>
          <w:w w:val="100"/>
          <w:sz w:val="22"/>
        </w:rPr>
        <w:t>u</w:t>
      </w:r>
      <w:r>
        <w:rPr>
          <w:spacing w:val="-2"/>
          <w:w w:val="100"/>
          <w:sz w:val="22"/>
        </w:rPr>
        <w:t>e</w:t>
      </w:r>
      <w:r>
        <w:rPr>
          <w:spacing w:val="-5"/>
          <w:w w:val="100"/>
          <w:sz w:val="22"/>
        </w:rPr>
        <w:t>v</w:t>
      </w:r>
      <w:r>
        <w:rPr>
          <w:spacing w:val="2"/>
          <w:w w:val="100"/>
          <w:sz w:val="22"/>
        </w:rPr>
        <w:t>a</w:t>
      </w:r>
      <w:r>
        <w:rPr>
          <w:w w:val="100"/>
          <w:sz w:val="22"/>
        </w:rPr>
        <w:t>s</w:t>
      </w:r>
      <w:r>
        <w:rPr>
          <w:spacing w:val="7"/>
          <w:sz w:val="22"/>
        </w:rPr>
        <w:t> </w:t>
      </w:r>
      <w:r>
        <w:rPr>
          <w:spacing w:val="4"/>
          <w:w w:val="100"/>
          <w:sz w:val="22"/>
        </w:rPr>
        <w:t>T</w:t>
      </w:r>
      <w:r>
        <w:rPr>
          <w:spacing w:val="-7"/>
          <w:w w:val="100"/>
          <w:sz w:val="22"/>
        </w:rPr>
        <w:t>e</w:t>
      </w:r>
      <w:r>
        <w:rPr>
          <w:spacing w:val="2"/>
          <w:w w:val="100"/>
          <w:sz w:val="22"/>
        </w:rPr>
        <w:t>c</w:t>
      </w:r>
      <w:r>
        <w:rPr>
          <w:spacing w:val="-5"/>
          <w:w w:val="100"/>
          <w:sz w:val="22"/>
        </w:rPr>
        <w:t>n</w:t>
      </w:r>
      <w:r>
        <w:rPr>
          <w:w w:val="100"/>
          <w:sz w:val="22"/>
        </w:rPr>
        <w:t>olo</w:t>
      </w:r>
      <w:r>
        <w:rPr>
          <w:spacing w:val="-5"/>
          <w:w w:val="100"/>
          <w:sz w:val="22"/>
        </w:rPr>
        <w:t>g</w:t>
      </w:r>
      <w:r>
        <w:rPr>
          <w:w w:val="100"/>
          <w:sz w:val="22"/>
        </w:rPr>
        <w:t>í</w:t>
      </w:r>
      <w:r>
        <w:rPr>
          <w:spacing w:val="2"/>
          <w:w w:val="100"/>
          <w:sz w:val="22"/>
        </w:rPr>
        <w:t>a</w:t>
      </w:r>
      <w:r>
        <w:rPr>
          <w:w w:val="100"/>
          <w:sz w:val="22"/>
        </w:rPr>
        <w:t>s </w:t>
      </w:r>
      <w:r>
        <w:rPr>
          <w:sz w:val="22"/>
        </w:rPr>
        <w:t>de Información Geográfica y la gestión urbana‖. D.F., México: Departamento  de Sociología. Universidad Autónoma Metropolitana Unidad</w:t>
      </w:r>
      <w:r>
        <w:rPr>
          <w:spacing w:val="-34"/>
          <w:sz w:val="22"/>
        </w:rPr>
        <w:t> </w:t>
      </w:r>
      <w:r>
        <w:rPr>
          <w:sz w:val="22"/>
        </w:rPr>
        <w:t>Azcapotzalco.</w:t>
      </w:r>
    </w:p>
    <w:p>
      <w:pPr>
        <w:pStyle w:val="ListParagraph"/>
        <w:numPr>
          <w:ilvl w:val="0"/>
          <w:numId w:val="21"/>
        </w:numPr>
        <w:tabs>
          <w:tab w:pos="840" w:val="left" w:leader="none"/>
          <w:tab w:pos="841" w:val="left" w:leader="none"/>
        </w:tabs>
        <w:spacing w:line="240" w:lineRule="auto" w:before="157" w:after="0"/>
        <w:ind w:left="840" w:right="0" w:hanging="360"/>
        <w:jc w:val="left"/>
        <w:rPr>
          <w:sz w:val="22"/>
        </w:rPr>
      </w:pPr>
      <w:r>
        <w:rPr>
          <w:sz w:val="22"/>
        </w:rPr>
        <w:t>Dollfus, O. (1978). </w:t>
      </w:r>
      <w:r>
        <w:rPr>
          <w:i/>
          <w:sz w:val="22"/>
        </w:rPr>
        <w:t>El análisis geográfico. </w:t>
      </w:r>
      <w:r>
        <w:rPr>
          <w:sz w:val="22"/>
        </w:rPr>
        <w:t>Barcelona, España: Ediciones</w:t>
      </w:r>
      <w:r>
        <w:rPr>
          <w:spacing w:val="-24"/>
          <w:sz w:val="22"/>
        </w:rPr>
        <w:t> </w:t>
      </w:r>
      <w:r>
        <w:rPr>
          <w:sz w:val="22"/>
        </w:rPr>
        <w:t>Oikos-Tau.</w:t>
      </w:r>
    </w:p>
    <w:p>
      <w:pPr>
        <w:spacing w:after="0" w:line="240" w:lineRule="auto"/>
        <w:jc w:val="left"/>
        <w:rPr>
          <w:sz w:val="22"/>
        </w:rPr>
        <w:sectPr>
          <w:pgSz w:w="12240" w:h="15840"/>
          <w:pgMar w:top="1360" w:bottom="280" w:left="1580" w:right="1580"/>
        </w:sectPr>
      </w:pPr>
    </w:p>
    <w:p>
      <w:pPr>
        <w:pStyle w:val="ListParagraph"/>
        <w:numPr>
          <w:ilvl w:val="0"/>
          <w:numId w:val="22"/>
        </w:numPr>
        <w:tabs>
          <w:tab w:pos="700" w:val="left" w:leader="none"/>
          <w:tab w:pos="701" w:val="left" w:leader="none"/>
        </w:tabs>
        <w:spacing w:line="240" w:lineRule="auto" w:before="52" w:after="0"/>
        <w:ind w:left="700" w:right="0" w:hanging="360"/>
        <w:jc w:val="left"/>
        <w:rPr>
          <w:sz w:val="22"/>
        </w:rPr>
      </w:pPr>
      <w:r>
        <w:rPr>
          <w:sz w:val="22"/>
        </w:rPr>
        <w:t>Dollfus, O. (1976). </w:t>
      </w:r>
      <w:r>
        <w:rPr>
          <w:i/>
          <w:sz w:val="22"/>
        </w:rPr>
        <w:t>El espacio geográfico. </w:t>
      </w:r>
      <w:r>
        <w:rPr>
          <w:sz w:val="22"/>
        </w:rPr>
        <w:t>Barcelona, España: Ediciones</w:t>
      </w:r>
      <w:r>
        <w:rPr>
          <w:spacing w:val="-21"/>
          <w:sz w:val="22"/>
        </w:rPr>
        <w:t> </w:t>
      </w:r>
      <w:r>
        <w:rPr>
          <w:sz w:val="22"/>
        </w:rPr>
        <w:t>Oikos-Tau.</w:t>
      </w:r>
    </w:p>
    <w:p>
      <w:pPr>
        <w:pStyle w:val="ListParagraph"/>
        <w:numPr>
          <w:ilvl w:val="0"/>
          <w:numId w:val="22"/>
        </w:numPr>
        <w:tabs>
          <w:tab w:pos="701" w:val="left" w:leader="none"/>
        </w:tabs>
        <w:spacing w:line="264" w:lineRule="auto" w:before="179" w:after="0"/>
        <w:ind w:left="700" w:right="121" w:hanging="360"/>
        <w:jc w:val="both"/>
        <w:rPr>
          <w:sz w:val="22"/>
        </w:rPr>
      </w:pPr>
      <w:r>
        <w:rPr>
          <w:sz w:val="22"/>
        </w:rPr>
        <w:t>Erba, D. (2013). </w:t>
      </w:r>
      <w:r>
        <w:rPr>
          <w:i/>
          <w:sz w:val="22"/>
        </w:rPr>
        <w:t>Definición de políticas de suelo urbano en América Latina. Teoría y </w:t>
      </w:r>
      <w:r>
        <w:rPr>
          <w:i/>
          <w:sz w:val="22"/>
        </w:rPr>
        <w:t>práctica. </w:t>
      </w:r>
      <w:r>
        <w:rPr>
          <w:sz w:val="22"/>
        </w:rPr>
        <w:t>Lincoln Institute </w:t>
      </w:r>
      <w:r>
        <w:rPr>
          <w:spacing w:val="-3"/>
          <w:sz w:val="22"/>
        </w:rPr>
        <w:t>of </w:t>
      </w:r>
      <w:r>
        <w:rPr>
          <w:sz w:val="22"/>
        </w:rPr>
        <w:t>Land Policy. Cambridge,</w:t>
      </w:r>
      <w:r>
        <w:rPr>
          <w:spacing w:val="-20"/>
          <w:sz w:val="22"/>
        </w:rPr>
        <w:t> </w:t>
      </w:r>
      <w:r>
        <w:rPr>
          <w:sz w:val="22"/>
        </w:rPr>
        <w:t>EUA.</w:t>
      </w:r>
    </w:p>
    <w:p>
      <w:pPr>
        <w:pStyle w:val="ListParagraph"/>
        <w:numPr>
          <w:ilvl w:val="0"/>
          <w:numId w:val="22"/>
        </w:numPr>
        <w:tabs>
          <w:tab w:pos="701" w:val="left" w:leader="none"/>
        </w:tabs>
        <w:spacing w:line="264" w:lineRule="auto" w:before="150" w:after="0"/>
        <w:ind w:left="700" w:right="123" w:hanging="360"/>
        <w:jc w:val="both"/>
        <w:rPr>
          <w:sz w:val="22"/>
        </w:rPr>
      </w:pPr>
      <w:r>
        <w:rPr>
          <w:sz w:val="22"/>
        </w:rPr>
        <w:t>Espinoza, C. (2012). </w:t>
      </w:r>
      <w:r>
        <w:rPr>
          <w:i/>
          <w:sz w:val="22"/>
        </w:rPr>
        <w:t>Propuesta metodológica para establecer áreas de riesgo por remoción </w:t>
      </w:r>
      <w:r>
        <w:rPr>
          <w:i/>
          <w:sz w:val="22"/>
        </w:rPr>
        <w:t>en masa, Chile. </w:t>
      </w:r>
      <w:r>
        <w:rPr>
          <w:sz w:val="22"/>
        </w:rPr>
        <w:t>Universidad del Bío </w:t>
      </w:r>
      <w:r>
        <w:rPr>
          <w:spacing w:val="-3"/>
          <w:sz w:val="22"/>
        </w:rPr>
        <w:t>Bío.</w:t>
      </w:r>
      <w:r>
        <w:rPr>
          <w:spacing w:val="-6"/>
          <w:sz w:val="22"/>
        </w:rPr>
        <w:t> </w:t>
      </w:r>
      <w:r>
        <w:rPr>
          <w:sz w:val="22"/>
        </w:rPr>
        <w:t>Chile</w:t>
      </w:r>
    </w:p>
    <w:p>
      <w:pPr>
        <w:pStyle w:val="ListParagraph"/>
        <w:numPr>
          <w:ilvl w:val="0"/>
          <w:numId w:val="22"/>
        </w:numPr>
        <w:tabs>
          <w:tab w:pos="701" w:val="left" w:leader="none"/>
        </w:tabs>
        <w:spacing w:line="259" w:lineRule="auto" w:before="150" w:after="0"/>
        <w:ind w:left="700" w:right="119" w:hanging="360"/>
        <w:jc w:val="both"/>
        <w:rPr>
          <w:sz w:val="22"/>
        </w:rPr>
      </w:pPr>
      <w:r>
        <w:rPr>
          <w:sz w:val="22"/>
        </w:rPr>
        <w:t>Fernández, E. (2009). </w:t>
      </w:r>
      <w:r>
        <w:rPr>
          <w:i/>
          <w:sz w:val="22"/>
        </w:rPr>
        <w:t>Asentamientos irregulares, impactos y alternativas. </w:t>
      </w:r>
      <w:r>
        <w:rPr>
          <w:sz w:val="22"/>
        </w:rPr>
        <w:t>México, D.F: IPN. Escuela Superior de Ingeniería y Arquitectura. Fecha de acceso: 18-02-2015. De: </w:t>
      </w:r>
      <w:r>
        <w:rPr>
          <w:spacing w:val="-1"/>
          <w:sz w:val="22"/>
        </w:rPr>
        <w:t>http://itzamna.bnct.ipn.mx:8080/dspace/bitstream/123456789/4099/1/ASENTAMIENTOSI </w:t>
      </w:r>
      <w:r>
        <w:rPr>
          <w:sz w:val="22"/>
        </w:rPr>
        <w:t>RREG.pdf</w:t>
      </w:r>
    </w:p>
    <w:p>
      <w:pPr>
        <w:pStyle w:val="ListParagraph"/>
        <w:numPr>
          <w:ilvl w:val="0"/>
          <w:numId w:val="22"/>
        </w:numPr>
        <w:tabs>
          <w:tab w:pos="701" w:val="left" w:leader="none"/>
        </w:tabs>
        <w:spacing w:line="259" w:lineRule="auto" w:before="159" w:after="0"/>
        <w:ind w:left="700" w:right="120" w:hanging="360"/>
        <w:jc w:val="both"/>
        <w:rPr>
          <w:sz w:val="22"/>
        </w:rPr>
      </w:pPr>
      <w:r>
        <w:rPr>
          <w:sz w:val="22"/>
        </w:rPr>
        <w:t>Fernández, S. y Del Río, J. (2011). </w:t>
      </w:r>
      <w:r>
        <w:rPr>
          <w:i/>
          <w:sz w:val="22"/>
        </w:rPr>
        <w:t>Sistemas de Información Geográfica para el </w:t>
      </w:r>
      <w:r>
        <w:rPr>
          <w:i/>
          <w:sz w:val="22"/>
        </w:rPr>
        <w:t>ordenamiento territorial. </w:t>
      </w:r>
      <w:r>
        <w:rPr>
          <w:sz w:val="22"/>
        </w:rPr>
        <w:t>Buenos Aires, Argentina: Dirección Provincial de Ordenamiento Territorial y</w:t>
      </w:r>
      <w:r>
        <w:rPr>
          <w:spacing w:val="-10"/>
          <w:sz w:val="22"/>
        </w:rPr>
        <w:t> </w:t>
      </w:r>
      <w:r>
        <w:rPr>
          <w:sz w:val="22"/>
        </w:rPr>
        <w:t>Urbano.</w:t>
      </w:r>
    </w:p>
    <w:p>
      <w:pPr>
        <w:pStyle w:val="ListParagraph"/>
        <w:numPr>
          <w:ilvl w:val="0"/>
          <w:numId w:val="22"/>
        </w:numPr>
        <w:tabs>
          <w:tab w:pos="701" w:val="left" w:leader="none"/>
        </w:tabs>
        <w:spacing w:line="259" w:lineRule="auto" w:before="160" w:after="0"/>
        <w:ind w:left="700" w:right="120" w:hanging="360"/>
        <w:jc w:val="both"/>
        <w:rPr>
          <w:sz w:val="22"/>
        </w:rPr>
      </w:pPr>
      <w:r>
        <w:rPr>
          <w:sz w:val="22"/>
        </w:rPr>
        <w:t>García, </w:t>
      </w:r>
      <w:r>
        <w:rPr>
          <w:spacing w:val="-3"/>
          <w:sz w:val="22"/>
        </w:rPr>
        <w:t>A. </w:t>
      </w:r>
      <w:r>
        <w:rPr>
          <w:sz w:val="22"/>
        </w:rPr>
        <w:t>(2000). </w:t>
      </w:r>
      <w:r>
        <w:rPr>
          <w:i/>
          <w:sz w:val="22"/>
        </w:rPr>
        <w:t>La cuestión ambiental en la Geografía del siglo XX. </w:t>
      </w:r>
      <w:r>
        <w:rPr>
          <w:sz w:val="22"/>
        </w:rPr>
        <w:t>Anales de la Geografía de la Universidad Complutense. Madrid, España. </w:t>
      </w:r>
      <w:r>
        <w:rPr>
          <w:spacing w:val="-3"/>
          <w:sz w:val="22"/>
        </w:rPr>
        <w:t>Fecha </w:t>
      </w:r>
      <w:r>
        <w:rPr>
          <w:sz w:val="22"/>
        </w:rPr>
        <w:t>de acceso: 06-07-2014. </w:t>
      </w:r>
      <w:r>
        <w:rPr>
          <w:spacing w:val="-1"/>
          <w:sz w:val="22"/>
        </w:rPr>
        <w:t>De:</w:t>
      </w:r>
      <w:r>
        <w:rPr>
          <w:spacing w:val="49"/>
          <w:sz w:val="22"/>
        </w:rPr>
        <w:t> </w:t>
      </w:r>
      <w:hyperlink r:id="rId147">
        <w:r>
          <w:rPr>
            <w:spacing w:val="-1"/>
            <w:sz w:val="22"/>
          </w:rPr>
          <w:t>http://revistas.ucm.es/index.php/AGUC/article/viewFile/AGUC0000110101A/31293</w:t>
        </w:r>
      </w:hyperlink>
    </w:p>
    <w:p>
      <w:pPr>
        <w:pStyle w:val="ListParagraph"/>
        <w:numPr>
          <w:ilvl w:val="0"/>
          <w:numId w:val="22"/>
        </w:numPr>
        <w:tabs>
          <w:tab w:pos="700" w:val="left" w:leader="none"/>
          <w:tab w:pos="701" w:val="left" w:leader="none"/>
        </w:tabs>
        <w:spacing w:line="240" w:lineRule="auto" w:before="164" w:after="0"/>
        <w:ind w:left="700" w:right="0" w:hanging="360"/>
        <w:jc w:val="left"/>
        <w:rPr>
          <w:sz w:val="22"/>
        </w:rPr>
      </w:pPr>
      <w:r>
        <w:rPr>
          <w:sz w:val="22"/>
        </w:rPr>
        <w:t>George, P. (1968). </w:t>
      </w:r>
      <w:r>
        <w:rPr>
          <w:i/>
          <w:sz w:val="22"/>
        </w:rPr>
        <w:t>L’ action humaine. </w:t>
      </w:r>
      <w:r>
        <w:rPr>
          <w:sz w:val="22"/>
        </w:rPr>
        <w:t>París, Francia: col. SUP,</w:t>
      </w:r>
      <w:r>
        <w:rPr>
          <w:spacing w:val="-24"/>
          <w:sz w:val="22"/>
        </w:rPr>
        <w:t> </w:t>
      </w:r>
      <w:r>
        <w:rPr>
          <w:sz w:val="22"/>
        </w:rPr>
        <w:t>PUF.</w:t>
      </w:r>
    </w:p>
    <w:p>
      <w:pPr>
        <w:pStyle w:val="ListParagraph"/>
        <w:numPr>
          <w:ilvl w:val="0"/>
          <w:numId w:val="22"/>
        </w:numPr>
        <w:tabs>
          <w:tab w:pos="701" w:val="left" w:leader="none"/>
        </w:tabs>
        <w:spacing w:line="261" w:lineRule="auto" w:before="174" w:after="0"/>
        <w:ind w:left="700" w:right="117" w:hanging="360"/>
        <w:jc w:val="both"/>
        <w:rPr>
          <w:sz w:val="22"/>
        </w:rPr>
      </w:pPr>
      <w:r>
        <w:rPr>
          <w:sz w:val="22"/>
        </w:rPr>
        <w:t>Gómez, M. et.al. (2010). </w:t>
      </w:r>
      <w:r>
        <w:rPr>
          <w:i/>
          <w:sz w:val="22"/>
        </w:rPr>
        <w:t>Simulación de crecimiento urbano mediante evaluación </w:t>
      </w:r>
      <w:r>
        <w:rPr>
          <w:i/>
          <w:sz w:val="22"/>
        </w:rPr>
        <w:t>multicriterio y TIG en el gran San Miguel de Tucuman (Argentina). </w:t>
      </w:r>
      <w:r>
        <w:rPr>
          <w:sz w:val="22"/>
        </w:rPr>
        <w:t>España: Universidad de Sevilla. Sevilla,</w:t>
      </w:r>
      <w:r>
        <w:rPr>
          <w:spacing w:val="-10"/>
          <w:sz w:val="22"/>
        </w:rPr>
        <w:t> </w:t>
      </w:r>
      <w:r>
        <w:rPr>
          <w:sz w:val="22"/>
        </w:rPr>
        <w:t>España.</w:t>
      </w:r>
    </w:p>
    <w:p>
      <w:pPr>
        <w:pStyle w:val="ListParagraph"/>
        <w:numPr>
          <w:ilvl w:val="0"/>
          <w:numId w:val="22"/>
        </w:numPr>
        <w:tabs>
          <w:tab w:pos="700" w:val="left" w:leader="none"/>
          <w:tab w:pos="701" w:val="left" w:leader="none"/>
        </w:tabs>
        <w:spacing w:line="240" w:lineRule="auto" w:before="157" w:after="0"/>
        <w:ind w:left="700" w:right="0" w:hanging="360"/>
        <w:jc w:val="left"/>
        <w:rPr>
          <w:sz w:val="22"/>
        </w:rPr>
      </w:pPr>
      <w:r>
        <w:rPr>
          <w:sz w:val="22"/>
        </w:rPr>
        <w:t>Gómez, J. (1988). </w:t>
      </w:r>
      <w:r>
        <w:rPr>
          <w:i/>
          <w:sz w:val="22"/>
        </w:rPr>
        <w:t>El pensamiento geográfico. </w:t>
      </w:r>
      <w:r>
        <w:rPr>
          <w:sz w:val="22"/>
        </w:rPr>
        <w:t>Alianza Editorial. Madrid,</w:t>
      </w:r>
      <w:r>
        <w:rPr>
          <w:spacing w:val="-15"/>
          <w:sz w:val="22"/>
        </w:rPr>
        <w:t> </w:t>
      </w:r>
      <w:r>
        <w:rPr>
          <w:sz w:val="22"/>
        </w:rPr>
        <w:t>España.</w:t>
      </w:r>
    </w:p>
    <w:p>
      <w:pPr>
        <w:pStyle w:val="ListParagraph"/>
        <w:numPr>
          <w:ilvl w:val="0"/>
          <w:numId w:val="22"/>
        </w:numPr>
        <w:tabs>
          <w:tab w:pos="701" w:val="left" w:leader="none"/>
        </w:tabs>
        <w:spacing w:line="261" w:lineRule="auto" w:before="174" w:after="0"/>
        <w:ind w:left="700" w:right="116" w:hanging="360"/>
        <w:jc w:val="both"/>
        <w:rPr>
          <w:sz w:val="22"/>
        </w:rPr>
      </w:pPr>
      <w:r>
        <w:rPr>
          <w:sz w:val="22"/>
        </w:rPr>
        <w:t>Gómez, J., Muñoz, J., Ortega, N., (1982). </w:t>
      </w:r>
      <w:r>
        <w:rPr>
          <w:i/>
          <w:sz w:val="22"/>
        </w:rPr>
        <w:t>El pensamiento geográfico: estudio interpretativo </w:t>
      </w:r>
      <w:r>
        <w:rPr>
          <w:i/>
          <w:sz w:val="22"/>
        </w:rPr>
        <w:t>y antología de textos (de Humboldt a las tendencias radicales). </w:t>
      </w:r>
      <w:r>
        <w:rPr>
          <w:sz w:val="22"/>
        </w:rPr>
        <w:t>Capítulo I. El pensamiento geográfico decimonónico. Editorial</w:t>
      </w:r>
      <w:r>
        <w:rPr>
          <w:spacing w:val="-17"/>
          <w:sz w:val="22"/>
        </w:rPr>
        <w:t> </w:t>
      </w:r>
      <w:r>
        <w:rPr>
          <w:sz w:val="22"/>
        </w:rPr>
        <w:t>Alianza.</w:t>
      </w:r>
    </w:p>
    <w:p>
      <w:pPr>
        <w:pStyle w:val="ListParagraph"/>
        <w:numPr>
          <w:ilvl w:val="0"/>
          <w:numId w:val="22"/>
        </w:numPr>
        <w:tabs>
          <w:tab w:pos="701" w:val="left" w:leader="none"/>
        </w:tabs>
        <w:spacing w:line="261" w:lineRule="auto" w:before="152" w:after="0"/>
        <w:ind w:left="700" w:right="118" w:hanging="360"/>
        <w:jc w:val="both"/>
        <w:rPr>
          <w:sz w:val="22"/>
        </w:rPr>
      </w:pPr>
      <w:r>
        <w:rPr>
          <w:sz w:val="22"/>
        </w:rPr>
        <w:t>GDF (2005). Programa de Retribución por la Conservación de Servicios Ambientales en Reservas Ecológicas Comunitarias. 19 </w:t>
      </w:r>
      <w:r>
        <w:rPr>
          <w:spacing w:val="-3"/>
          <w:sz w:val="22"/>
        </w:rPr>
        <w:t>de </w:t>
      </w:r>
      <w:r>
        <w:rPr>
          <w:sz w:val="22"/>
        </w:rPr>
        <w:t>octubre de 2005 Gaceta Oficial del Distrito Federal pp.</w:t>
      </w:r>
      <w:r>
        <w:rPr>
          <w:spacing w:val="-2"/>
          <w:sz w:val="22"/>
        </w:rPr>
        <w:t> </w:t>
      </w:r>
      <w:r>
        <w:rPr>
          <w:sz w:val="22"/>
        </w:rPr>
        <w:t>7-22.</w:t>
      </w:r>
    </w:p>
    <w:p>
      <w:pPr>
        <w:pStyle w:val="ListParagraph"/>
        <w:numPr>
          <w:ilvl w:val="0"/>
          <w:numId w:val="22"/>
        </w:numPr>
        <w:tabs>
          <w:tab w:pos="701" w:val="left" w:leader="none"/>
        </w:tabs>
        <w:spacing w:line="264" w:lineRule="auto" w:before="152" w:after="0"/>
        <w:ind w:left="700" w:right="117" w:hanging="360"/>
        <w:jc w:val="both"/>
        <w:rPr>
          <w:sz w:val="22"/>
        </w:rPr>
      </w:pPr>
      <w:r>
        <w:rPr>
          <w:sz w:val="22"/>
        </w:rPr>
        <w:t>GDF. (2000). </w:t>
      </w:r>
      <w:r>
        <w:rPr>
          <w:i/>
          <w:sz w:val="22"/>
        </w:rPr>
        <w:t>La ciudad de México hoy. Bases para un diagnóstico. </w:t>
      </w:r>
      <w:r>
        <w:rPr>
          <w:sz w:val="22"/>
        </w:rPr>
        <w:t>Fideicomiso de Estudios Estratégicos sobre la Ciudad de</w:t>
      </w:r>
      <w:r>
        <w:rPr>
          <w:spacing w:val="-22"/>
          <w:sz w:val="22"/>
        </w:rPr>
        <w:t> </w:t>
      </w:r>
      <w:r>
        <w:rPr>
          <w:sz w:val="22"/>
        </w:rPr>
        <w:t>México.</w:t>
      </w:r>
    </w:p>
    <w:p>
      <w:pPr>
        <w:pStyle w:val="ListParagraph"/>
        <w:numPr>
          <w:ilvl w:val="0"/>
          <w:numId w:val="22"/>
        </w:numPr>
        <w:tabs>
          <w:tab w:pos="700" w:val="left" w:leader="none"/>
          <w:tab w:pos="701" w:val="left" w:leader="none"/>
        </w:tabs>
        <w:spacing w:line="240" w:lineRule="auto" w:before="150" w:after="0"/>
        <w:ind w:left="700" w:right="0" w:hanging="360"/>
        <w:jc w:val="left"/>
        <w:rPr>
          <w:sz w:val="22"/>
        </w:rPr>
      </w:pPr>
      <w:r>
        <w:rPr>
          <w:sz w:val="22"/>
        </w:rPr>
        <w:t>GDF</w:t>
      </w:r>
      <w:r>
        <w:rPr>
          <w:spacing w:val="31"/>
          <w:sz w:val="22"/>
        </w:rPr>
        <w:t> </w:t>
      </w:r>
      <w:r>
        <w:rPr>
          <w:sz w:val="22"/>
        </w:rPr>
        <w:t>(2000).</w:t>
      </w:r>
      <w:r>
        <w:rPr>
          <w:spacing w:val="32"/>
          <w:sz w:val="22"/>
        </w:rPr>
        <w:t> </w:t>
      </w:r>
      <w:r>
        <w:rPr>
          <w:sz w:val="22"/>
        </w:rPr>
        <w:t>Programa</w:t>
      </w:r>
      <w:r>
        <w:rPr>
          <w:spacing w:val="32"/>
          <w:sz w:val="22"/>
        </w:rPr>
        <w:t> </w:t>
      </w:r>
      <w:r>
        <w:rPr>
          <w:sz w:val="22"/>
        </w:rPr>
        <w:t>General</w:t>
      </w:r>
      <w:r>
        <w:rPr>
          <w:spacing w:val="31"/>
          <w:sz w:val="22"/>
        </w:rPr>
        <w:t> </w:t>
      </w:r>
      <w:r>
        <w:rPr>
          <w:sz w:val="22"/>
        </w:rPr>
        <w:t>de</w:t>
      </w:r>
      <w:r>
        <w:rPr>
          <w:spacing w:val="28"/>
          <w:sz w:val="22"/>
        </w:rPr>
        <w:t> </w:t>
      </w:r>
      <w:r>
        <w:rPr>
          <w:sz w:val="22"/>
        </w:rPr>
        <w:t>Ordenamiento</w:t>
      </w:r>
      <w:r>
        <w:rPr>
          <w:spacing w:val="25"/>
          <w:sz w:val="22"/>
        </w:rPr>
        <w:t> </w:t>
      </w:r>
      <w:r>
        <w:rPr>
          <w:sz w:val="22"/>
        </w:rPr>
        <w:t>Ecológico</w:t>
      </w:r>
      <w:r>
        <w:rPr>
          <w:spacing w:val="34"/>
          <w:sz w:val="22"/>
        </w:rPr>
        <w:t> </w:t>
      </w:r>
      <w:r>
        <w:rPr>
          <w:sz w:val="22"/>
        </w:rPr>
        <w:t>del</w:t>
      </w:r>
      <w:r>
        <w:rPr>
          <w:spacing w:val="26"/>
          <w:sz w:val="22"/>
        </w:rPr>
        <w:t> </w:t>
      </w:r>
      <w:r>
        <w:rPr>
          <w:sz w:val="22"/>
        </w:rPr>
        <w:t>Distrito</w:t>
      </w:r>
      <w:r>
        <w:rPr>
          <w:spacing w:val="30"/>
          <w:sz w:val="22"/>
        </w:rPr>
        <w:t> </w:t>
      </w:r>
      <w:r>
        <w:rPr>
          <w:sz w:val="22"/>
        </w:rPr>
        <w:t>Federal</w:t>
      </w:r>
      <w:r>
        <w:rPr>
          <w:spacing w:val="31"/>
          <w:sz w:val="22"/>
        </w:rPr>
        <w:t> </w:t>
      </w:r>
      <w:r>
        <w:rPr>
          <w:sz w:val="22"/>
        </w:rPr>
        <w:t>(2000).</w:t>
      </w:r>
    </w:p>
    <w:p>
      <w:pPr>
        <w:pStyle w:val="BodyText"/>
        <w:spacing w:before="26"/>
        <w:ind w:left="700"/>
      </w:pPr>
      <w:r>
        <w:rPr/>
        <w:t>Gaceta Oficial del Distrito Federal, 1 de agosto de 2000</w:t>
      </w:r>
    </w:p>
    <w:p>
      <w:pPr>
        <w:pStyle w:val="ListParagraph"/>
        <w:numPr>
          <w:ilvl w:val="0"/>
          <w:numId w:val="22"/>
        </w:numPr>
        <w:tabs>
          <w:tab w:pos="701" w:val="left" w:leader="none"/>
        </w:tabs>
        <w:spacing w:line="264" w:lineRule="auto" w:before="174" w:after="0"/>
        <w:ind w:left="700" w:right="126" w:hanging="360"/>
        <w:jc w:val="both"/>
        <w:rPr>
          <w:sz w:val="22"/>
        </w:rPr>
      </w:pPr>
      <w:r>
        <w:rPr>
          <w:sz w:val="22"/>
        </w:rPr>
        <w:t>Gutiérrez, J. (2009). Planeación urbana en México: un análisis crítico sobre su proceso de evolución. Universidad del Bío </w:t>
      </w:r>
      <w:r>
        <w:rPr>
          <w:spacing w:val="-3"/>
          <w:sz w:val="22"/>
        </w:rPr>
        <w:t>Bío,</w:t>
      </w:r>
      <w:r>
        <w:rPr>
          <w:spacing w:val="-6"/>
          <w:sz w:val="22"/>
        </w:rPr>
        <w:t> </w:t>
      </w:r>
      <w:r>
        <w:rPr>
          <w:sz w:val="22"/>
        </w:rPr>
        <w:t>Chile</w:t>
      </w:r>
    </w:p>
    <w:p>
      <w:pPr>
        <w:pStyle w:val="ListParagraph"/>
        <w:numPr>
          <w:ilvl w:val="0"/>
          <w:numId w:val="22"/>
        </w:numPr>
        <w:tabs>
          <w:tab w:pos="701" w:val="left" w:leader="none"/>
        </w:tabs>
        <w:spacing w:line="264" w:lineRule="auto" w:before="150" w:after="0"/>
        <w:ind w:left="700" w:right="120" w:hanging="360"/>
        <w:jc w:val="both"/>
        <w:rPr>
          <w:sz w:val="22"/>
        </w:rPr>
      </w:pPr>
      <w:r>
        <w:rPr>
          <w:sz w:val="22"/>
        </w:rPr>
        <w:t>Highland, M. y Brobowsky, P., (2008). The landslide hadbook – A guide </w:t>
      </w:r>
      <w:r>
        <w:rPr>
          <w:spacing w:val="2"/>
          <w:sz w:val="22"/>
        </w:rPr>
        <w:t>to </w:t>
      </w:r>
      <w:r>
        <w:rPr>
          <w:sz w:val="22"/>
        </w:rPr>
        <w:t>understanding landslides. Unite States Geological Survey, Reston,</w:t>
      </w:r>
      <w:r>
        <w:rPr>
          <w:spacing w:val="-28"/>
          <w:sz w:val="22"/>
        </w:rPr>
        <w:t> </w:t>
      </w:r>
      <w:r>
        <w:rPr>
          <w:sz w:val="22"/>
        </w:rPr>
        <w:t>Virginia.</w:t>
      </w:r>
    </w:p>
    <w:p>
      <w:pPr>
        <w:pStyle w:val="ListParagraph"/>
        <w:numPr>
          <w:ilvl w:val="0"/>
          <w:numId w:val="22"/>
        </w:numPr>
        <w:tabs>
          <w:tab w:pos="701" w:val="left" w:leader="none"/>
        </w:tabs>
        <w:spacing w:line="264" w:lineRule="auto" w:before="150" w:after="0"/>
        <w:ind w:left="700" w:right="119" w:hanging="360"/>
        <w:jc w:val="both"/>
        <w:rPr>
          <w:sz w:val="22"/>
        </w:rPr>
      </w:pPr>
      <w:r>
        <w:rPr>
          <w:sz w:val="22"/>
        </w:rPr>
        <w:t>Iracheta, </w:t>
      </w:r>
      <w:r>
        <w:rPr>
          <w:spacing w:val="-3"/>
          <w:sz w:val="22"/>
        </w:rPr>
        <w:t>A. </w:t>
      </w:r>
      <w:r>
        <w:rPr>
          <w:sz w:val="22"/>
        </w:rPr>
        <w:t>(1997). </w:t>
      </w:r>
      <w:r>
        <w:rPr>
          <w:i/>
          <w:sz w:val="22"/>
        </w:rPr>
        <w:t>Planificación y desarrollo: una visión del futuro. </w:t>
      </w:r>
      <w:r>
        <w:rPr>
          <w:sz w:val="22"/>
        </w:rPr>
        <w:t>México: Plaza y Valdés</w:t>
      </w:r>
      <w:r>
        <w:rPr>
          <w:spacing w:val="-10"/>
          <w:sz w:val="22"/>
        </w:rPr>
        <w:t> </w:t>
      </w:r>
      <w:r>
        <w:rPr>
          <w:sz w:val="22"/>
        </w:rPr>
        <w:t>Editores.</w:t>
      </w:r>
    </w:p>
    <w:p>
      <w:pPr>
        <w:spacing w:after="0" w:line="264" w:lineRule="auto"/>
        <w:jc w:val="both"/>
        <w:rPr>
          <w:sz w:val="22"/>
        </w:rPr>
        <w:sectPr>
          <w:pgSz w:w="12240" w:h="15840"/>
          <w:pgMar w:top="1360" w:bottom="280" w:left="1720" w:right="1580"/>
        </w:sectPr>
      </w:pPr>
    </w:p>
    <w:p>
      <w:pPr>
        <w:pStyle w:val="ListParagraph"/>
        <w:numPr>
          <w:ilvl w:val="0"/>
          <w:numId w:val="22"/>
        </w:numPr>
        <w:tabs>
          <w:tab w:pos="701" w:val="left" w:leader="none"/>
        </w:tabs>
        <w:spacing w:line="261" w:lineRule="auto" w:before="48" w:after="0"/>
        <w:ind w:left="700" w:right="116" w:hanging="360"/>
        <w:jc w:val="both"/>
        <w:rPr>
          <w:sz w:val="22"/>
        </w:rPr>
      </w:pPr>
      <w:r>
        <w:rPr>
          <w:sz w:val="22"/>
        </w:rPr>
        <w:t>Laboratorio de Mapeo. </w:t>
      </w:r>
      <w:r>
        <w:rPr>
          <w:i/>
          <w:sz w:val="22"/>
        </w:rPr>
        <w:t>Amenaza por remoción en masa en Colombia. </w:t>
      </w:r>
      <w:r>
        <w:rPr>
          <w:sz w:val="22"/>
        </w:rPr>
        <w:t>CEELAT. </w:t>
      </w:r>
      <w:r>
        <w:rPr>
          <w:spacing w:val="-3"/>
          <w:sz w:val="22"/>
        </w:rPr>
        <w:t>Fecha </w:t>
      </w:r>
      <w:r>
        <w:rPr>
          <w:sz w:val="22"/>
        </w:rPr>
        <w:t>de acceso: 20-02-2015. </w:t>
      </w:r>
      <w:r>
        <w:rPr>
          <w:spacing w:val="-3"/>
          <w:sz w:val="22"/>
        </w:rPr>
        <w:t>De: </w:t>
      </w:r>
      <w:hyperlink r:id="rId148">
        <w:r>
          <w:rPr>
            <w:sz w:val="22"/>
          </w:rPr>
          <w:t>http://ceelat.org/mapas/amenaza-por-remocion-en-masa-en-</w:t>
        </w:r>
      </w:hyperlink>
      <w:r>
        <w:rPr>
          <w:sz w:val="22"/>
        </w:rPr>
        <w:t> colombia/</w:t>
      </w:r>
    </w:p>
    <w:p>
      <w:pPr>
        <w:pStyle w:val="ListParagraph"/>
        <w:numPr>
          <w:ilvl w:val="0"/>
          <w:numId w:val="22"/>
        </w:numPr>
        <w:tabs>
          <w:tab w:pos="701" w:val="left" w:leader="none"/>
        </w:tabs>
        <w:spacing w:line="264" w:lineRule="auto" w:before="153" w:after="0"/>
        <w:ind w:left="700" w:right="119" w:hanging="360"/>
        <w:jc w:val="both"/>
        <w:rPr>
          <w:sz w:val="22"/>
        </w:rPr>
      </w:pPr>
      <w:r>
        <w:rPr>
          <w:sz w:val="22"/>
        </w:rPr>
        <w:t>Ley de Desarrollo Urbano del Distrito Federal (2010). </w:t>
      </w:r>
      <w:r>
        <w:rPr>
          <w:spacing w:val="-3"/>
          <w:sz w:val="22"/>
        </w:rPr>
        <w:t>Fecha </w:t>
      </w:r>
      <w:r>
        <w:rPr>
          <w:sz w:val="22"/>
        </w:rPr>
        <w:t>de acceso: 16-03-2014 De: </w:t>
      </w:r>
      <w:hyperlink r:id="rId149">
        <w:r>
          <w:rPr>
            <w:sz w:val="22"/>
          </w:rPr>
          <w:t>http://www.sideso.df.gob.mx/documentos/legislacion/leyes/14ldudf_r4612.pdf</w:t>
        </w:r>
      </w:hyperlink>
    </w:p>
    <w:p>
      <w:pPr>
        <w:pStyle w:val="ListParagraph"/>
        <w:numPr>
          <w:ilvl w:val="0"/>
          <w:numId w:val="22"/>
        </w:numPr>
        <w:tabs>
          <w:tab w:pos="701" w:val="left" w:leader="none"/>
        </w:tabs>
        <w:spacing w:line="264" w:lineRule="auto" w:before="150" w:after="0"/>
        <w:ind w:left="700" w:right="119" w:hanging="360"/>
        <w:jc w:val="both"/>
        <w:rPr>
          <w:sz w:val="22"/>
        </w:rPr>
      </w:pPr>
      <w:r>
        <w:rPr>
          <w:sz w:val="22"/>
        </w:rPr>
        <w:t>Ley de Desarrollo Urbano del Distrito Federal. Fecha de acceso 18-02-2015. De: </w:t>
      </w:r>
      <w:hyperlink r:id="rId150">
        <w:r>
          <w:rPr>
            <w:sz w:val="22"/>
          </w:rPr>
          <w:t>www.consejeria.df.gob.mx</w:t>
        </w:r>
      </w:hyperlink>
    </w:p>
    <w:p>
      <w:pPr>
        <w:pStyle w:val="ListParagraph"/>
        <w:numPr>
          <w:ilvl w:val="0"/>
          <w:numId w:val="22"/>
        </w:numPr>
        <w:tabs>
          <w:tab w:pos="701" w:val="left" w:leader="none"/>
        </w:tabs>
        <w:spacing w:line="259" w:lineRule="auto" w:before="155" w:after="0"/>
        <w:ind w:left="700" w:right="119" w:hanging="360"/>
        <w:jc w:val="both"/>
        <w:rPr>
          <w:sz w:val="22"/>
        </w:rPr>
      </w:pPr>
      <w:r>
        <w:rPr>
          <w:sz w:val="22"/>
        </w:rPr>
        <w:t>López, F. (2002). </w:t>
      </w:r>
      <w:r>
        <w:rPr>
          <w:i/>
          <w:sz w:val="22"/>
        </w:rPr>
        <w:t>Geografía Física y conservación de la Naturaleza Papeles de Geografía</w:t>
      </w:r>
      <w:r>
        <w:rPr>
          <w:sz w:val="22"/>
        </w:rPr>
        <w:t>. Universidad de Murcia. España. </w:t>
      </w:r>
      <w:r>
        <w:rPr>
          <w:spacing w:val="-3"/>
          <w:sz w:val="22"/>
        </w:rPr>
        <w:t>Fecha  </w:t>
      </w:r>
      <w:r>
        <w:rPr>
          <w:sz w:val="22"/>
        </w:rPr>
        <w:t>de acceso: 24-08-2014 De: </w:t>
      </w:r>
      <w:hyperlink r:id="rId151">
        <w:r>
          <w:rPr>
            <w:sz w:val="22"/>
          </w:rPr>
          <w:t>http://www.redalyc.org/articulo.oa?id=40703607</w:t>
        </w:r>
      </w:hyperlink>
    </w:p>
    <w:p>
      <w:pPr>
        <w:pStyle w:val="ListParagraph"/>
        <w:numPr>
          <w:ilvl w:val="0"/>
          <w:numId w:val="22"/>
        </w:numPr>
        <w:tabs>
          <w:tab w:pos="701" w:val="left" w:leader="none"/>
        </w:tabs>
        <w:spacing w:line="259" w:lineRule="auto" w:before="159" w:after="0"/>
        <w:ind w:left="700" w:right="117" w:hanging="360"/>
        <w:jc w:val="both"/>
        <w:rPr>
          <w:sz w:val="22"/>
        </w:rPr>
      </w:pPr>
      <w:r>
        <w:rPr>
          <w:sz w:val="22"/>
        </w:rPr>
        <w:t>Lorda, M. (2011). </w:t>
      </w:r>
      <w:r>
        <w:rPr>
          <w:i/>
          <w:sz w:val="22"/>
        </w:rPr>
        <w:t>La relación sociedad-naturaleza desde la Geografía y los enfoques </w:t>
      </w:r>
      <w:r>
        <w:rPr>
          <w:i/>
          <w:sz w:val="22"/>
        </w:rPr>
        <w:t>ambientales. Reflexiones teóricas para la superación de la Geografía espontánea. </w:t>
      </w:r>
      <w:r>
        <w:rPr>
          <w:sz w:val="22"/>
        </w:rPr>
        <w:t>Universidad del Sur, </w:t>
      </w:r>
      <w:r>
        <w:rPr>
          <w:spacing w:val="-3"/>
          <w:sz w:val="22"/>
        </w:rPr>
        <w:t>Bahía </w:t>
      </w:r>
      <w:r>
        <w:rPr>
          <w:sz w:val="22"/>
        </w:rPr>
        <w:t>Blanca. Fecha de acceso: 21-08-2014. De: </w:t>
      </w:r>
      <w:hyperlink r:id="rId152">
        <w:r>
          <w:rPr>
            <w:sz w:val="22"/>
          </w:rPr>
          <w:t>http://revista.ufrr.br/index.php/actageo/article/view/490/517</w:t>
        </w:r>
      </w:hyperlink>
    </w:p>
    <w:p>
      <w:pPr>
        <w:pStyle w:val="ListParagraph"/>
        <w:numPr>
          <w:ilvl w:val="0"/>
          <w:numId w:val="22"/>
        </w:numPr>
        <w:tabs>
          <w:tab w:pos="701" w:val="left" w:leader="none"/>
        </w:tabs>
        <w:spacing w:line="261" w:lineRule="auto" w:before="154" w:after="0"/>
        <w:ind w:left="700" w:right="115" w:hanging="360"/>
        <w:jc w:val="both"/>
        <w:rPr>
          <w:sz w:val="22"/>
        </w:rPr>
      </w:pPr>
      <w:r>
        <w:rPr>
          <w:sz w:val="22"/>
        </w:rPr>
        <w:t>Massiris, </w:t>
      </w:r>
      <w:r>
        <w:rPr>
          <w:spacing w:val="-3"/>
          <w:sz w:val="22"/>
        </w:rPr>
        <w:t>A. </w:t>
      </w:r>
      <w:r>
        <w:rPr>
          <w:sz w:val="22"/>
        </w:rPr>
        <w:t>(2002). Ordenación del territorio en América. </w:t>
      </w:r>
      <w:r>
        <w:rPr>
          <w:i/>
          <w:sz w:val="22"/>
        </w:rPr>
        <w:t>Scripta Nova Revista  </w:t>
      </w:r>
      <w:r>
        <w:rPr>
          <w:i/>
          <w:sz w:val="22"/>
        </w:rPr>
        <w:t>Electrónica de Geografía y Ciencias Sociales. </w:t>
      </w:r>
      <w:r>
        <w:rPr>
          <w:sz w:val="22"/>
        </w:rPr>
        <w:t>Universidad de Barcelona. Vol., </w:t>
      </w:r>
      <w:r>
        <w:rPr>
          <w:spacing w:val="-3"/>
          <w:sz w:val="22"/>
        </w:rPr>
        <w:t>VI, núm. </w:t>
      </w:r>
      <w:r>
        <w:rPr>
          <w:sz w:val="22"/>
        </w:rPr>
        <w:t>125, 1 octubre de</w:t>
      </w:r>
      <w:r>
        <w:rPr>
          <w:spacing w:val="-7"/>
          <w:sz w:val="22"/>
        </w:rPr>
        <w:t> </w:t>
      </w:r>
      <w:r>
        <w:rPr>
          <w:sz w:val="22"/>
        </w:rPr>
        <w:t>2002.</w:t>
      </w:r>
    </w:p>
    <w:p>
      <w:pPr>
        <w:pStyle w:val="ListParagraph"/>
        <w:numPr>
          <w:ilvl w:val="0"/>
          <w:numId w:val="22"/>
        </w:numPr>
        <w:tabs>
          <w:tab w:pos="701" w:val="left" w:leader="none"/>
        </w:tabs>
        <w:spacing w:line="261" w:lineRule="auto" w:before="152" w:after="0"/>
        <w:ind w:left="700" w:right="113" w:hanging="360"/>
        <w:jc w:val="both"/>
        <w:rPr>
          <w:sz w:val="22"/>
        </w:rPr>
      </w:pPr>
      <w:r>
        <w:rPr>
          <w:sz w:val="22"/>
        </w:rPr>
        <w:t>Mena Frau C., Gajardo, J. y Ormazábal, </w:t>
      </w:r>
      <w:r>
        <w:rPr>
          <w:spacing w:val="-3"/>
          <w:sz w:val="22"/>
        </w:rPr>
        <w:t>Y. </w:t>
      </w:r>
      <w:r>
        <w:rPr>
          <w:sz w:val="22"/>
        </w:rPr>
        <w:t>(2006). </w:t>
      </w:r>
      <w:r>
        <w:rPr>
          <w:i/>
          <w:sz w:val="22"/>
        </w:rPr>
        <w:t>Modelación espacial mediante </w:t>
      </w:r>
      <w:r>
        <w:rPr>
          <w:i/>
          <w:sz w:val="22"/>
        </w:rPr>
        <w:t>geomática y Evaluación Multicriterio para la ordenación territorial</w:t>
      </w:r>
      <w:r>
        <w:rPr>
          <w:sz w:val="22"/>
        </w:rPr>
        <w:t>. Revista de la Facultad de Ingeniería, Universidad de</w:t>
      </w:r>
      <w:r>
        <w:rPr>
          <w:spacing w:val="-11"/>
          <w:sz w:val="22"/>
        </w:rPr>
        <w:t> </w:t>
      </w:r>
      <w:r>
        <w:rPr>
          <w:sz w:val="22"/>
        </w:rPr>
        <w:t>Tarapacá.</w:t>
      </w:r>
    </w:p>
    <w:p>
      <w:pPr>
        <w:pStyle w:val="ListParagraph"/>
        <w:numPr>
          <w:ilvl w:val="0"/>
          <w:numId w:val="22"/>
        </w:numPr>
        <w:tabs>
          <w:tab w:pos="701" w:val="left" w:leader="none"/>
        </w:tabs>
        <w:spacing w:line="264" w:lineRule="auto" w:before="152" w:after="0"/>
        <w:ind w:left="700" w:right="116" w:hanging="360"/>
        <w:jc w:val="both"/>
        <w:rPr>
          <w:sz w:val="22"/>
        </w:rPr>
      </w:pPr>
      <w:r>
        <w:rPr>
          <w:sz w:val="22"/>
        </w:rPr>
        <w:t>Olivera, G. (2002). </w:t>
      </w:r>
      <w:r>
        <w:rPr>
          <w:i/>
          <w:sz w:val="22"/>
        </w:rPr>
        <w:t>La gestión del suelo para el desarrollo urbano en México. </w:t>
      </w:r>
      <w:r>
        <w:rPr>
          <w:sz w:val="22"/>
        </w:rPr>
        <w:t>Revista Mexicana de Sociología, </w:t>
      </w:r>
      <w:r>
        <w:rPr>
          <w:spacing w:val="-4"/>
          <w:sz w:val="22"/>
        </w:rPr>
        <w:t>Vol. </w:t>
      </w:r>
      <w:r>
        <w:rPr>
          <w:sz w:val="22"/>
        </w:rPr>
        <w:t>64, </w:t>
      </w:r>
      <w:r>
        <w:rPr>
          <w:spacing w:val="-3"/>
          <w:sz w:val="22"/>
        </w:rPr>
        <w:t>No. 4. </w:t>
      </w:r>
      <w:r>
        <w:rPr>
          <w:sz w:val="22"/>
        </w:rPr>
        <w:t>México:</w:t>
      </w:r>
      <w:r>
        <w:rPr>
          <w:spacing w:val="19"/>
          <w:sz w:val="22"/>
        </w:rPr>
        <w:t> </w:t>
      </w:r>
      <w:r>
        <w:rPr>
          <w:sz w:val="22"/>
        </w:rPr>
        <w:t>UNAM</w:t>
      </w:r>
    </w:p>
    <w:p>
      <w:pPr>
        <w:pStyle w:val="ListParagraph"/>
        <w:numPr>
          <w:ilvl w:val="0"/>
          <w:numId w:val="22"/>
        </w:numPr>
        <w:tabs>
          <w:tab w:pos="700" w:val="left" w:leader="none"/>
          <w:tab w:pos="701" w:val="left" w:leader="none"/>
        </w:tabs>
        <w:spacing w:line="240" w:lineRule="auto" w:before="150" w:after="0"/>
        <w:ind w:left="700" w:right="0" w:hanging="360"/>
        <w:jc w:val="left"/>
        <w:rPr>
          <w:i/>
          <w:sz w:val="22"/>
        </w:rPr>
      </w:pPr>
      <w:r>
        <w:rPr>
          <w:sz w:val="22"/>
        </w:rPr>
        <w:t>PAOT (2003). </w:t>
      </w:r>
      <w:r>
        <w:rPr>
          <w:i/>
          <w:sz w:val="22"/>
        </w:rPr>
        <w:t>Asentamientos irregulares en el suelo de conservación del Distrito </w:t>
      </w:r>
      <w:r>
        <w:rPr>
          <w:i/>
          <w:spacing w:val="26"/>
          <w:sz w:val="22"/>
        </w:rPr>
        <w:t> </w:t>
      </w:r>
      <w:r>
        <w:rPr>
          <w:i/>
          <w:sz w:val="22"/>
        </w:rPr>
        <w:t>Federal.</w:t>
      </w:r>
    </w:p>
    <w:p>
      <w:pPr>
        <w:pStyle w:val="BodyText"/>
        <w:spacing w:before="25"/>
        <w:ind w:left="700"/>
      </w:pPr>
      <w:r>
        <w:rPr/>
        <w:t>México.</w:t>
      </w:r>
    </w:p>
    <w:p>
      <w:pPr>
        <w:pStyle w:val="ListParagraph"/>
        <w:numPr>
          <w:ilvl w:val="0"/>
          <w:numId w:val="22"/>
        </w:numPr>
        <w:tabs>
          <w:tab w:pos="700" w:val="left" w:leader="none"/>
          <w:tab w:pos="701" w:val="left" w:leader="none"/>
        </w:tabs>
        <w:spacing w:line="240" w:lineRule="auto" w:before="179" w:after="0"/>
        <w:ind w:left="700" w:right="0" w:hanging="360"/>
        <w:jc w:val="left"/>
        <w:rPr>
          <w:sz w:val="22"/>
        </w:rPr>
      </w:pPr>
      <w:r>
        <w:rPr>
          <w:sz w:val="22"/>
        </w:rPr>
        <w:t>PAOT (2010).</w:t>
      </w:r>
      <w:r>
        <w:rPr>
          <w:i/>
          <w:sz w:val="22"/>
        </w:rPr>
        <w:t>Atlas Cartográfico del Suelo de Conservación del Distrito Federal</w:t>
      </w:r>
      <w:r>
        <w:rPr>
          <w:sz w:val="22"/>
        </w:rPr>
        <w:t>.</w:t>
      </w:r>
      <w:r>
        <w:rPr>
          <w:spacing w:val="-29"/>
          <w:sz w:val="22"/>
        </w:rPr>
        <w:t> </w:t>
      </w:r>
      <w:r>
        <w:rPr>
          <w:sz w:val="22"/>
        </w:rPr>
        <w:t>México.</w:t>
      </w:r>
    </w:p>
    <w:p>
      <w:pPr>
        <w:pStyle w:val="ListParagraph"/>
        <w:numPr>
          <w:ilvl w:val="0"/>
          <w:numId w:val="22"/>
        </w:numPr>
        <w:tabs>
          <w:tab w:pos="701" w:val="left" w:leader="none"/>
        </w:tabs>
        <w:spacing w:line="259" w:lineRule="auto" w:before="179" w:after="0"/>
        <w:ind w:left="700" w:right="116" w:hanging="360"/>
        <w:jc w:val="both"/>
        <w:rPr>
          <w:sz w:val="22"/>
        </w:rPr>
      </w:pPr>
      <w:r>
        <w:rPr>
          <w:sz w:val="22"/>
        </w:rPr>
        <w:t>PAOT (2010).</w:t>
      </w:r>
      <w:r>
        <w:rPr>
          <w:i/>
          <w:sz w:val="22"/>
        </w:rPr>
        <w:t>Estadístico espacial como fuente de un ordenamiento territorial en la región </w:t>
      </w:r>
      <w:r>
        <w:rPr>
          <w:i/>
          <w:sz w:val="22"/>
        </w:rPr>
        <w:t>de la zona sur de la Ciudad de México, en las delegaciones Cuajimalpa de Morelos, Álvaro Obregón, Milpa Alta, Tlalpan y Xochimilco.</w:t>
      </w:r>
      <w:r>
        <w:rPr>
          <w:i/>
          <w:spacing w:val="-22"/>
          <w:sz w:val="22"/>
        </w:rPr>
        <w:t> </w:t>
      </w:r>
      <w:r>
        <w:rPr>
          <w:sz w:val="22"/>
        </w:rPr>
        <w:t>México.</w:t>
      </w:r>
    </w:p>
    <w:p>
      <w:pPr>
        <w:pStyle w:val="ListParagraph"/>
        <w:numPr>
          <w:ilvl w:val="0"/>
          <w:numId w:val="22"/>
        </w:numPr>
        <w:tabs>
          <w:tab w:pos="701" w:val="left" w:leader="none"/>
        </w:tabs>
        <w:spacing w:line="264" w:lineRule="auto" w:before="159" w:after="0"/>
        <w:ind w:left="700" w:right="121" w:hanging="360"/>
        <w:jc w:val="both"/>
        <w:rPr>
          <w:sz w:val="22"/>
        </w:rPr>
      </w:pPr>
      <w:r>
        <w:rPr>
          <w:sz w:val="22"/>
        </w:rPr>
        <w:t>Pichardo, I. (2002). </w:t>
      </w:r>
      <w:r>
        <w:rPr>
          <w:i/>
          <w:sz w:val="22"/>
        </w:rPr>
        <w:t>Introducción a la nueva administración pública de México</w:t>
      </w:r>
      <w:r>
        <w:rPr>
          <w:sz w:val="22"/>
        </w:rPr>
        <w:t>. INAP. Distrito Federal,</w:t>
      </w:r>
      <w:r>
        <w:rPr>
          <w:spacing w:val="-14"/>
          <w:sz w:val="22"/>
        </w:rPr>
        <w:t> </w:t>
      </w:r>
      <w:r>
        <w:rPr>
          <w:sz w:val="22"/>
        </w:rPr>
        <w:t>México.</w:t>
      </w:r>
    </w:p>
    <w:p>
      <w:pPr>
        <w:pStyle w:val="ListParagraph"/>
        <w:numPr>
          <w:ilvl w:val="0"/>
          <w:numId w:val="22"/>
        </w:numPr>
        <w:tabs>
          <w:tab w:pos="701" w:val="left" w:leader="none"/>
        </w:tabs>
        <w:spacing w:line="259" w:lineRule="auto" w:before="150" w:after="0"/>
        <w:ind w:left="700" w:right="116" w:hanging="360"/>
        <w:jc w:val="both"/>
        <w:rPr>
          <w:sz w:val="22"/>
        </w:rPr>
      </w:pPr>
      <w:r>
        <w:rPr>
          <w:sz w:val="22"/>
        </w:rPr>
        <w:t>Ponce, D. (2008). </w:t>
      </w:r>
      <w:r>
        <w:rPr>
          <w:i/>
          <w:sz w:val="22"/>
        </w:rPr>
        <w:t>Asentamientos irregulares. Diagnóstico del riesgo ambiental en las </w:t>
      </w:r>
      <w:r>
        <w:rPr>
          <w:i/>
          <w:sz w:val="22"/>
        </w:rPr>
        <w:t>barrancas del Distrito Federal. </w:t>
      </w:r>
      <w:r>
        <w:rPr>
          <w:sz w:val="22"/>
        </w:rPr>
        <w:t>Revista Tecnológica Ambiental. Ciudad de México. Fecha de acceso: 11-02-2015. </w:t>
      </w:r>
      <w:r>
        <w:rPr>
          <w:spacing w:val="-3"/>
          <w:sz w:val="22"/>
        </w:rPr>
        <w:t>De:</w:t>
      </w:r>
      <w:r>
        <w:rPr>
          <w:spacing w:val="-15"/>
          <w:sz w:val="22"/>
        </w:rPr>
        <w:t> </w:t>
      </w:r>
      <w:hyperlink r:id="rId153">
        <w:r>
          <w:rPr>
            <w:sz w:val="22"/>
          </w:rPr>
          <w:t>http://www.paot.org.mx</w:t>
        </w:r>
      </w:hyperlink>
    </w:p>
    <w:p>
      <w:pPr>
        <w:pStyle w:val="ListParagraph"/>
        <w:numPr>
          <w:ilvl w:val="0"/>
          <w:numId w:val="22"/>
        </w:numPr>
        <w:tabs>
          <w:tab w:pos="700" w:val="left" w:leader="none"/>
          <w:tab w:pos="701" w:val="left" w:leader="none"/>
        </w:tabs>
        <w:spacing w:line="240" w:lineRule="auto" w:before="164" w:after="0"/>
        <w:ind w:left="700" w:right="0" w:hanging="360"/>
        <w:jc w:val="left"/>
        <w:rPr>
          <w:sz w:val="22"/>
        </w:rPr>
      </w:pPr>
      <w:r>
        <w:rPr>
          <w:sz w:val="22"/>
        </w:rPr>
        <w:t>Programa General de Ordenamiento Ecológico del Distrito Federal</w:t>
      </w:r>
      <w:r>
        <w:rPr>
          <w:spacing w:val="-19"/>
          <w:sz w:val="22"/>
        </w:rPr>
        <w:t> </w:t>
      </w:r>
      <w:r>
        <w:rPr>
          <w:sz w:val="22"/>
        </w:rPr>
        <w:t>2002-2003</w:t>
      </w:r>
    </w:p>
    <w:p>
      <w:pPr>
        <w:pStyle w:val="ListParagraph"/>
        <w:numPr>
          <w:ilvl w:val="0"/>
          <w:numId w:val="22"/>
        </w:numPr>
        <w:tabs>
          <w:tab w:pos="701" w:val="left" w:leader="none"/>
        </w:tabs>
        <w:spacing w:line="261" w:lineRule="auto" w:before="175" w:after="0"/>
        <w:ind w:left="700" w:right="121" w:hanging="360"/>
        <w:jc w:val="both"/>
        <w:rPr>
          <w:sz w:val="22"/>
        </w:rPr>
      </w:pPr>
      <w:r>
        <w:rPr>
          <w:sz w:val="22"/>
        </w:rPr>
        <w:t>Robles, M., y Ojeda, L., (2011). </w:t>
      </w:r>
      <w:r>
        <w:rPr>
          <w:i/>
          <w:sz w:val="22"/>
        </w:rPr>
        <w:t>La otra cara de la ciudad: ¿Quién la ve? El suelo de </w:t>
      </w:r>
      <w:r>
        <w:rPr>
          <w:i/>
          <w:sz w:val="22"/>
        </w:rPr>
        <w:t>conservación de la Ciudad de México. </w:t>
      </w:r>
      <w:r>
        <w:rPr>
          <w:sz w:val="22"/>
        </w:rPr>
        <w:t>Centro de Especialistas en Gestión Ambiental, S.C. El Colegio de la Frontera Norte, A.C.</w:t>
      </w:r>
      <w:r>
        <w:rPr>
          <w:spacing w:val="-21"/>
          <w:sz w:val="22"/>
        </w:rPr>
        <w:t> </w:t>
      </w:r>
      <w:r>
        <w:rPr>
          <w:sz w:val="22"/>
        </w:rPr>
        <w:t>México.</w:t>
      </w:r>
    </w:p>
    <w:p>
      <w:pPr>
        <w:spacing w:after="0" w:line="261" w:lineRule="auto"/>
        <w:jc w:val="both"/>
        <w:rPr>
          <w:sz w:val="22"/>
        </w:rPr>
        <w:sectPr>
          <w:pgSz w:w="12240" w:h="15840"/>
          <w:pgMar w:top="1360" w:bottom="280" w:left="1720" w:right="1580"/>
        </w:sectPr>
      </w:pPr>
    </w:p>
    <w:p>
      <w:pPr>
        <w:pStyle w:val="ListParagraph"/>
        <w:numPr>
          <w:ilvl w:val="0"/>
          <w:numId w:val="22"/>
        </w:numPr>
        <w:tabs>
          <w:tab w:pos="701" w:val="left" w:leader="none"/>
        </w:tabs>
        <w:spacing w:line="261" w:lineRule="auto" w:before="48" w:after="0"/>
        <w:ind w:left="700" w:right="116" w:hanging="360"/>
        <w:jc w:val="both"/>
        <w:rPr>
          <w:sz w:val="22"/>
        </w:rPr>
      </w:pPr>
      <w:r>
        <w:rPr>
          <w:sz w:val="22"/>
        </w:rPr>
        <w:t>Rivas Torres, D. (2005). </w:t>
      </w:r>
      <w:r>
        <w:rPr>
          <w:i/>
          <w:sz w:val="22"/>
        </w:rPr>
        <w:t>Planeación, espacios verdes y sustentabilidad en el Distrito </w:t>
      </w:r>
      <w:r>
        <w:rPr>
          <w:i/>
          <w:sz w:val="22"/>
        </w:rPr>
        <w:t>Federal. </w:t>
      </w:r>
      <w:r>
        <w:rPr>
          <w:sz w:val="22"/>
        </w:rPr>
        <w:t>Tesis de doctorado, Universidad Autónoma Metropolitana Unidad Azcapotzalco, México,</w:t>
      </w:r>
      <w:r>
        <w:rPr>
          <w:spacing w:val="-5"/>
          <w:sz w:val="22"/>
        </w:rPr>
        <w:t> </w:t>
      </w:r>
      <w:r>
        <w:rPr>
          <w:sz w:val="22"/>
        </w:rPr>
        <w:t>D.F.</w:t>
      </w:r>
    </w:p>
    <w:p>
      <w:pPr>
        <w:pStyle w:val="ListParagraph"/>
        <w:numPr>
          <w:ilvl w:val="0"/>
          <w:numId w:val="22"/>
        </w:numPr>
        <w:tabs>
          <w:tab w:pos="701" w:val="left" w:leader="none"/>
        </w:tabs>
        <w:spacing w:line="264" w:lineRule="auto" w:before="153" w:after="0"/>
        <w:ind w:left="700" w:right="118" w:hanging="360"/>
        <w:jc w:val="both"/>
        <w:rPr>
          <w:sz w:val="22"/>
        </w:rPr>
      </w:pPr>
      <w:r>
        <w:rPr>
          <w:sz w:val="22"/>
        </w:rPr>
        <w:t>RIZOMA. (2008). Estrategias para un Desarrollo Urbano ordenado y sustentable. </w:t>
      </w:r>
      <w:r>
        <w:rPr>
          <w:i/>
          <w:sz w:val="22"/>
        </w:rPr>
        <w:t>Revista  </w:t>
      </w:r>
      <w:r>
        <w:rPr>
          <w:i/>
          <w:sz w:val="22"/>
        </w:rPr>
        <w:t>de cultura</w:t>
      </w:r>
      <w:r>
        <w:rPr>
          <w:i/>
          <w:spacing w:val="-3"/>
          <w:sz w:val="22"/>
        </w:rPr>
        <w:t> </w:t>
      </w:r>
      <w:r>
        <w:rPr>
          <w:i/>
          <w:sz w:val="22"/>
        </w:rPr>
        <w:t>urbana</w:t>
      </w:r>
      <w:r>
        <w:rPr>
          <w:sz w:val="22"/>
        </w:rPr>
        <w:t>.</w:t>
      </w:r>
    </w:p>
    <w:p>
      <w:pPr>
        <w:pStyle w:val="ListParagraph"/>
        <w:numPr>
          <w:ilvl w:val="0"/>
          <w:numId w:val="22"/>
        </w:numPr>
        <w:tabs>
          <w:tab w:pos="701" w:val="left" w:leader="none"/>
        </w:tabs>
        <w:spacing w:line="264" w:lineRule="auto" w:before="150" w:after="0"/>
        <w:ind w:left="700" w:right="130" w:hanging="360"/>
        <w:jc w:val="both"/>
        <w:rPr>
          <w:sz w:val="22"/>
        </w:rPr>
      </w:pPr>
      <w:r>
        <w:rPr>
          <w:sz w:val="22"/>
        </w:rPr>
        <w:t>Romero, G.; Llanos, R., y González, R., (2007). Reporte de Protección Civil de la ALDF. La Jornada. Ciudad de</w:t>
      </w:r>
      <w:r>
        <w:rPr>
          <w:spacing w:val="-15"/>
          <w:sz w:val="22"/>
        </w:rPr>
        <w:t> </w:t>
      </w:r>
      <w:r>
        <w:rPr>
          <w:sz w:val="22"/>
        </w:rPr>
        <w:t>México.</w:t>
      </w:r>
    </w:p>
    <w:p>
      <w:pPr>
        <w:pStyle w:val="ListParagraph"/>
        <w:numPr>
          <w:ilvl w:val="0"/>
          <w:numId w:val="22"/>
        </w:numPr>
        <w:tabs>
          <w:tab w:pos="701" w:val="left" w:leader="none"/>
        </w:tabs>
        <w:spacing w:line="259" w:lineRule="auto" w:before="155" w:after="0"/>
        <w:ind w:left="700" w:right="116" w:hanging="360"/>
        <w:jc w:val="both"/>
        <w:rPr>
          <w:sz w:val="22"/>
        </w:rPr>
      </w:pPr>
      <w:r>
        <w:rPr>
          <w:sz w:val="22"/>
        </w:rPr>
        <w:t>Sánchez, D. (2011). </w:t>
      </w:r>
      <w:r>
        <w:rPr>
          <w:i/>
          <w:sz w:val="22"/>
        </w:rPr>
        <w:t>Aproximaciones a los conflictos sociales y propuestas sostenibles de </w:t>
      </w:r>
      <w:r>
        <w:rPr>
          <w:i/>
          <w:sz w:val="22"/>
        </w:rPr>
        <w:t>urbanismo y ordenación del territorio en México. </w:t>
      </w:r>
      <w:r>
        <w:rPr>
          <w:sz w:val="22"/>
        </w:rPr>
        <w:t>Revista de Estudios Sociales No. 42. Bogotá.</w:t>
      </w:r>
    </w:p>
    <w:p>
      <w:pPr>
        <w:pStyle w:val="ListParagraph"/>
        <w:numPr>
          <w:ilvl w:val="0"/>
          <w:numId w:val="22"/>
        </w:numPr>
        <w:tabs>
          <w:tab w:pos="701" w:val="left" w:leader="none"/>
        </w:tabs>
        <w:spacing w:line="259" w:lineRule="auto" w:before="159" w:after="0"/>
        <w:ind w:left="700" w:right="115" w:hanging="360"/>
        <w:jc w:val="both"/>
        <w:rPr>
          <w:sz w:val="22"/>
        </w:rPr>
      </w:pPr>
      <w:r>
        <w:rPr>
          <w:sz w:val="22"/>
        </w:rPr>
        <w:t>Salinas, Edison y Pérez, Leonel (2011). </w:t>
      </w:r>
      <w:r>
        <w:rPr>
          <w:i/>
          <w:sz w:val="22"/>
        </w:rPr>
        <w:t>Procesos urbanos recientes en el Área </w:t>
      </w:r>
      <w:r>
        <w:rPr>
          <w:i/>
          <w:sz w:val="22"/>
        </w:rPr>
        <w:t>Metropolitana de Concepción: transformaciones morfológicas y tipologías de ocupación</w:t>
      </w:r>
      <w:r>
        <w:rPr>
          <w:sz w:val="22"/>
        </w:rPr>
        <w:t>. Revista de Geografía Norte Grande, </w:t>
      </w:r>
      <w:r>
        <w:rPr>
          <w:spacing w:val="-3"/>
          <w:sz w:val="22"/>
        </w:rPr>
        <w:t>nº </w:t>
      </w:r>
      <w:r>
        <w:rPr>
          <w:sz w:val="22"/>
        </w:rPr>
        <w:t>49, p. 79-97. ISSN 0379-8682. </w:t>
      </w:r>
      <w:r>
        <w:rPr>
          <w:spacing w:val="-3"/>
          <w:sz w:val="22"/>
        </w:rPr>
        <w:t>Fecha </w:t>
      </w:r>
      <w:r>
        <w:rPr>
          <w:sz w:val="22"/>
        </w:rPr>
        <w:t>de acceso: 18/08/2014 </w:t>
      </w:r>
      <w:r>
        <w:rPr>
          <w:spacing w:val="-3"/>
          <w:sz w:val="22"/>
        </w:rPr>
        <w:t>De:</w:t>
      </w:r>
      <w:r>
        <w:rPr>
          <w:spacing w:val="-16"/>
          <w:sz w:val="22"/>
        </w:rPr>
        <w:t> </w:t>
      </w:r>
      <w:hyperlink r:id="rId154">
        <w:r>
          <w:rPr>
            <w:sz w:val="22"/>
          </w:rPr>
          <w:t>http://www.scielo.cl/pdf/rgeong/n49/art06.pdf</w:t>
        </w:r>
      </w:hyperlink>
    </w:p>
    <w:p>
      <w:pPr>
        <w:pStyle w:val="ListParagraph"/>
        <w:numPr>
          <w:ilvl w:val="0"/>
          <w:numId w:val="22"/>
        </w:numPr>
        <w:tabs>
          <w:tab w:pos="701" w:val="left" w:leader="none"/>
        </w:tabs>
        <w:spacing w:line="261" w:lineRule="auto" w:before="154" w:after="0"/>
        <w:ind w:left="700" w:right="114" w:hanging="360"/>
        <w:jc w:val="both"/>
        <w:rPr>
          <w:sz w:val="22"/>
        </w:rPr>
      </w:pPr>
      <w:r>
        <w:rPr>
          <w:sz w:val="22"/>
        </w:rPr>
        <w:t>Saurí, </w:t>
      </w:r>
      <w:r>
        <w:rPr>
          <w:spacing w:val="-3"/>
          <w:sz w:val="22"/>
        </w:rPr>
        <w:t>D. </w:t>
      </w:r>
      <w:r>
        <w:rPr>
          <w:sz w:val="22"/>
        </w:rPr>
        <w:t>(2003). </w:t>
      </w:r>
      <w:r>
        <w:rPr>
          <w:i/>
          <w:sz w:val="22"/>
        </w:rPr>
        <w:t>Los procesos de riesgo con origen natural: una constante en la relación </w:t>
      </w:r>
      <w:r>
        <w:rPr>
          <w:i/>
          <w:sz w:val="22"/>
        </w:rPr>
        <w:t>entre hombre y medio. Capítulo: Tendencias recientes en el análisis geográfico de los riesgos ambientales. </w:t>
      </w:r>
      <w:r>
        <w:rPr>
          <w:sz w:val="22"/>
        </w:rPr>
        <w:t>Revista de Ciencias Sociales Núm. 23. Universidad Autónoma de Barcelona. Barcelona, España. </w:t>
      </w:r>
      <w:r>
        <w:rPr>
          <w:spacing w:val="-3"/>
          <w:sz w:val="22"/>
        </w:rPr>
        <w:t>Fecha </w:t>
      </w:r>
      <w:r>
        <w:rPr>
          <w:sz w:val="22"/>
        </w:rPr>
        <w:t>de acceso: 19-08-2014 De: </w:t>
      </w:r>
      <w:hyperlink r:id="rId155">
        <w:r>
          <w:rPr>
            <w:sz w:val="22"/>
          </w:rPr>
          <w:t>http://revistas.um.es/areas/article/view/117861/111441</w:t>
        </w:r>
      </w:hyperlink>
    </w:p>
    <w:p>
      <w:pPr>
        <w:pStyle w:val="ListParagraph"/>
        <w:numPr>
          <w:ilvl w:val="0"/>
          <w:numId w:val="22"/>
        </w:numPr>
        <w:tabs>
          <w:tab w:pos="701" w:val="left" w:leader="none"/>
        </w:tabs>
        <w:spacing w:line="264" w:lineRule="auto" w:before="152" w:after="0"/>
        <w:ind w:left="700" w:right="118" w:hanging="360"/>
        <w:jc w:val="both"/>
        <w:rPr>
          <w:sz w:val="22"/>
        </w:rPr>
      </w:pPr>
      <w:r>
        <w:rPr>
          <w:sz w:val="22"/>
        </w:rPr>
        <w:t>SMA, GDF y SAGARPA (2006). Atlas de Vegetación y Uso del Suelo. Suelo de Conservación del Distrito Federal.</w:t>
      </w:r>
      <w:r>
        <w:rPr>
          <w:spacing w:val="-20"/>
          <w:sz w:val="22"/>
        </w:rPr>
        <w:t> </w:t>
      </w:r>
      <w:r>
        <w:rPr>
          <w:sz w:val="22"/>
        </w:rPr>
        <w:t>México.</w:t>
      </w:r>
    </w:p>
    <w:p>
      <w:pPr>
        <w:pStyle w:val="ListParagraph"/>
        <w:numPr>
          <w:ilvl w:val="0"/>
          <w:numId w:val="22"/>
        </w:numPr>
        <w:tabs>
          <w:tab w:pos="701" w:val="left" w:leader="none"/>
        </w:tabs>
        <w:spacing w:line="261" w:lineRule="auto" w:before="150" w:after="0"/>
        <w:ind w:left="700" w:right="118" w:hanging="360"/>
        <w:jc w:val="both"/>
        <w:rPr>
          <w:sz w:val="22"/>
        </w:rPr>
      </w:pPr>
      <w:r>
        <w:rPr>
          <w:sz w:val="22"/>
        </w:rPr>
        <w:t>Tamayo, Sergio (2007). </w:t>
      </w:r>
      <w:r>
        <w:rPr>
          <w:i/>
          <w:sz w:val="22"/>
        </w:rPr>
        <w:t>Los desafíos del Bando </w:t>
      </w:r>
      <w:r>
        <w:rPr>
          <w:i/>
          <w:spacing w:val="-3"/>
          <w:sz w:val="22"/>
        </w:rPr>
        <w:t>2. </w:t>
      </w:r>
      <w:r>
        <w:rPr>
          <w:i/>
          <w:sz w:val="22"/>
        </w:rPr>
        <w:t>Evaluación multidimensional de las </w:t>
      </w:r>
      <w:r>
        <w:rPr>
          <w:i/>
          <w:sz w:val="22"/>
        </w:rPr>
        <w:t>políticas habitacionales en el Distrito Federal 2000-2006. </w:t>
      </w:r>
      <w:r>
        <w:rPr>
          <w:sz w:val="22"/>
        </w:rPr>
        <w:t>Gobierno del Distrito Federal. México.</w:t>
      </w:r>
    </w:p>
    <w:p>
      <w:pPr>
        <w:pStyle w:val="ListParagraph"/>
        <w:numPr>
          <w:ilvl w:val="0"/>
          <w:numId w:val="22"/>
        </w:numPr>
        <w:tabs>
          <w:tab w:pos="700" w:val="left" w:leader="none"/>
          <w:tab w:pos="701" w:val="left" w:leader="none"/>
        </w:tabs>
        <w:spacing w:line="240" w:lineRule="auto" w:before="152" w:after="0"/>
        <w:ind w:left="700" w:right="0" w:hanging="360"/>
        <w:jc w:val="left"/>
        <w:rPr>
          <w:sz w:val="22"/>
        </w:rPr>
      </w:pPr>
      <w:r>
        <w:rPr>
          <w:sz w:val="22"/>
        </w:rPr>
        <w:t>Toro,  F.  (2011).  </w:t>
      </w:r>
      <w:r>
        <w:rPr>
          <w:i/>
          <w:sz w:val="22"/>
        </w:rPr>
        <w:t>Crisis  ecológica y Geografía.  </w:t>
      </w:r>
      <w:r>
        <w:rPr>
          <w:sz w:val="22"/>
        </w:rPr>
        <w:t>Tesis  Doctoral.  Universidad de</w:t>
      </w:r>
      <w:r>
        <w:rPr>
          <w:spacing w:val="-13"/>
          <w:sz w:val="22"/>
        </w:rPr>
        <w:t> </w:t>
      </w:r>
      <w:r>
        <w:rPr>
          <w:sz w:val="22"/>
        </w:rPr>
        <w:t>Granada.</w:t>
      </w:r>
    </w:p>
    <w:p>
      <w:pPr>
        <w:pStyle w:val="BodyText"/>
        <w:spacing w:before="25"/>
        <w:ind w:left="700"/>
      </w:pPr>
      <w:r>
        <w:rPr/>
        <w:t>Granada, España.</w:t>
      </w:r>
    </w:p>
    <w:p>
      <w:pPr>
        <w:pStyle w:val="ListParagraph"/>
        <w:numPr>
          <w:ilvl w:val="0"/>
          <w:numId w:val="22"/>
        </w:numPr>
        <w:tabs>
          <w:tab w:pos="701" w:val="left" w:leader="none"/>
        </w:tabs>
        <w:spacing w:line="261" w:lineRule="auto" w:before="175" w:after="0"/>
        <w:ind w:left="700" w:right="121" w:hanging="360"/>
        <w:jc w:val="both"/>
        <w:rPr>
          <w:sz w:val="22"/>
        </w:rPr>
      </w:pPr>
      <w:r>
        <w:rPr>
          <w:sz w:val="22"/>
        </w:rPr>
        <w:t>Turner, B. L. II (2002). </w:t>
      </w:r>
      <w:r>
        <w:rPr>
          <w:i/>
          <w:sz w:val="22"/>
        </w:rPr>
        <w:t>Contested Identities: Human-Enviroment Geography and </w:t>
      </w:r>
      <w:r>
        <w:rPr>
          <w:i/>
          <w:sz w:val="22"/>
        </w:rPr>
        <w:t>Disciplinary Implications in a Restructuring Academy. </w:t>
      </w:r>
      <w:r>
        <w:rPr>
          <w:sz w:val="22"/>
        </w:rPr>
        <w:t>Annals of the Association of American Geographers. </w:t>
      </w:r>
      <w:r>
        <w:rPr>
          <w:spacing w:val="-3"/>
          <w:sz w:val="22"/>
        </w:rPr>
        <w:t>Vol. </w:t>
      </w:r>
      <w:r>
        <w:rPr>
          <w:sz w:val="22"/>
        </w:rPr>
        <w:t>92, </w:t>
      </w:r>
      <w:r>
        <w:rPr>
          <w:spacing w:val="-3"/>
          <w:sz w:val="22"/>
        </w:rPr>
        <w:t>n°</w:t>
      </w:r>
      <w:r>
        <w:rPr>
          <w:spacing w:val="14"/>
          <w:sz w:val="22"/>
        </w:rPr>
        <w:t> </w:t>
      </w:r>
      <w:r>
        <w:rPr>
          <w:sz w:val="22"/>
        </w:rPr>
        <w:t>1.</w:t>
      </w:r>
    </w:p>
    <w:p>
      <w:pPr>
        <w:pStyle w:val="ListParagraph"/>
        <w:numPr>
          <w:ilvl w:val="0"/>
          <w:numId w:val="22"/>
        </w:numPr>
        <w:tabs>
          <w:tab w:pos="753" w:val="left" w:leader="none"/>
        </w:tabs>
        <w:spacing w:line="261" w:lineRule="auto" w:before="152" w:after="0"/>
        <w:ind w:left="700" w:right="117" w:hanging="360"/>
        <w:jc w:val="both"/>
        <w:rPr>
          <w:sz w:val="22"/>
        </w:rPr>
      </w:pPr>
      <w:r>
        <w:rPr>
          <w:sz w:val="22"/>
        </w:rPr>
        <w:t>Wong, P. (2010). </w:t>
      </w:r>
      <w:r>
        <w:rPr>
          <w:i/>
          <w:sz w:val="22"/>
        </w:rPr>
        <w:t>Ordenamiento ecológico y ordenamiento territorial: retos para la </w:t>
      </w:r>
      <w:r>
        <w:rPr>
          <w:i/>
          <w:sz w:val="22"/>
        </w:rPr>
        <w:t>gestión del desarrollo regional sustentable en </w:t>
      </w:r>
      <w:r>
        <w:rPr>
          <w:i/>
          <w:spacing w:val="-4"/>
          <w:sz w:val="22"/>
        </w:rPr>
        <w:t>el </w:t>
      </w:r>
      <w:r>
        <w:rPr>
          <w:i/>
          <w:sz w:val="22"/>
        </w:rPr>
        <w:t>siglo XXI. </w:t>
      </w:r>
      <w:r>
        <w:rPr>
          <w:sz w:val="22"/>
        </w:rPr>
        <w:t>México: Centro  de Investigación en Alimentación y Desarrollo,</w:t>
      </w:r>
      <w:r>
        <w:rPr>
          <w:spacing w:val="-20"/>
          <w:sz w:val="22"/>
        </w:rPr>
        <w:t> </w:t>
      </w:r>
      <w:r>
        <w:rPr>
          <w:sz w:val="22"/>
        </w:rPr>
        <w:t>A.C.</w:t>
      </w:r>
    </w:p>
    <w:p>
      <w:pPr>
        <w:spacing w:after="0" w:line="261" w:lineRule="auto"/>
        <w:jc w:val="both"/>
        <w:rPr>
          <w:sz w:val="22"/>
        </w:rPr>
        <w:sectPr>
          <w:pgSz w:w="12240" w:h="15840"/>
          <w:pgMar w:top="1360" w:bottom="280" w:left="1720" w:right="1580"/>
        </w:sectPr>
      </w:pPr>
    </w:p>
    <w:p>
      <w:pPr>
        <w:pStyle w:val="Heading1"/>
        <w:spacing w:before="57"/>
        <w:ind w:right="40"/>
        <w:jc w:val="left"/>
      </w:pPr>
      <w:bookmarkStart w:name="_bookmark51" w:id="89"/>
      <w:bookmarkEnd w:id="89"/>
      <w:r>
        <w:rPr>
          <w:b w:val="0"/>
        </w:rPr>
      </w:r>
      <w:r>
        <w:rPr/>
        <w:t>ANEXOS</w:t>
      </w:r>
    </w:p>
    <w:p>
      <w:pPr>
        <w:pStyle w:val="BodyText"/>
        <w:rPr>
          <w:b/>
        </w:rPr>
      </w:pPr>
    </w:p>
    <w:p>
      <w:pPr>
        <w:pStyle w:val="BodyText"/>
        <w:spacing w:before="5"/>
        <w:rPr>
          <w:b/>
          <w:sz w:val="19"/>
        </w:rPr>
      </w:pPr>
    </w:p>
    <w:p>
      <w:pPr>
        <w:spacing w:line="264" w:lineRule="auto" w:before="0"/>
        <w:ind w:left="119" w:right="40" w:firstLine="0"/>
        <w:jc w:val="left"/>
        <w:rPr>
          <w:b/>
          <w:sz w:val="22"/>
        </w:rPr>
      </w:pPr>
      <w:r>
        <w:rPr>
          <w:b/>
          <w:sz w:val="22"/>
        </w:rPr>
        <w:t>Anexo 1. Número, nombre y extensión de los asentamientos humanos irregulares por delegación</w:t>
      </w:r>
    </w:p>
    <w:p>
      <w:pPr>
        <w:pStyle w:val="BodyText"/>
        <w:rPr>
          <w:b/>
        </w:rPr>
      </w:pPr>
    </w:p>
    <w:p>
      <w:pPr>
        <w:pStyle w:val="BodyText"/>
        <w:rPr>
          <w:b/>
          <w:sz w:val="31"/>
        </w:rPr>
      </w:pPr>
    </w:p>
    <w:p>
      <w:pPr>
        <w:spacing w:before="0"/>
        <w:ind w:left="1028" w:right="1028" w:firstLine="0"/>
        <w:jc w:val="center"/>
        <w:rPr>
          <w:b/>
          <w:sz w:val="20"/>
        </w:rPr>
      </w:pPr>
      <w:r>
        <w:rPr>
          <w:b/>
          <w:sz w:val="20"/>
        </w:rPr>
        <w:t>Tabla 8. Asentamientos humanos irregulares Delegación Álvaro Obregón</w:t>
      </w:r>
    </w:p>
    <w:p>
      <w:pPr>
        <w:pStyle w:val="BodyText"/>
        <w:spacing w:before="4" w:after="1"/>
        <w:rPr>
          <w:b/>
          <w:sz w:val="15"/>
        </w:rPr>
      </w:pPr>
    </w:p>
    <w:tbl>
      <w:tblPr>
        <w:tblW w:w="0" w:type="auto"/>
        <w:jc w:val="left"/>
        <w:tblInd w:w="120" w:type="dxa"/>
        <w:tblBorders>
          <w:top w:val="double" w:sz="4" w:space="0" w:color="5B9BD4"/>
          <w:left w:val="double" w:sz="4" w:space="0" w:color="5B9BD4"/>
          <w:bottom w:val="double" w:sz="4" w:space="0" w:color="5B9BD4"/>
          <w:right w:val="double" w:sz="4" w:space="0" w:color="5B9BD4"/>
          <w:insideH w:val="double" w:sz="4" w:space="0" w:color="5B9BD4"/>
          <w:insideV w:val="double" w:sz="4" w:space="0" w:color="5B9BD4"/>
        </w:tblBorders>
        <w:tblLayout w:type="fixed"/>
        <w:tblCellMar>
          <w:top w:w="0" w:type="dxa"/>
          <w:left w:w="0" w:type="dxa"/>
          <w:bottom w:w="0" w:type="dxa"/>
          <w:right w:w="0" w:type="dxa"/>
        </w:tblCellMar>
        <w:tblLook w:val="01E0"/>
      </w:tblPr>
      <w:tblGrid>
        <w:gridCol w:w="1292"/>
        <w:gridCol w:w="825"/>
        <w:gridCol w:w="3094"/>
        <w:gridCol w:w="2320"/>
        <w:gridCol w:w="1302"/>
      </w:tblGrid>
      <w:tr>
        <w:trPr>
          <w:trHeight w:val="255" w:hRule="exact"/>
        </w:trPr>
        <w:tc>
          <w:tcPr>
            <w:tcW w:w="1292" w:type="dxa"/>
            <w:tcBorders>
              <w:top w:val="single" w:sz="4" w:space="0" w:color="5B9BD4"/>
              <w:left w:val="single" w:sz="4" w:space="0" w:color="D3D3D3"/>
              <w:right w:val="single" w:sz="4" w:space="0" w:color="D3D3D3"/>
            </w:tcBorders>
          </w:tcPr>
          <w:p>
            <w:pPr>
              <w:pStyle w:val="TableParagraph"/>
              <w:spacing w:before="15"/>
              <w:ind w:left="193"/>
              <w:rPr>
                <w:b/>
                <w:sz w:val="18"/>
              </w:rPr>
            </w:pPr>
            <w:r>
              <w:rPr>
                <w:b/>
                <w:sz w:val="18"/>
              </w:rPr>
              <w:t>Delegación</w:t>
            </w:r>
          </w:p>
        </w:tc>
        <w:tc>
          <w:tcPr>
            <w:tcW w:w="825" w:type="dxa"/>
            <w:tcBorders>
              <w:top w:val="single" w:sz="4" w:space="0" w:color="5B9BD4"/>
              <w:left w:val="single" w:sz="4" w:space="0" w:color="D3D3D3"/>
              <w:right w:val="single" w:sz="4" w:space="0" w:color="D3D3D3"/>
            </w:tcBorders>
          </w:tcPr>
          <w:p>
            <w:pPr>
              <w:pStyle w:val="TableParagraph"/>
              <w:spacing w:before="15"/>
              <w:ind w:left="176" w:right="172"/>
              <w:jc w:val="center"/>
              <w:rPr>
                <w:b/>
                <w:sz w:val="18"/>
              </w:rPr>
            </w:pPr>
            <w:r>
              <w:rPr>
                <w:b/>
                <w:sz w:val="18"/>
              </w:rPr>
              <w:t>Num.</w:t>
            </w:r>
          </w:p>
        </w:tc>
        <w:tc>
          <w:tcPr>
            <w:tcW w:w="3094" w:type="dxa"/>
            <w:tcBorders>
              <w:top w:val="single" w:sz="4" w:space="0" w:color="5B9BD4"/>
              <w:left w:val="single" w:sz="4" w:space="0" w:color="D3D3D3"/>
              <w:right w:val="single" w:sz="4" w:space="0" w:color="D3D3D3"/>
            </w:tcBorders>
          </w:tcPr>
          <w:p>
            <w:pPr>
              <w:pStyle w:val="TableParagraph"/>
              <w:spacing w:before="15"/>
              <w:ind w:left="508"/>
              <w:rPr>
                <w:b/>
                <w:sz w:val="18"/>
              </w:rPr>
            </w:pPr>
            <w:r>
              <w:rPr>
                <w:b/>
                <w:sz w:val="18"/>
              </w:rPr>
              <w:t>Nombre del asentamiento</w:t>
            </w:r>
          </w:p>
        </w:tc>
        <w:tc>
          <w:tcPr>
            <w:tcW w:w="2320" w:type="dxa"/>
            <w:tcBorders>
              <w:top w:val="single" w:sz="4" w:space="0" w:color="5B9BD4"/>
              <w:left w:val="single" w:sz="4" w:space="0" w:color="D3D3D3"/>
              <w:right w:val="single" w:sz="4" w:space="0" w:color="D3D3D3"/>
            </w:tcBorders>
          </w:tcPr>
          <w:p>
            <w:pPr>
              <w:pStyle w:val="TableParagraph"/>
              <w:spacing w:before="15"/>
              <w:ind w:left="315"/>
              <w:rPr>
                <w:b/>
                <w:sz w:val="18"/>
              </w:rPr>
            </w:pPr>
            <w:r>
              <w:rPr>
                <w:b/>
                <w:sz w:val="18"/>
              </w:rPr>
              <w:t>Nombre del poblado</w:t>
            </w:r>
          </w:p>
        </w:tc>
        <w:tc>
          <w:tcPr>
            <w:tcW w:w="1302" w:type="dxa"/>
            <w:tcBorders>
              <w:top w:val="single" w:sz="4" w:space="0" w:color="5B9BD4"/>
              <w:left w:val="single" w:sz="4" w:space="0" w:color="D3D3D3"/>
              <w:right w:val="single" w:sz="4" w:space="0" w:color="D3D3D3"/>
            </w:tcBorders>
          </w:tcPr>
          <w:p>
            <w:pPr>
              <w:pStyle w:val="TableParagraph"/>
              <w:spacing w:before="15"/>
              <w:ind w:right="70"/>
              <w:jc w:val="right"/>
              <w:rPr>
                <w:b/>
                <w:sz w:val="18"/>
              </w:rPr>
            </w:pPr>
            <w:r>
              <w:rPr>
                <w:b/>
                <w:sz w:val="18"/>
              </w:rPr>
              <w:t>Superficie (ha)</w:t>
            </w:r>
          </w:p>
        </w:tc>
      </w:tr>
      <w:tr>
        <w:trPr>
          <w:trHeight w:val="265" w:hRule="exact"/>
        </w:trPr>
        <w:tc>
          <w:tcPr>
            <w:tcW w:w="1292" w:type="dxa"/>
            <w:vMerge w:val="restart"/>
            <w:tcBorders>
              <w:left w:val="single" w:sz="4" w:space="0" w:color="D3D3D3"/>
              <w:right w:val="single" w:sz="4" w:space="0" w:color="D3D3D3"/>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4"/>
              <w:rPr>
                <w:b/>
                <w:sz w:val="14"/>
              </w:rPr>
            </w:pPr>
          </w:p>
          <w:p>
            <w:pPr>
              <w:pStyle w:val="TableParagraph"/>
              <w:spacing w:line="271" w:lineRule="auto"/>
              <w:ind w:left="295" w:right="287" w:firstLine="71"/>
              <w:rPr>
                <w:b/>
                <w:sz w:val="18"/>
              </w:rPr>
            </w:pPr>
            <w:r>
              <w:rPr>
                <w:b/>
                <w:sz w:val="18"/>
              </w:rPr>
              <w:t>Álvaro Obregón</w:t>
            </w:r>
          </w:p>
        </w:tc>
        <w:tc>
          <w:tcPr>
            <w:tcW w:w="825" w:type="dxa"/>
            <w:tcBorders>
              <w:left w:val="single" w:sz="4" w:space="0" w:color="D3D3D3"/>
              <w:right w:val="single" w:sz="4" w:space="0" w:color="D3D3D3"/>
            </w:tcBorders>
          </w:tcPr>
          <w:p>
            <w:pPr>
              <w:pStyle w:val="TableParagraph"/>
              <w:spacing w:before="15"/>
              <w:ind w:left="9"/>
              <w:jc w:val="center"/>
              <w:rPr>
                <w:sz w:val="18"/>
              </w:rPr>
            </w:pPr>
            <w:r>
              <w:rPr>
                <w:w w:val="101"/>
                <w:sz w:val="18"/>
              </w:rPr>
              <w:t>1</w:t>
            </w:r>
          </w:p>
        </w:tc>
        <w:tc>
          <w:tcPr>
            <w:tcW w:w="3094" w:type="dxa"/>
            <w:tcBorders>
              <w:left w:val="single" w:sz="4" w:space="0" w:color="D3D3D3"/>
              <w:right w:val="single" w:sz="4" w:space="0" w:color="D3D3D3"/>
            </w:tcBorders>
          </w:tcPr>
          <w:p>
            <w:pPr>
              <w:pStyle w:val="TableParagraph"/>
              <w:spacing w:before="15"/>
              <w:ind w:left="30"/>
              <w:rPr>
                <w:sz w:val="18"/>
              </w:rPr>
            </w:pPr>
            <w:r>
              <w:rPr>
                <w:sz w:val="18"/>
              </w:rPr>
              <w:t>Ampliación  Cooperativa Miguel Gaona</w:t>
            </w:r>
          </w:p>
        </w:tc>
        <w:tc>
          <w:tcPr>
            <w:tcW w:w="2320" w:type="dxa"/>
            <w:tcBorders>
              <w:left w:val="single" w:sz="4" w:space="0" w:color="D3D3D3"/>
              <w:right w:val="single" w:sz="4" w:space="0" w:color="D3D3D3"/>
            </w:tcBorders>
          </w:tcPr>
          <w:p>
            <w:pPr>
              <w:pStyle w:val="TableParagraph"/>
              <w:spacing w:before="15"/>
              <w:ind w:left="30"/>
              <w:rPr>
                <w:sz w:val="18"/>
              </w:rPr>
            </w:pPr>
            <w:r>
              <w:rPr>
                <w:sz w:val="18"/>
              </w:rPr>
              <w:t>Cooperativa Miguel Gaona</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0.298</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9"/>
              <w:jc w:val="center"/>
              <w:rPr>
                <w:sz w:val="18"/>
              </w:rPr>
            </w:pPr>
            <w:r>
              <w:rPr>
                <w:w w:val="101"/>
                <w:sz w:val="18"/>
              </w:rPr>
              <w:t>2</w:t>
            </w:r>
          </w:p>
        </w:tc>
        <w:tc>
          <w:tcPr>
            <w:tcW w:w="3094" w:type="dxa"/>
            <w:tcBorders>
              <w:left w:val="single" w:sz="4" w:space="0" w:color="D3D3D3"/>
              <w:right w:val="single" w:sz="4" w:space="0" w:color="D3D3D3"/>
            </w:tcBorders>
          </w:tcPr>
          <w:p>
            <w:pPr>
              <w:pStyle w:val="TableParagraph"/>
              <w:spacing w:before="15"/>
              <w:ind w:left="30"/>
              <w:rPr>
                <w:sz w:val="18"/>
              </w:rPr>
            </w:pPr>
            <w:r>
              <w:rPr>
                <w:sz w:val="18"/>
              </w:rPr>
              <w:t>Tierra  Nueva Tlaxomulco</w:t>
            </w:r>
          </w:p>
        </w:tc>
        <w:tc>
          <w:tcPr>
            <w:tcW w:w="2320" w:type="dxa"/>
            <w:tcBorders>
              <w:left w:val="single" w:sz="4" w:space="0" w:color="D3D3D3"/>
              <w:right w:val="single" w:sz="4" w:space="0" w:color="D3D3D3"/>
            </w:tcBorders>
          </w:tcPr>
          <w:p>
            <w:pPr>
              <w:pStyle w:val="TableParagraph"/>
              <w:spacing w:before="15"/>
              <w:ind w:left="30"/>
              <w:rPr>
                <w:sz w:val="18"/>
              </w:rPr>
            </w:pPr>
            <w:r>
              <w:rPr>
                <w:sz w:val="18"/>
              </w:rPr>
              <w:t>Cooperativa Miguel Gaona</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0.688</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bottom w:val="double" w:sz="4" w:space="0" w:color="5B9BD4"/>
              <w:right w:val="single" w:sz="4" w:space="0" w:color="D3D3D3"/>
            </w:tcBorders>
          </w:tcPr>
          <w:p>
            <w:pPr>
              <w:pStyle w:val="TableParagraph"/>
              <w:spacing w:before="15"/>
              <w:ind w:left="9"/>
              <w:jc w:val="center"/>
              <w:rPr>
                <w:sz w:val="18"/>
              </w:rPr>
            </w:pPr>
            <w:r>
              <w:rPr>
                <w:w w:val="101"/>
                <w:sz w:val="18"/>
              </w:rPr>
              <w:t>3</w:t>
            </w:r>
          </w:p>
        </w:tc>
        <w:tc>
          <w:tcPr>
            <w:tcW w:w="3094" w:type="dxa"/>
            <w:tcBorders>
              <w:left w:val="single" w:sz="4" w:space="0" w:color="D3D3D3"/>
              <w:bottom w:val="double" w:sz="4" w:space="0" w:color="5B9BD4"/>
              <w:right w:val="single" w:sz="4" w:space="0" w:color="D3D3D3"/>
            </w:tcBorders>
          </w:tcPr>
          <w:p>
            <w:pPr>
              <w:pStyle w:val="TableParagraph"/>
              <w:spacing w:before="15"/>
              <w:ind w:left="30"/>
              <w:rPr>
                <w:sz w:val="18"/>
              </w:rPr>
            </w:pPr>
            <w:r>
              <w:rPr>
                <w:sz w:val="18"/>
              </w:rPr>
              <w:t>Totomastitla</w:t>
            </w:r>
          </w:p>
        </w:tc>
        <w:tc>
          <w:tcPr>
            <w:tcW w:w="2320" w:type="dxa"/>
            <w:tcBorders>
              <w:left w:val="single" w:sz="4" w:space="0" w:color="D3D3D3"/>
              <w:bottom w:val="double" w:sz="4" w:space="0" w:color="5B9BD4"/>
              <w:right w:val="single" w:sz="4" w:space="0" w:color="D3D3D3"/>
            </w:tcBorders>
          </w:tcPr>
          <w:p>
            <w:pPr>
              <w:pStyle w:val="TableParagraph"/>
              <w:spacing w:before="15"/>
              <w:ind w:left="30"/>
              <w:rPr>
                <w:sz w:val="18"/>
              </w:rPr>
            </w:pPr>
            <w:r>
              <w:rPr>
                <w:sz w:val="18"/>
              </w:rPr>
              <w:t>Cooperativa Miguel Gaona</w:t>
            </w:r>
          </w:p>
        </w:tc>
        <w:tc>
          <w:tcPr>
            <w:tcW w:w="1302" w:type="dxa"/>
            <w:tcBorders>
              <w:left w:val="single" w:sz="4" w:space="0" w:color="D3D3D3"/>
              <w:bottom w:val="double" w:sz="4" w:space="0" w:color="5B9BD4"/>
              <w:right w:val="single" w:sz="4" w:space="0" w:color="D3D3D3"/>
            </w:tcBorders>
          </w:tcPr>
          <w:p>
            <w:pPr>
              <w:pStyle w:val="TableParagraph"/>
              <w:spacing w:before="15"/>
              <w:ind w:right="28"/>
              <w:jc w:val="right"/>
              <w:rPr>
                <w:sz w:val="18"/>
              </w:rPr>
            </w:pPr>
            <w:r>
              <w:rPr>
                <w:sz w:val="18"/>
              </w:rPr>
              <w:t>0.986</w:t>
            </w:r>
          </w:p>
        </w:tc>
      </w:tr>
      <w:tr>
        <w:trPr>
          <w:trHeight w:val="265" w:hRule="exact"/>
        </w:trPr>
        <w:tc>
          <w:tcPr>
            <w:tcW w:w="1292" w:type="dxa"/>
            <w:vMerge/>
            <w:tcBorders>
              <w:left w:val="single" w:sz="4" w:space="0" w:color="D3D3D3"/>
              <w:right w:val="single" w:sz="4" w:space="0" w:color="D3D3D3"/>
            </w:tcBorders>
          </w:tcPr>
          <w:p>
            <w:pPr/>
          </w:p>
        </w:tc>
        <w:tc>
          <w:tcPr>
            <w:tcW w:w="825" w:type="dxa"/>
            <w:tcBorders>
              <w:top w:val="double" w:sz="4" w:space="0" w:color="5B9BD4"/>
              <w:left w:val="single" w:sz="4" w:space="0" w:color="D3D3D3"/>
              <w:right w:val="single" w:sz="4" w:space="0" w:color="D3D3D3"/>
            </w:tcBorders>
          </w:tcPr>
          <w:p>
            <w:pPr>
              <w:pStyle w:val="TableParagraph"/>
              <w:spacing w:before="15"/>
              <w:ind w:left="9"/>
              <w:jc w:val="center"/>
              <w:rPr>
                <w:sz w:val="18"/>
              </w:rPr>
            </w:pPr>
            <w:r>
              <w:rPr>
                <w:w w:val="101"/>
                <w:sz w:val="18"/>
              </w:rPr>
              <w:t>4</w:t>
            </w:r>
          </w:p>
        </w:tc>
        <w:tc>
          <w:tcPr>
            <w:tcW w:w="3094" w:type="dxa"/>
            <w:tcBorders>
              <w:top w:val="double" w:sz="4" w:space="0" w:color="5B9BD4"/>
              <w:left w:val="single" w:sz="4" w:space="0" w:color="D3D3D3"/>
              <w:right w:val="single" w:sz="4" w:space="0" w:color="D3D3D3"/>
            </w:tcBorders>
          </w:tcPr>
          <w:p>
            <w:pPr>
              <w:pStyle w:val="TableParagraph"/>
              <w:spacing w:before="15"/>
              <w:ind w:left="30"/>
              <w:rPr>
                <w:sz w:val="18"/>
              </w:rPr>
            </w:pPr>
            <w:r>
              <w:rPr>
                <w:sz w:val="18"/>
              </w:rPr>
              <w:t>Atexquillo</w:t>
            </w:r>
          </w:p>
        </w:tc>
        <w:tc>
          <w:tcPr>
            <w:tcW w:w="2320" w:type="dxa"/>
            <w:tcBorders>
              <w:top w:val="double" w:sz="4" w:space="0" w:color="5B9BD4"/>
              <w:left w:val="single" w:sz="4" w:space="0" w:color="D3D3D3"/>
              <w:right w:val="single" w:sz="4" w:space="0" w:color="D3D3D3"/>
            </w:tcBorders>
          </w:tcPr>
          <w:p>
            <w:pPr>
              <w:pStyle w:val="TableParagraph"/>
              <w:spacing w:before="15"/>
              <w:ind w:left="30"/>
              <w:rPr>
                <w:sz w:val="18"/>
              </w:rPr>
            </w:pPr>
            <w:r>
              <w:rPr>
                <w:sz w:val="18"/>
              </w:rPr>
              <w:t>San Bartolo Ameyalco</w:t>
            </w:r>
          </w:p>
        </w:tc>
        <w:tc>
          <w:tcPr>
            <w:tcW w:w="1302" w:type="dxa"/>
            <w:tcBorders>
              <w:top w:val="double" w:sz="4" w:space="0" w:color="5B9BD4"/>
              <w:left w:val="single" w:sz="4" w:space="0" w:color="D3D3D3"/>
              <w:right w:val="single" w:sz="4" w:space="0" w:color="D3D3D3"/>
            </w:tcBorders>
          </w:tcPr>
          <w:p>
            <w:pPr>
              <w:pStyle w:val="TableParagraph"/>
              <w:spacing w:before="15"/>
              <w:ind w:right="28"/>
              <w:jc w:val="right"/>
              <w:rPr>
                <w:sz w:val="18"/>
              </w:rPr>
            </w:pPr>
            <w:r>
              <w:rPr>
                <w:sz w:val="18"/>
              </w:rPr>
              <w:t>0.533</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9"/>
              <w:jc w:val="center"/>
              <w:rPr>
                <w:sz w:val="18"/>
              </w:rPr>
            </w:pPr>
            <w:r>
              <w:rPr>
                <w:w w:val="101"/>
                <w:sz w:val="18"/>
              </w:rPr>
              <w:t>5</w:t>
            </w:r>
          </w:p>
        </w:tc>
        <w:tc>
          <w:tcPr>
            <w:tcW w:w="3094" w:type="dxa"/>
            <w:tcBorders>
              <w:left w:val="single" w:sz="4" w:space="0" w:color="D3D3D3"/>
              <w:right w:val="single" w:sz="4" w:space="0" w:color="D3D3D3"/>
            </w:tcBorders>
          </w:tcPr>
          <w:p>
            <w:pPr>
              <w:pStyle w:val="TableParagraph"/>
              <w:spacing w:before="15"/>
              <w:ind w:left="30"/>
              <w:rPr>
                <w:sz w:val="18"/>
              </w:rPr>
            </w:pPr>
            <w:r>
              <w:rPr>
                <w:sz w:val="18"/>
              </w:rPr>
              <w:t>Lomas de Tepozcuautla</w:t>
            </w:r>
          </w:p>
        </w:tc>
        <w:tc>
          <w:tcPr>
            <w:tcW w:w="2320" w:type="dxa"/>
            <w:tcBorders>
              <w:left w:val="single" w:sz="4" w:space="0" w:color="D3D3D3"/>
              <w:right w:val="single" w:sz="4" w:space="0" w:color="D3D3D3"/>
            </w:tcBorders>
          </w:tcPr>
          <w:p>
            <w:pPr>
              <w:pStyle w:val="TableParagraph"/>
              <w:spacing w:before="15"/>
              <w:ind w:left="30"/>
              <w:rPr>
                <w:sz w:val="18"/>
              </w:rPr>
            </w:pPr>
            <w:r>
              <w:rPr>
                <w:sz w:val="18"/>
              </w:rPr>
              <w:t>San Bartolo Ameyalco</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1.270</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bottom w:val="double" w:sz="4" w:space="0" w:color="5B9BD4"/>
              <w:right w:val="single" w:sz="4" w:space="0" w:color="D3D3D3"/>
            </w:tcBorders>
          </w:tcPr>
          <w:p>
            <w:pPr>
              <w:pStyle w:val="TableParagraph"/>
              <w:spacing w:before="15"/>
              <w:ind w:left="9"/>
              <w:jc w:val="center"/>
              <w:rPr>
                <w:sz w:val="18"/>
              </w:rPr>
            </w:pPr>
            <w:r>
              <w:rPr>
                <w:w w:val="101"/>
                <w:sz w:val="18"/>
              </w:rPr>
              <w:t>6</w:t>
            </w:r>
          </w:p>
        </w:tc>
        <w:tc>
          <w:tcPr>
            <w:tcW w:w="3094" w:type="dxa"/>
            <w:tcBorders>
              <w:left w:val="single" w:sz="4" w:space="0" w:color="D3D3D3"/>
              <w:bottom w:val="double" w:sz="4" w:space="0" w:color="5B9BD4"/>
              <w:right w:val="single" w:sz="4" w:space="0" w:color="D3D3D3"/>
            </w:tcBorders>
          </w:tcPr>
          <w:p>
            <w:pPr>
              <w:pStyle w:val="TableParagraph"/>
              <w:spacing w:before="15"/>
              <w:ind w:left="30"/>
              <w:rPr>
                <w:sz w:val="18"/>
              </w:rPr>
            </w:pPr>
            <w:r>
              <w:rPr>
                <w:sz w:val="18"/>
              </w:rPr>
              <w:t>Ampliación  Ixtlahuaca</w:t>
            </w:r>
          </w:p>
        </w:tc>
        <w:tc>
          <w:tcPr>
            <w:tcW w:w="2320" w:type="dxa"/>
            <w:tcBorders>
              <w:left w:val="single" w:sz="4" w:space="0" w:color="D3D3D3"/>
              <w:bottom w:val="double" w:sz="4" w:space="0" w:color="5B9BD4"/>
              <w:right w:val="single" w:sz="4" w:space="0" w:color="D3D3D3"/>
            </w:tcBorders>
          </w:tcPr>
          <w:p>
            <w:pPr>
              <w:pStyle w:val="TableParagraph"/>
              <w:spacing w:before="15"/>
              <w:ind w:left="30"/>
              <w:rPr>
                <w:sz w:val="18"/>
              </w:rPr>
            </w:pPr>
            <w:r>
              <w:rPr>
                <w:sz w:val="18"/>
              </w:rPr>
              <w:t>San  Mateo Tlaltenango</w:t>
            </w:r>
          </w:p>
        </w:tc>
        <w:tc>
          <w:tcPr>
            <w:tcW w:w="1302" w:type="dxa"/>
            <w:tcBorders>
              <w:left w:val="single" w:sz="4" w:space="0" w:color="D3D3D3"/>
              <w:bottom w:val="double" w:sz="4" w:space="0" w:color="5B9BD4"/>
              <w:right w:val="single" w:sz="4" w:space="0" w:color="D3D3D3"/>
            </w:tcBorders>
          </w:tcPr>
          <w:p>
            <w:pPr>
              <w:pStyle w:val="TableParagraph"/>
              <w:spacing w:before="15"/>
              <w:ind w:right="28"/>
              <w:jc w:val="right"/>
              <w:rPr>
                <w:sz w:val="18"/>
              </w:rPr>
            </w:pPr>
            <w:r>
              <w:rPr>
                <w:sz w:val="18"/>
              </w:rPr>
              <w:t>0.040</w:t>
            </w:r>
          </w:p>
        </w:tc>
      </w:tr>
      <w:tr>
        <w:trPr>
          <w:trHeight w:val="265" w:hRule="exact"/>
        </w:trPr>
        <w:tc>
          <w:tcPr>
            <w:tcW w:w="1292" w:type="dxa"/>
            <w:vMerge/>
            <w:tcBorders>
              <w:left w:val="single" w:sz="4" w:space="0" w:color="D3D3D3"/>
              <w:right w:val="single" w:sz="4" w:space="0" w:color="D3D3D3"/>
            </w:tcBorders>
          </w:tcPr>
          <w:p>
            <w:pPr/>
          </w:p>
        </w:tc>
        <w:tc>
          <w:tcPr>
            <w:tcW w:w="825" w:type="dxa"/>
            <w:tcBorders>
              <w:top w:val="double" w:sz="4" w:space="0" w:color="5B9BD4"/>
              <w:left w:val="single" w:sz="4" w:space="0" w:color="D3D3D3"/>
              <w:right w:val="single" w:sz="4" w:space="0" w:color="D3D3D3"/>
            </w:tcBorders>
          </w:tcPr>
          <w:p>
            <w:pPr>
              <w:pStyle w:val="TableParagraph"/>
              <w:spacing w:before="15"/>
              <w:ind w:left="9"/>
              <w:jc w:val="center"/>
              <w:rPr>
                <w:sz w:val="18"/>
              </w:rPr>
            </w:pPr>
            <w:r>
              <w:rPr>
                <w:w w:val="101"/>
                <w:sz w:val="18"/>
              </w:rPr>
              <w:t>7</w:t>
            </w:r>
          </w:p>
        </w:tc>
        <w:tc>
          <w:tcPr>
            <w:tcW w:w="3094" w:type="dxa"/>
            <w:tcBorders>
              <w:top w:val="double" w:sz="4" w:space="0" w:color="5B9BD4"/>
              <w:left w:val="single" w:sz="4" w:space="0" w:color="D3D3D3"/>
              <w:right w:val="single" w:sz="4" w:space="0" w:color="D3D3D3"/>
            </w:tcBorders>
          </w:tcPr>
          <w:p>
            <w:pPr>
              <w:pStyle w:val="TableParagraph"/>
              <w:spacing w:before="15"/>
              <w:ind w:left="30"/>
              <w:rPr>
                <w:sz w:val="18"/>
              </w:rPr>
            </w:pPr>
            <w:r>
              <w:rPr>
                <w:sz w:val="18"/>
              </w:rPr>
              <w:t>El Cedral</w:t>
            </w:r>
          </w:p>
        </w:tc>
        <w:tc>
          <w:tcPr>
            <w:tcW w:w="2320" w:type="dxa"/>
            <w:tcBorders>
              <w:top w:val="double" w:sz="4" w:space="0" w:color="5B9BD4"/>
              <w:left w:val="single" w:sz="4" w:space="0" w:color="D3D3D3"/>
              <w:right w:val="single" w:sz="4" w:space="0" w:color="D3D3D3"/>
            </w:tcBorders>
          </w:tcPr>
          <w:p>
            <w:pPr>
              <w:pStyle w:val="TableParagraph"/>
              <w:spacing w:before="15"/>
              <w:ind w:left="30"/>
              <w:rPr>
                <w:sz w:val="18"/>
              </w:rPr>
            </w:pPr>
            <w:r>
              <w:rPr>
                <w:sz w:val="18"/>
              </w:rPr>
              <w:t>San  Mateo Tlaltenango</w:t>
            </w:r>
          </w:p>
        </w:tc>
        <w:tc>
          <w:tcPr>
            <w:tcW w:w="1302" w:type="dxa"/>
            <w:tcBorders>
              <w:top w:val="double" w:sz="4" w:space="0" w:color="5B9BD4"/>
              <w:left w:val="single" w:sz="4" w:space="0" w:color="D3D3D3"/>
              <w:right w:val="single" w:sz="4" w:space="0" w:color="D3D3D3"/>
            </w:tcBorders>
          </w:tcPr>
          <w:p>
            <w:pPr>
              <w:pStyle w:val="TableParagraph"/>
              <w:spacing w:before="15"/>
              <w:ind w:right="28"/>
              <w:jc w:val="right"/>
              <w:rPr>
                <w:sz w:val="18"/>
              </w:rPr>
            </w:pPr>
            <w:r>
              <w:rPr>
                <w:sz w:val="18"/>
              </w:rPr>
              <w:t>0.480</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9"/>
              <w:jc w:val="center"/>
              <w:rPr>
                <w:sz w:val="18"/>
              </w:rPr>
            </w:pPr>
            <w:r>
              <w:rPr>
                <w:w w:val="101"/>
                <w:sz w:val="18"/>
              </w:rPr>
              <w:t>8</w:t>
            </w:r>
          </w:p>
        </w:tc>
        <w:tc>
          <w:tcPr>
            <w:tcW w:w="3094" w:type="dxa"/>
            <w:tcBorders>
              <w:left w:val="single" w:sz="4" w:space="0" w:color="D3D3D3"/>
              <w:right w:val="single" w:sz="4" w:space="0" w:color="D3D3D3"/>
            </w:tcBorders>
          </w:tcPr>
          <w:p>
            <w:pPr>
              <w:pStyle w:val="TableParagraph"/>
              <w:spacing w:before="15"/>
              <w:ind w:left="30"/>
              <w:rPr>
                <w:sz w:val="18"/>
              </w:rPr>
            </w:pPr>
            <w:r>
              <w:rPr>
                <w:sz w:val="18"/>
              </w:rPr>
              <w:t>La Loma</w:t>
            </w:r>
          </w:p>
        </w:tc>
        <w:tc>
          <w:tcPr>
            <w:tcW w:w="2320" w:type="dxa"/>
            <w:tcBorders>
              <w:left w:val="single" w:sz="4" w:space="0" w:color="D3D3D3"/>
              <w:right w:val="single" w:sz="4" w:space="0" w:color="D3D3D3"/>
            </w:tcBorders>
          </w:tcPr>
          <w:p>
            <w:pPr>
              <w:pStyle w:val="TableParagraph"/>
              <w:spacing w:before="15"/>
              <w:ind w:left="30"/>
              <w:rPr>
                <w:sz w:val="18"/>
              </w:rPr>
            </w:pPr>
            <w:r>
              <w:rPr>
                <w:sz w:val="18"/>
              </w:rPr>
              <w:t>San  Mateo Tlaltenango</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4.295</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9"/>
              <w:jc w:val="center"/>
              <w:rPr>
                <w:sz w:val="18"/>
              </w:rPr>
            </w:pPr>
            <w:r>
              <w:rPr>
                <w:w w:val="101"/>
                <w:sz w:val="18"/>
              </w:rPr>
              <w:t>9</w:t>
            </w:r>
          </w:p>
        </w:tc>
        <w:tc>
          <w:tcPr>
            <w:tcW w:w="3094" w:type="dxa"/>
            <w:tcBorders>
              <w:left w:val="single" w:sz="4" w:space="0" w:color="D3D3D3"/>
              <w:right w:val="single" w:sz="4" w:space="0" w:color="D3D3D3"/>
            </w:tcBorders>
          </w:tcPr>
          <w:p>
            <w:pPr>
              <w:pStyle w:val="TableParagraph"/>
              <w:spacing w:before="15"/>
              <w:ind w:left="30"/>
              <w:rPr>
                <w:sz w:val="18"/>
              </w:rPr>
            </w:pPr>
            <w:r>
              <w:rPr>
                <w:sz w:val="18"/>
              </w:rPr>
              <w:t>Paraje Rancho San  Francisco</w:t>
            </w:r>
          </w:p>
        </w:tc>
        <w:tc>
          <w:tcPr>
            <w:tcW w:w="2320" w:type="dxa"/>
            <w:tcBorders>
              <w:left w:val="single" w:sz="4" w:space="0" w:color="D3D3D3"/>
              <w:right w:val="single" w:sz="4" w:space="0" w:color="D3D3D3"/>
            </w:tcBorders>
          </w:tcPr>
          <w:p>
            <w:pPr>
              <w:pStyle w:val="TableParagraph"/>
              <w:spacing w:before="15"/>
              <w:ind w:left="30"/>
              <w:rPr>
                <w:sz w:val="18"/>
              </w:rPr>
            </w:pPr>
            <w:r>
              <w:rPr>
                <w:sz w:val="18"/>
              </w:rPr>
              <w:t>San  Mateo Tlaltenango</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3.748</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172" w:right="172"/>
              <w:jc w:val="center"/>
              <w:rPr>
                <w:sz w:val="18"/>
              </w:rPr>
            </w:pPr>
            <w:r>
              <w:rPr>
                <w:sz w:val="18"/>
              </w:rPr>
              <w:t>10</w:t>
            </w:r>
          </w:p>
        </w:tc>
        <w:tc>
          <w:tcPr>
            <w:tcW w:w="3094" w:type="dxa"/>
            <w:tcBorders>
              <w:left w:val="single" w:sz="4" w:space="0" w:color="D3D3D3"/>
              <w:right w:val="single" w:sz="4" w:space="0" w:color="D3D3D3"/>
            </w:tcBorders>
          </w:tcPr>
          <w:p>
            <w:pPr>
              <w:pStyle w:val="TableParagraph"/>
              <w:spacing w:before="15"/>
              <w:ind w:left="30"/>
              <w:rPr>
                <w:sz w:val="18"/>
              </w:rPr>
            </w:pPr>
            <w:r>
              <w:rPr>
                <w:sz w:val="18"/>
              </w:rPr>
              <w:t>Cacaloac  (Paraje Cacaloxtla)</w:t>
            </w:r>
          </w:p>
        </w:tc>
        <w:tc>
          <w:tcPr>
            <w:tcW w:w="2320" w:type="dxa"/>
            <w:tcBorders>
              <w:left w:val="single" w:sz="4" w:space="0" w:color="D3D3D3"/>
              <w:right w:val="single" w:sz="4" w:space="0" w:color="D3D3D3"/>
            </w:tcBorders>
          </w:tcPr>
          <w:p>
            <w:pPr>
              <w:pStyle w:val="TableParagraph"/>
              <w:spacing w:before="15"/>
              <w:ind w:left="30"/>
              <w:rPr>
                <w:sz w:val="18"/>
              </w:rPr>
            </w:pPr>
            <w:r>
              <w:rPr>
                <w:sz w:val="18"/>
              </w:rPr>
              <w:t>Santa Rosa Xochiac</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5.121</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172" w:right="172"/>
              <w:jc w:val="center"/>
              <w:rPr>
                <w:sz w:val="18"/>
              </w:rPr>
            </w:pPr>
            <w:r>
              <w:rPr>
                <w:sz w:val="18"/>
              </w:rPr>
              <w:t>11</w:t>
            </w:r>
          </w:p>
        </w:tc>
        <w:tc>
          <w:tcPr>
            <w:tcW w:w="3094" w:type="dxa"/>
            <w:tcBorders>
              <w:left w:val="single" w:sz="4" w:space="0" w:color="D3D3D3"/>
              <w:right w:val="single" w:sz="4" w:space="0" w:color="D3D3D3"/>
            </w:tcBorders>
          </w:tcPr>
          <w:p>
            <w:pPr>
              <w:pStyle w:val="TableParagraph"/>
              <w:spacing w:before="15"/>
              <w:ind w:left="30"/>
              <w:rPr>
                <w:sz w:val="18"/>
              </w:rPr>
            </w:pPr>
            <w:r>
              <w:rPr>
                <w:sz w:val="18"/>
              </w:rPr>
              <w:t>Las Granjas Moxelotle</w:t>
            </w:r>
          </w:p>
        </w:tc>
        <w:tc>
          <w:tcPr>
            <w:tcW w:w="2320" w:type="dxa"/>
            <w:tcBorders>
              <w:left w:val="single" w:sz="4" w:space="0" w:color="D3D3D3"/>
              <w:right w:val="single" w:sz="4" w:space="0" w:color="D3D3D3"/>
            </w:tcBorders>
          </w:tcPr>
          <w:p>
            <w:pPr>
              <w:pStyle w:val="TableParagraph"/>
              <w:spacing w:before="15"/>
              <w:ind w:left="30"/>
              <w:rPr>
                <w:sz w:val="18"/>
              </w:rPr>
            </w:pPr>
            <w:r>
              <w:rPr>
                <w:sz w:val="18"/>
              </w:rPr>
              <w:t>Santa Rosa Xochiac</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3.839</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172" w:right="172"/>
              <w:jc w:val="center"/>
              <w:rPr>
                <w:sz w:val="18"/>
              </w:rPr>
            </w:pPr>
            <w:r>
              <w:rPr>
                <w:sz w:val="18"/>
              </w:rPr>
              <w:t>12</w:t>
            </w:r>
          </w:p>
        </w:tc>
        <w:tc>
          <w:tcPr>
            <w:tcW w:w="3094" w:type="dxa"/>
            <w:tcBorders>
              <w:left w:val="single" w:sz="4" w:space="0" w:color="D3D3D3"/>
              <w:right w:val="single" w:sz="4" w:space="0" w:color="D3D3D3"/>
            </w:tcBorders>
          </w:tcPr>
          <w:p>
            <w:pPr>
              <w:pStyle w:val="TableParagraph"/>
              <w:spacing w:before="15"/>
              <w:ind w:left="30"/>
              <w:rPr>
                <w:sz w:val="18"/>
              </w:rPr>
            </w:pPr>
            <w:r>
              <w:rPr>
                <w:sz w:val="18"/>
              </w:rPr>
              <w:t>Ampliación  Tlacoyaque</w:t>
            </w:r>
          </w:p>
        </w:tc>
        <w:tc>
          <w:tcPr>
            <w:tcW w:w="2320" w:type="dxa"/>
            <w:tcBorders>
              <w:left w:val="single" w:sz="4" w:space="0" w:color="D3D3D3"/>
              <w:right w:val="single" w:sz="4" w:space="0" w:color="D3D3D3"/>
            </w:tcBorders>
          </w:tcPr>
          <w:p>
            <w:pPr>
              <w:pStyle w:val="TableParagraph"/>
              <w:spacing w:before="15"/>
              <w:ind w:left="30"/>
              <w:rPr>
                <w:sz w:val="18"/>
              </w:rPr>
            </w:pPr>
            <w:r>
              <w:rPr>
                <w:sz w:val="18"/>
              </w:rPr>
              <w:t>Tlacoyaques</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0.709</w:t>
            </w:r>
          </w:p>
        </w:tc>
      </w:tr>
      <w:tr>
        <w:trPr>
          <w:trHeight w:val="265" w:hRule="exact"/>
        </w:trPr>
        <w:tc>
          <w:tcPr>
            <w:tcW w:w="1292" w:type="dxa"/>
            <w:vMerge/>
            <w:tcBorders>
              <w:left w:val="single" w:sz="4" w:space="0" w:color="D3D3D3"/>
              <w:right w:val="single" w:sz="4" w:space="0" w:color="D3D3D3"/>
            </w:tcBorders>
          </w:tcPr>
          <w:p>
            <w:pPr/>
          </w:p>
        </w:tc>
        <w:tc>
          <w:tcPr>
            <w:tcW w:w="825" w:type="dxa"/>
            <w:tcBorders>
              <w:left w:val="single" w:sz="4" w:space="0" w:color="D3D3D3"/>
              <w:right w:val="single" w:sz="4" w:space="0" w:color="D3D3D3"/>
            </w:tcBorders>
          </w:tcPr>
          <w:p>
            <w:pPr>
              <w:pStyle w:val="TableParagraph"/>
              <w:spacing w:before="15"/>
              <w:ind w:left="172" w:right="172"/>
              <w:jc w:val="center"/>
              <w:rPr>
                <w:sz w:val="18"/>
              </w:rPr>
            </w:pPr>
            <w:r>
              <w:rPr>
                <w:sz w:val="18"/>
              </w:rPr>
              <w:t>13</w:t>
            </w:r>
          </w:p>
        </w:tc>
        <w:tc>
          <w:tcPr>
            <w:tcW w:w="3094" w:type="dxa"/>
            <w:tcBorders>
              <w:left w:val="single" w:sz="4" w:space="0" w:color="D3D3D3"/>
              <w:right w:val="single" w:sz="4" w:space="0" w:color="D3D3D3"/>
            </w:tcBorders>
          </w:tcPr>
          <w:p>
            <w:pPr>
              <w:pStyle w:val="TableParagraph"/>
              <w:spacing w:before="15"/>
              <w:ind w:left="30"/>
              <w:rPr>
                <w:sz w:val="18"/>
              </w:rPr>
            </w:pPr>
            <w:r>
              <w:rPr>
                <w:sz w:val="18"/>
              </w:rPr>
              <w:t>Las Peñitas</w:t>
            </w:r>
          </w:p>
        </w:tc>
        <w:tc>
          <w:tcPr>
            <w:tcW w:w="2320" w:type="dxa"/>
            <w:tcBorders>
              <w:left w:val="single" w:sz="4" w:space="0" w:color="D3D3D3"/>
              <w:right w:val="single" w:sz="4" w:space="0" w:color="D3D3D3"/>
            </w:tcBorders>
          </w:tcPr>
          <w:p>
            <w:pPr>
              <w:pStyle w:val="TableParagraph"/>
              <w:spacing w:before="15"/>
              <w:ind w:left="30"/>
              <w:rPr>
                <w:sz w:val="18"/>
              </w:rPr>
            </w:pPr>
            <w:r>
              <w:rPr>
                <w:sz w:val="18"/>
              </w:rPr>
              <w:t>Tlacoyaques</w:t>
            </w:r>
          </w:p>
        </w:tc>
        <w:tc>
          <w:tcPr>
            <w:tcW w:w="1302" w:type="dxa"/>
            <w:tcBorders>
              <w:left w:val="single" w:sz="4" w:space="0" w:color="D3D3D3"/>
              <w:right w:val="single" w:sz="4" w:space="0" w:color="D3D3D3"/>
            </w:tcBorders>
          </w:tcPr>
          <w:p>
            <w:pPr>
              <w:pStyle w:val="TableParagraph"/>
              <w:spacing w:before="15"/>
              <w:ind w:right="28"/>
              <w:jc w:val="right"/>
              <w:rPr>
                <w:sz w:val="18"/>
              </w:rPr>
            </w:pPr>
            <w:r>
              <w:rPr>
                <w:sz w:val="18"/>
              </w:rPr>
              <w:t>0.467</w:t>
            </w:r>
          </w:p>
        </w:tc>
      </w:tr>
      <w:tr>
        <w:trPr>
          <w:trHeight w:val="255" w:hRule="exact"/>
        </w:trPr>
        <w:tc>
          <w:tcPr>
            <w:tcW w:w="1292" w:type="dxa"/>
            <w:vMerge/>
            <w:tcBorders>
              <w:left w:val="single" w:sz="4" w:space="0" w:color="D3D3D3"/>
              <w:bottom w:val="single" w:sz="4" w:space="0" w:color="5B9BD4"/>
              <w:right w:val="single" w:sz="4" w:space="0" w:color="D3D3D3"/>
            </w:tcBorders>
          </w:tcPr>
          <w:p>
            <w:pPr/>
          </w:p>
        </w:tc>
        <w:tc>
          <w:tcPr>
            <w:tcW w:w="825" w:type="dxa"/>
            <w:tcBorders>
              <w:left w:val="single" w:sz="4" w:space="0" w:color="D3D3D3"/>
              <w:bottom w:val="single" w:sz="4" w:space="0" w:color="5B9BD4"/>
              <w:right w:val="single" w:sz="4" w:space="0" w:color="D3D3D3"/>
            </w:tcBorders>
          </w:tcPr>
          <w:p>
            <w:pPr>
              <w:pStyle w:val="TableParagraph"/>
              <w:spacing w:before="15"/>
              <w:ind w:left="172" w:right="172"/>
              <w:jc w:val="center"/>
              <w:rPr>
                <w:sz w:val="18"/>
              </w:rPr>
            </w:pPr>
            <w:r>
              <w:rPr>
                <w:sz w:val="18"/>
              </w:rPr>
              <w:t>14</w:t>
            </w:r>
          </w:p>
        </w:tc>
        <w:tc>
          <w:tcPr>
            <w:tcW w:w="3094" w:type="dxa"/>
            <w:tcBorders>
              <w:left w:val="single" w:sz="4" w:space="0" w:color="D3D3D3"/>
              <w:bottom w:val="single" w:sz="4" w:space="0" w:color="5B9BD4"/>
              <w:right w:val="single" w:sz="4" w:space="0" w:color="D3D3D3"/>
            </w:tcBorders>
          </w:tcPr>
          <w:p>
            <w:pPr>
              <w:pStyle w:val="TableParagraph"/>
              <w:spacing w:before="15"/>
              <w:ind w:left="30"/>
              <w:rPr>
                <w:sz w:val="18"/>
              </w:rPr>
            </w:pPr>
            <w:r>
              <w:rPr>
                <w:sz w:val="18"/>
              </w:rPr>
              <w:t>Tizimaloya</w:t>
            </w:r>
          </w:p>
        </w:tc>
        <w:tc>
          <w:tcPr>
            <w:tcW w:w="2320" w:type="dxa"/>
            <w:tcBorders>
              <w:left w:val="single" w:sz="4" w:space="0" w:color="D3D3D3"/>
              <w:bottom w:val="single" w:sz="4" w:space="0" w:color="5B9BD4"/>
              <w:right w:val="single" w:sz="4" w:space="0" w:color="D3D3D3"/>
            </w:tcBorders>
          </w:tcPr>
          <w:p>
            <w:pPr>
              <w:pStyle w:val="TableParagraph"/>
              <w:spacing w:before="15"/>
              <w:ind w:left="30"/>
              <w:rPr>
                <w:sz w:val="18"/>
              </w:rPr>
            </w:pPr>
            <w:r>
              <w:rPr>
                <w:sz w:val="18"/>
              </w:rPr>
              <w:t>Tlacoyaques</w:t>
            </w:r>
          </w:p>
        </w:tc>
        <w:tc>
          <w:tcPr>
            <w:tcW w:w="1302" w:type="dxa"/>
            <w:tcBorders>
              <w:left w:val="single" w:sz="4" w:space="0" w:color="D3D3D3"/>
              <w:bottom w:val="single" w:sz="4" w:space="0" w:color="5B9BD4"/>
              <w:right w:val="single" w:sz="4" w:space="0" w:color="D3D3D3"/>
            </w:tcBorders>
          </w:tcPr>
          <w:p>
            <w:pPr>
              <w:pStyle w:val="TableParagraph"/>
              <w:spacing w:before="15"/>
              <w:ind w:right="28"/>
              <w:jc w:val="right"/>
              <w:rPr>
                <w:sz w:val="18"/>
              </w:rPr>
            </w:pPr>
            <w:r>
              <w:rPr>
                <w:sz w:val="18"/>
              </w:rPr>
              <w:t>0.102</w:t>
            </w:r>
          </w:p>
        </w:tc>
      </w:tr>
    </w:tbl>
    <w:p>
      <w:pPr>
        <w:spacing w:before="8"/>
        <w:ind w:left="1028" w:right="1028" w:firstLine="0"/>
        <w:jc w:val="center"/>
        <w:rPr>
          <w:sz w:val="16"/>
        </w:rPr>
      </w:pPr>
      <w:r>
        <w:rPr>
          <w:sz w:val="16"/>
        </w:rPr>
        <w:t>Fuente: Elaboración propia con base en la información de la PAOT (2011).</w:t>
      </w:r>
    </w:p>
    <w:p>
      <w:pPr>
        <w:pStyle w:val="BodyText"/>
        <w:rPr>
          <w:sz w:val="16"/>
        </w:rPr>
      </w:pPr>
    </w:p>
    <w:p>
      <w:pPr>
        <w:pStyle w:val="BodyText"/>
        <w:rPr>
          <w:sz w:val="16"/>
        </w:rPr>
      </w:pPr>
    </w:p>
    <w:p>
      <w:pPr>
        <w:pStyle w:val="BodyText"/>
        <w:rPr>
          <w:sz w:val="16"/>
        </w:rPr>
      </w:pPr>
    </w:p>
    <w:p>
      <w:pPr>
        <w:pStyle w:val="BodyText"/>
        <w:spacing w:before="8"/>
        <w:rPr>
          <w:sz w:val="13"/>
        </w:rPr>
      </w:pPr>
    </w:p>
    <w:p>
      <w:pPr>
        <w:spacing w:before="1"/>
        <w:ind w:left="1026" w:right="1028" w:firstLine="0"/>
        <w:jc w:val="center"/>
        <w:rPr>
          <w:b/>
          <w:sz w:val="20"/>
        </w:rPr>
      </w:pPr>
      <w:r>
        <w:rPr/>
        <w:pict>
          <v:line style="position:absolute;mso-position-horizontal-relative:page;mso-position-vertical-relative:paragraph;z-index:-245752" from="85.464424pt,47.516582pt" to="85.464424pt,47.516582pt" stroked="true" strokeweight=".526848pt" strokecolor="#d3d3d3">
            <w10:wrap type="none"/>
          </v:line>
        </w:pict>
      </w:r>
      <w:r>
        <w:rPr/>
        <w:pict>
          <v:line style="position:absolute;mso-position-horizontal-relative:page;mso-position-vertical-relative:paragraph;z-index:-245728" from="85.464424pt,61.232182pt" to="85.464424pt,61.232182pt" stroked="true" strokeweight=".526848pt" strokecolor="#d3d3d3">
            <w10:wrap type="none"/>
          </v:line>
        </w:pict>
      </w:r>
      <w:r>
        <w:rPr/>
        <w:pict>
          <v:line style="position:absolute;mso-position-horizontal-relative:page;mso-position-vertical-relative:paragraph;z-index:-245704" from="85.464424pt,74.956558pt" to="85.464424pt,74.956558pt" stroked="true" strokeweight=".526848pt" strokecolor="#d3d3d3">
            <w10:wrap type="none"/>
          </v:line>
        </w:pict>
      </w:r>
      <w:r>
        <w:rPr/>
        <w:pict>
          <v:line style="position:absolute;mso-position-horizontal-relative:page;mso-position-vertical-relative:paragraph;z-index:-245680" from="85.464424pt,88.698502pt" to="85.464424pt,88.698502pt" stroked="true" strokeweight=".526848pt" strokecolor="#d3d3d3">
            <w10:wrap type="none"/>
          </v:line>
        </w:pict>
      </w:r>
      <w:r>
        <w:rPr/>
        <w:pict>
          <v:line style="position:absolute;mso-position-horizontal-relative:page;mso-position-vertical-relative:paragraph;z-index:-245656" from="85.464424pt,102.414101pt" to="85.464424pt,102.414101pt" stroked="true" strokeweight=".526848pt" strokecolor="#d3d3d3">
            <w10:wrap type="none"/>
          </v:line>
        </w:pict>
      </w:r>
      <w:r>
        <w:rPr/>
        <w:pict>
          <v:line style="position:absolute;mso-position-horizontal-relative:page;mso-position-vertical-relative:paragraph;z-index:-245632" from="85.464424pt,116.156036pt" to="85.464424pt,116.156036pt" stroked="true" strokeweight=".526848pt" strokecolor="#d3d3d3">
            <w10:wrap type="none"/>
          </v:line>
        </w:pict>
      </w:r>
      <w:r>
        <w:rPr/>
        <w:pict>
          <v:line style="position:absolute;mso-position-horizontal-relative:page;mso-position-vertical-relative:paragraph;z-index:-245608" from="85.464424pt,129.880417pt" to="85.464424pt,129.880417pt" stroked="true" strokeweight=".526848pt" strokecolor="#d3d3d3">
            <w10:wrap type="none"/>
          </v:line>
        </w:pict>
      </w:r>
      <w:r>
        <w:rPr>
          <w:b/>
          <w:sz w:val="20"/>
        </w:rPr>
        <w:t>Tabla 9. Asentamientos irregulares Delegación Magdalena Contreras</w:t>
      </w:r>
    </w:p>
    <w:p>
      <w:pPr>
        <w:pStyle w:val="BodyText"/>
        <w:spacing w:before="2" w:after="1"/>
        <w:rPr>
          <w:b/>
          <w:sz w:val="15"/>
        </w:rPr>
      </w:pPr>
    </w:p>
    <w:tbl>
      <w:tblPr>
        <w:tblW w:w="0" w:type="auto"/>
        <w:jc w:val="left"/>
        <w:tblInd w:w="124" w:type="dxa"/>
        <w:tblBorders>
          <w:top w:val="double" w:sz="4" w:space="0" w:color="5B9BD4"/>
          <w:left w:val="double" w:sz="4" w:space="0" w:color="5B9BD4"/>
          <w:bottom w:val="double" w:sz="4" w:space="0" w:color="5B9BD4"/>
          <w:right w:val="double" w:sz="4" w:space="0" w:color="5B9BD4"/>
          <w:insideH w:val="double" w:sz="4" w:space="0" w:color="5B9BD4"/>
          <w:insideV w:val="double" w:sz="4" w:space="0" w:color="5B9BD4"/>
        </w:tblBorders>
        <w:tblLayout w:type="fixed"/>
        <w:tblCellMar>
          <w:top w:w="0" w:type="dxa"/>
          <w:left w:w="0" w:type="dxa"/>
          <w:bottom w:w="0" w:type="dxa"/>
          <w:right w:w="0" w:type="dxa"/>
        </w:tblCellMar>
        <w:tblLook w:val="01E0"/>
      </w:tblPr>
      <w:tblGrid>
        <w:gridCol w:w="1249"/>
        <w:gridCol w:w="1101"/>
        <w:gridCol w:w="3029"/>
        <w:gridCol w:w="1948"/>
        <w:gridCol w:w="1493"/>
      </w:tblGrid>
      <w:tr>
        <w:trPr>
          <w:trHeight w:val="264" w:hRule="exact"/>
        </w:trPr>
        <w:tc>
          <w:tcPr>
            <w:tcW w:w="1249" w:type="dxa"/>
            <w:tcBorders>
              <w:top w:val="single" w:sz="4" w:space="0" w:color="5B9BD4"/>
              <w:left w:val="single" w:sz="4" w:space="0" w:color="D3D3D3"/>
              <w:right w:val="single" w:sz="4" w:space="0" w:color="D3D3D3"/>
            </w:tcBorders>
          </w:tcPr>
          <w:p>
            <w:pPr>
              <w:pStyle w:val="TableParagraph"/>
              <w:spacing w:before="22"/>
              <w:ind w:left="158" w:right="168"/>
              <w:rPr>
                <w:b/>
                <w:sz w:val="18"/>
              </w:rPr>
            </w:pPr>
            <w:r>
              <w:rPr>
                <w:b/>
                <w:sz w:val="18"/>
              </w:rPr>
              <w:t>Delegación</w:t>
            </w:r>
          </w:p>
        </w:tc>
        <w:tc>
          <w:tcPr>
            <w:tcW w:w="1101" w:type="dxa"/>
            <w:tcBorders>
              <w:top w:val="single" w:sz="4" w:space="0" w:color="5B9BD4"/>
              <w:left w:val="single" w:sz="4" w:space="0" w:color="D3D3D3"/>
              <w:right w:val="single" w:sz="4" w:space="0" w:color="D3D3D3"/>
            </w:tcBorders>
          </w:tcPr>
          <w:p>
            <w:pPr>
              <w:pStyle w:val="TableParagraph"/>
              <w:spacing w:before="22"/>
              <w:ind w:left="313" w:right="311"/>
              <w:jc w:val="center"/>
              <w:rPr>
                <w:b/>
                <w:sz w:val="18"/>
              </w:rPr>
            </w:pPr>
            <w:r>
              <w:rPr>
                <w:b/>
                <w:sz w:val="18"/>
              </w:rPr>
              <w:t>Num.</w:t>
            </w:r>
          </w:p>
        </w:tc>
        <w:tc>
          <w:tcPr>
            <w:tcW w:w="3029" w:type="dxa"/>
            <w:tcBorders>
              <w:top w:val="single" w:sz="4" w:space="0" w:color="5B9BD4"/>
              <w:left w:val="single" w:sz="4" w:space="0" w:color="D3D3D3"/>
              <w:right w:val="single" w:sz="4" w:space="0" w:color="D3D3D3"/>
            </w:tcBorders>
          </w:tcPr>
          <w:p>
            <w:pPr>
              <w:pStyle w:val="TableParagraph"/>
              <w:spacing w:before="22"/>
              <w:ind w:left="508"/>
              <w:rPr>
                <w:b/>
                <w:sz w:val="18"/>
              </w:rPr>
            </w:pPr>
            <w:r>
              <w:rPr>
                <w:b/>
                <w:sz w:val="18"/>
              </w:rPr>
              <w:t>Nombre del asentamiento</w:t>
            </w:r>
          </w:p>
        </w:tc>
        <w:tc>
          <w:tcPr>
            <w:tcW w:w="1948" w:type="dxa"/>
            <w:tcBorders>
              <w:top w:val="single" w:sz="4" w:space="0" w:color="5B9BD4"/>
              <w:left w:val="single" w:sz="4" w:space="0" w:color="D3D3D3"/>
              <w:right w:val="single" w:sz="4" w:space="0" w:color="D3D3D3"/>
            </w:tcBorders>
          </w:tcPr>
          <w:p>
            <w:pPr>
              <w:pStyle w:val="TableParagraph"/>
              <w:spacing w:before="22"/>
              <w:ind w:left="169"/>
              <w:rPr>
                <w:b/>
                <w:sz w:val="18"/>
              </w:rPr>
            </w:pPr>
            <w:r>
              <w:rPr>
                <w:b/>
                <w:sz w:val="18"/>
              </w:rPr>
              <w:t>Nombre del poblado</w:t>
            </w:r>
          </w:p>
        </w:tc>
        <w:tc>
          <w:tcPr>
            <w:tcW w:w="1493" w:type="dxa"/>
            <w:tcBorders>
              <w:top w:val="single" w:sz="4" w:space="0" w:color="5B9BD4"/>
              <w:left w:val="single" w:sz="4" w:space="0" w:color="D3D3D3"/>
              <w:right w:val="single" w:sz="4" w:space="0" w:color="D3D3D3"/>
            </w:tcBorders>
          </w:tcPr>
          <w:p>
            <w:pPr>
              <w:pStyle w:val="TableParagraph"/>
              <w:spacing w:before="22"/>
              <w:ind w:left="169"/>
              <w:rPr>
                <w:b/>
                <w:sz w:val="18"/>
              </w:rPr>
            </w:pPr>
            <w:r>
              <w:rPr>
                <w:b/>
                <w:sz w:val="18"/>
              </w:rPr>
              <w:t>Superficie (ha)</w:t>
            </w:r>
          </w:p>
        </w:tc>
      </w:tr>
      <w:tr>
        <w:trPr>
          <w:trHeight w:val="275" w:hRule="exact"/>
        </w:trPr>
        <w:tc>
          <w:tcPr>
            <w:tcW w:w="1249" w:type="dxa"/>
            <w:vMerge w:val="restart"/>
            <w:tcBorders>
              <w:left w:val="single" w:sz="4" w:space="0" w:color="D3D3D3"/>
              <w:right w:val="single" w:sz="4" w:space="0" w:color="D3D3D3"/>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1"/>
              <w:rPr>
                <w:b/>
                <w:sz w:val="25"/>
              </w:rPr>
            </w:pPr>
          </w:p>
          <w:p>
            <w:pPr>
              <w:pStyle w:val="TableParagraph"/>
              <w:spacing w:line="268" w:lineRule="auto"/>
              <w:ind w:left="222" w:right="168" w:hanging="32"/>
              <w:rPr>
                <w:b/>
                <w:sz w:val="18"/>
              </w:rPr>
            </w:pPr>
            <w:r>
              <w:rPr>
                <w:b/>
                <w:sz w:val="18"/>
              </w:rPr>
              <w:t>Magdalena Contreras</w:t>
            </w:r>
          </w:p>
        </w:tc>
        <w:tc>
          <w:tcPr>
            <w:tcW w:w="1101" w:type="dxa"/>
            <w:tcBorders>
              <w:left w:val="single" w:sz="4" w:space="0" w:color="D3D3D3"/>
              <w:right w:val="single" w:sz="4" w:space="0" w:color="D3D3D3"/>
            </w:tcBorders>
          </w:tcPr>
          <w:p>
            <w:pPr>
              <w:pStyle w:val="TableParagraph"/>
              <w:spacing w:before="22"/>
              <w:ind w:right="2"/>
              <w:jc w:val="center"/>
              <w:rPr>
                <w:sz w:val="18"/>
              </w:rPr>
            </w:pPr>
            <w:r>
              <w:rPr>
                <w:w w:val="100"/>
                <w:sz w:val="18"/>
              </w:rPr>
              <w:t>1</w:t>
            </w:r>
          </w:p>
        </w:tc>
        <w:tc>
          <w:tcPr>
            <w:tcW w:w="3029" w:type="dxa"/>
            <w:tcBorders>
              <w:left w:val="single" w:sz="4" w:space="0" w:color="D3D3D3"/>
              <w:right w:val="single" w:sz="4" w:space="0" w:color="D3D3D3"/>
            </w:tcBorders>
          </w:tcPr>
          <w:p>
            <w:pPr>
              <w:pStyle w:val="TableParagraph"/>
              <w:spacing w:before="22"/>
              <w:ind w:left="31"/>
              <w:rPr>
                <w:sz w:val="18"/>
              </w:rPr>
            </w:pPr>
            <w:r>
              <w:rPr>
                <w:sz w:val="18"/>
              </w:rPr>
              <w:t>Los Dinamos</w:t>
            </w:r>
          </w:p>
        </w:tc>
        <w:tc>
          <w:tcPr>
            <w:tcW w:w="1948" w:type="dxa"/>
            <w:tcBorders>
              <w:left w:val="single" w:sz="4" w:space="0" w:color="D3D3D3"/>
              <w:right w:val="single" w:sz="4" w:space="0" w:color="D3D3D3"/>
            </w:tcBorders>
          </w:tcPr>
          <w:p>
            <w:pPr>
              <w:pStyle w:val="TableParagraph"/>
              <w:spacing w:before="22"/>
              <w:ind w:left="31"/>
              <w:rPr>
                <w:sz w:val="18"/>
              </w:rPr>
            </w:pPr>
            <w:r>
              <w:rPr>
                <w:sz w:val="18"/>
              </w:rPr>
              <w:t>Magdalena Atlitic</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0.577</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right="2"/>
              <w:jc w:val="center"/>
              <w:rPr>
                <w:sz w:val="18"/>
              </w:rPr>
            </w:pPr>
            <w:r>
              <w:rPr>
                <w:w w:val="100"/>
                <w:sz w:val="18"/>
              </w:rPr>
              <w:t>2</w:t>
            </w:r>
          </w:p>
        </w:tc>
        <w:tc>
          <w:tcPr>
            <w:tcW w:w="3029" w:type="dxa"/>
            <w:tcBorders>
              <w:left w:val="single" w:sz="4" w:space="0" w:color="D3D3D3"/>
              <w:right w:val="single" w:sz="4" w:space="0" w:color="D3D3D3"/>
            </w:tcBorders>
          </w:tcPr>
          <w:p>
            <w:pPr>
              <w:pStyle w:val="TableParagraph"/>
              <w:spacing w:before="22"/>
              <w:ind w:left="31"/>
              <w:rPr>
                <w:sz w:val="18"/>
              </w:rPr>
            </w:pPr>
            <w:r>
              <w:rPr>
                <w:sz w:val="18"/>
              </w:rPr>
              <w:t>Sayula</w:t>
            </w:r>
          </w:p>
        </w:tc>
        <w:tc>
          <w:tcPr>
            <w:tcW w:w="1948" w:type="dxa"/>
            <w:tcBorders>
              <w:left w:val="single" w:sz="4" w:space="0" w:color="D3D3D3"/>
              <w:right w:val="single" w:sz="4" w:space="0" w:color="D3D3D3"/>
            </w:tcBorders>
          </w:tcPr>
          <w:p>
            <w:pPr>
              <w:pStyle w:val="TableParagraph"/>
              <w:spacing w:before="22"/>
              <w:ind w:left="31"/>
              <w:rPr>
                <w:sz w:val="18"/>
              </w:rPr>
            </w:pPr>
            <w:r>
              <w:rPr>
                <w:sz w:val="18"/>
              </w:rPr>
              <w:t>Magdalena Atlitic</w:t>
            </w:r>
          </w:p>
        </w:tc>
        <w:tc>
          <w:tcPr>
            <w:tcW w:w="1493" w:type="dxa"/>
            <w:tcBorders>
              <w:left w:val="single" w:sz="4" w:space="0" w:color="D3D3D3"/>
              <w:right w:val="single" w:sz="4" w:space="0" w:color="D3D3D3"/>
            </w:tcBorders>
          </w:tcPr>
          <w:p>
            <w:pPr>
              <w:pStyle w:val="TableParagraph"/>
              <w:spacing w:before="22"/>
              <w:ind w:right="36"/>
              <w:jc w:val="right"/>
              <w:rPr>
                <w:sz w:val="18"/>
              </w:rPr>
            </w:pPr>
            <w:r>
              <w:rPr>
                <w:sz w:val="18"/>
              </w:rPr>
              <w:t>11.974</w:t>
            </w:r>
          </w:p>
        </w:tc>
      </w:tr>
      <w:tr>
        <w:trPr>
          <w:trHeight w:val="275" w:hRule="exact"/>
        </w:trPr>
        <w:tc>
          <w:tcPr>
            <w:tcW w:w="1249" w:type="dxa"/>
            <w:vMerge/>
            <w:tcBorders>
              <w:left w:val="single" w:sz="4" w:space="0" w:color="D3D3D3"/>
              <w:right w:val="single" w:sz="4" w:space="0" w:color="D3D3D3"/>
            </w:tcBorders>
          </w:tcPr>
          <w:p>
            <w:pPr/>
          </w:p>
        </w:tc>
        <w:tc>
          <w:tcPr>
            <w:tcW w:w="1101" w:type="dxa"/>
            <w:tcBorders>
              <w:left w:val="single" w:sz="4" w:space="0" w:color="D3D3D3"/>
              <w:bottom w:val="double" w:sz="4" w:space="0" w:color="5B9BD4"/>
              <w:right w:val="single" w:sz="4" w:space="0" w:color="D3D3D3"/>
            </w:tcBorders>
          </w:tcPr>
          <w:p>
            <w:pPr>
              <w:pStyle w:val="TableParagraph"/>
              <w:spacing w:before="22"/>
              <w:ind w:right="2"/>
              <w:jc w:val="center"/>
              <w:rPr>
                <w:sz w:val="18"/>
              </w:rPr>
            </w:pPr>
            <w:r>
              <w:rPr>
                <w:w w:val="100"/>
                <w:sz w:val="18"/>
              </w:rPr>
              <w:t>3</w:t>
            </w:r>
          </w:p>
        </w:tc>
        <w:tc>
          <w:tcPr>
            <w:tcW w:w="3029" w:type="dxa"/>
            <w:tcBorders>
              <w:left w:val="single" w:sz="4" w:space="0" w:color="D3D3D3"/>
              <w:bottom w:val="double" w:sz="4" w:space="0" w:color="5B9BD4"/>
              <w:right w:val="single" w:sz="4" w:space="0" w:color="D3D3D3"/>
            </w:tcBorders>
          </w:tcPr>
          <w:p>
            <w:pPr>
              <w:pStyle w:val="TableParagraph"/>
              <w:spacing w:before="22"/>
              <w:ind w:left="31"/>
              <w:rPr>
                <w:sz w:val="18"/>
              </w:rPr>
            </w:pPr>
            <w:r>
              <w:rPr>
                <w:sz w:val="18"/>
              </w:rPr>
              <w:t>Paraje El Caballito</w:t>
            </w:r>
          </w:p>
        </w:tc>
        <w:tc>
          <w:tcPr>
            <w:tcW w:w="1948" w:type="dxa"/>
            <w:tcBorders>
              <w:left w:val="single" w:sz="4" w:space="0" w:color="D3D3D3"/>
              <w:bottom w:val="double" w:sz="4" w:space="0" w:color="5B9BD4"/>
              <w:right w:val="single" w:sz="4" w:space="0" w:color="D3D3D3"/>
            </w:tcBorders>
          </w:tcPr>
          <w:p>
            <w:pPr>
              <w:pStyle w:val="TableParagraph"/>
              <w:spacing w:before="22"/>
              <w:ind w:left="31"/>
              <w:rPr>
                <w:sz w:val="18"/>
              </w:rPr>
            </w:pPr>
            <w:r>
              <w:rPr>
                <w:sz w:val="18"/>
              </w:rPr>
              <w:t>San Barnabe Ocotepec</w:t>
            </w:r>
          </w:p>
        </w:tc>
        <w:tc>
          <w:tcPr>
            <w:tcW w:w="1493" w:type="dxa"/>
            <w:tcBorders>
              <w:left w:val="single" w:sz="4" w:space="0" w:color="D3D3D3"/>
              <w:bottom w:val="double" w:sz="4" w:space="0" w:color="5B9BD4"/>
              <w:right w:val="single" w:sz="4" w:space="0" w:color="D3D3D3"/>
            </w:tcBorders>
          </w:tcPr>
          <w:p>
            <w:pPr>
              <w:pStyle w:val="TableParagraph"/>
              <w:spacing w:before="22"/>
              <w:ind w:right="35"/>
              <w:jc w:val="right"/>
              <w:rPr>
                <w:sz w:val="18"/>
              </w:rPr>
            </w:pPr>
            <w:r>
              <w:rPr>
                <w:sz w:val="18"/>
              </w:rPr>
              <w:t>0.764</w:t>
            </w:r>
          </w:p>
        </w:tc>
      </w:tr>
      <w:tr>
        <w:trPr>
          <w:trHeight w:val="275" w:hRule="exact"/>
        </w:trPr>
        <w:tc>
          <w:tcPr>
            <w:tcW w:w="1249" w:type="dxa"/>
            <w:vMerge/>
            <w:tcBorders>
              <w:left w:val="single" w:sz="4" w:space="0" w:color="D3D3D3"/>
              <w:right w:val="single" w:sz="4" w:space="0" w:color="D3D3D3"/>
            </w:tcBorders>
          </w:tcPr>
          <w:p>
            <w:pPr/>
          </w:p>
        </w:tc>
        <w:tc>
          <w:tcPr>
            <w:tcW w:w="1101" w:type="dxa"/>
            <w:tcBorders>
              <w:top w:val="double" w:sz="4" w:space="0" w:color="5B9BD4"/>
              <w:left w:val="single" w:sz="4" w:space="0" w:color="D3D3D3"/>
              <w:right w:val="single" w:sz="4" w:space="0" w:color="D3D3D3"/>
            </w:tcBorders>
          </w:tcPr>
          <w:p>
            <w:pPr>
              <w:pStyle w:val="TableParagraph"/>
              <w:spacing w:before="22"/>
              <w:ind w:right="2"/>
              <w:jc w:val="center"/>
              <w:rPr>
                <w:sz w:val="18"/>
              </w:rPr>
            </w:pPr>
            <w:r>
              <w:rPr>
                <w:w w:val="100"/>
                <w:sz w:val="18"/>
              </w:rPr>
              <w:t>4</w:t>
            </w:r>
          </w:p>
        </w:tc>
        <w:tc>
          <w:tcPr>
            <w:tcW w:w="3029" w:type="dxa"/>
            <w:tcBorders>
              <w:top w:val="double" w:sz="4" w:space="0" w:color="5B9BD4"/>
              <w:left w:val="single" w:sz="4" w:space="0" w:color="D3D3D3"/>
              <w:right w:val="single" w:sz="4" w:space="0" w:color="D3D3D3"/>
            </w:tcBorders>
          </w:tcPr>
          <w:p>
            <w:pPr>
              <w:pStyle w:val="TableParagraph"/>
              <w:spacing w:before="22"/>
              <w:ind w:left="31"/>
              <w:rPr>
                <w:sz w:val="18"/>
              </w:rPr>
            </w:pPr>
            <w:r>
              <w:rPr>
                <w:sz w:val="18"/>
              </w:rPr>
              <w:t>Tenango</w:t>
            </w:r>
          </w:p>
        </w:tc>
        <w:tc>
          <w:tcPr>
            <w:tcW w:w="1948" w:type="dxa"/>
            <w:tcBorders>
              <w:top w:val="double" w:sz="4" w:space="0" w:color="5B9BD4"/>
              <w:left w:val="single" w:sz="4" w:space="0" w:color="D3D3D3"/>
              <w:right w:val="single" w:sz="4" w:space="0" w:color="D3D3D3"/>
            </w:tcBorders>
          </w:tcPr>
          <w:p>
            <w:pPr>
              <w:pStyle w:val="TableParagraph"/>
              <w:spacing w:before="22"/>
              <w:ind w:left="31"/>
              <w:rPr>
                <w:sz w:val="18"/>
              </w:rPr>
            </w:pPr>
            <w:r>
              <w:rPr>
                <w:sz w:val="18"/>
              </w:rPr>
              <w:t>San Barnabe Ocotepec</w:t>
            </w:r>
          </w:p>
        </w:tc>
        <w:tc>
          <w:tcPr>
            <w:tcW w:w="1493" w:type="dxa"/>
            <w:tcBorders>
              <w:top w:val="double" w:sz="4" w:space="0" w:color="5B9BD4"/>
              <w:left w:val="single" w:sz="4" w:space="0" w:color="D3D3D3"/>
              <w:right w:val="single" w:sz="4" w:space="0" w:color="D3D3D3"/>
            </w:tcBorders>
          </w:tcPr>
          <w:p>
            <w:pPr>
              <w:pStyle w:val="TableParagraph"/>
              <w:spacing w:before="22"/>
              <w:ind w:right="35"/>
              <w:jc w:val="right"/>
              <w:rPr>
                <w:sz w:val="18"/>
              </w:rPr>
            </w:pPr>
            <w:r>
              <w:rPr>
                <w:sz w:val="18"/>
              </w:rPr>
              <w:t>0.108</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right="2"/>
              <w:jc w:val="center"/>
              <w:rPr>
                <w:sz w:val="18"/>
              </w:rPr>
            </w:pPr>
            <w:r>
              <w:rPr>
                <w:w w:val="100"/>
                <w:sz w:val="18"/>
              </w:rPr>
              <w:t>5</w:t>
            </w:r>
          </w:p>
        </w:tc>
        <w:tc>
          <w:tcPr>
            <w:tcW w:w="3029" w:type="dxa"/>
            <w:tcBorders>
              <w:left w:val="single" w:sz="4" w:space="0" w:color="D3D3D3"/>
              <w:right w:val="single" w:sz="4" w:space="0" w:color="D3D3D3"/>
            </w:tcBorders>
          </w:tcPr>
          <w:p>
            <w:pPr>
              <w:pStyle w:val="TableParagraph"/>
              <w:spacing w:before="22"/>
              <w:ind w:left="31"/>
              <w:rPr>
                <w:sz w:val="18"/>
              </w:rPr>
            </w:pPr>
            <w:r>
              <w:rPr>
                <w:sz w:val="18"/>
              </w:rPr>
              <w:t>Cazulco-Ocotenco</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0.914</w:t>
            </w:r>
          </w:p>
        </w:tc>
      </w:tr>
      <w:tr>
        <w:trPr>
          <w:trHeight w:val="275"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right="2"/>
              <w:jc w:val="center"/>
              <w:rPr>
                <w:sz w:val="18"/>
              </w:rPr>
            </w:pPr>
            <w:r>
              <w:rPr>
                <w:w w:val="100"/>
                <w:sz w:val="18"/>
              </w:rPr>
              <w:t>6</w:t>
            </w:r>
          </w:p>
        </w:tc>
        <w:tc>
          <w:tcPr>
            <w:tcW w:w="3029" w:type="dxa"/>
            <w:tcBorders>
              <w:left w:val="single" w:sz="4" w:space="0" w:color="D3D3D3"/>
              <w:right w:val="single" w:sz="4" w:space="0" w:color="D3D3D3"/>
            </w:tcBorders>
          </w:tcPr>
          <w:p>
            <w:pPr>
              <w:pStyle w:val="TableParagraph"/>
              <w:spacing w:before="22"/>
              <w:ind w:left="31"/>
              <w:rPr>
                <w:sz w:val="18"/>
              </w:rPr>
            </w:pPr>
            <w:r>
              <w:rPr>
                <w:sz w:val="18"/>
              </w:rPr>
              <w:t>Ladera de Chisto</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0.042</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right="2"/>
              <w:jc w:val="center"/>
              <w:rPr>
                <w:sz w:val="18"/>
              </w:rPr>
            </w:pPr>
            <w:r>
              <w:rPr>
                <w:w w:val="100"/>
                <w:sz w:val="18"/>
              </w:rPr>
              <w:t>7</w:t>
            </w:r>
          </w:p>
        </w:tc>
        <w:tc>
          <w:tcPr>
            <w:tcW w:w="3029" w:type="dxa"/>
            <w:tcBorders>
              <w:left w:val="single" w:sz="4" w:space="0" w:color="D3D3D3"/>
              <w:right w:val="single" w:sz="4" w:space="0" w:color="D3D3D3"/>
            </w:tcBorders>
          </w:tcPr>
          <w:p>
            <w:pPr>
              <w:pStyle w:val="TableParagraph"/>
              <w:spacing w:before="22"/>
              <w:ind w:left="31"/>
              <w:rPr>
                <w:sz w:val="18"/>
              </w:rPr>
            </w:pPr>
            <w:r>
              <w:rPr>
                <w:sz w:val="18"/>
              </w:rPr>
              <w:t>El Rincon</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1.332</w:t>
            </w:r>
          </w:p>
        </w:tc>
      </w:tr>
      <w:tr>
        <w:trPr>
          <w:trHeight w:val="275" w:hRule="exact"/>
        </w:trPr>
        <w:tc>
          <w:tcPr>
            <w:tcW w:w="1249" w:type="dxa"/>
            <w:vMerge/>
            <w:tcBorders>
              <w:left w:val="single" w:sz="4" w:space="0" w:color="D3D3D3"/>
              <w:right w:val="single" w:sz="4" w:space="0" w:color="D3D3D3"/>
            </w:tcBorders>
          </w:tcPr>
          <w:p>
            <w:pPr/>
          </w:p>
        </w:tc>
        <w:tc>
          <w:tcPr>
            <w:tcW w:w="1101" w:type="dxa"/>
            <w:tcBorders>
              <w:left w:val="single" w:sz="4" w:space="0" w:color="D3D3D3"/>
              <w:bottom w:val="double" w:sz="4" w:space="0" w:color="5B9BD4"/>
              <w:right w:val="single" w:sz="4" w:space="0" w:color="D3D3D3"/>
            </w:tcBorders>
          </w:tcPr>
          <w:p>
            <w:pPr>
              <w:pStyle w:val="TableParagraph"/>
              <w:spacing w:before="22"/>
              <w:ind w:right="2"/>
              <w:jc w:val="center"/>
              <w:rPr>
                <w:sz w:val="18"/>
              </w:rPr>
            </w:pPr>
            <w:r>
              <w:rPr>
                <w:w w:val="100"/>
                <w:sz w:val="18"/>
              </w:rPr>
              <w:t>8</w:t>
            </w:r>
          </w:p>
        </w:tc>
        <w:tc>
          <w:tcPr>
            <w:tcW w:w="3029" w:type="dxa"/>
            <w:tcBorders>
              <w:left w:val="single" w:sz="4" w:space="0" w:color="D3D3D3"/>
              <w:bottom w:val="double" w:sz="4" w:space="0" w:color="5B9BD4"/>
              <w:right w:val="single" w:sz="4" w:space="0" w:color="D3D3D3"/>
            </w:tcBorders>
          </w:tcPr>
          <w:p>
            <w:pPr>
              <w:pStyle w:val="TableParagraph"/>
              <w:spacing w:before="22"/>
              <w:ind w:left="31"/>
              <w:rPr>
                <w:sz w:val="18"/>
              </w:rPr>
            </w:pPr>
            <w:r>
              <w:rPr>
                <w:sz w:val="18"/>
              </w:rPr>
              <w:t>Surco de Encinos</w:t>
            </w:r>
          </w:p>
        </w:tc>
        <w:tc>
          <w:tcPr>
            <w:tcW w:w="1948" w:type="dxa"/>
            <w:tcBorders>
              <w:left w:val="single" w:sz="4" w:space="0" w:color="D3D3D3"/>
              <w:bottom w:val="double" w:sz="4" w:space="0" w:color="5B9BD4"/>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bottom w:val="double" w:sz="4" w:space="0" w:color="5B9BD4"/>
              <w:right w:val="single" w:sz="4" w:space="0" w:color="D3D3D3"/>
            </w:tcBorders>
          </w:tcPr>
          <w:p>
            <w:pPr>
              <w:pStyle w:val="TableParagraph"/>
              <w:spacing w:before="22"/>
              <w:ind w:right="35"/>
              <w:jc w:val="right"/>
              <w:rPr>
                <w:sz w:val="18"/>
              </w:rPr>
            </w:pPr>
            <w:r>
              <w:rPr>
                <w:sz w:val="18"/>
              </w:rPr>
              <w:t>2.137</w:t>
            </w:r>
          </w:p>
        </w:tc>
      </w:tr>
      <w:tr>
        <w:trPr>
          <w:trHeight w:val="275" w:hRule="exact"/>
        </w:trPr>
        <w:tc>
          <w:tcPr>
            <w:tcW w:w="1249" w:type="dxa"/>
            <w:vMerge/>
            <w:tcBorders>
              <w:left w:val="single" w:sz="4" w:space="0" w:color="D3D3D3"/>
              <w:right w:val="single" w:sz="4" w:space="0" w:color="D3D3D3"/>
            </w:tcBorders>
          </w:tcPr>
          <w:p>
            <w:pPr/>
          </w:p>
        </w:tc>
        <w:tc>
          <w:tcPr>
            <w:tcW w:w="1101" w:type="dxa"/>
            <w:tcBorders>
              <w:top w:val="double" w:sz="4" w:space="0" w:color="5B9BD4"/>
              <w:left w:val="single" w:sz="4" w:space="0" w:color="D3D3D3"/>
              <w:right w:val="single" w:sz="4" w:space="0" w:color="D3D3D3"/>
            </w:tcBorders>
          </w:tcPr>
          <w:p>
            <w:pPr>
              <w:pStyle w:val="TableParagraph"/>
              <w:spacing w:before="22"/>
              <w:ind w:right="2"/>
              <w:jc w:val="center"/>
              <w:rPr>
                <w:sz w:val="18"/>
              </w:rPr>
            </w:pPr>
            <w:r>
              <w:rPr>
                <w:w w:val="100"/>
                <w:sz w:val="18"/>
              </w:rPr>
              <w:t>9</w:t>
            </w:r>
          </w:p>
        </w:tc>
        <w:tc>
          <w:tcPr>
            <w:tcW w:w="3029" w:type="dxa"/>
            <w:tcBorders>
              <w:top w:val="double" w:sz="4" w:space="0" w:color="5B9BD4"/>
              <w:left w:val="single" w:sz="4" w:space="0" w:color="D3D3D3"/>
              <w:right w:val="single" w:sz="4" w:space="0" w:color="D3D3D3"/>
            </w:tcBorders>
          </w:tcPr>
          <w:p>
            <w:pPr>
              <w:pStyle w:val="TableParagraph"/>
              <w:spacing w:before="22"/>
              <w:ind w:left="31"/>
              <w:rPr>
                <w:sz w:val="18"/>
              </w:rPr>
            </w:pPr>
            <w:r>
              <w:rPr>
                <w:sz w:val="18"/>
              </w:rPr>
              <w:t>Tecutlalpan</w:t>
            </w:r>
          </w:p>
        </w:tc>
        <w:tc>
          <w:tcPr>
            <w:tcW w:w="1948" w:type="dxa"/>
            <w:tcBorders>
              <w:top w:val="double" w:sz="4" w:space="0" w:color="5B9BD4"/>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top w:val="double" w:sz="4" w:space="0" w:color="5B9BD4"/>
              <w:left w:val="single" w:sz="4" w:space="0" w:color="D3D3D3"/>
              <w:right w:val="single" w:sz="4" w:space="0" w:color="D3D3D3"/>
            </w:tcBorders>
          </w:tcPr>
          <w:p>
            <w:pPr>
              <w:pStyle w:val="TableParagraph"/>
              <w:spacing w:before="22"/>
              <w:ind w:right="35"/>
              <w:jc w:val="right"/>
              <w:rPr>
                <w:sz w:val="18"/>
              </w:rPr>
            </w:pPr>
            <w:r>
              <w:rPr>
                <w:sz w:val="18"/>
              </w:rPr>
              <w:t>0.785</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10</w:t>
            </w:r>
          </w:p>
        </w:tc>
        <w:tc>
          <w:tcPr>
            <w:tcW w:w="3029" w:type="dxa"/>
            <w:tcBorders>
              <w:left w:val="single" w:sz="4" w:space="0" w:color="D3D3D3"/>
              <w:right w:val="single" w:sz="4" w:space="0" w:color="D3D3D3"/>
            </w:tcBorders>
          </w:tcPr>
          <w:p>
            <w:pPr>
              <w:pStyle w:val="TableParagraph"/>
              <w:spacing w:before="22"/>
              <w:ind w:left="31"/>
              <w:rPr>
                <w:sz w:val="18"/>
              </w:rPr>
            </w:pPr>
            <w:r>
              <w:rPr>
                <w:sz w:val="18"/>
              </w:rPr>
              <w:t>Ixtlahualtongo</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1.748</w:t>
            </w:r>
          </w:p>
        </w:tc>
      </w:tr>
      <w:tr>
        <w:trPr>
          <w:trHeight w:val="275"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11</w:t>
            </w:r>
          </w:p>
        </w:tc>
        <w:tc>
          <w:tcPr>
            <w:tcW w:w="3029" w:type="dxa"/>
            <w:tcBorders>
              <w:left w:val="single" w:sz="4" w:space="0" w:color="D3D3D3"/>
              <w:right w:val="single" w:sz="4" w:space="0" w:color="D3D3D3"/>
            </w:tcBorders>
          </w:tcPr>
          <w:p>
            <w:pPr>
              <w:pStyle w:val="TableParagraph"/>
              <w:spacing w:before="22"/>
              <w:ind w:left="31"/>
              <w:rPr>
                <w:sz w:val="18"/>
              </w:rPr>
            </w:pPr>
            <w:r>
              <w:rPr>
                <w:sz w:val="18"/>
              </w:rPr>
              <w:t>Totolapan</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0.501</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12</w:t>
            </w:r>
          </w:p>
        </w:tc>
        <w:tc>
          <w:tcPr>
            <w:tcW w:w="3029" w:type="dxa"/>
            <w:tcBorders>
              <w:left w:val="single" w:sz="4" w:space="0" w:color="D3D3D3"/>
              <w:right w:val="single" w:sz="4" w:space="0" w:color="D3D3D3"/>
            </w:tcBorders>
          </w:tcPr>
          <w:p>
            <w:pPr>
              <w:pStyle w:val="TableParagraph"/>
              <w:spacing w:before="22"/>
              <w:ind w:left="31"/>
              <w:rPr>
                <w:sz w:val="18"/>
              </w:rPr>
            </w:pPr>
            <w:r>
              <w:rPr>
                <w:sz w:val="18"/>
              </w:rPr>
              <w:t>Chichicaspa</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1.137</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13</w:t>
            </w:r>
          </w:p>
        </w:tc>
        <w:tc>
          <w:tcPr>
            <w:tcW w:w="3029" w:type="dxa"/>
            <w:tcBorders>
              <w:left w:val="single" w:sz="4" w:space="0" w:color="D3D3D3"/>
              <w:right w:val="single" w:sz="4" w:space="0" w:color="D3D3D3"/>
            </w:tcBorders>
          </w:tcPr>
          <w:p>
            <w:pPr>
              <w:pStyle w:val="TableParagraph"/>
              <w:spacing w:before="22"/>
              <w:ind w:left="31"/>
              <w:rPr>
                <w:sz w:val="18"/>
              </w:rPr>
            </w:pPr>
            <w:r>
              <w:rPr>
                <w:sz w:val="18"/>
              </w:rPr>
              <w:t>Tierra Colorada</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0.462</w:t>
            </w:r>
          </w:p>
        </w:tc>
      </w:tr>
      <w:tr>
        <w:trPr>
          <w:trHeight w:val="275"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14</w:t>
            </w:r>
          </w:p>
        </w:tc>
        <w:tc>
          <w:tcPr>
            <w:tcW w:w="3029" w:type="dxa"/>
            <w:tcBorders>
              <w:left w:val="single" w:sz="4" w:space="0" w:color="D3D3D3"/>
              <w:right w:val="single" w:sz="4" w:space="0" w:color="D3D3D3"/>
            </w:tcBorders>
          </w:tcPr>
          <w:p>
            <w:pPr>
              <w:pStyle w:val="TableParagraph"/>
              <w:spacing w:before="22"/>
              <w:ind w:left="31"/>
              <w:rPr>
                <w:sz w:val="18"/>
              </w:rPr>
            </w:pPr>
            <w:r>
              <w:rPr>
                <w:sz w:val="18"/>
              </w:rPr>
              <w:t>El Mirador</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1.632</w:t>
            </w:r>
          </w:p>
        </w:tc>
      </w:tr>
      <w:tr>
        <w:trPr>
          <w:trHeight w:val="274" w:hRule="exact"/>
        </w:trPr>
        <w:tc>
          <w:tcPr>
            <w:tcW w:w="1249" w:type="dxa"/>
            <w:vMerge/>
            <w:tcBorders>
              <w:left w:val="single" w:sz="4" w:space="0" w:color="D3D3D3"/>
              <w:right w:val="single" w:sz="4" w:space="0" w:color="D3D3D3"/>
            </w:tcBorders>
          </w:tcPr>
          <w:p>
            <w:pPr/>
          </w:p>
        </w:tc>
        <w:tc>
          <w:tcPr>
            <w:tcW w:w="1101" w:type="dxa"/>
            <w:tcBorders>
              <w:left w:val="single" w:sz="4" w:space="0" w:color="D3D3D3"/>
              <w:right w:val="single" w:sz="4" w:space="0" w:color="D3D3D3"/>
            </w:tcBorders>
          </w:tcPr>
          <w:p>
            <w:pPr>
              <w:pStyle w:val="TableParagraph"/>
              <w:spacing w:before="22"/>
              <w:ind w:left="313" w:right="303"/>
              <w:jc w:val="center"/>
              <w:rPr>
                <w:sz w:val="18"/>
              </w:rPr>
            </w:pPr>
            <w:r>
              <w:rPr>
                <w:sz w:val="18"/>
              </w:rPr>
              <w:t>15</w:t>
            </w:r>
          </w:p>
        </w:tc>
        <w:tc>
          <w:tcPr>
            <w:tcW w:w="3029" w:type="dxa"/>
            <w:tcBorders>
              <w:left w:val="single" w:sz="4" w:space="0" w:color="D3D3D3"/>
              <w:right w:val="single" w:sz="4" w:space="0" w:color="D3D3D3"/>
            </w:tcBorders>
          </w:tcPr>
          <w:p>
            <w:pPr>
              <w:pStyle w:val="TableParagraph"/>
              <w:spacing w:before="22"/>
              <w:ind w:left="31"/>
              <w:rPr>
                <w:sz w:val="18"/>
              </w:rPr>
            </w:pPr>
            <w:r>
              <w:rPr>
                <w:sz w:val="18"/>
              </w:rPr>
              <w:t>El Negro</w:t>
            </w:r>
          </w:p>
        </w:tc>
        <w:tc>
          <w:tcPr>
            <w:tcW w:w="1948" w:type="dxa"/>
            <w:tcBorders>
              <w:left w:val="single" w:sz="4" w:space="0" w:color="D3D3D3"/>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right w:val="single" w:sz="4" w:space="0" w:color="D3D3D3"/>
            </w:tcBorders>
          </w:tcPr>
          <w:p>
            <w:pPr>
              <w:pStyle w:val="TableParagraph"/>
              <w:spacing w:before="22"/>
              <w:ind w:right="35"/>
              <w:jc w:val="right"/>
              <w:rPr>
                <w:sz w:val="18"/>
              </w:rPr>
            </w:pPr>
            <w:r>
              <w:rPr>
                <w:sz w:val="18"/>
              </w:rPr>
              <w:t>0.118</w:t>
            </w:r>
          </w:p>
        </w:tc>
      </w:tr>
      <w:tr>
        <w:trPr>
          <w:trHeight w:val="264" w:hRule="exact"/>
        </w:trPr>
        <w:tc>
          <w:tcPr>
            <w:tcW w:w="1249" w:type="dxa"/>
            <w:vMerge/>
            <w:tcBorders>
              <w:left w:val="single" w:sz="4" w:space="0" w:color="D3D3D3"/>
              <w:bottom w:val="single" w:sz="4" w:space="0" w:color="5B9BD4"/>
              <w:right w:val="single" w:sz="4" w:space="0" w:color="D3D3D3"/>
            </w:tcBorders>
          </w:tcPr>
          <w:p>
            <w:pPr/>
          </w:p>
        </w:tc>
        <w:tc>
          <w:tcPr>
            <w:tcW w:w="1101" w:type="dxa"/>
            <w:tcBorders>
              <w:left w:val="single" w:sz="4" w:space="0" w:color="D3D3D3"/>
              <w:bottom w:val="single" w:sz="4" w:space="0" w:color="5B9BD4"/>
              <w:right w:val="single" w:sz="4" w:space="0" w:color="D3D3D3"/>
            </w:tcBorders>
          </w:tcPr>
          <w:p>
            <w:pPr>
              <w:pStyle w:val="TableParagraph"/>
              <w:spacing w:before="22"/>
              <w:ind w:left="313" w:right="303"/>
              <w:jc w:val="center"/>
              <w:rPr>
                <w:sz w:val="18"/>
              </w:rPr>
            </w:pPr>
            <w:r>
              <w:rPr>
                <w:sz w:val="18"/>
              </w:rPr>
              <w:t>16</w:t>
            </w:r>
          </w:p>
        </w:tc>
        <w:tc>
          <w:tcPr>
            <w:tcW w:w="3029" w:type="dxa"/>
            <w:tcBorders>
              <w:left w:val="single" w:sz="4" w:space="0" w:color="D3D3D3"/>
              <w:bottom w:val="single" w:sz="4" w:space="0" w:color="5B9BD4"/>
              <w:right w:val="single" w:sz="4" w:space="0" w:color="D3D3D3"/>
            </w:tcBorders>
          </w:tcPr>
          <w:p>
            <w:pPr>
              <w:pStyle w:val="TableParagraph"/>
              <w:spacing w:before="22"/>
              <w:ind w:left="31"/>
              <w:rPr>
                <w:sz w:val="18"/>
              </w:rPr>
            </w:pPr>
            <w:r>
              <w:rPr>
                <w:sz w:val="18"/>
              </w:rPr>
              <w:t>El Tejocote</w:t>
            </w:r>
          </w:p>
        </w:tc>
        <w:tc>
          <w:tcPr>
            <w:tcW w:w="1948" w:type="dxa"/>
            <w:tcBorders>
              <w:left w:val="single" w:sz="4" w:space="0" w:color="D3D3D3"/>
              <w:bottom w:val="single" w:sz="4" w:space="0" w:color="5B9BD4"/>
              <w:right w:val="single" w:sz="4" w:space="0" w:color="D3D3D3"/>
            </w:tcBorders>
          </w:tcPr>
          <w:p>
            <w:pPr>
              <w:pStyle w:val="TableParagraph"/>
              <w:spacing w:before="22"/>
              <w:ind w:left="31"/>
              <w:rPr>
                <w:sz w:val="18"/>
              </w:rPr>
            </w:pPr>
            <w:r>
              <w:rPr>
                <w:sz w:val="18"/>
              </w:rPr>
              <w:t>San Nicolás Totolapan</w:t>
            </w:r>
          </w:p>
        </w:tc>
        <w:tc>
          <w:tcPr>
            <w:tcW w:w="1493" w:type="dxa"/>
            <w:tcBorders>
              <w:left w:val="single" w:sz="4" w:space="0" w:color="D3D3D3"/>
              <w:bottom w:val="single" w:sz="4" w:space="0" w:color="5B9BD4"/>
              <w:right w:val="single" w:sz="4" w:space="0" w:color="D3D3D3"/>
            </w:tcBorders>
          </w:tcPr>
          <w:p>
            <w:pPr>
              <w:pStyle w:val="TableParagraph"/>
              <w:spacing w:before="22"/>
              <w:ind w:right="35"/>
              <w:jc w:val="right"/>
              <w:rPr>
                <w:sz w:val="18"/>
              </w:rPr>
            </w:pPr>
            <w:r>
              <w:rPr>
                <w:sz w:val="18"/>
              </w:rPr>
              <w:t>0.026</w:t>
            </w:r>
          </w:p>
        </w:tc>
      </w:tr>
    </w:tbl>
    <w:p>
      <w:pPr>
        <w:spacing w:before="21"/>
        <w:ind w:left="1025" w:right="1028" w:firstLine="0"/>
        <w:jc w:val="center"/>
        <w:rPr>
          <w:sz w:val="16"/>
        </w:rPr>
      </w:pPr>
      <w:r>
        <w:rPr/>
        <w:pict>
          <v:line style="position:absolute;mso-position-horizontal-relative:page;mso-position-vertical-relative:paragraph;z-index:-245584" from="85.464424pt,-109.591179pt" to="85.464424pt,-109.591179pt" stroked="true" strokeweight=".526848pt" strokecolor="#d3d3d3">
            <w10:wrap type="none"/>
          </v:line>
        </w:pict>
      </w:r>
      <w:r>
        <w:rPr/>
        <w:pict>
          <v:line style="position:absolute;mso-position-horizontal-relative:page;mso-position-vertical-relative:paragraph;z-index:-245560" from="85.464424pt,-95.849236pt" to="85.464424pt,-95.849236pt" stroked="true" strokeweight=".526848pt" strokecolor="#d3d3d3">
            <w10:wrap type="none"/>
          </v:line>
        </w:pict>
      </w:r>
      <w:r>
        <w:rPr/>
        <w:pict>
          <v:line style="position:absolute;mso-position-horizontal-relative:page;mso-position-vertical-relative:paragraph;z-index:-245536" from="85.464424pt,-82.12925pt" to="85.464424pt,-82.12925pt" stroked="true" strokeweight=".526848pt" strokecolor="#d3d3d3">
            <w10:wrap type="none"/>
          </v:line>
        </w:pict>
      </w:r>
      <w:r>
        <w:rPr/>
        <w:pict>
          <v:line style="position:absolute;mso-position-horizontal-relative:page;mso-position-vertical-relative:paragraph;z-index:-245512" from="85.464424pt,-68.387306pt" to="85.464424pt,-68.387306pt" stroked="true" strokeweight=".526848pt" strokecolor="#d3d3d3">
            <w10:wrap type="none"/>
          </v:line>
        </w:pict>
      </w:r>
      <w:r>
        <w:rPr/>
        <w:pict>
          <v:line style="position:absolute;mso-position-horizontal-relative:page;mso-position-vertical-relative:paragraph;z-index:-245488" from="85.464424pt,-54.667316pt" to="85.464424pt,-54.667316pt" stroked="true" strokeweight=".526848pt" strokecolor="#d3d3d3">
            <w10:wrap type="none"/>
          </v:line>
        </w:pict>
      </w:r>
      <w:r>
        <w:rPr/>
        <w:pict>
          <v:line style="position:absolute;mso-position-horizontal-relative:page;mso-position-vertical-relative:paragraph;z-index:-245464" from="85.464424pt,-40.947327pt" to="85.464424pt,-40.947327pt" stroked="true" strokeweight=".526848pt" strokecolor="#d3d3d3">
            <w10:wrap type="none"/>
          </v:line>
        </w:pict>
      </w:r>
      <w:r>
        <w:rPr/>
        <w:pict>
          <v:line style="position:absolute;mso-position-horizontal-relative:page;mso-position-vertical-relative:paragraph;z-index:-245440" from="85.464424pt,-27.205387pt" to="85.464424pt,-27.205387pt" stroked="true" strokeweight=".526848pt" strokecolor="#d3d3d3">
            <w10:wrap type="none"/>
          </v:line>
        </w:pict>
      </w:r>
      <w:r>
        <w:rPr/>
        <w:pict>
          <v:line style="position:absolute;mso-position-horizontal-relative:page;mso-position-vertical-relative:paragraph;z-index:-245416" from="85.464424pt,-13.485398pt" to="85.464424pt,-13.485398pt" stroked="true" strokeweight=".526848pt" strokecolor="#d3d3d3">
            <w10:wrap type="none"/>
          </v:line>
        </w:pict>
      </w:r>
      <w:r>
        <w:rPr>
          <w:sz w:val="16"/>
        </w:rPr>
        <w:t>Fuente: Elaboración propia con base en la información de la PAOT (2011).</w:t>
      </w:r>
    </w:p>
    <w:p>
      <w:pPr>
        <w:spacing w:after="0"/>
        <w:jc w:val="center"/>
        <w:rPr>
          <w:sz w:val="16"/>
        </w:rPr>
        <w:sectPr>
          <w:pgSz w:w="12240" w:h="15840"/>
          <w:pgMar w:top="1360" w:bottom="280" w:left="1580" w:right="1580"/>
        </w:sectPr>
      </w:pPr>
    </w:p>
    <w:p>
      <w:pPr>
        <w:pStyle w:val="BodyText"/>
        <w:spacing w:before="6"/>
      </w:pPr>
    </w:p>
    <w:p>
      <w:pPr>
        <w:spacing w:before="75"/>
        <w:ind w:left="1943" w:right="0" w:firstLine="0"/>
        <w:jc w:val="left"/>
        <w:rPr>
          <w:b/>
          <w:sz w:val="20"/>
        </w:rPr>
      </w:pPr>
      <w:r>
        <w:rPr>
          <w:b/>
          <w:sz w:val="20"/>
        </w:rPr>
        <w:t>Tabla 10. Asentamientos irregulares Delegación Cuajimalpa</w:t>
      </w:r>
    </w:p>
    <w:p>
      <w:pPr>
        <w:pStyle w:val="BodyText"/>
        <w:spacing w:before="3"/>
        <w:rPr>
          <w:b/>
          <w:sz w:val="15"/>
        </w:rPr>
      </w:pPr>
    </w:p>
    <w:tbl>
      <w:tblPr>
        <w:tblW w:w="0" w:type="auto"/>
        <w:jc w:val="left"/>
        <w:tblInd w:w="100" w:type="dxa"/>
        <w:tblBorders>
          <w:top w:val="double" w:sz="4" w:space="0" w:color="5B9BD4"/>
          <w:left w:val="double" w:sz="4" w:space="0" w:color="5B9BD4"/>
          <w:bottom w:val="double" w:sz="4" w:space="0" w:color="5B9BD4"/>
          <w:right w:val="double" w:sz="4" w:space="0" w:color="5B9BD4"/>
          <w:insideH w:val="double" w:sz="4" w:space="0" w:color="5B9BD4"/>
          <w:insideV w:val="double" w:sz="4" w:space="0" w:color="5B9BD4"/>
        </w:tblBorders>
        <w:tblLayout w:type="fixed"/>
        <w:tblCellMar>
          <w:top w:w="0" w:type="dxa"/>
          <w:left w:w="0" w:type="dxa"/>
          <w:bottom w:w="0" w:type="dxa"/>
          <w:right w:w="0" w:type="dxa"/>
        </w:tblCellMar>
        <w:tblLook w:val="01E0"/>
      </w:tblPr>
      <w:tblGrid>
        <w:gridCol w:w="1092"/>
        <w:gridCol w:w="1023"/>
        <w:gridCol w:w="3285"/>
        <w:gridCol w:w="1908"/>
        <w:gridCol w:w="1515"/>
      </w:tblGrid>
      <w:tr>
        <w:trPr>
          <w:trHeight w:val="512" w:hRule="exact"/>
        </w:trPr>
        <w:tc>
          <w:tcPr>
            <w:tcW w:w="1092" w:type="dxa"/>
            <w:tcBorders>
              <w:top w:val="single" w:sz="4" w:space="0" w:color="5B9BD4"/>
              <w:left w:val="single" w:sz="4" w:space="0" w:color="D3D3D3"/>
              <w:right w:val="single" w:sz="4" w:space="0" w:color="D3D3D3"/>
            </w:tcBorders>
          </w:tcPr>
          <w:p>
            <w:pPr>
              <w:pStyle w:val="TableParagraph"/>
              <w:spacing w:before="4"/>
              <w:rPr>
                <w:b/>
                <w:sz w:val="14"/>
              </w:rPr>
            </w:pPr>
          </w:p>
          <w:p>
            <w:pPr>
              <w:pStyle w:val="TableParagraph"/>
              <w:ind w:left="117"/>
              <w:rPr>
                <w:b/>
                <w:sz w:val="16"/>
              </w:rPr>
            </w:pPr>
            <w:r>
              <w:rPr>
                <w:b/>
                <w:w w:val="105"/>
                <w:sz w:val="16"/>
              </w:rPr>
              <w:t>Delegación</w:t>
            </w:r>
          </w:p>
        </w:tc>
        <w:tc>
          <w:tcPr>
            <w:tcW w:w="1023" w:type="dxa"/>
            <w:tcBorders>
              <w:top w:val="single" w:sz="4" w:space="0" w:color="5B9BD4"/>
              <w:left w:val="single" w:sz="4" w:space="0" w:color="D3D3D3"/>
              <w:right w:val="single" w:sz="4" w:space="0" w:color="D3D3D3"/>
            </w:tcBorders>
          </w:tcPr>
          <w:p>
            <w:pPr>
              <w:pStyle w:val="TableParagraph"/>
              <w:spacing w:before="4"/>
              <w:rPr>
                <w:b/>
                <w:sz w:val="14"/>
              </w:rPr>
            </w:pPr>
          </w:p>
          <w:p>
            <w:pPr>
              <w:pStyle w:val="TableParagraph"/>
              <w:ind w:left="289" w:right="287"/>
              <w:jc w:val="center"/>
              <w:rPr>
                <w:b/>
                <w:sz w:val="16"/>
              </w:rPr>
            </w:pPr>
            <w:r>
              <w:rPr>
                <w:b/>
                <w:w w:val="105"/>
                <w:sz w:val="16"/>
              </w:rPr>
              <w:t>Num.</w:t>
            </w:r>
          </w:p>
        </w:tc>
        <w:tc>
          <w:tcPr>
            <w:tcW w:w="3285" w:type="dxa"/>
            <w:tcBorders>
              <w:top w:val="single" w:sz="4" w:space="0" w:color="5B9BD4"/>
              <w:left w:val="single" w:sz="4" w:space="0" w:color="D3D3D3"/>
              <w:right w:val="single" w:sz="4" w:space="0" w:color="D3D3D3"/>
            </w:tcBorders>
          </w:tcPr>
          <w:p>
            <w:pPr>
              <w:pStyle w:val="TableParagraph"/>
              <w:spacing w:before="4"/>
              <w:rPr>
                <w:b/>
                <w:sz w:val="14"/>
              </w:rPr>
            </w:pPr>
          </w:p>
          <w:p>
            <w:pPr>
              <w:pStyle w:val="TableParagraph"/>
              <w:ind w:left="708"/>
              <w:rPr>
                <w:b/>
                <w:sz w:val="16"/>
              </w:rPr>
            </w:pPr>
            <w:r>
              <w:rPr>
                <w:b/>
                <w:w w:val="105"/>
                <w:sz w:val="16"/>
              </w:rPr>
              <w:t>Nombre del asentamiento</w:t>
            </w:r>
          </w:p>
        </w:tc>
        <w:tc>
          <w:tcPr>
            <w:tcW w:w="1908" w:type="dxa"/>
            <w:tcBorders>
              <w:top w:val="single" w:sz="4" w:space="0" w:color="5B9BD4"/>
              <w:left w:val="single" w:sz="4" w:space="0" w:color="D3D3D3"/>
              <w:right w:val="single" w:sz="4" w:space="0" w:color="D3D3D3"/>
            </w:tcBorders>
          </w:tcPr>
          <w:p>
            <w:pPr>
              <w:pStyle w:val="TableParagraph"/>
              <w:spacing w:before="4"/>
              <w:rPr>
                <w:b/>
                <w:sz w:val="14"/>
              </w:rPr>
            </w:pPr>
          </w:p>
          <w:p>
            <w:pPr>
              <w:pStyle w:val="TableParagraph"/>
              <w:ind w:left="206"/>
              <w:rPr>
                <w:b/>
                <w:sz w:val="16"/>
              </w:rPr>
            </w:pPr>
            <w:r>
              <w:rPr>
                <w:b/>
                <w:w w:val="105"/>
                <w:sz w:val="16"/>
              </w:rPr>
              <w:t>Nombre del poblado</w:t>
            </w:r>
          </w:p>
        </w:tc>
        <w:tc>
          <w:tcPr>
            <w:tcW w:w="1515" w:type="dxa"/>
            <w:tcBorders>
              <w:top w:val="single" w:sz="4" w:space="0" w:color="5B9BD4"/>
              <w:left w:val="single" w:sz="4" w:space="0" w:color="D3D3D3"/>
              <w:right w:val="single" w:sz="4" w:space="0" w:color="D3D3D3"/>
            </w:tcBorders>
          </w:tcPr>
          <w:p>
            <w:pPr>
              <w:pStyle w:val="TableParagraph"/>
              <w:spacing w:before="4"/>
              <w:rPr>
                <w:b/>
                <w:sz w:val="14"/>
              </w:rPr>
            </w:pPr>
          </w:p>
          <w:p>
            <w:pPr>
              <w:pStyle w:val="TableParagraph"/>
              <w:ind w:left="216"/>
              <w:rPr>
                <w:b/>
                <w:sz w:val="16"/>
              </w:rPr>
            </w:pPr>
            <w:r>
              <w:rPr>
                <w:b/>
                <w:w w:val="105"/>
                <w:sz w:val="16"/>
              </w:rPr>
              <w:t>Superficie (ha)</w:t>
            </w:r>
          </w:p>
        </w:tc>
      </w:tr>
      <w:tr>
        <w:trPr>
          <w:trHeight w:val="256" w:hRule="exact"/>
        </w:trPr>
        <w:tc>
          <w:tcPr>
            <w:tcW w:w="1092" w:type="dxa"/>
            <w:vMerge w:val="restart"/>
            <w:tcBorders>
              <w:left w:val="single" w:sz="4" w:space="0" w:color="D3D3D3"/>
              <w:right w:val="single" w:sz="4" w:space="0" w:color="D3D3D3"/>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11"/>
              <w:ind w:left="117"/>
              <w:rPr>
                <w:b/>
                <w:sz w:val="16"/>
              </w:rPr>
            </w:pPr>
            <w:r>
              <w:rPr>
                <w:b/>
                <w:w w:val="105"/>
                <w:sz w:val="16"/>
              </w:rPr>
              <w:t>Cuajimalpa</w:t>
            </w:r>
          </w:p>
        </w:tc>
        <w:tc>
          <w:tcPr>
            <w:tcW w:w="1023" w:type="dxa"/>
            <w:tcBorders>
              <w:left w:val="single" w:sz="4" w:space="0" w:color="D3D3D3"/>
              <w:right w:val="single" w:sz="4" w:space="0" w:color="D3D3D3"/>
            </w:tcBorders>
          </w:tcPr>
          <w:p>
            <w:pPr>
              <w:pStyle w:val="TableParagraph"/>
              <w:spacing w:before="27"/>
              <w:ind w:right="3"/>
              <w:jc w:val="center"/>
              <w:rPr>
                <w:sz w:val="16"/>
              </w:rPr>
            </w:pPr>
            <w:r>
              <w:rPr>
                <w:w w:val="104"/>
                <w:sz w:val="16"/>
              </w:rPr>
              <w:t>1</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Deshuesadero de Automóviles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0.185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right="3"/>
              <w:jc w:val="center"/>
              <w:rPr>
                <w:sz w:val="16"/>
              </w:rPr>
            </w:pPr>
            <w:r>
              <w:rPr>
                <w:w w:val="104"/>
                <w:sz w:val="16"/>
              </w:rPr>
              <w:t>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Ahuacatillo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0.322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right="3"/>
              <w:jc w:val="center"/>
              <w:rPr>
                <w:sz w:val="16"/>
              </w:rPr>
            </w:pPr>
            <w:r>
              <w:rPr>
                <w:w w:val="104"/>
                <w:sz w:val="16"/>
              </w:rPr>
              <w:t>3</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 Galicia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2.393</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right="3"/>
              <w:jc w:val="center"/>
              <w:rPr>
                <w:sz w:val="16"/>
              </w:rPr>
            </w:pPr>
            <w:r>
              <w:rPr>
                <w:w w:val="104"/>
                <w:sz w:val="16"/>
              </w:rPr>
              <w:t>4</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Punta Ahuatenco Parte Alta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5.582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right="3"/>
              <w:jc w:val="center"/>
              <w:rPr>
                <w:sz w:val="16"/>
              </w:rPr>
            </w:pPr>
            <w:r>
              <w:rPr>
                <w:w w:val="104"/>
                <w:sz w:val="16"/>
              </w:rPr>
              <w:t>5</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Santiago</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0.92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right="3"/>
              <w:jc w:val="center"/>
              <w:rPr>
                <w:sz w:val="16"/>
              </w:rPr>
            </w:pPr>
            <w:r>
              <w:rPr>
                <w:w w:val="104"/>
                <w:sz w:val="16"/>
              </w:rPr>
              <w:t>6</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Bomba de Agua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Ahuatenco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0.057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right="3"/>
              <w:jc w:val="center"/>
              <w:rPr>
                <w:sz w:val="16"/>
              </w:rPr>
            </w:pPr>
            <w:r>
              <w:rPr>
                <w:w w:val="104"/>
                <w:sz w:val="16"/>
              </w:rPr>
              <w:t>7</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Bodega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Contadero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0.04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right="3"/>
              <w:jc w:val="center"/>
              <w:rPr>
                <w:sz w:val="16"/>
              </w:rPr>
            </w:pPr>
            <w:r>
              <w:rPr>
                <w:w w:val="104"/>
                <w:sz w:val="16"/>
              </w:rPr>
              <w:t>8</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Fábrica de hongos (abandonado)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Contadero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1.966</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right="3"/>
              <w:jc w:val="center"/>
              <w:rPr>
                <w:sz w:val="16"/>
              </w:rPr>
            </w:pPr>
            <w:r>
              <w:rPr>
                <w:w w:val="104"/>
                <w:sz w:val="16"/>
              </w:rPr>
              <w:t>9</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Rancho El Encanto</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Contadero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0.298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10</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Camino a la Bolsa (Prolongación Contadero)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Contadero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0.255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11</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 Venta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Contadero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1.333</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12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Comercio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0.087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13</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Bodega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0.14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bottom w:val="double" w:sz="4" w:space="0" w:color="5B9BD4"/>
              <w:right w:val="single" w:sz="4" w:space="0" w:color="D3D3D3"/>
            </w:tcBorders>
          </w:tcPr>
          <w:p>
            <w:pPr>
              <w:pStyle w:val="TableParagraph"/>
              <w:spacing w:before="27"/>
              <w:ind w:left="289" w:right="280"/>
              <w:jc w:val="center"/>
              <w:rPr>
                <w:sz w:val="16"/>
              </w:rPr>
            </w:pPr>
            <w:r>
              <w:rPr>
                <w:w w:val="105"/>
                <w:sz w:val="16"/>
              </w:rPr>
              <w:t>14</w:t>
            </w:r>
          </w:p>
        </w:tc>
        <w:tc>
          <w:tcPr>
            <w:tcW w:w="3285"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Deposito de Automóviles</w:t>
            </w:r>
          </w:p>
        </w:tc>
        <w:tc>
          <w:tcPr>
            <w:tcW w:w="1908"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bottom w:val="double" w:sz="4" w:space="0" w:color="5B9BD4"/>
              <w:right w:val="single" w:sz="4" w:space="0" w:color="D3D3D3"/>
            </w:tcBorders>
          </w:tcPr>
          <w:p>
            <w:pPr>
              <w:pStyle w:val="TableParagraph"/>
              <w:spacing w:before="27"/>
              <w:ind w:right="33"/>
              <w:jc w:val="right"/>
              <w:rPr>
                <w:sz w:val="16"/>
              </w:rPr>
            </w:pPr>
            <w:r>
              <w:rPr>
                <w:w w:val="105"/>
                <w:sz w:val="16"/>
              </w:rPr>
              <w:t>1.382</w:t>
            </w:r>
          </w:p>
        </w:tc>
      </w:tr>
      <w:tr>
        <w:trPr>
          <w:trHeight w:val="256" w:hRule="exact"/>
        </w:trPr>
        <w:tc>
          <w:tcPr>
            <w:tcW w:w="1092" w:type="dxa"/>
            <w:vMerge/>
            <w:tcBorders>
              <w:left w:val="single" w:sz="4" w:space="0" w:color="D3D3D3"/>
              <w:right w:val="single" w:sz="4" w:space="0" w:color="D3D3D3"/>
            </w:tcBorders>
          </w:tcPr>
          <w:p>
            <w:pPr/>
          </w:p>
        </w:tc>
        <w:tc>
          <w:tcPr>
            <w:tcW w:w="1023" w:type="dxa"/>
            <w:tcBorders>
              <w:top w:val="double" w:sz="4" w:space="0" w:color="5B9BD4"/>
              <w:left w:val="single" w:sz="4" w:space="0" w:color="D3D3D3"/>
              <w:right w:val="single" w:sz="4" w:space="0" w:color="D3D3D3"/>
            </w:tcBorders>
          </w:tcPr>
          <w:p>
            <w:pPr>
              <w:pStyle w:val="TableParagraph"/>
              <w:spacing w:before="27"/>
              <w:ind w:left="289" w:right="280"/>
              <w:jc w:val="center"/>
              <w:rPr>
                <w:sz w:val="16"/>
              </w:rPr>
            </w:pPr>
            <w:r>
              <w:rPr>
                <w:w w:val="105"/>
                <w:sz w:val="16"/>
              </w:rPr>
              <w:t>15</w:t>
            </w:r>
          </w:p>
        </w:tc>
        <w:tc>
          <w:tcPr>
            <w:tcW w:w="3285"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Altiburritos</w:t>
            </w:r>
          </w:p>
        </w:tc>
        <w:tc>
          <w:tcPr>
            <w:tcW w:w="1908"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top w:val="double" w:sz="4" w:space="0" w:color="5B9BD4"/>
              <w:left w:val="single" w:sz="4" w:space="0" w:color="D3D3D3"/>
              <w:right w:val="single" w:sz="4" w:space="0" w:color="D3D3D3"/>
            </w:tcBorders>
          </w:tcPr>
          <w:p>
            <w:pPr>
              <w:pStyle w:val="TableParagraph"/>
              <w:spacing w:before="27"/>
              <w:ind w:right="33"/>
              <w:jc w:val="right"/>
              <w:rPr>
                <w:sz w:val="16"/>
              </w:rPr>
            </w:pPr>
            <w:r>
              <w:rPr>
                <w:w w:val="105"/>
                <w:sz w:val="16"/>
              </w:rPr>
              <w:t>3.334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16</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Ampliación Xalpa (Camino a Oyameles)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5.965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17</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Caballeros Aztecas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1.568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18</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Camino a San Bernabé (La Lagunita)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16.12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19</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Cansamachos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2.55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20</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Chancocoyotl</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2.774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21</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Circuito Escolar</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5.72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22</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Cola de Pato</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7.828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23</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Cristo Rey (Pantanos)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0.97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24</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Cruz Blanca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9.257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25</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El Zarco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0.059</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26</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 Pila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6.275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27</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La Plantación</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0.737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28</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Las Lajas</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7.428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bottom w:val="double" w:sz="4" w:space="0" w:color="5B9BD4"/>
              <w:right w:val="single" w:sz="4" w:space="0" w:color="D3D3D3"/>
            </w:tcBorders>
          </w:tcPr>
          <w:p>
            <w:pPr>
              <w:pStyle w:val="TableParagraph"/>
              <w:spacing w:before="27"/>
              <w:ind w:left="289" w:right="280"/>
              <w:jc w:val="center"/>
              <w:rPr>
                <w:sz w:val="16"/>
              </w:rPr>
            </w:pPr>
            <w:r>
              <w:rPr>
                <w:w w:val="105"/>
                <w:sz w:val="16"/>
              </w:rPr>
              <w:t>29</w:t>
            </w:r>
          </w:p>
        </w:tc>
        <w:tc>
          <w:tcPr>
            <w:tcW w:w="3285"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Llanito Redondo</w:t>
            </w:r>
          </w:p>
        </w:tc>
        <w:tc>
          <w:tcPr>
            <w:tcW w:w="1908"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bottom w:val="double" w:sz="4" w:space="0" w:color="5B9BD4"/>
              <w:right w:val="single" w:sz="4" w:space="0" w:color="D3D3D3"/>
            </w:tcBorders>
          </w:tcPr>
          <w:p>
            <w:pPr>
              <w:pStyle w:val="TableParagraph"/>
              <w:spacing w:before="27"/>
              <w:ind w:right="33"/>
              <w:jc w:val="right"/>
              <w:rPr>
                <w:sz w:val="16"/>
              </w:rPr>
            </w:pPr>
            <w:r>
              <w:rPr>
                <w:w w:val="105"/>
                <w:sz w:val="16"/>
              </w:rPr>
              <w:t>0.16</w:t>
            </w:r>
          </w:p>
        </w:tc>
      </w:tr>
      <w:tr>
        <w:trPr>
          <w:trHeight w:val="256" w:hRule="exact"/>
        </w:trPr>
        <w:tc>
          <w:tcPr>
            <w:tcW w:w="1092" w:type="dxa"/>
            <w:vMerge/>
            <w:tcBorders>
              <w:left w:val="single" w:sz="4" w:space="0" w:color="D3D3D3"/>
              <w:right w:val="single" w:sz="4" w:space="0" w:color="D3D3D3"/>
            </w:tcBorders>
          </w:tcPr>
          <w:p>
            <w:pPr/>
          </w:p>
        </w:tc>
        <w:tc>
          <w:tcPr>
            <w:tcW w:w="1023" w:type="dxa"/>
            <w:tcBorders>
              <w:top w:val="double" w:sz="4" w:space="0" w:color="5B9BD4"/>
              <w:left w:val="single" w:sz="4" w:space="0" w:color="D3D3D3"/>
              <w:right w:val="single" w:sz="4" w:space="0" w:color="D3D3D3"/>
            </w:tcBorders>
          </w:tcPr>
          <w:p>
            <w:pPr>
              <w:pStyle w:val="TableParagraph"/>
              <w:spacing w:before="27"/>
              <w:ind w:left="289" w:right="280"/>
              <w:jc w:val="center"/>
              <w:rPr>
                <w:sz w:val="16"/>
              </w:rPr>
            </w:pPr>
            <w:r>
              <w:rPr>
                <w:w w:val="105"/>
                <w:sz w:val="16"/>
              </w:rPr>
              <w:t>30</w:t>
            </w:r>
          </w:p>
        </w:tc>
        <w:tc>
          <w:tcPr>
            <w:tcW w:w="3285"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Llano Conejo</w:t>
            </w:r>
          </w:p>
        </w:tc>
        <w:tc>
          <w:tcPr>
            <w:tcW w:w="1908"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top w:val="double" w:sz="4" w:space="0" w:color="5B9BD4"/>
              <w:left w:val="single" w:sz="4" w:space="0" w:color="D3D3D3"/>
              <w:right w:val="single" w:sz="4" w:space="0" w:color="D3D3D3"/>
            </w:tcBorders>
          </w:tcPr>
          <w:p>
            <w:pPr>
              <w:pStyle w:val="TableParagraph"/>
              <w:spacing w:before="27"/>
              <w:ind w:right="33"/>
              <w:jc w:val="right"/>
              <w:rPr>
                <w:sz w:val="16"/>
              </w:rPr>
            </w:pPr>
            <w:r>
              <w:rPr>
                <w:w w:val="105"/>
                <w:sz w:val="16"/>
              </w:rPr>
              <w:t>6.326</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31</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Moneruco (Acopilco)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1.454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Monte Las Cruces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sz w:val="16"/>
              </w:rPr>
              <w:t>19.685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33</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Pantano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2.276</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34</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Pito Real</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0.312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35</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Prolongación Melchor Ocampo</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1.406</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36</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Teopazulco (Acopilco)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1.598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37</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Zacamulpa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Lorenzo Acopilco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0.032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38</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Barranca del Diablo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1.652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39</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El Rosal</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4.898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40</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Hacienda Buenavista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0.953</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41</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 Cañada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12.11</w:t>
            </w:r>
          </w:p>
        </w:tc>
      </w:tr>
      <w:tr>
        <w:trPr>
          <w:trHeight w:val="246" w:hRule="exact"/>
        </w:trPr>
        <w:tc>
          <w:tcPr>
            <w:tcW w:w="1092" w:type="dxa"/>
            <w:vMerge/>
            <w:tcBorders>
              <w:left w:val="single" w:sz="4" w:space="0" w:color="D3D3D3"/>
              <w:bottom w:val="single" w:sz="4" w:space="0" w:color="D3D3D3"/>
              <w:right w:val="single" w:sz="4" w:space="0" w:color="D3D3D3"/>
            </w:tcBorders>
          </w:tcPr>
          <w:p>
            <w:pPr/>
          </w:p>
        </w:tc>
        <w:tc>
          <w:tcPr>
            <w:tcW w:w="1023" w:type="dxa"/>
            <w:tcBorders>
              <w:left w:val="single" w:sz="4" w:space="0" w:color="D3D3D3"/>
              <w:bottom w:val="single" w:sz="4" w:space="0" w:color="5B9BD4"/>
              <w:right w:val="single" w:sz="4" w:space="0" w:color="D3D3D3"/>
            </w:tcBorders>
          </w:tcPr>
          <w:p>
            <w:pPr>
              <w:pStyle w:val="TableParagraph"/>
              <w:spacing w:before="27"/>
              <w:ind w:left="289" w:right="280"/>
              <w:jc w:val="center"/>
              <w:rPr>
                <w:sz w:val="16"/>
              </w:rPr>
            </w:pPr>
            <w:r>
              <w:rPr>
                <w:w w:val="105"/>
                <w:sz w:val="16"/>
              </w:rPr>
              <w:t>42</w:t>
            </w:r>
          </w:p>
        </w:tc>
        <w:tc>
          <w:tcPr>
            <w:tcW w:w="3285" w:type="dxa"/>
            <w:tcBorders>
              <w:left w:val="single" w:sz="4" w:space="0" w:color="D3D3D3"/>
              <w:bottom w:val="single" w:sz="4" w:space="0" w:color="5B9BD4"/>
              <w:right w:val="single" w:sz="4" w:space="0" w:color="D3D3D3"/>
            </w:tcBorders>
          </w:tcPr>
          <w:p>
            <w:pPr>
              <w:pStyle w:val="TableParagraph"/>
              <w:spacing w:before="27"/>
              <w:ind w:left="29"/>
              <w:rPr>
                <w:sz w:val="16"/>
              </w:rPr>
            </w:pPr>
            <w:r>
              <w:rPr>
                <w:w w:val="105"/>
                <w:sz w:val="16"/>
              </w:rPr>
              <w:t>La Monera</w:t>
            </w:r>
          </w:p>
        </w:tc>
        <w:tc>
          <w:tcPr>
            <w:tcW w:w="1908" w:type="dxa"/>
            <w:tcBorders>
              <w:left w:val="single" w:sz="4" w:space="0" w:color="D3D3D3"/>
              <w:bottom w:val="single" w:sz="4" w:space="0" w:color="5B9BD4"/>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bottom w:val="single" w:sz="4" w:space="0" w:color="5B9BD4"/>
              <w:right w:val="single" w:sz="4" w:space="0" w:color="D3D3D3"/>
            </w:tcBorders>
          </w:tcPr>
          <w:p>
            <w:pPr>
              <w:pStyle w:val="TableParagraph"/>
              <w:spacing w:before="27"/>
              <w:ind w:right="33"/>
              <w:jc w:val="right"/>
              <w:rPr>
                <w:sz w:val="16"/>
              </w:rPr>
            </w:pPr>
            <w:r>
              <w:rPr>
                <w:w w:val="105"/>
                <w:sz w:val="16"/>
              </w:rPr>
              <w:t>4.948</w:t>
            </w:r>
          </w:p>
        </w:tc>
      </w:tr>
    </w:tbl>
    <w:p>
      <w:pPr>
        <w:spacing w:after="0"/>
        <w:jc w:val="right"/>
        <w:rPr>
          <w:sz w:val="16"/>
        </w:rPr>
        <w:sectPr>
          <w:pgSz w:w="12240" w:h="15840"/>
          <w:pgMar w:top="1500" w:bottom="280" w:left="1600" w:right="1600"/>
        </w:sectPr>
      </w:pPr>
    </w:p>
    <w:tbl>
      <w:tblPr>
        <w:tblW w:w="0" w:type="auto"/>
        <w:jc w:val="left"/>
        <w:tblInd w:w="100" w:type="dxa"/>
        <w:tblBorders>
          <w:top w:val="double" w:sz="4" w:space="0" w:color="5B9BD4"/>
          <w:left w:val="double" w:sz="4" w:space="0" w:color="5B9BD4"/>
          <w:bottom w:val="double" w:sz="4" w:space="0" w:color="5B9BD4"/>
          <w:right w:val="double" w:sz="4" w:space="0" w:color="5B9BD4"/>
          <w:insideH w:val="double" w:sz="4" w:space="0" w:color="5B9BD4"/>
          <w:insideV w:val="double" w:sz="4" w:space="0" w:color="5B9BD4"/>
        </w:tblBorders>
        <w:tblLayout w:type="fixed"/>
        <w:tblCellMar>
          <w:top w:w="0" w:type="dxa"/>
          <w:left w:w="0" w:type="dxa"/>
          <w:bottom w:w="0" w:type="dxa"/>
          <w:right w:w="0" w:type="dxa"/>
        </w:tblCellMar>
        <w:tblLook w:val="01E0"/>
      </w:tblPr>
      <w:tblGrid>
        <w:gridCol w:w="1092"/>
        <w:gridCol w:w="1023"/>
        <w:gridCol w:w="3285"/>
        <w:gridCol w:w="1908"/>
        <w:gridCol w:w="1515"/>
      </w:tblGrid>
      <w:tr>
        <w:trPr>
          <w:trHeight w:val="246" w:hRule="exact"/>
        </w:trPr>
        <w:tc>
          <w:tcPr>
            <w:tcW w:w="1092" w:type="dxa"/>
            <w:vMerge w:val="restart"/>
            <w:tcBorders>
              <w:top w:val="single" w:sz="4" w:space="0" w:color="D3D3D3"/>
              <w:left w:val="single" w:sz="4" w:space="0" w:color="D3D3D3"/>
              <w:right w:val="single" w:sz="4" w:space="0" w:color="D3D3D3"/>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3"/>
              <w:rPr>
                <w:b/>
                <w:sz w:val="21"/>
              </w:rPr>
            </w:pPr>
          </w:p>
          <w:p>
            <w:pPr>
              <w:pStyle w:val="TableParagraph"/>
              <w:ind w:left="117"/>
              <w:rPr>
                <w:b/>
                <w:sz w:val="16"/>
              </w:rPr>
            </w:pPr>
            <w:r>
              <w:rPr>
                <w:b/>
                <w:w w:val="105"/>
                <w:sz w:val="16"/>
              </w:rPr>
              <w:t>Cuajimalpa</w:t>
            </w:r>
          </w:p>
        </w:tc>
        <w:tc>
          <w:tcPr>
            <w:tcW w:w="1023" w:type="dxa"/>
            <w:tcBorders>
              <w:top w:val="single" w:sz="4" w:space="0" w:color="5B9BD4"/>
              <w:left w:val="single" w:sz="4" w:space="0" w:color="D3D3D3"/>
              <w:right w:val="single" w:sz="4" w:space="0" w:color="D3D3D3"/>
            </w:tcBorders>
          </w:tcPr>
          <w:p>
            <w:pPr>
              <w:pStyle w:val="TableParagraph"/>
              <w:spacing w:before="27"/>
              <w:ind w:left="289" w:right="280"/>
              <w:jc w:val="center"/>
              <w:rPr>
                <w:sz w:val="16"/>
              </w:rPr>
            </w:pPr>
            <w:r>
              <w:rPr>
                <w:w w:val="105"/>
                <w:sz w:val="16"/>
              </w:rPr>
              <w:t>43</w:t>
            </w:r>
          </w:p>
        </w:tc>
        <w:tc>
          <w:tcPr>
            <w:tcW w:w="3285" w:type="dxa"/>
            <w:tcBorders>
              <w:top w:val="single" w:sz="4" w:space="0" w:color="5B9BD4"/>
              <w:left w:val="single" w:sz="4" w:space="0" w:color="D3D3D3"/>
              <w:right w:val="single" w:sz="4" w:space="0" w:color="D3D3D3"/>
            </w:tcBorders>
          </w:tcPr>
          <w:p>
            <w:pPr>
              <w:pStyle w:val="TableParagraph"/>
              <w:spacing w:before="27"/>
              <w:ind w:left="29"/>
              <w:rPr>
                <w:sz w:val="16"/>
              </w:rPr>
            </w:pPr>
            <w:r>
              <w:rPr>
                <w:w w:val="105"/>
                <w:sz w:val="16"/>
              </w:rPr>
              <w:t>La Zanja</w:t>
            </w:r>
          </w:p>
        </w:tc>
        <w:tc>
          <w:tcPr>
            <w:tcW w:w="1908" w:type="dxa"/>
            <w:tcBorders>
              <w:top w:val="single" w:sz="4" w:space="0" w:color="5B9BD4"/>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top w:val="single" w:sz="4" w:space="0" w:color="5B9BD4"/>
              <w:left w:val="single" w:sz="4" w:space="0" w:color="D3D3D3"/>
              <w:right w:val="single" w:sz="4" w:space="0" w:color="D3D3D3"/>
            </w:tcBorders>
          </w:tcPr>
          <w:p>
            <w:pPr>
              <w:pStyle w:val="TableParagraph"/>
              <w:spacing w:before="27"/>
              <w:ind w:right="33"/>
              <w:jc w:val="right"/>
              <w:rPr>
                <w:sz w:val="16"/>
              </w:rPr>
            </w:pPr>
            <w:r>
              <w:rPr>
                <w:w w:val="105"/>
                <w:sz w:val="16"/>
              </w:rPr>
              <w:t>3.876</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44</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La Zopilotera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0.142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45</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Loma de Pachuquilla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8"/>
              <w:ind w:right="33"/>
              <w:jc w:val="right"/>
              <w:rPr>
                <w:sz w:val="16"/>
              </w:rPr>
            </w:pPr>
            <w:r>
              <w:rPr>
                <w:sz w:val="16"/>
              </w:rPr>
              <w:t>11.753</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46</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Los Conejos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0.45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47</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Quizazotle</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8.426</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48</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Sacramento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0.048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49</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Valle de las Monjas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7.215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50</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Deshuesadero de Automóviles</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Mateo Tlaltenango</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0.322</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51</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Bodega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0.008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Acazulco (Texcalco)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1.081</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53</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Almeya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1.272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54</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Camino a los Manantiales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0.306</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56</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El Carmen</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2.332</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57</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Hueyatla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3.181</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58</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La Yera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0.794</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59</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Moneruco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2.289</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60</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Paraje Cuausehuaya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3.027</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61</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Paraje El Durazno</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1.23</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Río Atitla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 Pablo Chimalpa</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5.375</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63</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Bodega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0.041</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64</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Cerro Doña Juana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0.709</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65</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El Mirador</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2.406</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66</w:t>
            </w:r>
          </w:p>
        </w:tc>
        <w:tc>
          <w:tcPr>
            <w:tcW w:w="3285" w:type="dxa"/>
            <w:tcBorders>
              <w:left w:val="single" w:sz="4" w:space="0" w:color="D3D3D3"/>
              <w:right w:val="single" w:sz="4" w:space="0" w:color="D3D3D3"/>
            </w:tcBorders>
          </w:tcPr>
          <w:p>
            <w:pPr>
              <w:pStyle w:val="TableParagraph"/>
              <w:spacing w:before="27"/>
              <w:ind w:left="29"/>
              <w:rPr>
                <w:sz w:val="16"/>
              </w:rPr>
            </w:pPr>
            <w:r>
              <w:rPr>
                <w:sz w:val="16"/>
              </w:rPr>
              <w:t>La Transmetropolitana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9.415</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67</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Los Ciruelos</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8.98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68</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Los Magueyitos</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2.966</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bottom w:val="double" w:sz="4" w:space="0" w:color="5B9BD4"/>
              <w:right w:val="single" w:sz="4" w:space="0" w:color="D3D3D3"/>
            </w:tcBorders>
          </w:tcPr>
          <w:p>
            <w:pPr>
              <w:pStyle w:val="TableParagraph"/>
              <w:spacing w:before="27"/>
              <w:ind w:left="289" w:right="280"/>
              <w:jc w:val="center"/>
              <w:rPr>
                <w:sz w:val="16"/>
              </w:rPr>
            </w:pPr>
            <w:r>
              <w:rPr>
                <w:w w:val="105"/>
                <w:sz w:val="16"/>
              </w:rPr>
              <w:t>69</w:t>
            </w:r>
          </w:p>
        </w:tc>
        <w:tc>
          <w:tcPr>
            <w:tcW w:w="3285"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Miapa</w:t>
            </w:r>
          </w:p>
        </w:tc>
        <w:tc>
          <w:tcPr>
            <w:tcW w:w="1908" w:type="dxa"/>
            <w:tcBorders>
              <w:left w:val="single" w:sz="4" w:space="0" w:color="D3D3D3"/>
              <w:bottom w:val="double" w:sz="4" w:space="0" w:color="5B9BD4"/>
              <w:right w:val="single" w:sz="4" w:space="0" w:color="D3D3D3"/>
            </w:tcBorders>
          </w:tcPr>
          <w:p>
            <w:pPr>
              <w:pStyle w:val="TableParagraph"/>
              <w:spacing w:before="27"/>
              <w:ind w:left="29"/>
              <w:rPr>
                <w:sz w:val="16"/>
              </w:rPr>
            </w:pPr>
            <w:r>
              <w:rPr>
                <w:w w:val="105"/>
                <w:sz w:val="16"/>
              </w:rPr>
              <w:t>Santa Rosa Xochiac</w:t>
            </w:r>
          </w:p>
        </w:tc>
        <w:tc>
          <w:tcPr>
            <w:tcW w:w="1515" w:type="dxa"/>
            <w:tcBorders>
              <w:left w:val="single" w:sz="4" w:space="0" w:color="D3D3D3"/>
              <w:bottom w:val="double" w:sz="4" w:space="0" w:color="5B9BD4"/>
              <w:right w:val="single" w:sz="4" w:space="0" w:color="D3D3D3"/>
            </w:tcBorders>
          </w:tcPr>
          <w:p>
            <w:pPr>
              <w:pStyle w:val="TableParagraph"/>
              <w:spacing w:before="27"/>
              <w:ind w:right="33"/>
              <w:jc w:val="right"/>
              <w:rPr>
                <w:sz w:val="16"/>
              </w:rPr>
            </w:pPr>
            <w:r>
              <w:rPr>
                <w:w w:val="105"/>
                <w:sz w:val="16"/>
              </w:rPr>
              <w:t>1.038</w:t>
            </w:r>
          </w:p>
        </w:tc>
      </w:tr>
      <w:tr>
        <w:trPr>
          <w:trHeight w:val="256" w:hRule="exact"/>
        </w:trPr>
        <w:tc>
          <w:tcPr>
            <w:tcW w:w="1092" w:type="dxa"/>
            <w:vMerge/>
            <w:tcBorders>
              <w:left w:val="single" w:sz="4" w:space="0" w:color="D3D3D3"/>
              <w:right w:val="single" w:sz="4" w:space="0" w:color="D3D3D3"/>
            </w:tcBorders>
          </w:tcPr>
          <w:p>
            <w:pPr/>
          </w:p>
        </w:tc>
        <w:tc>
          <w:tcPr>
            <w:tcW w:w="1023" w:type="dxa"/>
            <w:tcBorders>
              <w:top w:val="double" w:sz="4" w:space="0" w:color="5B9BD4"/>
              <w:left w:val="single" w:sz="4" w:space="0" w:color="D3D3D3"/>
              <w:right w:val="single" w:sz="4" w:space="0" w:color="D3D3D3"/>
            </w:tcBorders>
          </w:tcPr>
          <w:p>
            <w:pPr>
              <w:pStyle w:val="TableParagraph"/>
              <w:spacing w:before="27"/>
              <w:ind w:left="289" w:right="280"/>
              <w:jc w:val="center"/>
              <w:rPr>
                <w:sz w:val="16"/>
              </w:rPr>
            </w:pPr>
            <w:r>
              <w:rPr>
                <w:w w:val="105"/>
                <w:sz w:val="16"/>
              </w:rPr>
              <w:t>70</w:t>
            </w:r>
          </w:p>
        </w:tc>
        <w:tc>
          <w:tcPr>
            <w:tcW w:w="3285"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Texcaltitla</w:t>
            </w:r>
          </w:p>
        </w:tc>
        <w:tc>
          <w:tcPr>
            <w:tcW w:w="1908" w:type="dxa"/>
            <w:tcBorders>
              <w:top w:val="double" w:sz="4" w:space="0" w:color="5B9BD4"/>
              <w:left w:val="single" w:sz="4" w:space="0" w:color="D3D3D3"/>
              <w:right w:val="single" w:sz="4" w:space="0" w:color="D3D3D3"/>
            </w:tcBorders>
          </w:tcPr>
          <w:p>
            <w:pPr>
              <w:pStyle w:val="TableParagraph"/>
              <w:spacing w:before="27"/>
              <w:ind w:left="29"/>
              <w:rPr>
                <w:sz w:val="16"/>
              </w:rPr>
            </w:pPr>
            <w:r>
              <w:rPr>
                <w:w w:val="105"/>
                <w:sz w:val="16"/>
              </w:rPr>
              <w:t>Santa Rosa Xochiac</w:t>
            </w:r>
          </w:p>
        </w:tc>
        <w:tc>
          <w:tcPr>
            <w:tcW w:w="1515" w:type="dxa"/>
            <w:tcBorders>
              <w:top w:val="double" w:sz="4" w:space="0" w:color="5B9BD4"/>
              <w:left w:val="single" w:sz="4" w:space="0" w:color="D3D3D3"/>
              <w:right w:val="single" w:sz="4" w:space="0" w:color="D3D3D3"/>
            </w:tcBorders>
          </w:tcPr>
          <w:p>
            <w:pPr>
              <w:pStyle w:val="TableParagraph"/>
              <w:spacing w:before="27"/>
              <w:ind w:right="33"/>
              <w:jc w:val="right"/>
              <w:rPr>
                <w:sz w:val="16"/>
              </w:rPr>
            </w:pPr>
            <w:r>
              <w:rPr>
                <w:w w:val="105"/>
                <w:sz w:val="16"/>
              </w:rPr>
              <w:t>9.421</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71</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Tlacuitar</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Santa Rosa Xochiac</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6.348</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72</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Agua Bendita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Zentlapatl</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3.718</w:t>
            </w:r>
          </w:p>
        </w:tc>
      </w:tr>
      <w:tr>
        <w:trPr>
          <w:trHeight w:val="255"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7"/>
              <w:ind w:left="289" w:right="280"/>
              <w:jc w:val="center"/>
              <w:rPr>
                <w:sz w:val="16"/>
              </w:rPr>
            </w:pPr>
            <w:r>
              <w:rPr>
                <w:w w:val="105"/>
                <w:sz w:val="16"/>
              </w:rPr>
              <w:t>73</w:t>
            </w:r>
          </w:p>
        </w:tc>
        <w:tc>
          <w:tcPr>
            <w:tcW w:w="3285" w:type="dxa"/>
            <w:tcBorders>
              <w:left w:val="single" w:sz="4" w:space="0" w:color="D3D3D3"/>
              <w:right w:val="single" w:sz="4" w:space="0" w:color="D3D3D3"/>
            </w:tcBorders>
          </w:tcPr>
          <w:p>
            <w:pPr>
              <w:pStyle w:val="TableParagraph"/>
              <w:spacing w:before="27"/>
              <w:ind w:left="29"/>
              <w:rPr>
                <w:sz w:val="16"/>
              </w:rPr>
            </w:pPr>
            <w:r>
              <w:rPr>
                <w:w w:val="105"/>
                <w:sz w:val="16"/>
              </w:rPr>
              <w:t>Antiguo Camino a Chimalpa</w:t>
            </w:r>
          </w:p>
        </w:tc>
        <w:tc>
          <w:tcPr>
            <w:tcW w:w="1908" w:type="dxa"/>
            <w:tcBorders>
              <w:left w:val="single" w:sz="4" w:space="0" w:color="D3D3D3"/>
              <w:right w:val="single" w:sz="4" w:space="0" w:color="D3D3D3"/>
            </w:tcBorders>
          </w:tcPr>
          <w:p>
            <w:pPr>
              <w:pStyle w:val="TableParagraph"/>
              <w:spacing w:before="27"/>
              <w:ind w:left="29"/>
              <w:rPr>
                <w:sz w:val="16"/>
              </w:rPr>
            </w:pPr>
            <w:r>
              <w:rPr>
                <w:w w:val="105"/>
                <w:sz w:val="16"/>
              </w:rPr>
              <w:t>Zentlapatl</w:t>
            </w:r>
          </w:p>
        </w:tc>
        <w:tc>
          <w:tcPr>
            <w:tcW w:w="1515" w:type="dxa"/>
            <w:tcBorders>
              <w:left w:val="single" w:sz="4" w:space="0" w:color="D3D3D3"/>
              <w:right w:val="single" w:sz="4" w:space="0" w:color="D3D3D3"/>
            </w:tcBorders>
          </w:tcPr>
          <w:p>
            <w:pPr>
              <w:pStyle w:val="TableParagraph"/>
              <w:spacing w:before="27"/>
              <w:ind w:right="33"/>
              <w:jc w:val="right"/>
              <w:rPr>
                <w:sz w:val="16"/>
              </w:rPr>
            </w:pPr>
            <w:r>
              <w:rPr>
                <w:w w:val="105"/>
                <w:sz w:val="16"/>
              </w:rPr>
              <w:t>1.911</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74</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Ladera de Zentlapatl</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Zentlapatl</w:t>
            </w:r>
          </w:p>
        </w:tc>
        <w:tc>
          <w:tcPr>
            <w:tcW w:w="1515" w:type="dxa"/>
            <w:tcBorders>
              <w:left w:val="single" w:sz="4" w:space="0" w:color="D3D3D3"/>
              <w:right w:val="single" w:sz="4" w:space="0" w:color="D3D3D3"/>
            </w:tcBorders>
          </w:tcPr>
          <w:p>
            <w:pPr>
              <w:pStyle w:val="TableParagraph"/>
              <w:spacing w:before="28"/>
              <w:ind w:right="33"/>
              <w:jc w:val="right"/>
              <w:rPr>
                <w:sz w:val="16"/>
              </w:rPr>
            </w:pPr>
            <w:r>
              <w:rPr>
                <w:w w:val="105"/>
                <w:sz w:val="16"/>
              </w:rPr>
              <w:t>1.074</w:t>
            </w:r>
          </w:p>
        </w:tc>
      </w:tr>
      <w:tr>
        <w:trPr>
          <w:trHeight w:val="256" w:hRule="exact"/>
        </w:trPr>
        <w:tc>
          <w:tcPr>
            <w:tcW w:w="1092" w:type="dxa"/>
            <w:vMerge/>
            <w:tcBorders>
              <w:left w:val="single" w:sz="4" w:space="0" w:color="D3D3D3"/>
              <w:right w:val="single" w:sz="4" w:space="0" w:color="D3D3D3"/>
            </w:tcBorders>
          </w:tcPr>
          <w:p>
            <w:pPr/>
          </w:p>
        </w:tc>
        <w:tc>
          <w:tcPr>
            <w:tcW w:w="1023" w:type="dxa"/>
            <w:tcBorders>
              <w:left w:val="single" w:sz="4" w:space="0" w:color="D3D3D3"/>
              <w:right w:val="single" w:sz="4" w:space="0" w:color="D3D3D3"/>
            </w:tcBorders>
          </w:tcPr>
          <w:p>
            <w:pPr>
              <w:pStyle w:val="TableParagraph"/>
              <w:spacing w:before="28"/>
              <w:ind w:left="289" w:right="280"/>
              <w:jc w:val="center"/>
              <w:rPr>
                <w:sz w:val="16"/>
              </w:rPr>
            </w:pPr>
            <w:r>
              <w:rPr>
                <w:w w:val="105"/>
                <w:sz w:val="16"/>
              </w:rPr>
              <w:t>75</w:t>
            </w:r>
          </w:p>
        </w:tc>
        <w:tc>
          <w:tcPr>
            <w:tcW w:w="3285" w:type="dxa"/>
            <w:tcBorders>
              <w:left w:val="single" w:sz="4" w:space="0" w:color="D3D3D3"/>
              <w:right w:val="single" w:sz="4" w:space="0" w:color="D3D3D3"/>
            </w:tcBorders>
          </w:tcPr>
          <w:p>
            <w:pPr>
              <w:pStyle w:val="TableParagraph"/>
              <w:spacing w:before="28"/>
              <w:ind w:left="29"/>
              <w:rPr>
                <w:sz w:val="16"/>
              </w:rPr>
            </w:pPr>
            <w:r>
              <w:rPr>
                <w:w w:val="105"/>
                <w:sz w:val="16"/>
              </w:rPr>
              <w:t>Loma Bonita</w:t>
            </w:r>
          </w:p>
        </w:tc>
        <w:tc>
          <w:tcPr>
            <w:tcW w:w="1908" w:type="dxa"/>
            <w:tcBorders>
              <w:left w:val="single" w:sz="4" w:space="0" w:color="D3D3D3"/>
              <w:right w:val="single" w:sz="4" w:space="0" w:color="D3D3D3"/>
            </w:tcBorders>
          </w:tcPr>
          <w:p>
            <w:pPr>
              <w:pStyle w:val="TableParagraph"/>
              <w:spacing w:before="28"/>
              <w:ind w:left="29"/>
              <w:rPr>
                <w:sz w:val="16"/>
              </w:rPr>
            </w:pPr>
            <w:r>
              <w:rPr>
                <w:w w:val="105"/>
                <w:sz w:val="16"/>
              </w:rPr>
              <w:t>Zentlapatl</w:t>
            </w:r>
          </w:p>
        </w:tc>
        <w:tc>
          <w:tcPr>
            <w:tcW w:w="1515" w:type="dxa"/>
            <w:tcBorders>
              <w:left w:val="single" w:sz="4" w:space="0" w:color="D3D3D3"/>
              <w:right w:val="single" w:sz="4" w:space="0" w:color="D3D3D3"/>
            </w:tcBorders>
          </w:tcPr>
          <w:p>
            <w:pPr>
              <w:pStyle w:val="TableParagraph"/>
              <w:spacing w:before="28"/>
              <w:ind w:right="33"/>
              <w:jc w:val="right"/>
              <w:rPr>
                <w:sz w:val="16"/>
              </w:rPr>
            </w:pPr>
            <w:r>
              <w:rPr>
                <w:sz w:val="16"/>
              </w:rPr>
              <w:t>14.007</w:t>
            </w:r>
          </w:p>
        </w:tc>
      </w:tr>
      <w:tr>
        <w:trPr>
          <w:trHeight w:val="246" w:hRule="exact"/>
        </w:trPr>
        <w:tc>
          <w:tcPr>
            <w:tcW w:w="1092" w:type="dxa"/>
            <w:vMerge/>
            <w:tcBorders>
              <w:left w:val="single" w:sz="4" w:space="0" w:color="D3D3D3"/>
              <w:bottom w:val="single" w:sz="4" w:space="0" w:color="D3D3D3"/>
              <w:right w:val="single" w:sz="4" w:space="0" w:color="D3D3D3"/>
            </w:tcBorders>
          </w:tcPr>
          <w:p>
            <w:pPr/>
          </w:p>
        </w:tc>
        <w:tc>
          <w:tcPr>
            <w:tcW w:w="1023" w:type="dxa"/>
            <w:tcBorders>
              <w:left w:val="single" w:sz="4" w:space="0" w:color="D3D3D3"/>
              <w:bottom w:val="single" w:sz="4" w:space="0" w:color="5B9BD4"/>
              <w:right w:val="single" w:sz="4" w:space="0" w:color="D3D3D3"/>
            </w:tcBorders>
          </w:tcPr>
          <w:p>
            <w:pPr>
              <w:pStyle w:val="TableParagraph"/>
              <w:spacing w:before="27"/>
              <w:ind w:left="289" w:right="280"/>
              <w:jc w:val="center"/>
              <w:rPr>
                <w:sz w:val="16"/>
              </w:rPr>
            </w:pPr>
            <w:r>
              <w:rPr>
                <w:w w:val="105"/>
                <w:sz w:val="16"/>
              </w:rPr>
              <w:t>76</w:t>
            </w:r>
          </w:p>
        </w:tc>
        <w:tc>
          <w:tcPr>
            <w:tcW w:w="3285" w:type="dxa"/>
            <w:tcBorders>
              <w:left w:val="single" w:sz="4" w:space="0" w:color="D3D3D3"/>
              <w:bottom w:val="single" w:sz="4" w:space="0" w:color="5B9BD4"/>
              <w:right w:val="single" w:sz="4" w:space="0" w:color="D3D3D3"/>
            </w:tcBorders>
          </w:tcPr>
          <w:p>
            <w:pPr>
              <w:pStyle w:val="TableParagraph"/>
              <w:spacing w:before="27"/>
              <w:ind w:left="29"/>
              <w:rPr>
                <w:sz w:val="16"/>
              </w:rPr>
            </w:pPr>
            <w:r>
              <w:rPr>
                <w:w w:val="105"/>
                <w:sz w:val="16"/>
              </w:rPr>
              <w:t>Loma del Padre</w:t>
            </w:r>
          </w:p>
        </w:tc>
        <w:tc>
          <w:tcPr>
            <w:tcW w:w="1908" w:type="dxa"/>
            <w:tcBorders>
              <w:left w:val="single" w:sz="4" w:space="0" w:color="D3D3D3"/>
              <w:bottom w:val="single" w:sz="4" w:space="0" w:color="5B9BD4"/>
              <w:right w:val="single" w:sz="4" w:space="0" w:color="D3D3D3"/>
            </w:tcBorders>
          </w:tcPr>
          <w:p>
            <w:pPr>
              <w:pStyle w:val="TableParagraph"/>
              <w:spacing w:before="27"/>
              <w:ind w:left="29"/>
              <w:rPr>
                <w:sz w:val="16"/>
              </w:rPr>
            </w:pPr>
            <w:r>
              <w:rPr>
                <w:w w:val="105"/>
                <w:sz w:val="16"/>
              </w:rPr>
              <w:t>Zentlapatl</w:t>
            </w:r>
          </w:p>
        </w:tc>
        <w:tc>
          <w:tcPr>
            <w:tcW w:w="1515" w:type="dxa"/>
            <w:tcBorders>
              <w:left w:val="single" w:sz="4" w:space="0" w:color="D3D3D3"/>
              <w:bottom w:val="single" w:sz="4" w:space="0" w:color="5B9BD4"/>
              <w:right w:val="single" w:sz="4" w:space="0" w:color="D3D3D3"/>
            </w:tcBorders>
          </w:tcPr>
          <w:p>
            <w:pPr>
              <w:pStyle w:val="TableParagraph"/>
              <w:spacing w:before="27"/>
              <w:ind w:right="33"/>
              <w:jc w:val="right"/>
              <w:rPr>
                <w:sz w:val="16"/>
              </w:rPr>
            </w:pPr>
            <w:r>
              <w:rPr>
                <w:w w:val="105"/>
                <w:sz w:val="16"/>
              </w:rPr>
              <w:t>1.99</w:t>
            </w:r>
          </w:p>
        </w:tc>
      </w:tr>
    </w:tbl>
    <w:p>
      <w:pPr>
        <w:pStyle w:val="BodyText"/>
        <w:spacing w:before="10"/>
        <w:rPr>
          <w:b/>
          <w:sz w:val="24"/>
        </w:rPr>
      </w:pPr>
      <w:r>
        <w:rPr/>
        <w:pict>
          <v:line style="position:absolute;mso-position-horizontal-relative:page;mso-position-vertical-relative:page;z-index:4768" from="139.880615pt,71.149757pt" to="139.880615pt,71.149757pt" stroked="true" strokeweight=".491148pt" strokecolor="#d3d3d3">
            <w10:wrap type="none"/>
          </v:line>
        </w:pict>
      </w:r>
      <w:r>
        <w:rPr/>
        <w:pict>
          <v:line style="position:absolute;mso-position-horizontal-relative:page;mso-position-vertical-relative:page;z-index:4792" from="191.027206pt,71.149757pt" to="191.027206pt,71.149757pt" stroked="true" strokeweight=".491148pt" strokecolor="#d3d3d3">
            <w10:wrap type="none"/>
          </v:line>
        </w:pict>
      </w:r>
      <w:r>
        <w:rPr/>
        <w:pict>
          <v:line style="position:absolute;mso-position-horizontal-relative:page;mso-position-vertical-relative:page;z-index:4816" from="355.277557pt,71.149757pt" to="355.277557pt,71.149757pt" stroked="true" strokeweight=".491148pt" strokecolor="#d3d3d3">
            <w10:wrap type="none"/>
          </v:line>
        </w:pict>
      </w:r>
      <w:r>
        <w:rPr/>
        <w:pict>
          <v:line style="position:absolute;mso-position-horizontal-relative:page;mso-position-vertical-relative:page;z-index:4840" from="450.669312pt,71.149757pt" to="450.669312pt,71.149757pt" stroked="true" strokeweight=".491148pt" strokecolor="#d3d3d3">
            <w10:wrap type="none"/>
          </v:line>
        </w:pict>
      </w:r>
      <w:r>
        <w:rPr/>
        <w:pict>
          <v:line style="position:absolute;mso-position-horizontal-relative:page;mso-position-vertical-relative:page;z-index:4864" from="526.396545pt,71.149757pt" to="526.396545pt,71.149757pt" stroked="true" strokeweight=".491148pt" strokecolor="#d3d3d3">
            <w10:wrap type="none"/>
          </v:line>
        </w:pict>
      </w:r>
    </w:p>
    <w:p>
      <w:pPr>
        <w:spacing w:before="78"/>
        <w:ind w:left="2111" w:right="0" w:firstLine="0"/>
        <w:jc w:val="left"/>
        <w:rPr>
          <w:sz w:val="16"/>
        </w:rPr>
      </w:pPr>
      <w:r>
        <w:rPr>
          <w:sz w:val="16"/>
        </w:rPr>
        <w:t>Fuente: Elaboración propia con base en la información de la PAOT (2011).</w:t>
      </w:r>
    </w:p>
    <w:p>
      <w:pPr>
        <w:spacing w:after="0"/>
        <w:jc w:val="left"/>
        <w:rPr>
          <w:sz w:val="16"/>
        </w:rPr>
        <w:sectPr>
          <w:pgSz w:w="12240" w:h="15840"/>
          <w:pgMar w:top="1420" w:bottom="280" w:left="1600" w:right="1600"/>
        </w:sectPr>
      </w:pPr>
    </w:p>
    <w:p>
      <w:pPr>
        <w:pStyle w:val="BodyText"/>
        <w:rPr>
          <w:sz w:val="20"/>
        </w:rPr>
      </w:pPr>
    </w:p>
    <w:p>
      <w:pPr>
        <w:pStyle w:val="BodyText"/>
        <w:spacing w:before="2"/>
      </w:pPr>
    </w:p>
    <w:p>
      <w:pPr>
        <w:spacing w:before="75"/>
        <w:ind w:left="116" w:right="0" w:firstLine="0"/>
        <w:jc w:val="left"/>
        <w:rPr>
          <w:b/>
          <w:sz w:val="20"/>
        </w:rPr>
      </w:pPr>
      <w:r>
        <w:rPr>
          <w:b/>
          <w:sz w:val="20"/>
        </w:rPr>
        <w:t>Anexo 2. Registros históricos de deslizamientos en la zona poniente de la Ciudad de México</w:t>
      </w:r>
    </w:p>
    <w:p>
      <w:pPr>
        <w:spacing w:before="173" w:after="24"/>
        <w:ind w:left="3141" w:right="0" w:firstLine="0"/>
        <w:jc w:val="left"/>
        <w:rPr>
          <w:b/>
          <w:sz w:val="20"/>
        </w:rPr>
      </w:pPr>
      <w:r>
        <w:rPr>
          <w:b/>
          <w:sz w:val="20"/>
        </w:rPr>
        <w:t>Tabla 11. Registros históricos de deslizamientos en la Delegación Álvaro Obregón</w:t>
      </w: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1"/>
        <w:gridCol w:w="1338"/>
        <w:gridCol w:w="1269"/>
        <w:gridCol w:w="3807"/>
        <w:gridCol w:w="898"/>
        <w:gridCol w:w="992"/>
        <w:gridCol w:w="898"/>
        <w:gridCol w:w="855"/>
        <w:gridCol w:w="906"/>
        <w:gridCol w:w="1097"/>
      </w:tblGrid>
      <w:tr>
        <w:trPr>
          <w:trHeight w:val="397" w:hRule="exact"/>
        </w:trPr>
        <w:tc>
          <w:tcPr>
            <w:tcW w:w="941" w:type="dxa"/>
            <w:shd w:val="clear" w:color="auto" w:fill="212B35"/>
          </w:tcPr>
          <w:p>
            <w:pPr>
              <w:pStyle w:val="TableParagraph"/>
              <w:spacing w:before="110"/>
              <w:ind w:right="59"/>
              <w:jc w:val="right"/>
              <w:rPr>
                <w:b/>
                <w:sz w:val="15"/>
              </w:rPr>
            </w:pPr>
            <w:r>
              <w:rPr>
                <w:b/>
                <w:color w:val="FFFFFF"/>
                <w:w w:val="105"/>
                <w:sz w:val="15"/>
              </w:rPr>
              <w:t>Fecha Inicio</w:t>
            </w:r>
          </w:p>
        </w:tc>
        <w:tc>
          <w:tcPr>
            <w:tcW w:w="1338" w:type="dxa"/>
            <w:shd w:val="clear" w:color="auto" w:fill="212B35"/>
          </w:tcPr>
          <w:p>
            <w:pPr>
              <w:pStyle w:val="TableParagraph"/>
              <w:spacing w:before="110"/>
              <w:ind w:left="487" w:right="494"/>
              <w:jc w:val="center"/>
              <w:rPr>
                <w:b/>
                <w:sz w:val="15"/>
              </w:rPr>
            </w:pPr>
            <w:r>
              <w:rPr>
                <w:b/>
                <w:color w:val="FFFFFF"/>
                <w:w w:val="105"/>
                <w:sz w:val="15"/>
              </w:rPr>
              <w:t>Sitio</w:t>
            </w:r>
          </w:p>
        </w:tc>
        <w:tc>
          <w:tcPr>
            <w:tcW w:w="1269" w:type="dxa"/>
            <w:shd w:val="clear" w:color="auto" w:fill="212B35"/>
          </w:tcPr>
          <w:p>
            <w:pPr>
              <w:pStyle w:val="TableParagraph"/>
              <w:spacing w:before="110"/>
              <w:ind w:left="371"/>
              <w:rPr>
                <w:b/>
                <w:sz w:val="15"/>
              </w:rPr>
            </w:pPr>
            <w:r>
              <w:rPr>
                <w:b/>
                <w:color w:val="FFFFFF"/>
                <w:w w:val="105"/>
                <w:sz w:val="15"/>
              </w:rPr>
              <w:t>Fuentes</w:t>
            </w:r>
          </w:p>
        </w:tc>
        <w:tc>
          <w:tcPr>
            <w:tcW w:w="3807" w:type="dxa"/>
            <w:shd w:val="clear" w:color="auto" w:fill="212B35"/>
          </w:tcPr>
          <w:p>
            <w:pPr>
              <w:pStyle w:val="TableParagraph"/>
              <w:spacing w:before="110"/>
              <w:ind w:left="1061" w:right="13"/>
              <w:rPr>
                <w:b/>
                <w:sz w:val="15"/>
              </w:rPr>
            </w:pPr>
            <w:r>
              <w:rPr>
                <w:b/>
                <w:color w:val="FFFFFF"/>
                <w:w w:val="105"/>
                <w:sz w:val="15"/>
              </w:rPr>
              <w:t>Observaciones de efectos</w:t>
            </w:r>
          </w:p>
        </w:tc>
        <w:tc>
          <w:tcPr>
            <w:tcW w:w="898" w:type="dxa"/>
            <w:shd w:val="clear" w:color="auto" w:fill="212B35"/>
          </w:tcPr>
          <w:p>
            <w:pPr>
              <w:pStyle w:val="TableParagraph"/>
              <w:spacing w:before="110"/>
              <w:ind w:left="163" w:right="99"/>
              <w:rPr>
                <w:b/>
                <w:sz w:val="15"/>
              </w:rPr>
            </w:pPr>
            <w:r>
              <w:rPr>
                <w:b/>
                <w:color w:val="FFFFFF"/>
                <w:w w:val="105"/>
                <w:sz w:val="15"/>
              </w:rPr>
              <w:t>Muertos</w:t>
            </w:r>
          </w:p>
        </w:tc>
        <w:tc>
          <w:tcPr>
            <w:tcW w:w="992" w:type="dxa"/>
            <w:shd w:val="clear" w:color="auto" w:fill="212B35"/>
          </w:tcPr>
          <w:p>
            <w:pPr>
              <w:pStyle w:val="TableParagraph"/>
              <w:spacing w:before="110"/>
              <w:ind w:left="34"/>
              <w:rPr>
                <w:b/>
                <w:sz w:val="15"/>
              </w:rPr>
            </w:pPr>
            <w:r>
              <w:rPr>
                <w:b/>
                <w:color w:val="FFFFFF"/>
                <w:w w:val="105"/>
                <w:sz w:val="15"/>
              </w:rPr>
              <w:t>Damnificados</w:t>
            </w:r>
          </w:p>
        </w:tc>
        <w:tc>
          <w:tcPr>
            <w:tcW w:w="898" w:type="dxa"/>
            <w:shd w:val="clear" w:color="auto" w:fill="212B35"/>
          </w:tcPr>
          <w:p>
            <w:pPr>
              <w:pStyle w:val="TableParagraph"/>
              <w:spacing w:line="276" w:lineRule="auto" w:before="15"/>
              <w:ind w:left="103" w:right="99" w:firstLine="17"/>
              <w:rPr>
                <w:b/>
                <w:sz w:val="15"/>
              </w:rPr>
            </w:pPr>
            <w:r>
              <w:rPr>
                <w:b/>
                <w:color w:val="FFFFFF"/>
                <w:sz w:val="15"/>
              </w:rPr>
              <w:t>Viviendas destruidas</w:t>
            </w:r>
          </w:p>
        </w:tc>
        <w:tc>
          <w:tcPr>
            <w:tcW w:w="855" w:type="dxa"/>
            <w:shd w:val="clear" w:color="auto" w:fill="212B35"/>
          </w:tcPr>
          <w:p>
            <w:pPr>
              <w:pStyle w:val="TableParagraph"/>
              <w:spacing w:line="276" w:lineRule="auto" w:before="15"/>
              <w:ind w:left="112" w:right="84" w:hanging="18"/>
              <w:rPr>
                <w:b/>
                <w:sz w:val="15"/>
              </w:rPr>
            </w:pPr>
            <w:r>
              <w:rPr>
                <w:b/>
                <w:color w:val="FFFFFF"/>
                <w:sz w:val="15"/>
              </w:rPr>
              <w:t>Viviendas </w:t>
            </w:r>
            <w:r>
              <w:rPr>
                <w:b/>
                <w:color w:val="FFFFFF"/>
                <w:w w:val="105"/>
                <w:sz w:val="15"/>
              </w:rPr>
              <w:t>afectadas</w:t>
            </w:r>
          </w:p>
        </w:tc>
        <w:tc>
          <w:tcPr>
            <w:tcW w:w="906" w:type="dxa"/>
            <w:shd w:val="clear" w:color="auto" w:fill="212B35"/>
          </w:tcPr>
          <w:p>
            <w:pPr>
              <w:pStyle w:val="TableParagraph"/>
              <w:spacing w:line="276" w:lineRule="auto" w:before="15"/>
              <w:ind w:left="258" w:right="177" w:hanging="70"/>
              <w:rPr>
                <w:b/>
                <w:sz w:val="15"/>
              </w:rPr>
            </w:pPr>
            <w:r>
              <w:rPr>
                <w:b/>
                <w:color w:val="FFFFFF"/>
                <w:w w:val="105"/>
                <w:sz w:val="15"/>
              </w:rPr>
              <w:t>Tipo de causa</w:t>
            </w:r>
          </w:p>
        </w:tc>
        <w:tc>
          <w:tcPr>
            <w:tcW w:w="1097" w:type="dxa"/>
            <w:tcBorders>
              <w:right w:val="single" w:sz="3" w:space="0" w:color="000000"/>
            </w:tcBorders>
            <w:shd w:val="clear" w:color="auto" w:fill="212B35"/>
          </w:tcPr>
          <w:p>
            <w:pPr>
              <w:pStyle w:val="TableParagraph"/>
              <w:spacing w:line="276" w:lineRule="auto" w:before="15"/>
              <w:ind w:left="259" w:right="2" w:hanging="199"/>
              <w:rPr>
                <w:b/>
                <w:sz w:val="15"/>
              </w:rPr>
            </w:pPr>
            <w:r>
              <w:rPr>
                <w:b/>
                <w:color w:val="FFFFFF"/>
                <w:sz w:val="15"/>
              </w:rPr>
              <w:t>Observaciones </w:t>
            </w:r>
            <w:r>
              <w:rPr>
                <w:b/>
                <w:color w:val="FFFFFF"/>
                <w:w w:val="105"/>
                <w:sz w:val="15"/>
              </w:rPr>
              <w:t>de causa</w:t>
            </w:r>
          </w:p>
        </w:tc>
      </w:tr>
      <w:tr>
        <w:trPr>
          <w:trHeight w:val="466" w:hRule="exact"/>
        </w:trPr>
        <w:tc>
          <w:tcPr>
            <w:tcW w:w="941" w:type="dxa"/>
          </w:tcPr>
          <w:p>
            <w:pPr>
              <w:pStyle w:val="TableParagraph"/>
              <w:spacing w:before="6"/>
              <w:rPr>
                <w:b/>
                <w:sz w:val="12"/>
              </w:rPr>
            </w:pPr>
          </w:p>
          <w:p>
            <w:pPr>
              <w:pStyle w:val="TableParagraph"/>
              <w:spacing w:before="1"/>
              <w:ind w:right="24"/>
              <w:jc w:val="right"/>
              <w:rPr>
                <w:sz w:val="15"/>
              </w:rPr>
            </w:pPr>
            <w:r>
              <w:rPr>
                <w:sz w:val="15"/>
              </w:rPr>
              <w:t>08/02/1972</w:t>
            </w:r>
          </w:p>
        </w:tc>
        <w:tc>
          <w:tcPr>
            <w:tcW w:w="1338" w:type="dxa"/>
          </w:tcPr>
          <w:p>
            <w:pPr>
              <w:pStyle w:val="TableParagraph"/>
              <w:spacing w:line="276" w:lineRule="auto" w:before="50"/>
              <w:ind w:left="25" w:right="9"/>
              <w:rPr>
                <w:sz w:val="15"/>
              </w:rPr>
            </w:pPr>
            <w:r>
              <w:rPr>
                <w:spacing w:val="-3"/>
                <w:w w:val="105"/>
                <w:sz w:val="15"/>
              </w:rPr>
              <w:t>Colonia </w:t>
            </w:r>
            <w:r>
              <w:rPr>
                <w:w w:val="105"/>
                <w:sz w:val="15"/>
              </w:rPr>
              <w:t>Belén de </w:t>
            </w:r>
            <w:r>
              <w:rPr>
                <w:spacing w:val="-3"/>
                <w:w w:val="105"/>
                <w:sz w:val="15"/>
              </w:rPr>
              <w:t>las </w:t>
            </w:r>
            <w:r>
              <w:rPr>
                <w:w w:val="105"/>
                <w:sz w:val="15"/>
              </w:rPr>
              <w:t>Flores</w:t>
            </w:r>
          </w:p>
        </w:tc>
        <w:tc>
          <w:tcPr>
            <w:tcW w:w="1269" w:type="dxa"/>
          </w:tcPr>
          <w:p>
            <w:pPr>
              <w:pStyle w:val="TableParagraph"/>
              <w:spacing w:line="276" w:lineRule="auto" w:before="50"/>
              <w:ind w:left="25"/>
              <w:rPr>
                <w:sz w:val="15"/>
              </w:rPr>
            </w:pPr>
            <w:r>
              <w:rPr>
                <w:w w:val="105"/>
                <w:sz w:val="15"/>
              </w:rPr>
              <w:t>El Universal </w:t>
            </w:r>
            <w:r>
              <w:rPr>
                <w:sz w:val="15"/>
              </w:rPr>
              <w:t>02/09/1972:55/8</w:t>
            </w:r>
          </w:p>
        </w:tc>
        <w:tc>
          <w:tcPr>
            <w:tcW w:w="3807" w:type="dxa"/>
          </w:tcPr>
          <w:p>
            <w:pPr>
              <w:pStyle w:val="TableParagraph"/>
              <w:spacing w:before="6"/>
              <w:rPr>
                <w:b/>
                <w:sz w:val="12"/>
              </w:rPr>
            </w:pPr>
          </w:p>
          <w:p>
            <w:pPr>
              <w:pStyle w:val="TableParagraph"/>
              <w:spacing w:before="1"/>
              <w:ind w:left="25" w:right="13"/>
              <w:rPr>
                <w:sz w:val="15"/>
              </w:rPr>
            </w:pPr>
            <w:r>
              <w:rPr>
                <w:w w:val="105"/>
                <w:sz w:val="15"/>
              </w:rPr>
              <w:t>Se produjo un derrumbe en una cueva.</w:t>
            </w:r>
          </w:p>
        </w:tc>
        <w:tc>
          <w:tcPr>
            <w:tcW w:w="898" w:type="dxa"/>
          </w:tcPr>
          <w:p>
            <w:pPr>
              <w:pStyle w:val="TableParagraph"/>
              <w:spacing w:before="6"/>
              <w:rPr>
                <w:b/>
                <w:sz w:val="12"/>
              </w:rPr>
            </w:pPr>
          </w:p>
          <w:p>
            <w:pPr>
              <w:pStyle w:val="TableParagraph"/>
              <w:spacing w:before="1"/>
              <w:ind w:right="24"/>
              <w:jc w:val="right"/>
              <w:rPr>
                <w:sz w:val="15"/>
              </w:rPr>
            </w:pPr>
            <w:r>
              <w:rPr>
                <w:w w:val="103"/>
                <w:sz w:val="15"/>
              </w:rPr>
              <w:t>1</w:t>
            </w:r>
          </w:p>
        </w:tc>
        <w:tc>
          <w:tcPr>
            <w:tcW w:w="992" w:type="dxa"/>
          </w:tcPr>
          <w:p>
            <w:pPr>
              <w:pStyle w:val="TableParagraph"/>
              <w:spacing w:before="6"/>
              <w:rPr>
                <w:b/>
                <w:sz w:val="12"/>
              </w:rPr>
            </w:pPr>
          </w:p>
          <w:p>
            <w:pPr>
              <w:pStyle w:val="TableParagraph"/>
              <w:spacing w:before="1"/>
              <w:ind w:right="23"/>
              <w:jc w:val="right"/>
              <w:rPr>
                <w:sz w:val="15"/>
              </w:rPr>
            </w:pPr>
            <w:r>
              <w:rPr>
                <w:w w:val="103"/>
                <w:sz w:val="15"/>
              </w:rPr>
              <w:t>0</w:t>
            </w:r>
          </w:p>
        </w:tc>
        <w:tc>
          <w:tcPr>
            <w:tcW w:w="898" w:type="dxa"/>
          </w:tcPr>
          <w:p>
            <w:pPr>
              <w:pStyle w:val="TableParagraph"/>
              <w:spacing w:before="6"/>
              <w:rPr>
                <w:b/>
                <w:sz w:val="12"/>
              </w:rPr>
            </w:pPr>
          </w:p>
          <w:p>
            <w:pPr>
              <w:pStyle w:val="TableParagraph"/>
              <w:spacing w:before="1"/>
              <w:ind w:right="23"/>
              <w:jc w:val="right"/>
              <w:rPr>
                <w:sz w:val="15"/>
              </w:rPr>
            </w:pPr>
            <w:r>
              <w:rPr>
                <w:w w:val="103"/>
                <w:sz w:val="15"/>
              </w:rPr>
              <w:t>1</w:t>
            </w:r>
          </w:p>
        </w:tc>
        <w:tc>
          <w:tcPr>
            <w:tcW w:w="855" w:type="dxa"/>
          </w:tcPr>
          <w:p>
            <w:pPr>
              <w:pStyle w:val="TableParagraph"/>
              <w:spacing w:before="6"/>
              <w:rPr>
                <w:b/>
                <w:sz w:val="12"/>
              </w:rPr>
            </w:pPr>
          </w:p>
          <w:p>
            <w:pPr>
              <w:pStyle w:val="TableParagraph"/>
              <w:spacing w:before="1"/>
              <w:ind w:left="25" w:right="84"/>
              <w:rPr>
                <w:sz w:val="15"/>
              </w:rPr>
            </w:pPr>
            <w:r>
              <w:rPr>
                <w:w w:val="105"/>
                <w:sz w:val="15"/>
              </w:rPr>
              <w:t>Si</w:t>
            </w:r>
          </w:p>
        </w:tc>
        <w:tc>
          <w:tcPr>
            <w:tcW w:w="906" w:type="dxa"/>
          </w:tcPr>
          <w:p>
            <w:pPr>
              <w:pStyle w:val="TableParagraph"/>
              <w:spacing w:before="6"/>
              <w:rPr>
                <w:b/>
                <w:sz w:val="12"/>
              </w:rPr>
            </w:pPr>
          </w:p>
          <w:p>
            <w:pPr>
              <w:pStyle w:val="TableParagraph"/>
              <w:spacing w:before="1"/>
              <w:ind w:left="25" w:right="177"/>
              <w:rPr>
                <w:sz w:val="15"/>
              </w:rPr>
            </w:pPr>
            <w:r>
              <w:rPr>
                <w:w w:val="105"/>
                <w:sz w:val="15"/>
              </w:rPr>
              <w:t>Lluvias</w:t>
            </w:r>
          </w:p>
        </w:tc>
        <w:tc>
          <w:tcPr>
            <w:tcW w:w="1097" w:type="dxa"/>
            <w:tcBorders>
              <w:right w:val="single" w:sz="3" w:space="0" w:color="000000"/>
            </w:tcBorders>
          </w:tcPr>
          <w:p>
            <w:pPr/>
          </w:p>
        </w:tc>
      </w:tr>
      <w:tr>
        <w:trPr>
          <w:trHeight w:val="397" w:hRule="exact"/>
        </w:trPr>
        <w:tc>
          <w:tcPr>
            <w:tcW w:w="941" w:type="dxa"/>
          </w:tcPr>
          <w:p>
            <w:pPr>
              <w:pStyle w:val="TableParagraph"/>
              <w:spacing w:before="110"/>
              <w:ind w:right="24"/>
              <w:jc w:val="right"/>
              <w:rPr>
                <w:sz w:val="15"/>
              </w:rPr>
            </w:pPr>
            <w:r>
              <w:rPr>
                <w:sz w:val="15"/>
              </w:rPr>
              <w:t>19/09/1973</w:t>
            </w:r>
          </w:p>
        </w:tc>
        <w:tc>
          <w:tcPr>
            <w:tcW w:w="1338" w:type="dxa"/>
          </w:tcPr>
          <w:p>
            <w:pPr/>
          </w:p>
        </w:tc>
        <w:tc>
          <w:tcPr>
            <w:tcW w:w="1269" w:type="dxa"/>
          </w:tcPr>
          <w:p>
            <w:pPr>
              <w:pStyle w:val="TableParagraph"/>
              <w:spacing w:line="276" w:lineRule="auto" w:before="15"/>
              <w:ind w:left="25"/>
              <w:rPr>
                <w:sz w:val="15"/>
              </w:rPr>
            </w:pPr>
            <w:r>
              <w:rPr>
                <w:w w:val="105"/>
                <w:sz w:val="15"/>
              </w:rPr>
              <w:t>Excélsior 19/9/1973: 14-a</w:t>
            </w:r>
          </w:p>
        </w:tc>
        <w:tc>
          <w:tcPr>
            <w:tcW w:w="3807" w:type="dxa"/>
          </w:tcPr>
          <w:p>
            <w:pPr/>
          </w:p>
        </w:tc>
        <w:tc>
          <w:tcPr>
            <w:tcW w:w="898" w:type="dxa"/>
          </w:tcPr>
          <w:p>
            <w:pPr>
              <w:pStyle w:val="TableParagraph"/>
              <w:spacing w:before="110"/>
              <w:ind w:right="24"/>
              <w:jc w:val="right"/>
              <w:rPr>
                <w:sz w:val="15"/>
              </w:rPr>
            </w:pPr>
            <w:r>
              <w:rPr>
                <w:w w:val="103"/>
                <w:sz w:val="15"/>
              </w:rPr>
              <w:t>2</w:t>
            </w:r>
          </w:p>
        </w:tc>
        <w:tc>
          <w:tcPr>
            <w:tcW w:w="992" w:type="dxa"/>
          </w:tcPr>
          <w:p>
            <w:pPr>
              <w:pStyle w:val="TableParagraph"/>
              <w:spacing w:before="110"/>
              <w:ind w:right="23"/>
              <w:jc w:val="right"/>
              <w:rPr>
                <w:sz w:val="15"/>
              </w:rPr>
            </w:pPr>
            <w:r>
              <w:rPr>
                <w:w w:val="103"/>
                <w:sz w:val="15"/>
              </w:rPr>
              <w:t>0</w:t>
            </w:r>
          </w:p>
        </w:tc>
        <w:tc>
          <w:tcPr>
            <w:tcW w:w="898" w:type="dxa"/>
          </w:tcPr>
          <w:p>
            <w:pPr>
              <w:pStyle w:val="TableParagraph"/>
              <w:spacing w:before="110"/>
              <w:ind w:right="23"/>
              <w:jc w:val="right"/>
              <w:rPr>
                <w:sz w:val="15"/>
              </w:rPr>
            </w:pPr>
            <w:r>
              <w:rPr>
                <w:w w:val="103"/>
                <w:sz w:val="15"/>
              </w:rPr>
              <w:t>1</w:t>
            </w:r>
          </w:p>
        </w:tc>
        <w:tc>
          <w:tcPr>
            <w:tcW w:w="855" w:type="dxa"/>
          </w:tcPr>
          <w:p>
            <w:pPr>
              <w:pStyle w:val="TableParagraph"/>
              <w:spacing w:before="110"/>
              <w:ind w:right="23"/>
              <w:jc w:val="right"/>
              <w:rPr>
                <w:sz w:val="15"/>
              </w:rPr>
            </w:pPr>
            <w:r>
              <w:rPr>
                <w:w w:val="103"/>
                <w:sz w:val="15"/>
              </w:rPr>
              <w:t>1</w:t>
            </w:r>
          </w:p>
        </w:tc>
        <w:tc>
          <w:tcPr>
            <w:tcW w:w="906" w:type="dxa"/>
          </w:tcPr>
          <w:p>
            <w:pPr>
              <w:pStyle w:val="TableParagraph"/>
              <w:spacing w:before="110"/>
              <w:ind w:left="25" w:right="177"/>
              <w:rPr>
                <w:sz w:val="15"/>
              </w:rPr>
            </w:pPr>
            <w:r>
              <w:rPr>
                <w:w w:val="105"/>
                <w:sz w:val="15"/>
              </w:rPr>
              <w:t>Lluvias</w:t>
            </w:r>
          </w:p>
        </w:tc>
        <w:tc>
          <w:tcPr>
            <w:tcW w:w="1097" w:type="dxa"/>
            <w:tcBorders>
              <w:right w:val="single" w:sz="3" w:space="0" w:color="000000"/>
            </w:tcBorders>
          </w:tcPr>
          <w:p>
            <w:pPr/>
          </w:p>
        </w:tc>
      </w:tr>
      <w:tr>
        <w:trPr>
          <w:trHeight w:val="518" w:hRule="exact"/>
        </w:trPr>
        <w:tc>
          <w:tcPr>
            <w:tcW w:w="941" w:type="dxa"/>
          </w:tcPr>
          <w:p>
            <w:pPr>
              <w:pStyle w:val="TableParagraph"/>
              <w:spacing w:before="9"/>
              <w:rPr>
                <w:b/>
                <w:sz w:val="14"/>
              </w:rPr>
            </w:pPr>
          </w:p>
          <w:p>
            <w:pPr>
              <w:pStyle w:val="TableParagraph"/>
              <w:spacing w:before="1"/>
              <w:ind w:right="24"/>
              <w:jc w:val="right"/>
              <w:rPr>
                <w:sz w:val="15"/>
              </w:rPr>
            </w:pPr>
            <w:r>
              <w:rPr>
                <w:sz w:val="15"/>
              </w:rPr>
              <w:t>06/12/1973</w:t>
            </w:r>
          </w:p>
        </w:tc>
        <w:tc>
          <w:tcPr>
            <w:tcW w:w="1338" w:type="dxa"/>
          </w:tcPr>
          <w:p>
            <w:pPr>
              <w:pStyle w:val="TableParagraph"/>
              <w:spacing w:line="276" w:lineRule="auto" w:before="75"/>
              <w:ind w:left="25" w:right="-20"/>
              <w:rPr>
                <w:sz w:val="15"/>
              </w:rPr>
            </w:pPr>
            <w:r>
              <w:rPr>
                <w:w w:val="105"/>
                <w:sz w:val="15"/>
              </w:rPr>
              <w:t>Colonia Las Butacas Villa Obregón</w:t>
            </w:r>
          </w:p>
        </w:tc>
        <w:tc>
          <w:tcPr>
            <w:tcW w:w="1269" w:type="dxa"/>
          </w:tcPr>
          <w:p>
            <w:pPr>
              <w:pStyle w:val="TableParagraph"/>
              <w:spacing w:line="276" w:lineRule="auto" w:before="75"/>
              <w:ind w:left="25"/>
              <w:rPr>
                <w:sz w:val="15"/>
              </w:rPr>
            </w:pPr>
            <w:r>
              <w:rPr>
                <w:w w:val="105"/>
                <w:sz w:val="15"/>
              </w:rPr>
              <w:t>El Universal </w:t>
            </w:r>
            <w:r>
              <w:rPr>
                <w:sz w:val="15"/>
              </w:rPr>
              <w:t>1973/12/07:11</w:t>
            </w:r>
          </w:p>
        </w:tc>
        <w:tc>
          <w:tcPr>
            <w:tcW w:w="3807" w:type="dxa"/>
          </w:tcPr>
          <w:p>
            <w:pPr>
              <w:pStyle w:val="TableParagraph"/>
              <w:spacing w:line="276" w:lineRule="auto" w:before="75"/>
              <w:ind w:left="25" w:right="13"/>
              <w:rPr>
                <w:sz w:val="15"/>
              </w:rPr>
            </w:pPr>
            <w:r>
              <w:rPr>
                <w:w w:val="105"/>
                <w:sz w:val="15"/>
              </w:rPr>
              <w:t>108 </w:t>
            </w:r>
            <w:r>
              <w:rPr>
                <w:spacing w:val="-4"/>
                <w:w w:val="105"/>
                <w:sz w:val="15"/>
              </w:rPr>
              <w:t>familias </w:t>
            </w:r>
            <w:r>
              <w:rPr>
                <w:w w:val="105"/>
                <w:sz w:val="15"/>
              </w:rPr>
              <w:t>se transladaron a </w:t>
            </w:r>
            <w:r>
              <w:rPr>
                <w:spacing w:val="-5"/>
                <w:w w:val="105"/>
                <w:sz w:val="15"/>
              </w:rPr>
              <w:t>la </w:t>
            </w:r>
            <w:r>
              <w:rPr>
                <w:w w:val="105"/>
                <w:sz w:val="15"/>
              </w:rPr>
              <w:t>Unidad Ejército de Oriente en </w:t>
            </w:r>
            <w:r>
              <w:rPr>
                <w:spacing w:val="-5"/>
                <w:w w:val="105"/>
                <w:sz w:val="15"/>
              </w:rPr>
              <w:t>la </w:t>
            </w:r>
            <w:r>
              <w:rPr>
                <w:w w:val="105"/>
                <w:sz w:val="15"/>
              </w:rPr>
              <w:t>que quedaron alojadas.</w:t>
            </w:r>
          </w:p>
        </w:tc>
        <w:tc>
          <w:tcPr>
            <w:tcW w:w="898" w:type="dxa"/>
          </w:tcPr>
          <w:p>
            <w:pPr>
              <w:pStyle w:val="TableParagraph"/>
              <w:spacing w:before="9"/>
              <w:rPr>
                <w:b/>
                <w:sz w:val="14"/>
              </w:rPr>
            </w:pPr>
          </w:p>
          <w:p>
            <w:pPr>
              <w:pStyle w:val="TableParagraph"/>
              <w:spacing w:before="1"/>
              <w:ind w:right="24"/>
              <w:jc w:val="right"/>
              <w:rPr>
                <w:sz w:val="15"/>
              </w:rPr>
            </w:pPr>
            <w:r>
              <w:rPr>
                <w:w w:val="103"/>
                <w:sz w:val="15"/>
              </w:rPr>
              <w:t>7</w:t>
            </w:r>
          </w:p>
        </w:tc>
        <w:tc>
          <w:tcPr>
            <w:tcW w:w="992" w:type="dxa"/>
          </w:tcPr>
          <w:p>
            <w:pPr>
              <w:pStyle w:val="TableParagraph"/>
              <w:spacing w:before="9"/>
              <w:rPr>
                <w:b/>
                <w:sz w:val="14"/>
              </w:rPr>
            </w:pPr>
          </w:p>
          <w:p>
            <w:pPr>
              <w:pStyle w:val="TableParagraph"/>
              <w:spacing w:before="1"/>
              <w:ind w:right="23"/>
              <w:jc w:val="right"/>
              <w:rPr>
                <w:sz w:val="15"/>
              </w:rPr>
            </w:pPr>
            <w:r>
              <w:rPr>
                <w:sz w:val="15"/>
              </w:rPr>
              <w:t>432</w:t>
            </w:r>
          </w:p>
        </w:tc>
        <w:tc>
          <w:tcPr>
            <w:tcW w:w="898" w:type="dxa"/>
          </w:tcPr>
          <w:p>
            <w:pPr>
              <w:pStyle w:val="TableParagraph"/>
              <w:spacing w:before="9"/>
              <w:rPr>
                <w:b/>
                <w:sz w:val="14"/>
              </w:rPr>
            </w:pPr>
          </w:p>
          <w:p>
            <w:pPr>
              <w:pStyle w:val="TableParagraph"/>
              <w:spacing w:before="1"/>
              <w:ind w:right="23"/>
              <w:jc w:val="right"/>
              <w:rPr>
                <w:sz w:val="15"/>
              </w:rPr>
            </w:pPr>
            <w:r>
              <w:rPr>
                <w:w w:val="103"/>
                <w:sz w:val="15"/>
              </w:rPr>
              <w:t>5</w:t>
            </w:r>
          </w:p>
        </w:tc>
        <w:tc>
          <w:tcPr>
            <w:tcW w:w="855" w:type="dxa"/>
          </w:tcPr>
          <w:p>
            <w:pPr>
              <w:pStyle w:val="TableParagraph"/>
              <w:spacing w:before="9"/>
              <w:rPr>
                <w:b/>
                <w:sz w:val="14"/>
              </w:rPr>
            </w:pPr>
          </w:p>
          <w:p>
            <w:pPr>
              <w:pStyle w:val="TableParagraph"/>
              <w:spacing w:before="1"/>
              <w:ind w:right="24"/>
              <w:jc w:val="right"/>
              <w:rPr>
                <w:sz w:val="15"/>
              </w:rPr>
            </w:pPr>
            <w:r>
              <w:rPr>
                <w:sz w:val="15"/>
              </w:rPr>
              <w:t>103</w:t>
            </w:r>
          </w:p>
        </w:tc>
        <w:tc>
          <w:tcPr>
            <w:tcW w:w="906" w:type="dxa"/>
          </w:tcPr>
          <w:p>
            <w:pPr>
              <w:pStyle w:val="TableParagraph"/>
              <w:spacing w:before="9"/>
              <w:rPr>
                <w:b/>
                <w:sz w:val="14"/>
              </w:rPr>
            </w:pPr>
          </w:p>
          <w:p>
            <w:pPr>
              <w:pStyle w:val="TableParagraph"/>
              <w:spacing w:before="1"/>
              <w:ind w:left="25" w:right="177"/>
              <w:rPr>
                <w:sz w:val="15"/>
              </w:rPr>
            </w:pPr>
            <w:r>
              <w:rPr>
                <w:w w:val="105"/>
                <w:sz w:val="15"/>
              </w:rPr>
              <w:t>Lluvias</w:t>
            </w:r>
          </w:p>
        </w:tc>
        <w:tc>
          <w:tcPr>
            <w:tcW w:w="1097" w:type="dxa"/>
            <w:tcBorders>
              <w:right w:val="single" w:sz="3" w:space="0" w:color="000000"/>
            </w:tcBorders>
          </w:tcPr>
          <w:p>
            <w:pPr/>
          </w:p>
        </w:tc>
      </w:tr>
      <w:tr>
        <w:trPr>
          <w:trHeight w:val="1027" w:hRule="exact"/>
        </w:trPr>
        <w:tc>
          <w:tcPr>
            <w:tcW w:w="941" w:type="dxa"/>
          </w:tcPr>
          <w:p>
            <w:pPr>
              <w:pStyle w:val="TableParagraph"/>
              <w:rPr>
                <w:b/>
                <w:sz w:val="16"/>
              </w:rPr>
            </w:pPr>
          </w:p>
          <w:p>
            <w:pPr>
              <w:pStyle w:val="TableParagraph"/>
              <w:spacing w:before="4"/>
              <w:rPr>
                <w:b/>
                <w:sz w:val="21"/>
              </w:rPr>
            </w:pPr>
          </w:p>
          <w:p>
            <w:pPr>
              <w:pStyle w:val="TableParagraph"/>
              <w:ind w:right="24"/>
              <w:jc w:val="right"/>
              <w:rPr>
                <w:sz w:val="15"/>
              </w:rPr>
            </w:pPr>
            <w:r>
              <w:rPr>
                <w:sz w:val="15"/>
              </w:rPr>
              <w:t>27/02/1974</w:t>
            </w:r>
          </w:p>
        </w:tc>
        <w:tc>
          <w:tcPr>
            <w:tcW w:w="1338" w:type="dxa"/>
          </w:tcPr>
          <w:p>
            <w:pPr>
              <w:pStyle w:val="TableParagraph"/>
              <w:rPr>
                <w:b/>
                <w:sz w:val="16"/>
              </w:rPr>
            </w:pPr>
          </w:p>
          <w:p>
            <w:pPr>
              <w:pStyle w:val="TableParagraph"/>
              <w:spacing w:line="276" w:lineRule="auto" w:before="142"/>
              <w:ind w:left="25" w:right="64"/>
              <w:rPr>
                <w:sz w:val="15"/>
              </w:rPr>
            </w:pPr>
            <w:r>
              <w:rPr>
                <w:w w:val="105"/>
                <w:sz w:val="15"/>
              </w:rPr>
              <w:t>Col. Real del Monte, San Angel</w:t>
            </w:r>
          </w:p>
        </w:tc>
        <w:tc>
          <w:tcPr>
            <w:tcW w:w="1269" w:type="dxa"/>
          </w:tcPr>
          <w:p>
            <w:pPr>
              <w:pStyle w:val="TableParagraph"/>
              <w:rPr>
                <w:b/>
                <w:sz w:val="16"/>
              </w:rPr>
            </w:pPr>
          </w:p>
          <w:p>
            <w:pPr>
              <w:pStyle w:val="TableParagraph"/>
              <w:spacing w:line="276" w:lineRule="auto" w:before="142"/>
              <w:ind w:left="25"/>
              <w:rPr>
                <w:sz w:val="15"/>
              </w:rPr>
            </w:pPr>
            <w:r>
              <w:rPr>
                <w:w w:val="105"/>
                <w:sz w:val="15"/>
              </w:rPr>
              <w:t>Excélsior </w:t>
            </w:r>
            <w:r>
              <w:rPr>
                <w:sz w:val="15"/>
              </w:rPr>
              <w:t>28/02/1974:26a</w:t>
            </w:r>
          </w:p>
        </w:tc>
        <w:tc>
          <w:tcPr>
            <w:tcW w:w="3807" w:type="dxa"/>
          </w:tcPr>
          <w:p>
            <w:pPr>
              <w:pStyle w:val="TableParagraph"/>
              <w:spacing w:line="276" w:lineRule="auto" w:before="32"/>
              <w:ind w:left="25" w:right="30"/>
              <w:rPr>
                <w:sz w:val="15"/>
              </w:rPr>
            </w:pPr>
            <w:r>
              <w:rPr>
                <w:w w:val="105"/>
                <w:sz w:val="15"/>
              </w:rPr>
              <w:t>Las </w:t>
            </w:r>
            <w:r>
              <w:rPr>
                <w:spacing w:val="-4"/>
                <w:w w:val="105"/>
                <w:sz w:val="15"/>
              </w:rPr>
              <w:t>familias </w:t>
            </w:r>
            <w:r>
              <w:rPr>
                <w:w w:val="105"/>
                <w:sz w:val="15"/>
              </w:rPr>
              <w:t>afectadas fueron </w:t>
            </w:r>
            <w:r>
              <w:rPr>
                <w:spacing w:val="-3"/>
                <w:w w:val="105"/>
                <w:sz w:val="15"/>
              </w:rPr>
              <w:t>llevadas </w:t>
            </w:r>
            <w:r>
              <w:rPr>
                <w:w w:val="105"/>
                <w:sz w:val="15"/>
              </w:rPr>
              <w:t>al centro de </w:t>
            </w:r>
            <w:r>
              <w:rPr>
                <w:spacing w:val="-3"/>
                <w:w w:val="105"/>
                <w:sz w:val="15"/>
              </w:rPr>
              <w:t>Asistencia </w:t>
            </w:r>
            <w:r>
              <w:rPr>
                <w:w w:val="105"/>
                <w:sz w:val="15"/>
              </w:rPr>
              <w:t>social Margarita Maza de Juárez. Las </w:t>
            </w:r>
            <w:r>
              <w:rPr>
                <w:spacing w:val="-3"/>
                <w:w w:val="105"/>
                <w:sz w:val="15"/>
              </w:rPr>
              <w:t>colonias </w:t>
            </w:r>
            <w:r>
              <w:rPr>
                <w:w w:val="105"/>
                <w:sz w:val="15"/>
              </w:rPr>
              <w:t>están construidas sobre </w:t>
            </w:r>
            <w:r>
              <w:rPr>
                <w:spacing w:val="-5"/>
                <w:w w:val="105"/>
                <w:sz w:val="15"/>
              </w:rPr>
              <w:t>lo </w:t>
            </w:r>
            <w:r>
              <w:rPr>
                <w:w w:val="105"/>
                <w:sz w:val="15"/>
              </w:rPr>
              <w:t>que fueron minas de arena. En </w:t>
            </w:r>
            <w:r>
              <w:rPr>
                <w:spacing w:val="-5"/>
                <w:w w:val="105"/>
                <w:sz w:val="15"/>
              </w:rPr>
              <w:t>la </w:t>
            </w:r>
            <w:r>
              <w:rPr>
                <w:spacing w:val="-4"/>
                <w:w w:val="105"/>
                <w:sz w:val="15"/>
              </w:rPr>
              <w:t>calle </w:t>
            </w:r>
            <w:r>
              <w:rPr>
                <w:spacing w:val="-3"/>
                <w:w w:val="105"/>
                <w:sz w:val="15"/>
              </w:rPr>
              <w:t>Mina </w:t>
            </w:r>
            <w:r>
              <w:rPr>
                <w:w w:val="105"/>
                <w:sz w:val="15"/>
              </w:rPr>
              <w:t>hubo un desgajamiento de más de 7 mts. En un área de 25 hectáreas habitan alrededor de 250 </w:t>
            </w:r>
            <w:r>
              <w:rPr>
                <w:spacing w:val="-3"/>
                <w:w w:val="105"/>
                <w:sz w:val="15"/>
              </w:rPr>
              <w:t>mil </w:t>
            </w:r>
            <w:r>
              <w:rPr>
                <w:w w:val="105"/>
                <w:sz w:val="15"/>
              </w:rPr>
              <w:t>personas.</w:t>
            </w:r>
          </w:p>
        </w:tc>
        <w:tc>
          <w:tcPr>
            <w:tcW w:w="898" w:type="dxa"/>
          </w:tcPr>
          <w:p>
            <w:pPr>
              <w:pStyle w:val="TableParagraph"/>
              <w:rPr>
                <w:b/>
                <w:sz w:val="16"/>
              </w:rPr>
            </w:pPr>
          </w:p>
          <w:p>
            <w:pPr>
              <w:pStyle w:val="TableParagraph"/>
              <w:spacing w:before="4"/>
              <w:rPr>
                <w:b/>
                <w:sz w:val="21"/>
              </w:rPr>
            </w:pPr>
          </w:p>
          <w:p>
            <w:pPr>
              <w:pStyle w:val="TableParagraph"/>
              <w:ind w:right="24"/>
              <w:jc w:val="right"/>
              <w:rPr>
                <w:sz w:val="15"/>
              </w:rPr>
            </w:pPr>
            <w:r>
              <w:rPr>
                <w:w w:val="103"/>
                <w:sz w:val="15"/>
              </w:rPr>
              <w:t>1</w:t>
            </w:r>
          </w:p>
        </w:tc>
        <w:tc>
          <w:tcPr>
            <w:tcW w:w="992" w:type="dxa"/>
          </w:tcPr>
          <w:p>
            <w:pPr>
              <w:pStyle w:val="TableParagraph"/>
              <w:rPr>
                <w:b/>
                <w:sz w:val="16"/>
              </w:rPr>
            </w:pPr>
          </w:p>
          <w:p>
            <w:pPr>
              <w:pStyle w:val="TableParagraph"/>
              <w:spacing w:before="4"/>
              <w:rPr>
                <w:b/>
                <w:sz w:val="21"/>
              </w:rPr>
            </w:pPr>
          </w:p>
          <w:p>
            <w:pPr>
              <w:pStyle w:val="TableParagraph"/>
              <w:ind w:left="25"/>
              <w:rPr>
                <w:sz w:val="15"/>
              </w:rPr>
            </w:pPr>
            <w:r>
              <w:rPr>
                <w:w w:val="105"/>
                <w:sz w:val="15"/>
              </w:rPr>
              <w:t>Si</w:t>
            </w:r>
          </w:p>
        </w:tc>
        <w:tc>
          <w:tcPr>
            <w:tcW w:w="898" w:type="dxa"/>
          </w:tcPr>
          <w:p>
            <w:pPr>
              <w:pStyle w:val="TableParagraph"/>
              <w:rPr>
                <w:b/>
                <w:sz w:val="16"/>
              </w:rPr>
            </w:pPr>
          </w:p>
          <w:p>
            <w:pPr>
              <w:pStyle w:val="TableParagraph"/>
              <w:spacing w:before="4"/>
              <w:rPr>
                <w:b/>
                <w:sz w:val="21"/>
              </w:rPr>
            </w:pPr>
          </w:p>
          <w:p>
            <w:pPr>
              <w:pStyle w:val="TableParagraph"/>
              <w:ind w:right="23"/>
              <w:jc w:val="right"/>
              <w:rPr>
                <w:sz w:val="15"/>
              </w:rPr>
            </w:pPr>
            <w:r>
              <w:rPr>
                <w:w w:val="103"/>
                <w:sz w:val="15"/>
              </w:rPr>
              <w:t>4</w:t>
            </w:r>
          </w:p>
        </w:tc>
        <w:tc>
          <w:tcPr>
            <w:tcW w:w="855" w:type="dxa"/>
          </w:tcPr>
          <w:p>
            <w:pPr>
              <w:pStyle w:val="TableParagraph"/>
              <w:rPr>
                <w:b/>
                <w:sz w:val="16"/>
              </w:rPr>
            </w:pPr>
          </w:p>
          <w:p>
            <w:pPr>
              <w:pStyle w:val="TableParagraph"/>
              <w:spacing w:before="4"/>
              <w:rPr>
                <w:b/>
                <w:sz w:val="21"/>
              </w:rPr>
            </w:pPr>
          </w:p>
          <w:p>
            <w:pPr>
              <w:pStyle w:val="TableParagraph"/>
              <w:ind w:right="24"/>
              <w:jc w:val="right"/>
              <w:rPr>
                <w:sz w:val="15"/>
              </w:rPr>
            </w:pPr>
            <w:r>
              <w:rPr>
                <w:sz w:val="15"/>
              </w:rPr>
              <w:t>10</w:t>
            </w:r>
          </w:p>
        </w:tc>
        <w:tc>
          <w:tcPr>
            <w:tcW w:w="906" w:type="dxa"/>
          </w:tcPr>
          <w:p>
            <w:pPr>
              <w:pStyle w:val="TableParagraph"/>
              <w:rPr>
                <w:b/>
                <w:sz w:val="16"/>
              </w:rPr>
            </w:pPr>
          </w:p>
          <w:p>
            <w:pPr>
              <w:pStyle w:val="TableParagraph"/>
              <w:spacing w:before="4"/>
              <w:rPr>
                <w:b/>
                <w:sz w:val="21"/>
              </w:rPr>
            </w:pPr>
          </w:p>
          <w:p>
            <w:pPr>
              <w:pStyle w:val="TableParagraph"/>
              <w:ind w:left="25"/>
              <w:rPr>
                <w:sz w:val="15"/>
              </w:rPr>
            </w:pPr>
            <w:r>
              <w:rPr>
                <w:w w:val="105"/>
                <w:sz w:val="15"/>
              </w:rPr>
              <w:t>Localización</w:t>
            </w:r>
          </w:p>
        </w:tc>
        <w:tc>
          <w:tcPr>
            <w:tcW w:w="1097" w:type="dxa"/>
            <w:tcBorders>
              <w:right w:val="single" w:sz="3" w:space="0" w:color="000000"/>
            </w:tcBorders>
          </w:tcPr>
          <w:p>
            <w:pPr/>
          </w:p>
        </w:tc>
      </w:tr>
      <w:tr>
        <w:trPr>
          <w:trHeight w:val="760" w:hRule="exact"/>
        </w:trPr>
        <w:tc>
          <w:tcPr>
            <w:tcW w:w="941" w:type="dxa"/>
          </w:tcPr>
          <w:p>
            <w:pPr>
              <w:pStyle w:val="TableParagraph"/>
              <w:rPr>
                <w:b/>
                <w:sz w:val="16"/>
              </w:rPr>
            </w:pPr>
          </w:p>
          <w:p>
            <w:pPr>
              <w:pStyle w:val="TableParagraph"/>
              <w:spacing w:before="108"/>
              <w:ind w:right="24"/>
              <w:jc w:val="right"/>
              <w:rPr>
                <w:sz w:val="15"/>
              </w:rPr>
            </w:pPr>
            <w:r>
              <w:rPr>
                <w:sz w:val="15"/>
              </w:rPr>
              <w:t>17/07/1975</w:t>
            </w:r>
          </w:p>
        </w:tc>
        <w:tc>
          <w:tcPr>
            <w:tcW w:w="1338" w:type="dxa"/>
          </w:tcPr>
          <w:p>
            <w:pPr>
              <w:pStyle w:val="TableParagraph"/>
              <w:spacing w:before="1"/>
              <w:rPr>
                <w:b/>
                <w:sz w:val="17"/>
              </w:rPr>
            </w:pPr>
          </w:p>
          <w:p>
            <w:pPr>
              <w:pStyle w:val="TableParagraph"/>
              <w:spacing w:line="276" w:lineRule="auto"/>
              <w:ind w:left="25" w:right="9"/>
              <w:rPr>
                <w:sz w:val="15"/>
              </w:rPr>
            </w:pPr>
            <w:r>
              <w:rPr>
                <w:w w:val="105"/>
                <w:sz w:val="15"/>
              </w:rPr>
              <w:t>Colonia Barrio Norte,  San Angel</w:t>
            </w:r>
          </w:p>
        </w:tc>
        <w:tc>
          <w:tcPr>
            <w:tcW w:w="1269" w:type="dxa"/>
          </w:tcPr>
          <w:p>
            <w:pPr>
              <w:pStyle w:val="TableParagraph"/>
              <w:spacing w:before="1"/>
              <w:rPr>
                <w:b/>
                <w:sz w:val="17"/>
              </w:rPr>
            </w:pPr>
          </w:p>
          <w:p>
            <w:pPr>
              <w:pStyle w:val="TableParagraph"/>
              <w:spacing w:line="276" w:lineRule="auto"/>
              <w:ind w:left="25"/>
              <w:rPr>
                <w:sz w:val="15"/>
              </w:rPr>
            </w:pPr>
            <w:r>
              <w:rPr>
                <w:w w:val="105"/>
                <w:sz w:val="15"/>
              </w:rPr>
              <w:t>Excélsior </w:t>
            </w:r>
            <w:r>
              <w:rPr>
                <w:sz w:val="15"/>
              </w:rPr>
              <w:t>18/07/1975:26a</w:t>
            </w:r>
          </w:p>
        </w:tc>
        <w:tc>
          <w:tcPr>
            <w:tcW w:w="3807" w:type="dxa"/>
          </w:tcPr>
          <w:p>
            <w:pPr>
              <w:pStyle w:val="TableParagraph"/>
              <w:spacing w:line="276" w:lineRule="auto" w:before="93"/>
              <w:ind w:left="25" w:right="61"/>
              <w:rPr>
                <w:sz w:val="15"/>
              </w:rPr>
            </w:pPr>
            <w:r>
              <w:rPr>
                <w:w w:val="105"/>
                <w:sz w:val="15"/>
              </w:rPr>
              <w:t>Un cerro se desgajó sobre algunas casuchas construidas en la hondonada de una loma matando a cuatro pequeños y dejando heridos de gravedad a sus padres y un hermanito.</w:t>
            </w:r>
          </w:p>
        </w:tc>
        <w:tc>
          <w:tcPr>
            <w:tcW w:w="898" w:type="dxa"/>
          </w:tcPr>
          <w:p>
            <w:pPr>
              <w:pStyle w:val="TableParagraph"/>
              <w:rPr>
                <w:b/>
                <w:sz w:val="16"/>
              </w:rPr>
            </w:pPr>
          </w:p>
          <w:p>
            <w:pPr>
              <w:pStyle w:val="TableParagraph"/>
              <w:spacing w:before="108"/>
              <w:ind w:right="24"/>
              <w:jc w:val="right"/>
              <w:rPr>
                <w:sz w:val="15"/>
              </w:rPr>
            </w:pPr>
            <w:r>
              <w:rPr>
                <w:w w:val="103"/>
                <w:sz w:val="15"/>
              </w:rPr>
              <w:t>4</w:t>
            </w:r>
          </w:p>
        </w:tc>
        <w:tc>
          <w:tcPr>
            <w:tcW w:w="992" w:type="dxa"/>
          </w:tcPr>
          <w:p>
            <w:pPr>
              <w:pStyle w:val="TableParagraph"/>
              <w:rPr>
                <w:b/>
                <w:sz w:val="16"/>
              </w:rPr>
            </w:pPr>
          </w:p>
          <w:p>
            <w:pPr>
              <w:pStyle w:val="TableParagraph"/>
              <w:spacing w:before="108"/>
              <w:ind w:left="25"/>
              <w:rPr>
                <w:sz w:val="15"/>
              </w:rPr>
            </w:pPr>
            <w:r>
              <w:rPr>
                <w:w w:val="105"/>
                <w:sz w:val="15"/>
              </w:rPr>
              <w:t>Si</w:t>
            </w:r>
          </w:p>
        </w:tc>
        <w:tc>
          <w:tcPr>
            <w:tcW w:w="898" w:type="dxa"/>
          </w:tcPr>
          <w:p>
            <w:pPr>
              <w:pStyle w:val="TableParagraph"/>
              <w:rPr>
                <w:b/>
                <w:sz w:val="16"/>
              </w:rPr>
            </w:pPr>
          </w:p>
          <w:p>
            <w:pPr>
              <w:pStyle w:val="TableParagraph"/>
              <w:spacing w:before="108"/>
              <w:ind w:right="23"/>
              <w:jc w:val="right"/>
              <w:rPr>
                <w:sz w:val="15"/>
              </w:rPr>
            </w:pPr>
            <w:r>
              <w:rPr>
                <w:w w:val="103"/>
                <w:sz w:val="15"/>
              </w:rPr>
              <w:t>5</w:t>
            </w:r>
          </w:p>
        </w:tc>
        <w:tc>
          <w:tcPr>
            <w:tcW w:w="855" w:type="dxa"/>
          </w:tcPr>
          <w:p>
            <w:pPr>
              <w:pStyle w:val="TableParagraph"/>
              <w:rPr>
                <w:b/>
                <w:sz w:val="16"/>
              </w:rPr>
            </w:pPr>
          </w:p>
          <w:p>
            <w:pPr>
              <w:pStyle w:val="TableParagraph"/>
              <w:spacing w:before="108"/>
              <w:ind w:left="25" w:right="84"/>
              <w:rPr>
                <w:sz w:val="15"/>
              </w:rPr>
            </w:pPr>
            <w:r>
              <w:rPr>
                <w:w w:val="105"/>
                <w:sz w:val="15"/>
              </w:rPr>
              <w:t>Si</w:t>
            </w:r>
          </w:p>
        </w:tc>
        <w:tc>
          <w:tcPr>
            <w:tcW w:w="906" w:type="dxa"/>
          </w:tcPr>
          <w:p>
            <w:pPr>
              <w:pStyle w:val="TableParagraph"/>
              <w:rPr>
                <w:b/>
                <w:sz w:val="16"/>
              </w:rPr>
            </w:pPr>
          </w:p>
          <w:p>
            <w:pPr>
              <w:pStyle w:val="TableParagraph"/>
              <w:spacing w:before="108"/>
              <w:ind w:left="25" w:right="177"/>
              <w:rPr>
                <w:sz w:val="15"/>
              </w:rPr>
            </w:pPr>
            <w:r>
              <w:rPr>
                <w:w w:val="105"/>
                <w:sz w:val="15"/>
              </w:rPr>
              <w:t>Lluvias</w:t>
            </w:r>
          </w:p>
        </w:tc>
        <w:tc>
          <w:tcPr>
            <w:tcW w:w="1097" w:type="dxa"/>
            <w:tcBorders>
              <w:right w:val="single" w:sz="3" w:space="0" w:color="000000"/>
            </w:tcBorders>
          </w:tcPr>
          <w:p>
            <w:pPr/>
          </w:p>
        </w:tc>
      </w:tr>
      <w:tr>
        <w:trPr>
          <w:trHeight w:val="734" w:hRule="exact"/>
        </w:trPr>
        <w:tc>
          <w:tcPr>
            <w:tcW w:w="941" w:type="dxa"/>
          </w:tcPr>
          <w:p>
            <w:pPr>
              <w:pStyle w:val="TableParagraph"/>
              <w:rPr>
                <w:b/>
                <w:sz w:val="16"/>
              </w:rPr>
            </w:pPr>
          </w:p>
          <w:p>
            <w:pPr>
              <w:pStyle w:val="TableParagraph"/>
              <w:spacing w:before="99"/>
              <w:ind w:right="24"/>
              <w:jc w:val="right"/>
              <w:rPr>
                <w:sz w:val="15"/>
              </w:rPr>
            </w:pPr>
            <w:r>
              <w:rPr>
                <w:sz w:val="15"/>
              </w:rPr>
              <w:t>12/03/1977</w:t>
            </w:r>
          </w:p>
        </w:tc>
        <w:tc>
          <w:tcPr>
            <w:tcW w:w="1338" w:type="dxa"/>
          </w:tcPr>
          <w:p>
            <w:pPr>
              <w:pStyle w:val="TableParagraph"/>
              <w:spacing w:before="6"/>
              <w:rPr>
                <w:b/>
                <w:sz w:val="15"/>
              </w:rPr>
            </w:pPr>
          </w:p>
          <w:p>
            <w:pPr>
              <w:pStyle w:val="TableParagraph"/>
              <w:spacing w:line="276" w:lineRule="auto" w:before="1"/>
              <w:ind w:left="25" w:right="9"/>
              <w:rPr>
                <w:sz w:val="15"/>
              </w:rPr>
            </w:pPr>
            <w:r>
              <w:rPr>
                <w:w w:val="105"/>
                <w:sz w:val="15"/>
              </w:rPr>
              <w:t>Barranca Las Cuevitas</w:t>
            </w:r>
          </w:p>
        </w:tc>
        <w:tc>
          <w:tcPr>
            <w:tcW w:w="1269" w:type="dxa"/>
          </w:tcPr>
          <w:p>
            <w:pPr>
              <w:pStyle w:val="TableParagraph"/>
              <w:spacing w:before="6"/>
              <w:rPr>
                <w:b/>
                <w:sz w:val="15"/>
              </w:rPr>
            </w:pPr>
          </w:p>
          <w:p>
            <w:pPr>
              <w:pStyle w:val="TableParagraph"/>
              <w:spacing w:line="276" w:lineRule="auto" w:before="1"/>
              <w:ind w:left="25"/>
              <w:rPr>
                <w:sz w:val="15"/>
              </w:rPr>
            </w:pPr>
            <w:r>
              <w:rPr>
                <w:w w:val="105"/>
                <w:sz w:val="15"/>
              </w:rPr>
              <w:t>Excélsior </w:t>
            </w:r>
            <w:r>
              <w:rPr>
                <w:sz w:val="15"/>
              </w:rPr>
              <w:t>12/03/1977:26a</w:t>
            </w:r>
          </w:p>
        </w:tc>
        <w:tc>
          <w:tcPr>
            <w:tcW w:w="3807" w:type="dxa"/>
          </w:tcPr>
          <w:p>
            <w:pPr>
              <w:pStyle w:val="TableParagraph"/>
              <w:spacing w:line="276" w:lineRule="auto" w:before="84"/>
              <w:ind w:left="25" w:right="13"/>
              <w:rPr>
                <w:sz w:val="15"/>
              </w:rPr>
            </w:pPr>
            <w:r>
              <w:rPr>
                <w:w w:val="105"/>
                <w:sz w:val="15"/>
              </w:rPr>
              <w:t>No se especifica el valor de las pérdidas sólo que por ser una zona minada se provocaron derrumbes que los vecinos escucharon alrededor de la 1:30 de la madrugada.</w:t>
            </w:r>
          </w:p>
        </w:tc>
        <w:tc>
          <w:tcPr>
            <w:tcW w:w="898" w:type="dxa"/>
          </w:tcPr>
          <w:p>
            <w:pPr>
              <w:pStyle w:val="TableParagraph"/>
              <w:rPr>
                <w:b/>
                <w:sz w:val="16"/>
              </w:rPr>
            </w:pPr>
          </w:p>
          <w:p>
            <w:pPr>
              <w:pStyle w:val="TableParagraph"/>
              <w:spacing w:before="99"/>
              <w:ind w:right="24"/>
              <w:jc w:val="right"/>
              <w:rPr>
                <w:sz w:val="15"/>
              </w:rPr>
            </w:pPr>
            <w:r>
              <w:rPr>
                <w:w w:val="103"/>
                <w:sz w:val="15"/>
              </w:rPr>
              <w:t>0</w:t>
            </w:r>
          </w:p>
        </w:tc>
        <w:tc>
          <w:tcPr>
            <w:tcW w:w="992" w:type="dxa"/>
          </w:tcPr>
          <w:p>
            <w:pPr>
              <w:pStyle w:val="TableParagraph"/>
              <w:rPr>
                <w:b/>
                <w:sz w:val="16"/>
              </w:rPr>
            </w:pPr>
          </w:p>
          <w:p>
            <w:pPr>
              <w:pStyle w:val="TableParagraph"/>
              <w:spacing w:before="99"/>
              <w:ind w:right="23"/>
              <w:jc w:val="right"/>
              <w:rPr>
                <w:sz w:val="15"/>
              </w:rPr>
            </w:pPr>
            <w:r>
              <w:rPr>
                <w:w w:val="103"/>
                <w:sz w:val="15"/>
              </w:rPr>
              <w:t>0</w:t>
            </w:r>
          </w:p>
        </w:tc>
        <w:tc>
          <w:tcPr>
            <w:tcW w:w="898" w:type="dxa"/>
          </w:tcPr>
          <w:p>
            <w:pPr>
              <w:pStyle w:val="TableParagraph"/>
              <w:rPr>
                <w:b/>
                <w:sz w:val="16"/>
              </w:rPr>
            </w:pPr>
          </w:p>
          <w:p>
            <w:pPr>
              <w:pStyle w:val="TableParagraph"/>
              <w:spacing w:before="99"/>
              <w:ind w:right="23"/>
              <w:jc w:val="right"/>
              <w:rPr>
                <w:sz w:val="15"/>
              </w:rPr>
            </w:pPr>
            <w:r>
              <w:rPr>
                <w:w w:val="103"/>
                <w:sz w:val="15"/>
              </w:rPr>
              <w:t>0</w:t>
            </w:r>
          </w:p>
        </w:tc>
        <w:tc>
          <w:tcPr>
            <w:tcW w:w="855" w:type="dxa"/>
          </w:tcPr>
          <w:p>
            <w:pPr>
              <w:pStyle w:val="TableParagraph"/>
              <w:rPr>
                <w:b/>
                <w:sz w:val="16"/>
              </w:rPr>
            </w:pPr>
          </w:p>
          <w:p>
            <w:pPr>
              <w:pStyle w:val="TableParagraph"/>
              <w:spacing w:before="99"/>
              <w:ind w:left="25" w:right="84"/>
              <w:rPr>
                <w:sz w:val="15"/>
              </w:rPr>
            </w:pPr>
            <w:r>
              <w:rPr>
                <w:w w:val="105"/>
                <w:sz w:val="15"/>
              </w:rPr>
              <w:t>Si</w:t>
            </w:r>
          </w:p>
        </w:tc>
        <w:tc>
          <w:tcPr>
            <w:tcW w:w="906" w:type="dxa"/>
          </w:tcPr>
          <w:p>
            <w:pPr>
              <w:pStyle w:val="TableParagraph"/>
              <w:rPr>
                <w:b/>
                <w:sz w:val="16"/>
              </w:rPr>
            </w:pPr>
          </w:p>
          <w:p>
            <w:pPr>
              <w:pStyle w:val="TableParagraph"/>
              <w:spacing w:before="99"/>
              <w:ind w:left="25"/>
              <w:rPr>
                <w:sz w:val="15"/>
              </w:rPr>
            </w:pPr>
            <w:r>
              <w:rPr>
                <w:w w:val="105"/>
                <w:sz w:val="15"/>
              </w:rPr>
              <w:t>Otra causa</w:t>
            </w:r>
          </w:p>
        </w:tc>
        <w:tc>
          <w:tcPr>
            <w:tcW w:w="1097" w:type="dxa"/>
            <w:tcBorders>
              <w:right w:val="single" w:sz="3" w:space="0" w:color="000000"/>
            </w:tcBorders>
          </w:tcPr>
          <w:p>
            <w:pPr/>
          </w:p>
        </w:tc>
      </w:tr>
      <w:tr>
        <w:trPr>
          <w:trHeight w:val="492" w:hRule="exact"/>
        </w:trPr>
        <w:tc>
          <w:tcPr>
            <w:tcW w:w="941" w:type="dxa"/>
          </w:tcPr>
          <w:p>
            <w:pPr>
              <w:pStyle w:val="TableParagraph"/>
              <w:spacing w:before="1"/>
              <w:rPr>
                <w:b/>
                <w:sz w:val="14"/>
              </w:rPr>
            </w:pPr>
          </w:p>
          <w:p>
            <w:pPr>
              <w:pStyle w:val="TableParagraph"/>
              <w:ind w:right="24"/>
              <w:jc w:val="right"/>
              <w:rPr>
                <w:sz w:val="15"/>
              </w:rPr>
            </w:pPr>
            <w:r>
              <w:rPr>
                <w:sz w:val="15"/>
              </w:rPr>
              <w:t>03/09/1980</w:t>
            </w:r>
          </w:p>
        </w:tc>
        <w:tc>
          <w:tcPr>
            <w:tcW w:w="1338" w:type="dxa"/>
          </w:tcPr>
          <w:p>
            <w:pPr>
              <w:pStyle w:val="TableParagraph"/>
              <w:spacing w:before="1"/>
              <w:rPr>
                <w:b/>
                <w:sz w:val="14"/>
              </w:rPr>
            </w:pPr>
          </w:p>
          <w:p>
            <w:pPr>
              <w:pStyle w:val="TableParagraph"/>
              <w:ind w:left="25" w:right="9"/>
              <w:rPr>
                <w:sz w:val="15"/>
              </w:rPr>
            </w:pPr>
            <w:r>
              <w:rPr>
                <w:w w:val="105"/>
                <w:sz w:val="15"/>
              </w:rPr>
              <w:t>Colonia los Cedros</w:t>
            </w:r>
          </w:p>
        </w:tc>
        <w:tc>
          <w:tcPr>
            <w:tcW w:w="1269" w:type="dxa"/>
          </w:tcPr>
          <w:p>
            <w:pPr>
              <w:pStyle w:val="TableParagraph"/>
              <w:spacing w:before="1"/>
              <w:rPr>
                <w:b/>
                <w:sz w:val="14"/>
              </w:rPr>
            </w:pPr>
          </w:p>
          <w:p>
            <w:pPr>
              <w:pStyle w:val="TableParagraph"/>
              <w:ind w:left="25"/>
              <w:rPr>
                <w:sz w:val="15"/>
              </w:rPr>
            </w:pPr>
            <w:r>
              <w:rPr>
                <w:w w:val="105"/>
                <w:sz w:val="15"/>
              </w:rPr>
              <w:t>El Universal</w:t>
            </w:r>
          </w:p>
        </w:tc>
        <w:tc>
          <w:tcPr>
            <w:tcW w:w="3807" w:type="dxa"/>
          </w:tcPr>
          <w:p>
            <w:pPr>
              <w:pStyle w:val="TableParagraph"/>
              <w:spacing w:line="276" w:lineRule="auto" w:before="58"/>
              <w:ind w:left="25" w:right="27"/>
              <w:rPr>
                <w:sz w:val="15"/>
              </w:rPr>
            </w:pPr>
            <w:r>
              <w:rPr>
                <w:w w:val="105"/>
                <w:sz w:val="15"/>
              </w:rPr>
              <w:t>Varias toneladas de tierra sepultaron una casa al desgajarse un cerro en la colonia Los Cedros.</w:t>
            </w:r>
          </w:p>
        </w:tc>
        <w:tc>
          <w:tcPr>
            <w:tcW w:w="898" w:type="dxa"/>
          </w:tcPr>
          <w:p>
            <w:pPr>
              <w:pStyle w:val="TableParagraph"/>
              <w:spacing w:before="1"/>
              <w:rPr>
                <w:b/>
                <w:sz w:val="14"/>
              </w:rPr>
            </w:pPr>
          </w:p>
          <w:p>
            <w:pPr>
              <w:pStyle w:val="TableParagraph"/>
              <w:ind w:right="24"/>
              <w:jc w:val="right"/>
              <w:rPr>
                <w:sz w:val="15"/>
              </w:rPr>
            </w:pPr>
            <w:r>
              <w:rPr>
                <w:w w:val="103"/>
                <w:sz w:val="15"/>
              </w:rPr>
              <w:t>2</w:t>
            </w:r>
          </w:p>
        </w:tc>
        <w:tc>
          <w:tcPr>
            <w:tcW w:w="992" w:type="dxa"/>
          </w:tcPr>
          <w:p>
            <w:pPr>
              <w:pStyle w:val="TableParagraph"/>
              <w:spacing w:before="1"/>
              <w:rPr>
                <w:b/>
                <w:sz w:val="14"/>
              </w:rPr>
            </w:pPr>
          </w:p>
          <w:p>
            <w:pPr>
              <w:pStyle w:val="TableParagraph"/>
              <w:ind w:right="23"/>
              <w:jc w:val="right"/>
              <w:rPr>
                <w:sz w:val="15"/>
              </w:rPr>
            </w:pPr>
            <w:r>
              <w:rPr>
                <w:w w:val="103"/>
                <w:sz w:val="15"/>
              </w:rPr>
              <w:t>0</w:t>
            </w:r>
          </w:p>
        </w:tc>
        <w:tc>
          <w:tcPr>
            <w:tcW w:w="898" w:type="dxa"/>
          </w:tcPr>
          <w:p>
            <w:pPr>
              <w:pStyle w:val="TableParagraph"/>
              <w:spacing w:before="1"/>
              <w:rPr>
                <w:b/>
                <w:sz w:val="14"/>
              </w:rPr>
            </w:pPr>
          </w:p>
          <w:p>
            <w:pPr>
              <w:pStyle w:val="TableParagraph"/>
              <w:ind w:right="23"/>
              <w:jc w:val="right"/>
              <w:rPr>
                <w:sz w:val="15"/>
              </w:rPr>
            </w:pPr>
            <w:r>
              <w:rPr>
                <w:w w:val="103"/>
                <w:sz w:val="15"/>
              </w:rPr>
              <w:t>1</w:t>
            </w:r>
          </w:p>
        </w:tc>
        <w:tc>
          <w:tcPr>
            <w:tcW w:w="855" w:type="dxa"/>
          </w:tcPr>
          <w:p>
            <w:pPr>
              <w:pStyle w:val="TableParagraph"/>
              <w:spacing w:before="1"/>
              <w:rPr>
                <w:b/>
                <w:sz w:val="14"/>
              </w:rPr>
            </w:pPr>
          </w:p>
          <w:p>
            <w:pPr>
              <w:pStyle w:val="TableParagraph"/>
              <w:ind w:right="23"/>
              <w:jc w:val="right"/>
              <w:rPr>
                <w:sz w:val="15"/>
              </w:rPr>
            </w:pPr>
            <w:r>
              <w:rPr>
                <w:w w:val="103"/>
                <w:sz w:val="15"/>
              </w:rPr>
              <w:t>0</w:t>
            </w:r>
          </w:p>
        </w:tc>
        <w:tc>
          <w:tcPr>
            <w:tcW w:w="906" w:type="dxa"/>
          </w:tcPr>
          <w:p>
            <w:pPr>
              <w:pStyle w:val="TableParagraph"/>
              <w:spacing w:before="1"/>
              <w:rPr>
                <w:b/>
                <w:sz w:val="14"/>
              </w:rPr>
            </w:pPr>
          </w:p>
          <w:p>
            <w:pPr>
              <w:pStyle w:val="TableParagraph"/>
              <w:ind w:left="25" w:right="177"/>
              <w:rPr>
                <w:sz w:val="15"/>
              </w:rPr>
            </w:pPr>
            <w:r>
              <w:rPr>
                <w:w w:val="105"/>
                <w:sz w:val="15"/>
              </w:rPr>
              <w:t>Lluvias</w:t>
            </w:r>
          </w:p>
        </w:tc>
        <w:tc>
          <w:tcPr>
            <w:tcW w:w="1097" w:type="dxa"/>
            <w:tcBorders>
              <w:right w:val="single" w:sz="3" w:space="0" w:color="000000"/>
            </w:tcBorders>
          </w:tcPr>
          <w:p>
            <w:pPr>
              <w:pStyle w:val="TableParagraph"/>
              <w:spacing w:line="276" w:lineRule="auto" w:before="58"/>
              <w:ind w:left="26" w:right="2"/>
              <w:rPr>
                <w:sz w:val="15"/>
              </w:rPr>
            </w:pPr>
            <w:r>
              <w:rPr>
                <w:w w:val="105"/>
                <w:sz w:val="15"/>
              </w:rPr>
              <w:t>Se desgaja un cerro</w:t>
            </w:r>
          </w:p>
        </w:tc>
      </w:tr>
      <w:tr>
        <w:trPr>
          <w:trHeight w:val="596" w:hRule="exact"/>
        </w:trPr>
        <w:tc>
          <w:tcPr>
            <w:tcW w:w="941" w:type="dxa"/>
          </w:tcPr>
          <w:p>
            <w:pPr>
              <w:pStyle w:val="TableParagraph"/>
              <w:spacing w:before="7"/>
              <w:rPr>
                <w:b/>
                <w:sz w:val="18"/>
              </w:rPr>
            </w:pPr>
          </w:p>
          <w:p>
            <w:pPr>
              <w:pStyle w:val="TableParagraph"/>
              <w:ind w:right="24"/>
              <w:jc w:val="right"/>
              <w:rPr>
                <w:sz w:val="15"/>
              </w:rPr>
            </w:pPr>
            <w:r>
              <w:rPr>
                <w:sz w:val="15"/>
              </w:rPr>
              <w:t>08/02/1988</w:t>
            </w:r>
          </w:p>
        </w:tc>
        <w:tc>
          <w:tcPr>
            <w:tcW w:w="1338" w:type="dxa"/>
          </w:tcPr>
          <w:p>
            <w:pPr>
              <w:pStyle w:val="TableParagraph"/>
              <w:spacing w:before="7"/>
              <w:rPr>
                <w:b/>
                <w:sz w:val="18"/>
              </w:rPr>
            </w:pPr>
          </w:p>
          <w:p>
            <w:pPr>
              <w:pStyle w:val="TableParagraph"/>
              <w:ind w:left="25" w:right="9"/>
              <w:rPr>
                <w:sz w:val="15"/>
              </w:rPr>
            </w:pPr>
            <w:r>
              <w:rPr>
                <w:w w:val="105"/>
                <w:sz w:val="15"/>
              </w:rPr>
              <w:t>Col. Corpus Cristi</w:t>
            </w:r>
          </w:p>
        </w:tc>
        <w:tc>
          <w:tcPr>
            <w:tcW w:w="1269" w:type="dxa"/>
          </w:tcPr>
          <w:p>
            <w:pPr>
              <w:pStyle w:val="TableParagraph"/>
              <w:spacing w:line="276" w:lineRule="auto" w:before="15"/>
              <w:ind w:left="25"/>
              <w:rPr>
                <w:sz w:val="15"/>
              </w:rPr>
            </w:pPr>
            <w:r>
              <w:rPr>
                <w:w w:val="105"/>
                <w:sz w:val="15"/>
              </w:rPr>
              <w:t>La Jornada 09/02/88:15 El</w:t>
            </w:r>
          </w:p>
          <w:p>
            <w:pPr>
              <w:pStyle w:val="TableParagraph"/>
              <w:spacing w:before="1"/>
              <w:ind w:left="25"/>
              <w:rPr>
                <w:sz w:val="15"/>
              </w:rPr>
            </w:pPr>
            <w:r>
              <w:rPr>
                <w:w w:val="105"/>
                <w:sz w:val="15"/>
              </w:rPr>
              <w:t>Universal</w:t>
            </w:r>
          </w:p>
        </w:tc>
        <w:tc>
          <w:tcPr>
            <w:tcW w:w="3807" w:type="dxa"/>
          </w:tcPr>
          <w:p>
            <w:pPr/>
          </w:p>
        </w:tc>
        <w:tc>
          <w:tcPr>
            <w:tcW w:w="898" w:type="dxa"/>
          </w:tcPr>
          <w:p>
            <w:pPr>
              <w:pStyle w:val="TableParagraph"/>
              <w:spacing w:before="7"/>
              <w:rPr>
                <w:b/>
                <w:sz w:val="18"/>
              </w:rPr>
            </w:pPr>
          </w:p>
          <w:p>
            <w:pPr>
              <w:pStyle w:val="TableParagraph"/>
              <w:ind w:right="24"/>
              <w:jc w:val="right"/>
              <w:rPr>
                <w:sz w:val="15"/>
              </w:rPr>
            </w:pPr>
            <w:r>
              <w:rPr>
                <w:w w:val="103"/>
                <w:sz w:val="15"/>
              </w:rPr>
              <w:t>2</w:t>
            </w:r>
          </w:p>
        </w:tc>
        <w:tc>
          <w:tcPr>
            <w:tcW w:w="992" w:type="dxa"/>
          </w:tcPr>
          <w:p>
            <w:pPr>
              <w:pStyle w:val="TableParagraph"/>
              <w:spacing w:before="7"/>
              <w:rPr>
                <w:b/>
                <w:sz w:val="18"/>
              </w:rPr>
            </w:pPr>
          </w:p>
          <w:p>
            <w:pPr>
              <w:pStyle w:val="TableParagraph"/>
              <w:ind w:right="23"/>
              <w:jc w:val="right"/>
              <w:rPr>
                <w:sz w:val="15"/>
              </w:rPr>
            </w:pPr>
            <w:r>
              <w:rPr>
                <w:w w:val="103"/>
                <w:sz w:val="15"/>
              </w:rPr>
              <w:t>0</w:t>
            </w:r>
          </w:p>
        </w:tc>
        <w:tc>
          <w:tcPr>
            <w:tcW w:w="898" w:type="dxa"/>
          </w:tcPr>
          <w:p>
            <w:pPr>
              <w:pStyle w:val="TableParagraph"/>
              <w:spacing w:before="7"/>
              <w:rPr>
                <w:b/>
                <w:sz w:val="18"/>
              </w:rPr>
            </w:pPr>
          </w:p>
          <w:p>
            <w:pPr>
              <w:pStyle w:val="TableParagraph"/>
              <w:ind w:left="26" w:right="99"/>
              <w:rPr>
                <w:sz w:val="15"/>
              </w:rPr>
            </w:pPr>
            <w:r>
              <w:rPr>
                <w:w w:val="105"/>
                <w:sz w:val="15"/>
              </w:rPr>
              <w:t>Si</w:t>
            </w:r>
          </w:p>
        </w:tc>
        <w:tc>
          <w:tcPr>
            <w:tcW w:w="855" w:type="dxa"/>
          </w:tcPr>
          <w:p>
            <w:pPr>
              <w:pStyle w:val="TableParagraph"/>
              <w:spacing w:before="7"/>
              <w:rPr>
                <w:b/>
                <w:sz w:val="18"/>
              </w:rPr>
            </w:pPr>
          </w:p>
          <w:p>
            <w:pPr>
              <w:pStyle w:val="TableParagraph"/>
              <w:ind w:right="23"/>
              <w:jc w:val="right"/>
              <w:rPr>
                <w:sz w:val="15"/>
              </w:rPr>
            </w:pPr>
            <w:r>
              <w:rPr>
                <w:w w:val="103"/>
                <w:sz w:val="15"/>
              </w:rPr>
              <w:t>0</w:t>
            </w:r>
          </w:p>
        </w:tc>
        <w:tc>
          <w:tcPr>
            <w:tcW w:w="906" w:type="dxa"/>
          </w:tcPr>
          <w:p>
            <w:pPr>
              <w:pStyle w:val="TableParagraph"/>
              <w:spacing w:before="7"/>
              <w:rPr>
                <w:b/>
                <w:sz w:val="18"/>
              </w:rPr>
            </w:pPr>
          </w:p>
          <w:p>
            <w:pPr>
              <w:pStyle w:val="TableParagraph"/>
              <w:ind w:left="25"/>
              <w:rPr>
                <w:sz w:val="15"/>
              </w:rPr>
            </w:pPr>
            <w:r>
              <w:rPr>
                <w:w w:val="105"/>
                <w:sz w:val="15"/>
              </w:rPr>
              <w:t>Desconocida</w:t>
            </w:r>
          </w:p>
        </w:tc>
        <w:tc>
          <w:tcPr>
            <w:tcW w:w="1097" w:type="dxa"/>
            <w:tcBorders>
              <w:right w:val="single" w:sz="3" w:space="0" w:color="000000"/>
            </w:tcBorders>
          </w:tcPr>
          <w:p>
            <w:pPr/>
          </w:p>
        </w:tc>
      </w:tr>
      <w:tr>
        <w:trPr>
          <w:trHeight w:val="881" w:hRule="exact"/>
        </w:trPr>
        <w:tc>
          <w:tcPr>
            <w:tcW w:w="941" w:type="dxa"/>
          </w:tcPr>
          <w:p>
            <w:pPr>
              <w:pStyle w:val="TableParagraph"/>
              <w:rPr>
                <w:b/>
                <w:sz w:val="16"/>
              </w:rPr>
            </w:pPr>
          </w:p>
          <w:p>
            <w:pPr>
              <w:pStyle w:val="TableParagraph"/>
              <w:spacing w:before="7"/>
              <w:rPr>
                <w:b/>
                <w:sz w:val="14"/>
              </w:rPr>
            </w:pPr>
          </w:p>
          <w:p>
            <w:pPr>
              <w:pStyle w:val="TableParagraph"/>
              <w:ind w:right="24"/>
              <w:jc w:val="right"/>
              <w:rPr>
                <w:sz w:val="15"/>
              </w:rPr>
            </w:pPr>
            <w:r>
              <w:rPr>
                <w:sz w:val="15"/>
              </w:rPr>
              <w:t>18/07/1990</w:t>
            </w:r>
          </w:p>
        </w:tc>
        <w:tc>
          <w:tcPr>
            <w:tcW w:w="1338" w:type="dxa"/>
          </w:tcPr>
          <w:p>
            <w:pPr>
              <w:pStyle w:val="TableParagraph"/>
              <w:rPr>
                <w:b/>
                <w:sz w:val="16"/>
              </w:rPr>
            </w:pPr>
          </w:p>
          <w:p>
            <w:pPr>
              <w:pStyle w:val="TableParagraph"/>
              <w:spacing w:before="7"/>
              <w:rPr>
                <w:b/>
                <w:sz w:val="14"/>
              </w:rPr>
            </w:pPr>
          </w:p>
          <w:p>
            <w:pPr>
              <w:pStyle w:val="TableParagraph"/>
              <w:ind w:left="25" w:right="9"/>
              <w:rPr>
                <w:sz w:val="15"/>
              </w:rPr>
            </w:pPr>
            <w:r>
              <w:rPr>
                <w:w w:val="105"/>
                <w:sz w:val="15"/>
              </w:rPr>
              <w:t>Col. Golondrinas</w:t>
            </w:r>
          </w:p>
        </w:tc>
        <w:tc>
          <w:tcPr>
            <w:tcW w:w="1269" w:type="dxa"/>
          </w:tcPr>
          <w:p>
            <w:pPr>
              <w:pStyle w:val="TableParagraph"/>
              <w:spacing w:before="4"/>
              <w:rPr>
                <w:b/>
                <w:sz w:val="22"/>
              </w:rPr>
            </w:pPr>
          </w:p>
          <w:p>
            <w:pPr>
              <w:pStyle w:val="TableParagraph"/>
              <w:spacing w:line="276" w:lineRule="auto"/>
              <w:ind w:left="25"/>
              <w:rPr>
                <w:sz w:val="15"/>
              </w:rPr>
            </w:pPr>
            <w:r>
              <w:rPr>
                <w:w w:val="105"/>
                <w:sz w:val="15"/>
              </w:rPr>
              <w:t>La Jornada 19/7/90:20</w:t>
            </w:r>
          </w:p>
        </w:tc>
        <w:tc>
          <w:tcPr>
            <w:tcW w:w="3807" w:type="dxa"/>
          </w:tcPr>
          <w:p>
            <w:pPr>
              <w:pStyle w:val="TableParagraph"/>
              <w:spacing w:line="276" w:lineRule="auto" w:before="58"/>
              <w:ind w:left="25" w:right="13"/>
              <w:rPr>
                <w:sz w:val="15"/>
              </w:rPr>
            </w:pPr>
            <w:r>
              <w:rPr>
                <w:w w:val="105"/>
                <w:sz w:val="15"/>
              </w:rPr>
              <w:t>Habitantes aseguran que una vivienda quedó sepultada por costales que puso la delegación derrumbados a causa de las lluvias sobre varias casas; 3 menores aplastados; una sra. arrastrada por el caudal del Rio Becerra.</w:t>
            </w:r>
          </w:p>
        </w:tc>
        <w:tc>
          <w:tcPr>
            <w:tcW w:w="898" w:type="dxa"/>
          </w:tcPr>
          <w:p>
            <w:pPr>
              <w:pStyle w:val="TableParagraph"/>
              <w:rPr>
                <w:b/>
                <w:sz w:val="16"/>
              </w:rPr>
            </w:pPr>
          </w:p>
          <w:p>
            <w:pPr>
              <w:pStyle w:val="TableParagraph"/>
              <w:spacing w:before="7"/>
              <w:rPr>
                <w:b/>
                <w:sz w:val="14"/>
              </w:rPr>
            </w:pPr>
          </w:p>
          <w:p>
            <w:pPr>
              <w:pStyle w:val="TableParagraph"/>
              <w:ind w:right="24"/>
              <w:jc w:val="right"/>
              <w:rPr>
                <w:sz w:val="15"/>
              </w:rPr>
            </w:pPr>
            <w:r>
              <w:rPr>
                <w:w w:val="103"/>
                <w:sz w:val="15"/>
              </w:rPr>
              <w:t>3</w:t>
            </w:r>
          </w:p>
        </w:tc>
        <w:tc>
          <w:tcPr>
            <w:tcW w:w="992" w:type="dxa"/>
          </w:tcPr>
          <w:p>
            <w:pPr>
              <w:pStyle w:val="TableParagraph"/>
              <w:rPr>
                <w:b/>
                <w:sz w:val="16"/>
              </w:rPr>
            </w:pPr>
          </w:p>
          <w:p>
            <w:pPr>
              <w:pStyle w:val="TableParagraph"/>
              <w:spacing w:before="7"/>
              <w:rPr>
                <w:b/>
                <w:sz w:val="14"/>
              </w:rPr>
            </w:pPr>
          </w:p>
          <w:p>
            <w:pPr>
              <w:pStyle w:val="TableParagraph"/>
              <w:ind w:right="23"/>
              <w:jc w:val="right"/>
              <w:rPr>
                <w:sz w:val="15"/>
              </w:rPr>
            </w:pPr>
            <w:r>
              <w:rPr>
                <w:sz w:val="15"/>
              </w:rPr>
              <w:t>234</w:t>
            </w:r>
          </w:p>
        </w:tc>
        <w:tc>
          <w:tcPr>
            <w:tcW w:w="898" w:type="dxa"/>
          </w:tcPr>
          <w:p>
            <w:pPr>
              <w:pStyle w:val="TableParagraph"/>
              <w:rPr>
                <w:b/>
                <w:sz w:val="16"/>
              </w:rPr>
            </w:pPr>
          </w:p>
          <w:p>
            <w:pPr>
              <w:pStyle w:val="TableParagraph"/>
              <w:spacing w:before="7"/>
              <w:rPr>
                <w:b/>
                <w:sz w:val="14"/>
              </w:rPr>
            </w:pPr>
          </w:p>
          <w:p>
            <w:pPr>
              <w:pStyle w:val="TableParagraph"/>
              <w:ind w:right="23"/>
              <w:jc w:val="right"/>
              <w:rPr>
                <w:sz w:val="15"/>
              </w:rPr>
            </w:pPr>
            <w:r>
              <w:rPr>
                <w:w w:val="103"/>
                <w:sz w:val="15"/>
              </w:rPr>
              <w:t>1</w:t>
            </w:r>
          </w:p>
        </w:tc>
        <w:tc>
          <w:tcPr>
            <w:tcW w:w="855" w:type="dxa"/>
          </w:tcPr>
          <w:p>
            <w:pPr>
              <w:pStyle w:val="TableParagraph"/>
              <w:rPr>
                <w:b/>
                <w:sz w:val="16"/>
              </w:rPr>
            </w:pPr>
          </w:p>
          <w:p>
            <w:pPr>
              <w:pStyle w:val="TableParagraph"/>
              <w:spacing w:before="7"/>
              <w:rPr>
                <w:b/>
                <w:sz w:val="14"/>
              </w:rPr>
            </w:pPr>
          </w:p>
          <w:p>
            <w:pPr>
              <w:pStyle w:val="TableParagraph"/>
              <w:ind w:left="25" w:right="84"/>
              <w:rPr>
                <w:sz w:val="15"/>
              </w:rPr>
            </w:pPr>
            <w:r>
              <w:rPr>
                <w:w w:val="105"/>
                <w:sz w:val="15"/>
              </w:rPr>
              <w:t>Si</w:t>
            </w:r>
          </w:p>
        </w:tc>
        <w:tc>
          <w:tcPr>
            <w:tcW w:w="906" w:type="dxa"/>
          </w:tcPr>
          <w:p>
            <w:pPr>
              <w:pStyle w:val="TableParagraph"/>
              <w:rPr>
                <w:b/>
                <w:sz w:val="16"/>
              </w:rPr>
            </w:pPr>
          </w:p>
          <w:p>
            <w:pPr>
              <w:pStyle w:val="TableParagraph"/>
              <w:spacing w:before="7"/>
              <w:rPr>
                <w:b/>
                <w:sz w:val="14"/>
              </w:rPr>
            </w:pPr>
          </w:p>
          <w:p>
            <w:pPr>
              <w:pStyle w:val="TableParagraph"/>
              <w:ind w:left="25" w:right="177"/>
              <w:rPr>
                <w:sz w:val="15"/>
              </w:rPr>
            </w:pPr>
            <w:r>
              <w:rPr>
                <w:w w:val="105"/>
                <w:sz w:val="15"/>
              </w:rPr>
              <w:t>Granizada</w:t>
            </w:r>
          </w:p>
        </w:tc>
        <w:tc>
          <w:tcPr>
            <w:tcW w:w="1097" w:type="dxa"/>
            <w:tcBorders>
              <w:right w:val="single" w:sz="3" w:space="0" w:color="000000"/>
            </w:tcBorders>
          </w:tcPr>
          <w:p>
            <w:pPr>
              <w:pStyle w:val="TableParagraph"/>
              <w:spacing w:line="276" w:lineRule="auto" w:before="58"/>
              <w:ind w:left="26" w:right="459"/>
              <w:rPr>
                <w:sz w:val="15"/>
              </w:rPr>
            </w:pPr>
            <w:r>
              <w:rPr>
                <w:w w:val="105"/>
                <w:sz w:val="15"/>
              </w:rPr>
              <w:t>Intensa </w:t>
            </w:r>
            <w:r>
              <w:rPr>
                <w:sz w:val="15"/>
              </w:rPr>
              <w:t>granizada </w:t>
            </w:r>
            <w:r>
              <w:rPr>
                <w:w w:val="105"/>
                <w:sz w:val="15"/>
              </w:rPr>
              <w:t>provoca </w:t>
            </w:r>
            <w:r>
              <w:rPr>
                <w:sz w:val="15"/>
              </w:rPr>
              <w:t>derrumbe</w:t>
            </w:r>
          </w:p>
        </w:tc>
      </w:tr>
      <w:tr>
        <w:trPr>
          <w:trHeight w:val="207" w:hRule="exact"/>
        </w:trPr>
        <w:tc>
          <w:tcPr>
            <w:tcW w:w="941" w:type="dxa"/>
          </w:tcPr>
          <w:p>
            <w:pPr>
              <w:pStyle w:val="TableParagraph"/>
              <w:spacing w:before="15"/>
              <w:ind w:right="24"/>
              <w:jc w:val="right"/>
              <w:rPr>
                <w:sz w:val="15"/>
              </w:rPr>
            </w:pPr>
            <w:r>
              <w:rPr>
                <w:sz w:val="15"/>
              </w:rPr>
              <w:t>19/07/1990</w:t>
            </w:r>
          </w:p>
        </w:tc>
        <w:tc>
          <w:tcPr>
            <w:tcW w:w="1338" w:type="dxa"/>
          </w:tcPr>
          <w:p>
            <w:pPr/>
          </w:p>
        </w:tc>
        <w:tc>
          <w:tcPr>
            <w:tcW w:w="1269" w:type="dxa"/>
          </w:tcPr>
          <w:p>
            <w:pPr>
              <w:pStyle w:val="TableParagraph"/>
              <w:spacing w:before="15"/>
              <w:ind w:left="25"/>
              <w:rPr>
                <w:sz w:val="15"/>
              </w:rPr>
            </w:pPr>
            <w:r>
              <w:rPr>
                <w:w w:val="105"/>
                <w:sz w:val="15"/>
              </w:rPr>
              <w:t>El Universal</w:t>
            </w:r>
          </w:p>
        </w:tc>
        <w:tc>
          <w:tcPr>
            <w:tcW w:w="3807" w:type="dxa"/>
          </w:tcPr>
          <w:p>
            <w:pPr/>
          </w:p>
        </w:tc>
        <w:tc>
          <w:tcPr>
            <w:tcW w:w="898" w:type="dxa"/>
          </w:tcPr>
          <w:p>
            <w:pPr>
              <w:pStyle w:val="TableParagraph"/>
              <w:spacing w:before="15"/>
              <w:ind w:right="24"/>
              <w:jc w:val="right"/>
              <w:rPr>
                <w:sz w:val="15"/>
              </w:rPr>
            </w:pPr>
            <w:r>
              <w:rPr>
                <w:w w:val="103"/>
                <w:sz w:val="15"/>
              </w:rPr>
              <w:t>3</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2</w:t>
            </w:r>
          </w:p>
        </w:tc>
        <w:tc>
          <w:tcPr>
            <w:tcW w:w="855" w:type="dxa"/>
          </w:tcPr>
          <w:p>
            <w:pPr>
              <w:pStyle w:val="TableParagraph"/>
              <w:spacing w:before="15"/>
              <w:ind w:right="23"/>
              <w:jc w:val="right"/>
              <w:rPr>
                <w:sz w:val="15"/>
              </w:rPr>
            </w:pPr>
            <w:r>
              <w:rPr>
                <w:w w:val="103"/>
                <w:sz w:val="15"/>
              </w:rPr>
              <w:t>3</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r>
        <w:trPr>
          <w:trHeight w:val="838" w:hRule="exact"/>
        </w:trPr>
        <w:tc>
          <w:tcPr>
            <w:tcW w:w="941" w:type="dxa"/>
          </w:tcPr>
          <w:p>
            <w:pPr>
              <w:pStyle w:val="TableParagraph"/>
              <w:rPr>
                <w:b/>
                <w:sz w:val="16"/>
              </w:rPr>
            </w:pPr>
          </w:p>
          <w:p>
            <w:pPr>
              <w:pStyle w:val="TableParagraph"/>
              <w:spacing w:before="1"/>
              <w:rPr>
                <w:b/>
                <w:sz w:val="13"/>
              </w:rPr>
            </w:pPr>
          </w:p>
          <w:p>
            <w:pPr>
              <w:pStyle w:val="TableParagraph"/>
              <w:ind w:right="24"/>
              <w:jc w:val="right"/>
              <w:rPr>
                <w:sz w:val="15"/>
              </w:rPr>
            </w:pPr>
            <w:r>
              <w:rPr>
                <w:sz w:val="15"/>
              </w:rPr>
              <w:t>10/10/1990</w:t>
            </w:r>
          </w:p>
        </w:tc>
        <w:tc>
          <w:tcPr>
            <w:tcW w:w="1338" w:type="dxa"/>
          </w:tcPr>
          <w:p>
            <w:pPr/>
          </w:p>
        </w:tc>
        <w:tc>
          <w:tcPr>
            <w:tcW w:w="1269" w:type="dxa"/>
          </w:tcPr>
          <w:p>
            <w:pPr>
              <w:pStyle w:val="TableParagraph"/>
              <w:spacing w:before="1"/>
              <w:rPr>
                <w:b/>
                <w:sz w:val="20"/>
              </w:rPr>
            </w:pPr>
          </w:p>
          <w:p>
            <w:pPr>
              <w:pStyle w:val="TableParagraph"/>
              <w:spacing w:line="276" w:lineRule="auto"/>
              <w:ind w:left="25"/>
              <w:rPr>
                <w:sz w:val="15"/>
              </w:rPr>
            </w:pPr>
            <w:r>
              <w:rPr>
                <w:w w:val="105"/>
                <w:sz w:val="15"/>
              </w:rPr>
              <w:t>La Jornada </w:t>
            </w:r>
            <w:r>
              <w:rPr>
                <w:sz w:val="15"/>
              </w:rPr>
              <w:t>10/10/90:17</w:t>
            </w:r>
          </w:p>
        </w:tc>
        <w:tc>
          <w:tcPr>
            <w:tcW w:w="3807" w:type="dxa"/>
          </w:tcPr>
          <w:p>
            <w:pPr/>
          </w:p>
        </w:tc>
        <w:tc>
          <w:tcPr>
            <w:tcW w:w="898" w:type="dxa"/>
          </w:tcPr>
          <w:p>
            <w:pPr>
              <w:pStyle w:val="TableParagraph"/>
              <w:rPr>
                <w:b/>
                <w:sz w:val="16"/>
              </w:rPr>
            </w:pPr>
          </w:p>
          <w:p>
            <w:pPr>
              <w:pStyle w:val="TableParagraph"/>
              <w:spacing w:before="1"/>
              <w:rPr>
                <w:b/>
                <w:sz w:val="13"/>
              </w:rPr>
            </w:pPr>
          </w:p>
          <w:p>
            <w:pPr>
              <w:pStyle w:val="TableParagraph"/>
              <w:ind w:right="24"/>
              <w:jc w:val="right"/>
              <w:rPr>
                <w:sz w:val="15"/>
              </w:rPr>
            </w:pPr>
            <w:r>
              <w:rPr>
                <w:w w:val="103"/>
                <w:sz w:val="15"/>
              </w:rPr>
              <w:t>1</w:t>
            </w:r>
          </w:p>
        </w:tc>
        <w:tc>
          <w:tcPr>
            <w:tcW w:w="992" w:type="dxa"/>
          </w:tcPr>
          <w:p>
            <w:pPr>
              <w:pStyle w:val="TableParagraph"/>
              <w:rPr>
                <w:b/>
                <w:sz w:val="16"/>
              </w:rPr>
            </w:pPr>
          </w:p>
          <w:p>
            <w:pPr>
              <w:pStyle w:val="TableParagraph"/>
              <w:spacing w:before="1"/>
              <w:rPr>
                <w:b/>
                <w:sz w:val="13"/>
              </w:rPr>
            </w:pPr>
          </w:p>
          <w:p>
            <w:pPr>
              <w:pStyle w:val="TableParagraph"/>
              <w:ind w:right="23"/>
              <w:jc w:val="right"/>
              <w:rPr>
                <w:sz w:val="15"/>
              </w:rPr>
            </w:pPr>
            <w:r>
              <w:rPr>
                <w:w w:val="103"/>
                <w:sz w:val="15"/>
              </w:rPr>
              <w:t>0</w:t>
            </w:r>
          </w:p>
        </w:tc>
        <w:tc>
          <w:tcPr>
            <w:tcW w:w="898" w:type="dxa"/>
          </w:tcPr>
          <w:p>
            <w:pPr>
              <w:pStyle w:val="TableParagraph"/>
              <w:rPr>
                <w:b/>
                <w:sz w:val="16"/>
              </w:rPr>
            </w:pPr>
          </w:p>
          <w:p>
            <w:pPr>
              <w:pStyle w:val="TableParagraph"/>
              <w:spacing w:before="1"/>
              <w:rPr>
                <w:b/>
                <w:sz w:val="13"/>
              </w:rPr>
            </w:pPr>
          </w:p>
          <w:p>
            <w:pPr>
              <w:pStyle w:val="TableParagraph"/>
              <w:ind w:right="23"/>
              <w:jc w:val="right"/>
              <w:rPr>
                <w:sz w:val="15"/>
              </w:rPr>
            </w:pPr>
            <w:r>
              <w:rPr>
                <w:w w:val="103"/>
                <w:sz w:val="15"/>
              </w:rPr>
              <w:t>0</w:t>
            </w:r>
          </w:p>
        </w:tc>
        <w:tc>
          <w:tcPr>
            <w:tcW w:w="855" w:type="dxa"/>
          </w:tcPr>
          <w:p>
            <w:pPr>
              <w:pStyle w:val="TableParagraph"/>
              <w:rPr>
                <w:b/>
                <w:sz w:val="16"/>
              </w:rPr>
            </w:pPr>
          </w:p>
          <w:p>
            <w:pPr>
              <w:pStyle w:val="TableParagraph"/>
              <w:spacing w:before="1"/>
              <w:rPr>
                <w:b/>
                <w:sz w:val="13"/>
              </w:rPr>
            </w:pPr>
          </w:p>
          <w:p>
            <w:pPr>
              <w:pStyle w:val="TableParagraph"/>
              <w:ind w:right="23"/>
              <w:jc w:val="right"/>
              <w:rPr>
                <w:sz w:val="15"/>
              </w:rPr>
            </w:pPr>
            <w:r>
              <w:rPr>
                <w:w w:val="103"/>
                <w:sz w:val="15"/>
              </w:rPr>
              <w:t>0</w:t>
            </w:r>
          </w:p>
        </w:tc>
        <w:tc>
          <w:tcPr>
            <w:tcW w:w="906" w:type="dxa"/>
          </w:tcPr>
          <w:p>
            <w:pPr>
              <w:pStyle w:val="TableParagraph"/>
              <w:rPr>
                <w:b/>
                <w:sz w:val="16"/>
              </w:rPr>
            </w:pPr>
          </w:p>
          <w:p>
            <w:pPr>
              <w:pStyle w:val="TableParagraph"/>
              <w:spacing w:before="1"/>
              <w:rPr>
                <w:b/>
                <w:sz w:val="13"/>
              </w:rPr>
            </w:pPr>
          </w:p>
          <w:p>
            <w:pPr>
              <w:pStyle w:val="TableParagraph"/>
              <w:ind w:left="25"/>
              <w:rPr>
                <w:sz w:val="15"/>
              </w:rPr>
            </w:pPr>
            <w:r>
              <w:rPr>
                <w:w w:val="105"/>
                <w:sz w:val="15"/>
              </w:rPr>
              <w:t>Otra causa</w:t>
            </w:r>
          </w:p>
        </w:tc>
        <w:tc>
          <w:tcPr>
            <w:tcW w:w="1097" w:type="dxa"/>
            <w:tcBorders>
              <w:right w:val="single" w:sz="3" w:space="0" w:color="000000"/>
            </w:tcBorders>
          </w:tcPr>
          <w:p>
            <w:pPr>
              <w:pStyle w:val="TableParagraph"/>
              <w:spacing w:line="276" w:lineRule="auto" w:before="32"/>
              <w:ind w:left="26" w:right="2"/>
              <w:rPr>
                <w:sz w:val="15"/>
              </w:rPr>
            </w:pPr>
            <w:r>
              <w:rPr>
                <w:w w:val="105"/>
                <w:sz w:val="15"/>
              </w:rPr>
              <w:t>Trabajadores excavaban en una zanja para construcción</w:t>
            </w:r>
          </w:p>
        </w:tc>
      </w:tr>
      <w:tr>
        <w:trPr>
          <w:trHeight w:val="207" w:hRule="exact"/>
        </w:trPr>
        <w:tc>
          <w:tcPr>
            <w:tcW w:w="941" w:type="dxa"/>
          </w:tcPr>
          <w:p>
            <w:pPr>
              <w:pStyle w:val="TableParagraph"/>
              <w:spacing w:before="15"/>
              <w:ind w:right="24"/>
              <w:jc w:val="right"/>
              <w:rPr>
                <w:sz w:val="15"/>
              </w:rPr>
            </w:pPr>
            <w:r>
              <w:rPr>
                <w:sz w:val="15"/>
              </w:rPr>
              <w:t>30/05/1992</w:t>
            </w:r>
          </w:p>
        </w:tc>
        <w:tc>
          <w:tcPr>
            <w:tcW w:w="1338" w:type="dxa"/>
          </w:tcPr>
          <w:p>
            <w:pPr/>
          </w:p>
        </w:tc>
        <w:tc>
          <w:tcPr>
            <w:tcW w:w="1269" w:type="dxa"/>
          </w:tcPr>
          <w:p>
            <w:pPr>
              <w:pStyle w:val="TableParagraph"/>
              <w:spacing w:before="15"/>
              <w:ind w:left="25"/>
              <w:rPr>
                <w:sz w:val="15"/>
              </w:rPr>
            </w:pPr>
            <w:r>
              <w:rPr>
                <w:w w:val="105"/>
                <w:sz w:val="15"/>
              </w:rPr>
              <w:t>SNPC</w:t>
            </w:r>
          </w:p>
        </w:tc>
        <w:tc>
          <w:tcPr>
            <w:tcW w:w="3807" w:type="dxa"/>
          </w:tcPr>
          <w:p>
            <w:pPr/>
          </w:p>
        </w:tc>
        <w:tc>
          <w:tcPr>
            <w:tcW w:w="898" w:type="dxa"/>
          </w:tcPr>
          <w:p>
            <w:pPr>
              <w:pStyle w:val="TableParagraph"/>
              <w:spacing w:before="15"/>
              <w:ind w:right="24"/>
              <w:jc w:val="right"/>
              <w:rPr>
                <w:sz w:val="15"/>
              </w:rPr>
            </w:pPr>
            <w:r>
              <w:rPr>
                <w:w w:val="103"/>
                <w:sz w:val="15"/>
              </w:rPr>
              <w:t>0</w:t>
            </w:r>
          </w:p>
        </w:tc>
        <w:tc>
          <w:tcPr>
            <w:tcW w:w="992" w:type="dxa"/>
          </w:tcPr>
          <w:p>
            <w:pPr>
              <w:pStyle w:val="TableParagraph"/>
              <w:spacing w:before="15"/>
              <w:ind w:right="23"/>
              <w:jc w:val="right"/>
              <w:rPr>
                <w:sz w:val="15"/>
              </w:rPr>
            </w:pPr>
            <w:r>
              <w:rPr>
                <w:w w:val="103"/>
                <w:sz w:val="15"/>
              </w:rPr>
              <w:t>9</w:t>
            </w:r>
          </w:p>
        </w:tc>
        <w:tc>
          <w:tcPr>
            <w:tcW w:w="898" w:type="dxa"/>
          </w:tcPr>
          <w:p>
            <w:pPr>
              <w:pStyle w:val="TableParagraph"/>
              <w:spacing w:before="15"/>
              <w:ind w:right="23"/>
              <w:jc w:val="right"/>
              <w:rPr>
                <w:sz w:val="15"/>
              </w:rPr>
            </w:pPr>
            <w:r>
              <w:rPr>
                <w:w w:val="103"/>
                <w:sz w:val="15"/>
              </w:rPr>
              <w:t>0</w:t>
            </w:r>
          </w:p>
        </w:tc>
        <w:tc>
          <w:tcPr>
            <w:tcW w:w="855" w:type="dxa"/>
          </w:tcPr>
          <w:p>
            <w:pPr>
              <w:pStyle w:val="TableParagraph"/>
              <w:spacing w:before="15"/>
              <w:ind w:right="23"/>
              <w:jc w:val="right"/>
              <w:rPr>
                <w:sz w:val="15"/>
              </w:rPr>
            </w:pPr>
            <w:r>
              <w:rPr>
                <w:w w:val="103"/>
                <w:sz w:val="15"/>
              </w:rPr>
              <w:t>6</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r>
        <w:trPr>
          <w:trHeight w:val="207" w:hRule="exact"/>
        </w:trPr>
        <w:tc>
          <w:tcPr>
            <w:tcW w:w="941" w:type="dxa"/>
          </w:tcPr>
          <w:p>
            <w:pPr>
              <w:pStyle w:val="TableParagraph"/>
              <w:spacing w:before="15"/>
              <w:ind w:right="24"/>
              <w:jc w:val="right"/>
              <w:rPr>
                <w:sz w:val="15"/>
              </w:rPr>
            </w:pPr>
            <w:r>
              <w:rPr>
                <w:sz w:val="15"/>
              </w:rPr>
              <w:t>14/07/1992</w:t>
            </w:r>
          </w:p>
        </w:tc>
        <w:tc>
          <w:tcPr>
            <w:tcW w:w="1338" w:type="dxa"/>
          </w:tcPr>
          <w:p>
            <w:pPr/>
          </w:p>
        </w:tc>
        <w:tc>
          <w:tcPr>
            <w:tcW w:w="1269" w:type="dxa"/>
          </w:tcPr>
          <w:p>
            <w:pPr>
              <w:pStyle w:val="TableParagraph"/>
              <w:spacing w:before="15"/>
              <w:ind w:left="25"/>
              <w:rPr>
                <w:sz w:val="15"/>
              </w:rPr>
            </w:pPr>
            <w:r>
              <w:rPr>
                <w:w w:val="105"/>
                <w:sz w:val="15"/>
              </w:rPr>
              <w:t>Excelsior</w:t>
            </w:r>
          </w:p>
        </w:tc>
        <w:tc>
          <w:tcPr>
            <w:tcW w:w="3807" w:type="dxa"/>
          </w:tcPr>
          <w:p>
            <w:pPr/>
          </w:p>
        </w:tc>
        <w:tc>
          <w:tcPr>
            <w:tcW w:w="898" w:type="dxa"/>
          </w:tcPr>
          <w:p>
            <w:pPr>
              <w:pStyle w:val="TableParagraph"/>
              <w:spacing w:before="15"/>
              <w:ind w:right="24"/>
              <w:jc w:val="right"/>
              <w:rPr>
                <w:sz w:val="15"/>
              </w:rPr>
            </w:pPr>
            <w:r>
              <w:rPr>
                <w:w w:val="103"/>
                <w:sz w:val="15"/>
              </w:rPr>
              <w:t>0</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1</w:t>
            </w:r>
          </w:p>
        </w:tc>
        <w:tc>
          <w:tcPr>
            <w:tcW w:w="855" w:type="dxa"/>
          </w:tcPr>
          <w:p>
            <w:pPr>
              <w:pStyle w:val="TableParagraph"/>
              <w:spacing w:before="15"/>
              <w:ind w:right="23"/>
              <w:jc w:val="right"/>
              <w:rPr>
                <w:sz w:val="15"/>
              </w:rPr>
            </w:pPr>
            <w:r>
              <w:rPr>
                <w:w w:val="103"/>
                <w:sz w:val="15"/>
              </w:rPr>
              <w:t>0</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r>
        <w:trPr>
          <w:trHeight w:val="207" w:hRule="exact"/>
        </w:trPr>
        <w:tc>
          <w:tcPr>
            <w:tcW w:w="941" w:type="dxa"/>
          </w:tcPr>
          <w:p>
            <w:pPr>
              <w:pStyle w:val="TableParagraph"/>
              <w:spacing w:before="15"/>
              <w:ind w:right="24"/>
              <w:jc w:val="right"/>
              <w:rPr>
                <w:sz w:val="15"/>
              </w:rPr>
            </w:pPr>
            <w:r>
              <w:rPr>
                <w:sz w:val="15"/>
              </w:rPr>
              <w:t>03/09/1992</w:t>
            </w:r>
          </w:p>
        </w:tc>
        <w:tc>
          <w:tcPr>
            <w:tcW w:w="1338" w:type="dxa"/>
          </w:tcPr>
          <w:p>
            <w:pPr/>
          </w:p>
        </w:tc>
        <w:tc>
          <w:tcPr>
            <w:tcW w:w="1269" w:type="dxa"/>
          </w:tcPr>
          <w:p>
            <w:pPr>
              <w:pStyle w:val="TableParagraph"/>
              <w:spacing w:before="15"/>
              <w:ind w:left="25"/>
              <w:rPr>
                <w:sz w:val="15"/>
              </w:rPr>
            </w:pPr>
            <w:r>
              <w:rPr>
                <w:w w:val="105"/>
                <w:sz w:val="15"/>
              </w:rPr>
              <w:t>El Día</w:t>
            </w:r>
          </w:p>
        </w:tc>
        <w:tc>
          <w:tcPr>
            <w:tcW w:w="3807" w:type="dxa"/>
          </w:tcPr>
          <w:p>
            <w:pPr/>
          </w:p>
        </w:tc>
        <w:tc>
          <w:tcPr>
            <w:tcW w:w="898" w:type="dxa"/>
          </w:tcPr>
          <w:p>
            <w:pPr>
              <w:pStyle w:val="TableParagraph"/>
              <w:spacing w:before="15"/>
              <w:ind w:right="24"/>
              <w:jc w:val="right"/>
              <w:rPr>
                <w:sz w:val="15"/>
              </w:rPr>
            </w:pPr>
            <w:r>
              <w:rPr>
                <w:w w:val="103"/>
                <w:sz w:val="15"/>
              </w:rPr>
              <w:t>0</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3</w:t>
            </w:r>
          </w:p>
        </w:tc>
        <w:tc>
          <w:tcPr>
            <w:tcW w:w="855" w:type="dxa"/>
          </w:tcPr>
          <w:p>
            <w:pPr>
              <w:pStyle w:val="TableParagraph"/>
              <w:spacing w:before="15"/>
              <w:ind w:right="23"/>
              <w:jc w:val="right"/>
              <w:rPr>
                <w:sz w:val="15"/>
              </w:rPr>
            </w:pPr>
            <w:r>
              <w:rPr>
                <w:w w:val="103"/>
                <w:sz w:val="15"/>
              </w:rPr>
              <w:t>2</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bl>
    <w:p>
      <w:pPr>
        <w:spacing w:after="0"/>
        <w:sectPr>
          <w:pgSz w:w="15840" w:h="12240" w:orient="landscape"/>
          <w:pgMar w:top="1140" w:bottom="280" w:left="1300" w:right="1300"/>
        </w:sectPr>
      </w:pPr>
    </w:p>
    <w:p>
      <w:pPr>
        <w:pStyle w:val="BodyText"/>
        <w:rPr>
          <w:sz w:val="20"/>
        </w:rPr>
      </w:pPr>
    </w:p>
    <w:p>
      <w:pPr>
        <w:pStyle w:val="BodyText"/>
        <w:spacing w:before="8" w:after="1"/>
        <w:rPr>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9"/>
        <w:gridCol w:w="1349"/>
        <w:gridCol w:w="1280"/>
        <w:gridCol w:w="3838"/>
        <w:gridCol w:w="905"/>
        <w:gridCol w:w="1001"/>
        <w:gridCol w:w="905"/>
        <w:gridCol w:w="862"/>
        <w:gridCol w:w="914"/>
        <w:gridCol w:w="1106"/>
      </w:tblGrid>
      <w:tr>
        <w:trPr>
          <w:trHeight w:val="389" w:hRule="exact"/>
        </w:trPr>
        <w:tc>
          <w:tcPr>
            <w:tcW w:w="949" w:type="dxa"/>
            <w:tcBorders>
              <w:left w:val="single" w:sz="3" w:space="0" w:color="000000"/>
              <w:right w:val="single" w:sz="3" w:space="0" w:color="000000"/>
            </w:tcBorders>
            <w:shd w:val="clear" w:color="auto" w:fill="212B35"/>
          </w:tcPr>
          <w:p>
            <w:pPr>
              <w:pStyle w:val="TableParagraph"/>
              <w:spacing w:before="105"/>
              <w:ind w:right="59"/>
              <w:jc w:val="right"/>
              <w:rPr>
                <w:b/>
                <w:sz w:val="15"/>
              </w:rPr>
            </w:pPr>
            <w:r>
              <w:rPr>
                <w:b/>
                <w:color w:val="FFFFFF"/>
                <w:w w:val="105"/>
                <w:sz w:val="15"/>
              </w:rPr>
              <w:t>Fecha Inicio</w:t>
            </w:r>
          </w:p>
        </w:tc>
        <w:tc>
          <w:tcPr>
            <w:tcW w:w="1349" w:type="dxa"/>
            <w:tcBorders>
              <w:left w:val="single" w:sz="3" w:space="0" w:color="000000"/>
              <w:right w:val="single" w:sz="3" w:space="0" w:color="000000"/>
            </w:tcBorders>
            <w:shd w:val="clear" w:color="auto" w:fill="212B35"/>
          </w:tcPr>
          <w:p>
            <w:pPr>
              <w:pStyle w:val="TableParagraph"/>
              <w:spacing w:before="105"/>
              <w:ind w:left="493" w:right="500"/>
              <w:jc w:val="center"/>
              <w:rPr>
                <w:b/>
                <w:sz w:val="15"/>
              </w:rPr>
            </w:pPr>
            <w:r>
              <w:rPr>
                <w:b/>
                <w:color w:val="FFFFFF"/>
                <w:w w:val="105"/>
                <w:sz w:val="15"/>
              </w:rPr>
              <w:t>Sitio</w:t>
            </w:r>
          </w:p>
        </w:tc>
        <w:tc>
          <w:tcPr>
            <w:tcW w:w="1280" w:type="dxa"/>
            <w:tcBorders>
              <w:left w:val="single" w:sz="3" w:space="0" w:color="000000"/>
              <w:right w:val="single" w:sz="3" w:space="0" w:color="000000"/>
            </w:tcBorders>
            <w:shd w:val="clear" w:color="auto" w:fill="212B35"/>
          </w:tcPr>
          <w:p>
            <w:pPr>
              <w:pStyle w:val="TableParagraph"/>
              <w:spacing w:before="105"/>
              <w:ind w:left="374"/>
              <w:rPr>
                <w:b/>
                <w:sz w:val="15"/>
              </w:rPr>
            </w:pPr>
            <w:r>
              <w:rPr>
                <w:b/>
                <w:color w:val="FFFFFF"/>
                <w:w w:val="105"/>
                <w:sz w:val="15"/>
              </w:rPr>
              <w:t>Fuentes</w:t>
            </w:r>
          </w:p>
        </w:tc>
        <w:tc>
          <w:tcPr>
            <w:tcW w:w="3838" w:type="dxa"/>
            <w:tcBorders>
              <w:left w:val="single" w:sz="3" w:space="0" w:color="000000"/>
              <w:right w:val="single" w:sz="3" w:space="0" w:color="000000"/>
            </w:tcBorders>
            <w:shd w:val="clear" w:color="auto" w:fill="212B35"/>
          </w:tcPr>
          <w:p>
            <w:pPr>
              <w:pStyle w:val="TableParagraph"/>
              <w:spacing w:before="105"/>
              <w:ind w:left="1070" w:right="-17"/>
              <w:rPr>
                <w:b/>
                <w:sz w:val="15"/>
              </w:rPr>
            </w:pPr>
            <w:r>
              <w:rPr>
                <w:b/>
                <w:color w:val="FFFFFF"/>
                <w:w w:val="105"/>
                <w:sz w:val="15"/>
              </w:rPr>
              <w:t>Observaciones de efectos</w:t>
            </w:r>
          </w:p>
        </w:tc>
        <w:tc>
          <w:tcPr>
            <w:tcW w:w="905" w:type="dxa"/>
            <w:tcBorders>
              <w:left w:val="single" w:sz="3" w:space="0" w:color="000000"/>
              <w:right w:val="single" w:sz="3" w:space="0" w:color="000000"/>
            </w:tcBorders>
            <w:shd w:val="clear" w:color="auto" w:fill="212B35"/>
          </w:tcPr>
          <w:p>
            <w:pPr>
              <w:pStyle w:val="TableParagraph"/>
              <w:spacing w:before="105"/>
              <w:ind w:left="165" w:right="90"/>
              <w:rPr>
                <w:b/>
                <w:sz w:val="15"/>
              </w:rPr>
            </w:pPr>
            <w:r>
              <w:rPr>
                <w:b/>
                <w:color w:val="FFFFFF"/>
                <w:w w:val="105"/>
                <w:sz w:val="15"/>
              </w:rPr>
              <w:t>Muertos</w:t>
            </w:r>
          </w:p>
        </w:tc>
        <w:tc>
          <w:tcPr>
            <w:tcW w:w="1001" w:type="dxa"/>
            <w:tcBorders>
              <w:left w:val="single" w:sz="3" w:space="0" w:color="000000"/>
              <w:right w:val="single" w:sz="3" w:space="0" w:color="000000"/>
            </w:tcBorders>
            <w:shd w:val="clear" w:color="auto" w:fill="212B35"/>
          </w:tcPr>
          <w:p>
            <w:pPr>
              <w:pStyle w:val="TableParagraph"/>
              <w:spacing w:before="105"/>
              <w:ind w:right="24"/>
              <w:jc w:val="right"/>
              <w:rPr>
                <w:b/>
                <w:sz w:val="15"/>
              </w:rPr>
            </w:pPr>
            <w:r>
              <w:rPr>
                <w:b/>
                <w:color w:val="FFFFFF"/>
                <w:w w:val="105"/>
                <w:sz w:val="15"/>
              </w:rPr>
              <w:t>Damnificados</w:t>
            </w:r>
          </w:p>
        </w:tc>
        <w:tc>
          <w:tcPr>
            <w:tcW w:w="905" w:type="dxa"/>
            <w:tcBorders>
              <w:left w:val="single" w:sz="3" w:space="0" w:color="000000"/>
              <w:right w:val="single" w:sz="3" w:space="0" w:color="000000"/>
            </w:tcBorders>
            <w:shd w:val="clear" w:color="auto" w:fill="212B35"/>
          </w:tcPr>
          <w:p>
            <w:pPr>
              <w:pStyle w:val="TableParagraph"/>
              <w:spacing w:line="271" w:lineRule="auto" w:before="12"/>
              <w:ind w:left="104" w:right="90" w:firstLine="17"/>
              <w:rPr>
                <w:b/>
                <w:sz w:val="15"/>
              </w:rPr>
            </w:pPr>
            <w:r>
              <w:rPr>
                <w:b/>
                <w:color w:val="FFFFFF"/>
                <w:w w:val="105"/>
                <w:sz w:val="15"/>
              </w:rPr>
              <w:t>Viviendas </w:t>
            </w:r>
            <w:r>
              <w:rPr>
                <w:b/>
                <w:color w:val="FFFFFF"/>
                <w:sz w:val="15"/>
              </w:rPr>
              <w:t>destruidas</w:t>
            </w:r>
          </w:p>
        </w:tc>
        <w:tc>
          <w:tcPr>
            <w:tcW w:w="862" w:type="dxa"/>
            <w:tcBorders>
              <w:left w:val="single" w:sz="3" w:space="0" w:color="000000"/>
              <w:right w:val="single" w:sz="3" w:space="0" w:color="000000"/>
            </w:tcBorders>
            <w:shd w:val="clear" w:color="auto" w:fill="212B35"/>
          </w:tcPr>
          <w:p>
            <w:pPr>
              <w:pStyle w:val="TableParagraph"/>
              <w:spacing w:line="271" w:lineRule="auto" w:before="12"/>
              <w:ind w:left="113" w:right="90" w:hanging="18"/>
              <w:rPr>
                <w:b/>
                <w:sz w:val="15"/>
              </w:rPr>
            </w:pPr>
            <w:r>
              <w:rPr>
                <w:b/>
                <w:color w:val="FFFFFF"/>
                <w:sz w:val="15"/>
              </w:rPr>
              <w:t>Viviendas </w:t>
            </w:r>
            <w:r>
              <w:rPr>
                <w:b/>
                <w:color w:val="FFFFFF"/>
                <w:w w:val="105"/>
                <w:sz w:val="15"/>
              </w:rPr>
              <w:t>afectadas</w:t>
            </w:r>
          </w:p>
        </w:tc>
        <w:tc>
          <w:tcPr>
            <w:tcW w:w="914" w:type="dxa"/>
            <w:tcBorders>
              <w:left w:val="single" w:sz="3" w:space="0" w:color="000000"/>
              <w:right w:val="single" w:sz="3" w:space="0" w:color="000000"/>
            </w:tcBorders>
            <w:shd w:val="clear" w:color="auto" w:fill="212B35"/>
          </w:tcPr>
          <w:p>
            <w:pPr>
              <w:pStyle w:val="TableParagraph"/>
              <w:spacing w:line="271" w:lineRule="auto" w:before="12"/>
              <w:ind w:left="261" w:right="181" w:hanging="70"/>
              <w:rPr>
                <w:b/>
                <w:sz w:val="15"/>
              </w:rPr>
            </w:pPr>
            <w:r>
              <w:rPr>
                <w:b/>
                <w:color w:val="FFFFFF"/>
                <w:w w:val="105"/>
                <w:sz w:val="15"/>
              </w:rPr>
              <w:t>Tipo de causa</w:t>
            </w:r>
          </w:p>
        </w:tc>
        <w:tc>
          <w:tcPr>
            <w:tcW w:w="1106" w:type="dxa"/>
            <w:tcBorders>
              <w:left w:val="single" w:sz="3" w:space="0" w:color="000000"/>
              <w:right w:val="single" w:sz="3" w:space="0" w:color="000000"/>
            </w:tcBorders>
            <w:shd w:val="clear" w:color="auto" w:fill="212B35"/>
          </w:tcPr>
          <w:p>
            <w:pPr>
              <w:pStyle w:val="TableParagraph"/>
              <w:spacing w:line="271" w:lineRule="auto" w:before="12"/>
              <w:ind w:left="261" w:hanging="201"/>
              <w:rPr>
                <w:b/>
                <w:sz w:val="15"/>
              </w:rPr>
            </w:pPr>
            <w:r>
              <w:rPr>
                <w:b/>
                <w:color w:val="FFFFFF"/>
                <w:sz w:val="15"/>
              </w:rPr>
              <w:t>Observaciones </w:t>
            </w:r>
            <w:r>
              <w:rPr>
                <w:b/>
                <w:color w:val="FFFFFF"/>
                <w:w w:val="105"/>
                <w:sz w:val="15"/>
              </w:rPr>
              <w:t>de causa</w:t>
            </w:r>
          </w:p>
        </w:tc>
      </w:tr>
      <w:tr>
        <w:trPr>
          <w:trHeight w:val="779" w:hRule="exact"/>
        </w:trPr>
        <w:tc>
          <w:tcPr>
            <w:tcW w:w="949"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right="24"/>
              <w:jc w:val="right"/>
              <w:rPr>
                <w:sz w:val="15"/>
              </w:rPr>
            </w:pPr>
            <w:r>
              <w:rPr>
                <w:sz w:val="15"/>
              </w:rPr>
              <w:t>27/09/1992</w:t>
            </w:r>
          </w:p>
        </w:tc>
        <w:tc>
          <w:tcPr>
            <w:tcW w:w="1349" w:type="dxa"/>
            <w:tcBorders>
              <w:left w:val="single" w:sz="3" w:space="0" w:color="000000"/>
              <w:right w:val="single" w:sz="3" w:space="0" w:color="000000"/>
            </w:tcBorders>
          </w:tcPr>
          <w:p>
            <w:pPr>
              <w:pStyle w:val="TableParagraph"/>
              <w:spacing w:line="271" w:lineRule="auto" w:before="105"/>
              <w:ind w:left="26" w:right="309"/>
              <w:rPr>
                <w:sz w:val="15"/>
              </w:rPr>
            </w:pPr>
            <w:r>
              <w:rPr>
                <w:w w:val="105"/>
                <w:sz w:val="15"/>
              </w:rPr>
              <w:t>Cols. Lomas de Tarango y Tlacuitlalpan</w:t>
            </w:r>
          </w:p>
        </w:tc>
        <w:tc>
          <w:tcPr>
            <w:tcW w:w="1280"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left="26"/>
              <w:rPr>
                <w:sz w:val="15"/>
              </w:rPr>
            </w:pPr>
            <w:r>
              <w:rPr>
                <w:w w:val="105"/>
                <w:sz w:val="15"/>
              </w:rPr>
              <w:t>SNPC</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right="24"/>
              <w:jc w:val="right"/>
              <w:rPr>
                <w:sz w:val="15"/>
              </w:rPr>
            </w:pPr>
            <w:r>
              <w:rPr>
                <w:w w:val="104"/>
                <w:sz w:val="15"/>
              </w:rPr>
              <w:t>1</w:t>
            </w:r>
          </w:p>
        </w:tc>
        <w:tc>
          <w:tcPr>
            <w:tcW w:w="1001"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right="24"/>
              <w:jc w:val="right"/>
              <w:rPr>
                <w:sz w:val="15"/>
              </w:rPr>
            </w:pPr>
            <w:r>
              <w:rPr>
                <w:w w:val="104"/>
                <w:sz w:val="15"/>
              </w:rPr>
              <w:t>1</w:t>
            </w:r>
          </w:p>
        </w:tc>
        <w:tc>
          <w:tcPr>
            <w:tcW w:w="862"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right="24"/>
              <w:jc w:val="right"/>
              <w:rPr>
                <w:sz w:val="15"/>
              </w:rPr>
            </w:pPr>
            <w:r>
              <w:rPr>
                <w:w w:val="104"/>
                <w:sz w:val="15"/>
              </w:rPr>
              <w:t>3</w:t>
            </w:r>
          </w:p>
        </w:tc>
        <w:tc>
          <w:tcPr>
            <w:tcW w:w="914" w:type="dxa"/>
            <w:tcBorders>
              <w:left w:val="single" w:sz="3" w:space="0" w:color="000000"/>
              <w:right w:val="single" w:sz="3" w:space="0" w:color="000000"/>
            </w:tcBorders>
          </w:tcPr>
          <w:p>
            <w:pPr>
              <w:pStyle w:val="TableParagraph"/>
              <w:rPr>
                <w:sz w:val="14"/>
              </w:rPr>
            </w:pPr>
          </w:p>
          <w:p>
            <w:pPr>
              <w:pStyle w:val="TableParagraph"/>
              <w:rPr>
                <w:sz w:val="12"/>
              </w:rPr>
            </w:pPr>
          </w:p>
          <w:p>
            <w:pPr>
              <w:pStyle w:val="TableParagraph"/>
              <w:spacing w:before="1"/>
              <w:ind w:left="26" w:right="181"/>
              <w:rPr>
                <w:sz w:val="15"/>
              </w:rPr>
            </w:pPr>
            <w:r>
              <w:rPr>
                <w:w w:val="105"/>
                <w:sz w:val="15"/>
              </w:rPr>
              <w:t>Lluvias</w:t>
            </w:r>
          </w:p>
        </w:tc>
        <w:tc>
          <w:tcPr>
            <w:tcW w:w="1106" w:type="dxa"/>
            <w:tcBorders>
              <w:left w:val="single" w:sz="3" w:space="0" w:color="000000"/>
              <w:right w:val="single" w:sz="3" w:space="0" w:color="000000"/>
            </w:tcBorders>
          </w:tcPr>
          <w:p>
            <w:pPr>
              <w:pStyle w:val="TableParagraph"/>
              <w:spacing w:line="271" w:lineRule="auto" w:before="12"/>
              <w:ind w:left="26"/>
              <w:rPr>
                <w:sz w:val="15"/>
              </w:rPr>
            </w:pPr>
            <w:r>
              <w:rPr>
                <w:w w:val="105"/>
                <w:sz w:val="15"/>
              </w:rPr>
              <w:t>Se producen 2 deslizamientos por las intensas lluvias</w:t>
            </w:r>
          </w:p>
        </w:tc>
      </w:tr>
      <w:tr>
        <w:trPr>
          <w:trHeight w:val="203" w:hRule="exact"/>
        </w:trPr>
        <w:tc>
          <w:tcPr>
            <w:tcW w:w="949" w:type="dxa"/>
            <w:tcBorders>
              <w:left w:val="single" w:sz="3" w:space="0" w:color="000000"/>
              <w:right w:val="single" w:sz="3" w:space="0" w:color="000000"/>
            </w:tcBorders>
          </w:tcPr>
          <w:p>
            <w:pPr>
              <w:pStyle w:val="TableParagraph"/>
              <w:spacing w:before="12"/>
              <w:ind w:right="24"/>
              <w:jc w:val="right"/>
              <w:rPr>
                <w:sz w:val="15"/>
              </w:rPr>
            </w:pPr>
            <w:r>
              <w:rPr>
                <w:sz w:val="15"/>
              </w:rPr>
              <w:t>28/09/1992</w:t>
            </w:r>
          </w:p>
        </w:tc>
        <w:tc>
          <w:tcPr>
            <w:tcW w:w="1349" w:type="dxa"/>
            <w:tcBorders>
              <w:left w:val="single" w:sz="3" w:space="0" w:color="000000"/>
              <w:right w:val="single" w:sz="3" w:space="0" w:color="000000"/>
            </w:tcBorders>
          </w:tcPr>
          <w:p>
            <w:pPr>
              <w:pStyle w:val="TableParagraph"/>
              <w:spacing w:before="12"/>
              <w:ind w:left="26" w:right="12"/>
              <w:rPr>
                <w:sz w:val="15"/>
              </w:rPr>
            </w:pPr>
            <w:r>
              <w:rPr>
                <w:w w:val="105"/>
                <w:sz w:val="15"/>
              </w:rPr>
              <w:t>Lomas de Tarango</w:t>
            </w:r>
          </w:p>
        </w:tc>
        <w:tc>
          <w:tcPr>
            <w:tcW w:w="1280" w:type="dxa"/>
            <w:tcBorders>
              <w:left w:val="single" w:sz="3" w:space="0" w:color="000000"/>
              <w:right w:val="single" w:sz="3" w:space="0" w:color="000000"/>
            </w:tcBorders>
          </w:tcPr>
          <w:p>
            <w:pPr>
              <w:pStyle w:val="TableParagraph"/>
              <w:spacing w:before="12"/>
              <w:ind w:left="26"/>
              <w:rPr>
                <w:sz w:val="15"/>
              </w:rPr>
            </w:pPr>
            <w:r>
              <w:rPr>
                <w:w w:val="105"/>
                <w:sz w:val="15"/>
              </w:rPr>
              <w:t>Uno más Uno</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1</w:t>
            </w:r>
          </w:p>
        </w:tc>
        <w:tc>
          <w:tcPr>
            <w:tcW w:w="1001"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spacing w:before="12"/>
              <w:ind w:left="26" w:right="90"/>
              <w:rPr>
                <w:sz w:val="15"/>
              </w:rPr>
            </w:pPr>
            <w:r>
              <w:rPr>
                <w:w w:val="105"/>
                <w:sz w:val="15"/>
              </w:rPr>
              <w:t>Si</w:t>
            </w:r>
          </w:p>
        </w:tc>
        <w:tc>
          <w:tcPr>
            <w:tcW w:w="914" w:type="dxa"/>
            <w:tcBorders>
              <w:left w:val="single" w:sz="3" w:space="0" w:color="000000"/>
              <w:right w:val="single" w:sz="3" w:space="0" w:color="000000"/>
            </w:tcBorders>
          </w:tcPr>
          <w:p>
            <w:pPr>
              <w:pStyle w:val="TableParagraph"/>
              <w:spacing w:before="12"/>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203" w:hRule="exact"/>
        </w:trPr>
        <w:tc>
          <w:tcPr>
            <w:tcW w:w="949" w:type="dxa"/>
            <w:tcBorders>
              <w:left w:val="single" w:sz="3" w:space="0" w:color="000000"/>
              <w:right w:val="single" w:sz="3" w:space="0" w:color="000000"/>
            </w:tcBorders>
          </w:tcPr>
          <w:p>
            <w:pPr>
              <w:pStyle w:val="TableParagraph"/>
              <w:spacing w:before="12"/>
              <w:ind w:right="24"/>
              <w:jc w:val="right"/>
              <w:rPr>
                <w:sz w:val="15"/>
              </w:rPr>
            </w:pPr>
            <w:r>
              <w:rPr>
                <w:sz w:val="15"/>
              </w:rPr>
              <w:t>08/11/1992</w:t>
            </w:r>
          </w:p>
        </w:tc>
        <w:tc>
          <w:tcPr>
            <w:tcW w:w="1349" w:type="dxa"/>
            <w:tcBorders>
              <w:left w:val="single" w:sz="3" w:space="0" w:color="000000"/>
              <w:right w:val="single" w:sz="3" w:space="0" w:color="000000"/>
            </w:tcBorders>
          </w:tcPr>
          <w:p>
            <w:pPr>
              <w:pStyle w:val="TableParagraph"/>
              <w:spacing w:before="12"/>
              <w:ind w:left="26" w:right="12"/>
              <w:rPr>
                <w:sz w:val="15"/>
              </w:rPr>
            </w:pPr>
            <w:r>
              <w:rPr>
                <w:w w:val="105"/>
                <w:sz w:val="15"/>
              </w:rPr>
              <w:t>Col. Las Aguilas</w:t>
            </w:r>
          </w:p>
        </w:tc>
        <w:tc>
          <w:tcPr>
            <w:tcW w:w="1280" w:type="dxa"/>
            <w:tcBorders>
              <w:left w:val="single" w:sz="3" w:space="0" w:color="000000"/>
              <w:right w:val="single" w:sz="3" w:space="0" w:color="000000"/>
            </w:tcBorders>
          </w:tcPr>
          <w:p>
            <w:pPr>
              <w:pStyle w:val="TableParagraph"/>
              <w:spacing w:before="12"/>
              <w:ind w:left="26"/>
              <w:rPr>
                <w:sz w:val="15"/>
              </w:rPr>
            </w:pPr>
            <w:r>
              <w:rPr>
                <w:w w:val="105"/>
                <w:sz w:val="15"/>
              </w:rPr>
              <w:t>Excelsior</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spacing w:before="12"/>
              <w:ind w:right="24"/>
              <w:jc w:val="right"/>
              <w:rPr>
                <w:sz w:val="15"/>
              </w:rPr>
            </w:pPr>
            <w:r>
              <w:rPr>
                <w:w w:val="104"/>
                <w:sz w:val="15"/>
              </w:rPr>
              <w:t>2</w:t>
            </w:r>
          </w:p>
        </w:tc>
        <w:tc>
          <w:tcPr>
            <w:tcW w:w="914" w:type="dxa"/>
            <w:tcBorders>
              <w:left w:val="single" w:sz="3" w:space="0" w:color="000000"/>
              <w:right w:val="single" w:sz="3" w:space="0" w:color="000000"/>
            </w:tcBorders>
          </w:tcPr>
          <w:p>
            <w:pPr>
              <w:pStyle w:val="TableParagraph"/>
              <w:spacing w:before="12"/>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584" w:hRule="exact"/>
        </w:trPr>
        <w:tc>
          <w:tcPr>
            <w:tcW w:w="949" w:type="dxa"/>
            <w:tcBorders>
              <w:left w:val="single" w:sz="3" w:space="0" w:color="000000"/>
              <w:right w:val="single" w:sz="3" w:space="0" w:color="000000"/>
            </w:tcBorders>
          </w:tcPr>
          <w:p>
            <w:pPr>
              <w:pStyle w:val="TableParagraph"/>
              <w:rPr>
                <w:sz w:val="18"/>
              </w:rPr>
            </w:pPr>
          </w:p>
          <w:p>
            <w:pPr>
              <w:pStyle w:val="TableParagraph"/>
              <w:ind w:right="24"/>
              <w:jc w:val="right"/>
              <w:rPr>
                <w:sz w:val="15"/>
              </w:rPr>
            </w:pPr>
            <w:r>
              <w:rPr>
                <w:sz w:val="15"/>
              </w:rPr>
              <w:t>21/07/1994</w:t>
            </w:r>
          </w:p>
        </w:tc>
        <w:tc>
          <w:tcPr>
            <w:tcW w:w="1349" w:type="dxa"/>
            <w:tcBorders>
              <w:left w:val="single" w:sz="3" w:space="0" w:color="000000"/>
              <w:right w:val="single" w:sz="3" w:space="0" w:color="000000"/>
            </w:tcBorders>
          </w:tcPr>
          <w:p>
            <w:pPr>
              <w:pStyle w:val="TableParagraph"/>
              <w:spacing w:line="271" w:lineRule="auto" w:before="12"/>
              <w:ind w:left="26" w:right="12"/>
              <w:rPr>
                <w:sz w:val="15"/>
              </w:rPr>
            </w:pPr>
            <w:r>
              <w:rPr>
                <w:w w:val="105"/>
                <w:sz w:val="15"/>
              </w:rPr>
              <w:t>Calles Vasco de Quiroga y Mariano Matamoros</w:t>
            </w:r>
          </w:p>
        </w:tc>
        <w:tc>
          <w:tcPr>
            <w:tcW w:w="1280" w:type="dxa"/>
            <w:tcBorders>
              <w:left w:val="single" w:sz="3" w:space="0" w:color="000000"/>
              <w:right w:val="single" w:sz="3" w:space="0" w:color="000000"/>
            </w:tcBorders>
          </w:tcPr>
          <w:p>
            <w:pPr>
              <w:pStyle w:val="TableParagraph"/>
              <w:spacing w:line="271" w:lineRule="auto" w:before="105"/>
              <w:ind w:left="26"/>
              <w:rPr>
                <w:sz w:val="15"/>
              </w:rPr>
            </w:pPr>
            <w:r>
              <w:rPr>
                <w:w w:val="105"/>
                <w:sz w:val="15"/>
              </w:rPr>
              <w:t>La Jornada 22/07/1994:40</w:t>
            </w:r>
          </w:p>
        </w:tc>
        <w:tc>
          <w:tcPr>
            <w:tcW w:w="3838" w:type="dxa"/>
            <w:tcBorders>
              <w:left w:val="single" w:sz="3" w:space="0" w:color="000000"/>
              <w:right w:val="single" w:sz="3" w:space="0" w:color="000000"/>
            </w:tcBorders>
          </w:tcPr>
          <w:p>
            <w:pPr>
              <w:pStyle w:val="TableParagraph"/>
              <w:spacing w:line="271" w:lineRule="auto" w:before="105"/>
              <w:ind w:left="26" w:right="-17"/>
              <w:rPr>
                <w:sz w:val="15"/>
              </w:rPr>
            </w:pPr>
            <w:r>
              <w:rPr>
                <w:w w:val="105"/>
                <w:sz w:val="15"/>
              </w:rPr>
              <w:t>Cae un alud de tierra sobre los trabajadores del Hotel Santa Fe</w:t>
            </w:r>
          </w:p>
        </w:tc>
        <w:tc>
          <w:tcPr>
            <w:tcW w:w="905" w:type="dxa"/>
            <w:tcBorders>
              <w:left w:val="single" w:sz="3" w:space="0" w:color="000000"/>
              <w:right w:val="single" w:sz="3" w:space="0" w:color="000000"/>
            </w:tcBorders>
          </w:tcPr>
          <w:p>
            <w:pPr>
              <w:pStyle w:val="TableParagraph"/>
              <w:rPr>
                <w:sz w:val="18"/>
              </w:rPr>
            </w:pPr>
          </w:p>
          <w:p>
            <w:pPr>
              <w:pStyle w:val="TableParagraph"/>
              <w:ind w:right="24"/>
              <w:jc w:val="right"/>
              <w:rPr>
                <w:sz w:val="15"/>
              </w:rPr>
            </w:pPr>
            <w:r>
              <w:rPr>
                <w:w w:val="104"/>
                <w:sz w:val="15"/>
              </w:rPr>
              <w:t>1</w:t>
            </w:r>
          </w:p>
        </w:tc>
        <w:tc>
          <w:tcPr>
            <w:tcW w:w="1001" w:type="dxa"/>
            <w:tcBorders>
              <w:left w:val="single" w:sz="3" w:space="0" w:color="000000"/>
              <w:right w:val="single" w:sz="3" w:space="0" w:color="000000"/>
            </w:tcBorders>
          </w:tcPr>
          <w:p>
            <w:pPr>
              <w:pStyle w:val="TableParagraph"/>
              <w:rPr>
                <w:sz w:val="18"/>
              </w:rPr>
            </w:pPr>
          </w:p>
          <w:p>
            <w:pPr>
              <w:pStyle w:val="TableParagraph"/>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rPr>
                <w:sz w:val="18"/>
              </w:rPr>
            </w:pPr>
          </w:p>
          <w:p>
            <w:pPr>
              <w:pStyle w:val="TableParagraph"/>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rPr>
                <w:sz w:val="18"/>
              </w:rPr>
            </w:pPr>
          </w:p>
          <w:p>
            <w:pPr>
              <w:pStyle w:val="TableParagraph"/>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rPr>
                <w:sz w:val="18"/>
              </w:rPr>
            </w:pPr>
          </w:p>
          <w:p>
            <w:pPr>
              <w:pStyle w:val="TableParagraph"/>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389" w:hRule="exact"/>
        </w:trPr>
        <w:tc>
          <w:tcPr>
            <w:tcW w:w="949" w:type="dxa"/>
            <w:tcBorders>
              <w:left w:val="single" w:sz="3" w:space="0" w:color="000000"/>
              <w:right w:val="single" w:sz="3" w:space="0" w:color="000000"/>
            </w:tcBorders>
          </w:tcPr>
          <w:p>
            <w:pPr>
              <w:pStyle w:val="TableParagraph"/>
              <w:spacing w:before="105"/>
              <w:ind w:right="24"/>
              <w:jc w:val="right"/>
              <w:rPr>
                <w:sz w:val="15"/>
              </w:rPr>
            </w:pPr>
            <w:r>
              <w:rPr>
                <w:sz w:val="15"/>
              </w:rPr>
              <w:t>22/05/1997</w:t>
            </w:r>
          </w:p>
        </w:tc>
        <w:tc>
          <w:tcPr>
            <w:tcW w:w="1349" w:type="dxa"/>
            <w:tcBorders>
              <w:left w:val="single" w:sz="3" w:space="0" w:color="000000"/>
              <w:right w:val="single" w:sz="3" w:space="0" w:color="000000"/>
            </w:tcBorders>
          </w:tcPr>
          <w:p>
            <w:pPr/>
          </w:p>
        </w:tc>
        <w:tc>
          <w:tcPr>
            <w:tcW w:w="1280" w:type="dxa"/>
            <w:tcBorders>
              <w:left w:val="single" w:sz="3" w:space="0" w:color="000000"/>
              <w:right w:val="single" w:sz="3" w:space="0" w:color="000000"/>
            </w:tcBorders>
          </w:tcPr>
          <w:p>
            <w:pPr>
              <w:pStyle w:val="TableParagraph"/>
              <w:spacing w:line="271" w:lineRule="auto" w:before="12"/>
              <w:ind w:left="26"/>
              <w:rPr>
                <w:sz w:val="15"/>
              </w:rPr>
            </w:pPr>
            <w:r>
              <w:rPr>
                <w:w w:val="105"/>
                <w:sz w:val="15"/>
              </w:rPr>
              <w:t>La Jornada </w:t>
            </w:r>
            <w:r>
              <w:rPr>
                <w:sz w:val="15"/>
              </w:rPr>
              <w:t>23/05/1997</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1</w:t>
            </w:r>
          </w:p>
        </w:tc>
        <w:tc>
          <w:tcPr>
            <w:tcW w:w="862"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105"/>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203" w:hRule="exact"/>
        </w:trPr>
        <w:tc>
          <w:tcPr>
            <w:tcW w:w="949" w:type="dxa"/>
            <w:tcBorders>
              <w:left w:val="single" w:sz="3" w:space="0" w:color="000000"/>
              <w:right w:val="single" w:sz="3" w:space="0" w:color="000000"/>
            </w:tcBorders>
          </w:tcPr>
          <w:p>
            <w:pPr>
              <w:pStyle w:val="TableParagraph"/>
              <w:spacing w:before="12"/>
              <w:ind w:right="24"/>
              <w:jc w:val="right"/>
              <w:rPr>
                <w:sz w:val="15"/>
              </w:rPr>
            </w:pPr>
            <w:r>
              <w:rPr>
                <w:sz w:val="15"/>
              </w:rPr>
              <w:t>22/08/1997</w:t>
            </w:r>
          </w:p>
        </w:tc>
        <w:tc>
          <w:tcPr>
            <w:tcW w:w="1349" w:type="dxa"/>
            <w:tcBorders>
              <w:left w:val="single" w:sz="3" w:space="0" w:color="000000"/>
              <w:right w:val="single" w:sz="3" w:space="0" w:color="000000"/>
            </w:tcBorders>
          </w:tcPr>
          <w:p>
            <w:pPr/>
          </w:p>
        </w:tc>
        <w:tc>
          <w:tcPr>
            <w:tcW w:w="1280" w:type="dxa"/>
            <w:tcBorders>
              <w:left w:val="single" w:sz="3" w:space="0" w:color="000000"/>
              <w:right w:val="single" w:sz="3" w:space="0" w:color="000000"/>
            </w:tcBorders>
          </w:tcPr>
          <w:p>
            <w:pPr>
              <w:pStyle w:val="TableParagraph"/>
              <w:spacing w:before="12"/>
              <w:ind w:left="26"/>
              <w:rPr>
                <w:sz w:val="15"/>
              </w:rPr>
            </w:pPr>
            <w:r>
              <w:rPr>
                <w:w w:val="105"/>
                <w:sz w:val="15"/>
              </w:rPr>
              <w:t>La Jornada</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1</w:t>
            </w:r>
          </w:p>
        </w:tc>
        <w:tc>
          <w:tcPr>
            <w:tcW w:w="1001" w:type="dxa"/>
            <w:tcBorders>
              <w:left w:val="single" w:sz="3" w:space="0" w:color="000000"/>
              <w:right w:val="single" w:sz="3" w:space="0" w:color="000000"/>
            </w:tcBorders>
          </w:tcPr>
          <w:p>
            <w:pPr>
              <w:pStyle w:val="TableParagraph"/>
              <w:spacing w:before="12"/>
              <w:ind w:right="24"/>
              <w:jc w:val="right"/>
              <w:rPr>
                <w:sz w:val="15"/>
              </w:rPr>
            </w:pPr>
            <w:r>
              <w:rPr>
                <w:w w:val="105"/>
                <w:sz w:val="15"/>
              </w:rPr>
              <w:t>15</w:t>
            </w:r>
          </w:p>
        </w:tc>
        <w:tc>
          <w:tcPr>
            <w:tcW w:w="905" w:type="dxa"/>
            <w:tcBorders>
              <w:left w:val="single" w:sz="3" w:space="0" w:color="000000"/>
              <w:right w:val="single" w:sz="3" w:space="0" w:color="000000"/>
            </w:tcBorders>
          </w:tcPr>
          <w:p>
            <w:pPr>
              <w:pStyle w:val="TableParagraph"/>
              <w:spacing w:before="12"/>
              <w:ind w:right="24"/>
              <w:jc w:val="right"/>
              <w:rPr>
                <w:sz w:val="15"/>
              </w:rPr>
            </w:pPr>
            <w:r>
              <w:rPr>
                <w:w w:val="104"/>
                <w:sz w:val="15"/>
              </w:rPr>
              <w:t>3</w:t>
            </w:r>
          </w:p>
        </w:tc>
        <w:tc>
          <w:tcPr>
            <w:tcW w:w="862" w:type="dxa"/>
            <w:tcBorders>
              <w:left w:val="single" w:sz="3" w:space="0" w:color="000000"/>
              <w:right w:val="single" w:sz="3" w:space="0" w:color="000000"/>
            </w:tcBorders>
          </w:tcPr>
          <w:p>
            <w:pPr>
              <w:pStyle w:val="TableParagraph"/>
              <w:spacing w:before="12"/>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12"/>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389" w:hRule="exact"/>
        </w:trPr>
        <w:tc>
          <w:tcPr>
            <w:tcW w:w="949" w:type="dxa"/>
            <w:tcBorders>
              <w:left w:val="single" w:sz="3" w:space="0" w:color="000000"/>
              <w:right w:val="single" w:sz="3" w:space="0" w:color="000000"/>
            </w:tcBorders>
          </w:tcPr>
          <w:p>
            <w:pPr>
              <w:pStyle w:val="TableParagraph"/>
              <w:spacing w:before="105"/>
              <w:ind w:right="24"/>
              <w:jc w:val="right"/>
              <w:rPr>
                <w:sz w:val="15"/>
              </w:rPr>
            </w:pPr>
            <w:r>
              <w:rPr>
                <w:sz w:val="15"/>
              </w:rPr>
              <w:t>25/09/2001</w:t>
            </w:r>
          </w:p>
        </w:tc>
        <w:tc>
          <w:tcPr>
            <w:tcW w:w="1349" w:type="dxa"/>
            <w:tcBorders>
              <w:left w:val="single" w:sz="3" w:space="0" w:color="000000"/>
              <w:right w:val="single" w:sz="3" w:space="0" w:color="000000"/>
            </w:tcBorders>
          </w:tcPr>
          <w:p>
            <w:pPr>
              <w:pStyle w:val="TableParagraph"/>
              <w:spacing w:before="105"/>
              <w:ind w:left="26" w:right="12"/>
              <w:rPr>
                <w:sz w:val="15"/>
              </w:rPr>
            </w:pPr>
            <w:r>
              <w:rPr>
                <w:w w:val="105"/>
                <w:sz w:val="15"/>
              </w:rPr>
              <w:t>Col. México 68</w:t>
            </w:r>
          </w:p>
        </w:tc>
        <w:tc>
          <w:tcPr>
            <w:tcW w:w="1280" w:type="dxa"/>
            <w:tcBorders>
              <w:left w:val="single" w:sz="3" w:space="0" w:color="000000"/>
              <w:right w:val="single" w:sz="3" w:space="0" w:color="000000"/>
            </w:tcBorders>
          </w:tcPr>
          <w:p>
            <w:pPr>
              <w:pStyle w:val="TableParagraph"/>
              <w:spacing w:line="271" w:lineRule="auto" w:before="12"/>
              <w:ind w:left="26"/>
              <w:rPr>
                <w:sz w:val="15"/>
              </w:rPr>
            </w:pPr>
            <w:r>
              <w:rPr>
                <w:w w:val="105"/>
                <w:sz w:val="15"/>
              </w:rPr>
              <w:t>La Jornada 26/09/2001:50</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1</w:t>
            </w:r>
          </w:p>
        </w:tc>
        <w:tc>
          <w:tcPr>
            <w:tcW w:w="862"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105"/>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508" w:hRule="exact"/>
        </w:trPr>
        <w:tc>
          <w:tcPr>
            <w:tcW w:w="949" w:type="dxa"/>
            <w:tcBorders>
              <w:left w:val="single" w:sz="3" w:space="0" w:color="000000"/>
              <w:right w:val="single" w:sz="3" w:space="0" w:color="000000"/>
            </w:tcBorders>
          </w:tcPr>
          <w:p>
            <w:pPr>
              <w:pStyle w:val="TableParagraph"/>
              <w:spacing w:before="3"/>
              <w:rPr>
                <w:sz w:val="14"/>
              </w:rPr>
            </w:pPr>
          </w:p>
          <w:p>
            <w:pPr>
              <w:pStyle w:val="TableParagraph"/>
              <w:ind w:right="24"/>
              <w:jc w:val="right"/>
              <w:rPr>
                <w:sz w:val="15"/>
              </w:rPr>
            </w:pPr>
            <w:r>
              <w:rPr>
                <w:sz w:val="15"/>
              </w:rPr>
              <w:t>14/09/2002</w:t>
            </w:r>
          </w:p>
        </w:tc>
        <w:tc>
          <w:tcPr>
            <w:tcW w:w="1349" w:type="dxa"/>
            <w:tcBorders>
              <w:left w:val="single" w:sz="3" w:space="0" w:color="000000"/>
              <w:right w:val="single" w:sz="3" w:space="0" w:color="000000"/>
            </w:tcBorders>
          </w:tcPr>
          <w:p>
            <w:pPr/>
          </w:p>
        </w:tc>
        <w:tc>
          <w:tcPr>
            <w:tcW w:w="1280" w:type="dxa"/>
            <w:tcBorders>
              <w:left w:val="single" w:sz="3" w:space="0" w:color="000000"/>
              <w:right w:val="single" w:sz="3" w:space="0" w:color="000000"/>
            </w:tcBorders>
          </w:tcPr>
          <w:p>
            <w:pPr>
              <w:pStyle w:val="TableParagraph"/>
              <w:spacing w:before="3"/>
              <w:rPr>
                <w:sz w:val="14"/>
              </w:rPr>
            </w:pPr>
          </w:p>
          <w:p>
            <w:pPr>
              <w:pStyle w:val="TableParagraph"/>
              <w:ind w:left="26"/>
              <w:rPr>
                <w:sz w:val="15"/>
              </w:rPr>
            </w:pPr>
            <w:r>
              <w:rPr>
                <w:w w:val="105"/>
                <w:sz w:val="15"/>
              </w:rPr>
              <w:t>El Universal</w:t>
            </w:r>
          </w:p>
        </w:tc>
        <w:tc>
          <w:tcPr>
            <w:tcW w:w="3838" w:type="dxa"/>
            <w:tcBorders>
              <w:left w:val="single" w:sz="3" w:space="0" w:color="000000"/>
              <w:right w:val="single" w:sz="3" w:space="0" w:color="000000"/>
            </w:tcBorders>
          </w:tcPr>
          <w:p>
            <w:pPr>
              <w:pStyle w:val="TableParagraph"/>
              <w:spacing w:line="271" w:lineRule="auto" w:before="71"/>
              <w:ind w:left="26" w:right="-17"/>
              <w:rPr>
                <w:sz w:val="15"/>
              </w:rPr>
            </w:pPr>
            <w:r>
              <w:rPr>
                <w:w w:val="105"/>
                <w:sz w:val="15"/>
              </w:rPr>
              <w:t>Las autoridades están en alerta por el aumento en el nivel de los ríos y presas.</w:t>
            </w:r>
          </w:p>
        </w:tc>
        <w:tc>
          <w:tcPr>
            <w:tcW w:w="905" w:type="dxa"/>
            <w:tcBorders>
              <w:left w:val="single" w:sz="3" w:space="0" w:color="000000"/>
              <w:right w:val="single" w:sz="3" w:space="0" w:color="000000"/>
            </w:tcBorders>
          </w:tcPr>
          <w:p>
            <w:pPr>
              <w:pStyle w:val="TableParagraph"/>
              <w:spacing w:before="3"/>
              <w:rPr>
                <w:sz w:val="14"/>
              </w:rPr>
            </w:pPr>
          </w:p>
          <w:p>
            <w:pPr>
              <w:pStyle w:val="TableParagraph"/>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3"/>
              <w:rPr>
                <w:sz w:val="14"/>
              </w:rPr>
            </w:pPr>
          </w:p>
          <w:p>
            <w:pPr>
              <w:pStyle w:val="TableParagraph"/>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3"/>
              <w:rPr>
                <w:sz w:val="14"/>
              </w:rPr>
            </w:pPr>
          </w:p>
          <w:p>
            <w:pPr>
              <w:pStyle w:val="TableParagraph"/>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spacing w:before="3"/>
              <w:rPr>
                <w:sz w:val="14"/>
              </w:rPr>
            </w:pPr>
          </w:p>
          <w:p>
            <w:pPr>
              <w:pStyle w:val="TableParagraph"/>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3"/>
              <w:rPr>
                <w:sz w:val="14"/>
              </w:rPr>
            </w:pPr>
          </w:p>
          <w:p>
            <w:pPr>
              <w:pStyle w:val="TableParagraph"/>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567" w:hRule="exact"/>
        </w:trPr>
        <w:tc>
          <w:tcPr>
            <w:tcW w:w="949" w:type="dxa"/>
            <w:tcBorders>
              <w:left w:val="single" w:sz="3" w:space="0" w:color="000000"/>
              <w:right w:val="single" w:sz="3" w:space="0" w:color="000000"/>
            </w:tcBorders>
          </w:tcPr>
          <w:p>
            <w:pPr>
              <w:pStyle w:val="TableParagraph"/>
              <w:spacing w:before="3"/>
              <w:rPr>
                <w:sz w:val="17"/>
              </w:rPr>
            </w:pPr>
          </w:p>
          <w:p>
            <w:pPr>
              <w:pStyle w:val="TableParagraph"/>
              <w:ind w:right="24"/>
              <w:jc w:val="right"/>
              <w:rPr>
                <w:sz w:val="15"/>
              </w:rPr>
            </w:pPr>
            <w:r>
              <w:rPr>
                <w:sz w:val="15"/>
              </w:rPr>
              <w:t>02/08/2003</w:t>
            </w:r>
          </w:p>
        </w:tc>
        <w:tc>
          <w:tcPr>
            <w:tcW w:w="1349" w:type="dxa"/>
            <w:tcBorders>
              <w:left w:val="single" w:sz="3" w:space="0" w:color="000000"/>
              <w:right w:val="single" w:sz="3" w:space="0" w:color="000000"/>
            </w:tcBorders>
          </w:tcPr>
          <w:p>
            <w:pPr>
              <w:pStyle w:val="TableParagraph"/>
              <w:spacing w:line="271" w:lineRule="auto" w:before="96"/>
              <w:ind w:left="26" w:right="12"/>
              <w:rPr>
                <w:sz w:val="15"/>
              </w:rPr>
            </w:pPr>
            <w:r>
              <w:rPr>
                <w:w w:val="105"/>
                <w:sz w:val="15"/>
              </w:rPr>
              <w:t>Colonia Loma de Guadalupe</w:t>
            </w:r>
          </w:p>
        </w:tc>
        <w:tc>
          <w:tcPr>
            <w:tcW w:w="1280" w:type="dxa"/>
            <w:tcBorders>
              <w:left w:val="single" w:sz="3" w:space="0" w:color="000000"/>
              <w:right w:val="single" w:sz="3" w:space="0" w:color="000000"/>
            </w:tcBorders>
          </w:tcPr>
          <w:p>
            <w:pPr>
              <w:pStyle w:val="TableParagraph"/>
              <w:spacing w:line="271" w:lineRule="auto" w:before="3"/>
              <w:ind w:left="26"/>
              <w:rPr>
                <w:sz w:val="15"/>
              </w:rPr>
            </w:pPr>
            <w:r>
              <w:rPr>
                <w:w w:val="105"/>
                <w:sz w:val="15"/>
              </w:rPr>
              <w:t>La Jornada 03/08/2003:On</w:t>
            </w:r>
          </w:p>
          <w:p>
            <w:pPr>
              <w:pStyle w:val="TableParagraph"/>
              <w:ind w:left="26"/>
              <w:rPr>
                <w:sz w:val="15"/>
              </w:rPr>
            </w:pPr>
            <w:r>
              <w:rPr>
                <w:w w:val="105"/>
                <w:sz w:val="15"/>
              </w:rPr>
              <w:t>Line-Capital</w:t>
            </w:r>
          </w:p>
        </w:tc>
        <w:tc>
          <w:tcPr>
            <w:tcW w:w="3838" w:type="dxa"/>
            <w:tcBorders>
              <w:left w:val="single" w:sz="3" w:space="0" w:color="000000"/>
              <w:right w:val="single" w:sz="3" w:space="0" w:color="000000"/>
            </w:tcBorders>
          </w:tcPr>
          <w:p>
            <w:pPr>
              <w:pStyle w:val="TableParagraph"/>
              <w:spacing w:before="3"/>
              <w:rPr>
                <w:sz w:val="17"/>
              </w:rPr>
            </w:pPr>
          </w:p>
          <w:p>
            <w:pPr>
              <w:pStyle w:val="TableParagraph"/>
              <w:ind w:left="26" w:right="-17"/>
              <w:rPr>
                <w:sz w:val="15"/>
              </w:rPr>
            </w:pPr>
            <w:r>
              <w:rPr>
                <w:w w:val="105"/>
                <w:sz w:val="15"/>
              </w:rPr>
              <w:t>Se derrumbó cuarto en la parte superior de una barranca.</w:t>
            </w:r>
          </w:p>
        </w:tc>
        <w:tc>
          <w:tcPr>
            <w:tcW w:w="905" w:type="dxa"/>
            <w:tcBorders>
              <w:left w:val="single" w:sz="3" w:space="0" w:color="000000"/>
              <w:right w:val="single" w:sz="3" w:space="0" w:color="000000"/>
            </w:tcBorders>
          </w:tcPr>
          <w:p>
            <w:pPr>
              <w:pStyle w:val="TableParagraph"/>
              <w:spacing w:before="3"/>
              <w:rPr>
                <w:sz w:val="17"/>
              </w:rPr>
            </w:pPr>
          </w:p>
          <w:p>
            <w:pPr>
              <w:pStyle w:val="TableParagraph"/>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3"/>
              <w:rPr>
                <w:sz w:val="17"/>
              </w:rPr>
            </w:pPr>
          </w:p>
          <w:p>
            <w:pPr>
              <w:pStyle w:val="TableParagraph"/>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3"/>
              <w:rPr>
                <w:sz w:val="17"/>
              </w:rPr>
            </w:pPr>
          </w:p>
          <w:p>
            <w:pPr>
              <w:pStyle w:val="TableParagraph"/>
              <w:ind w:right="24"/>
              <w:jc w:val="right"/>
              <w:rPr>
                <w:sz w:val="15"/>
              </w:rPr>
            </w:pPr>
            <w:r>
              <w:rPr>
                <w:w w:val="104"/>
                <w:sz w:val="15"/>
              </w:rPr>
              <w:t>1</w:t>
            </w:r>
          </w:p>
        </w:tc>
        <w:tc>
          <w:tcPr>
            <w:tcW w:w="862" w:type="dxa"/>
            <w:tcBorders>
              <w:left w:val="single" w:sz="3" w:space="0" w:color="000000"/>
              <w:right w:val="single" w:sz="3" w:space="0" w:color="000000"/>
            </w:tcBorders>
          </w:tcPr>
          <w:p>
            <w:pPr>
              <w:pStyle w:val="TableParagraph"/>
              <w:spacing w:before="3"/>
              <w:rPr>
                <w:sz w:val="17"/>
              </w:rPr>
            </w:pPr>
          </w:p>
          <w:p>
            <w:pPr>
              <w:pStyle w:val="TableParagraph"/>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3"/>
              <w:rPr>
                <w:sz w:val="17"/>
              </w:rPr>
            </w:pPr>
          </w:p>
          <w:p>
            <w:pPr>
              <w:pStyle w:val="TableParagraph"/>
              <w:ind w:left="26" w:right="181"/>
              <w:rPr>
                <w:sz w:val="15"/>
              </w:rPr>
            </w:pPr>
            <w:r>
              <w:rPr>
                <w:w w:val="105"/>
                <w:sz w:val="15"/>
              </w:rPr>
              <w:t>Lluvias</w:t>
            </w:r>
          </w:p>
        </w:tc>
        <w:tc>
          <w:tcPr>
            <w:tcW w:w="1106" w:type="dxa"/>
            <w:tcBorders>
              <w:left w:val="single" w:sz="3" w:space="0" w:color="000000"/>
              <w:right w:val="single" w:sz="3" w:space="0" w:color="000000"/>
            </w:tcBorders>
          </w:tcPr>
          <w:p>
            <w:pPr/>
          </w:p>
        </w:tc>
      </w:tr>
      <w:tr>
        <w:trPr>
          <w:trHeight w:val="2285" w:hRule="exact"/>
        </w:trPr>
        <w:tc>
          <w:tcPr>
            <w:tcW w:w="949"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right="24"/>
              <w:jc w:val="right"/>
              <w:rPr>
                <w:sz w:val="15"/>
              </w:rPr>
            </w:pPr>
            <w:r>
              <w:rPr>
                <w:sz w:val="15"/>
              </w:rPr>
              <w:t>18/07/2004</w:t>
            </w:r>
          </w:p>
        </w:tc>
        <w:tc>
          <w:tcPr>
            <w:tcW w:w="1349"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left="26" w:right="309"/>
              <w:rPr>
                <w:sz w:val="15"/>
              </w:rPr>
            </w:pPr>
            <w:r>
              <w:rPr>
                <w:w w:val="105"/>
                <w:sz w:val="15"/>
              </w:rPr>
              <w:t>26 colonias</w:t>
            </w:r>
          </w:p>
        </w:tc>
        <w:tc>
          <w:tcPr>
            <w:tcW w:w="1280"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3"/>
              </w:rPr>
            </w:pPr>
          </w:p>
          <w:p>
            <w:pPr>
              <w:pStyle w:val="TableParagraph"/>
              <w:spacing w:line="271" w:lineRule="auto"/>
              <w:ind w:left="26"/>
              <w:rPr>
                <w:sz w:val="15"/>
              </w:rPr>
            </w:pPr>
            <w:r>
              <w:rPr>
                <w:w w:val="105"/>
                <w:sz w:val="15"/>
              </w:rPr>
              <w:t>La Jornada 19/07/2004: 39a</w:t>
            </w:r>
          </w:p>
        </w:tc>
        <w:tc>
          <w:tcPr>
            <w:tcW w:w="3838" w:type="dxa"/>
            <w:tcBorders>
              <w:left w:val="single" w:sz="3" w:space="0" w:color="000000"/>
              <w:right w:val="single" w:sz="3" w:space="0" w:color="000000"/>
            </w:tcBorders>
          </w:tcPr>
          <w:p>
            <w:pPr>
              <w:pStyle w:val="TableParagraph"/>
              <w:spacing w:line="159" w:lineRule="exact"/>
              <w:ind w:left="26" w:right="-17"/>
              <w:rPr>
                <w:sz w:val="15"/>
              </w:rPr>
            </w:pPr>
            <w:r>
              <w:rPr>
                <w:w w:val="105"/>
                <w:sz w:val="15"/>
              </w:rPr>
              <w:t>Las fuertes lluvias que se han registrado en la ciudad han</w:t>
            </w:r>
          </w:p>
          <w:p>
            <w:pPr>
              <w:pStyle w:val="TableParagraph"/>
              <w:spacing w:line="271" w:lineRule="auto" w:before="22"/>
              <w:ind w:left="26" w:right="66"/>
              <w:rPr>
                <w:sz w:val="15"/>
              </w:rPr>
            </w:pPr>
            <w:r>
              <w:rPr>
                <w:w w:val="105"/>
                <w:sz w:val="15"/>
              </w:rPr>
              <w:t>afectado 26 </w:t>
            </w:r>
            <w:r>
              <w:rPr>
                <w:spacing w:val="-3"/>
                <w:w w:val="105"/>
                <w:sz w:val="15"/>
              </w:rPr>
              <w:t>colonias </w:t>
            </w:r>
            <w:r>
              <w:rPr>
                <w:w w:val="105"/>
                <w:sz w:val="15"/>
              </w:rPr>
              <w:t>de </w:t>
            </w:r>
            <w:r>
              <w:rPr>
                <w:spacing w:val="-5"/>
                <w:w w:val="105"/>
                <w:sz w:val="15"/>
              </w:rPr>
              <w:t>la </w:t>
            </w:r>
            <w:r>
              <w:rPr>
                <w:spacing w:val="-3"/>
                <w:w w:val="105"/>
                <w:sz w:val="15"/>
              </w:rPr>
              <w:t>delegación Alvaro </w:t>
            </w:r>
            <w:r>
              <w:rPr>
                <w:w w:val="105"/>
                <w:sz w:val="15"/>
              </w:rPr>
              <w:t>Obregón causando daños materiales menores deslaves derrumbe de bardas y afectaciones a construcciones. Entre </w:t>
            </w:r>
            <w:r>
              <w:rPr>
                <w:spacing w:val="-3"/>
                <w:w w:val="105"/>
                <w:sz w:val="15"/>
              </w:rPr>
              <w:t>las </w:t>
            </w:r>
            <w:r>
              <w:rPr>
                <w:w w:val="105"/>
                <w:sz w:val="15"/>
              </w:rPr>
              <w:t>medidas preventivas se </w:t>
            </w:r>
            <w:r>
              <w:rPr>
                <w:spacing w:val="-4"/>
                <w:w w:val="105"/>
                <w:sz w:val="15"/>
              </w:rPr>
              <w:t>llevó </w:t>
            </w:r>
            <w:r>
              <w:rPr>
                <w:w w:val="105"/>
                <w:sz w:val="15"/>
              </w:rPr>
              <w:t>a cabo </w:t>
            </w:r>
            <w:r>
              <w:rPr>
                <w:spacing w:val="-5"/>
                <w:w w:val="105"/>
                <w:sz w:val="15"/>
              </w:rPr>
              <w:t>la </w:t>
            </w:r>
            <w:r>
              <w:rPr>
                <w:spacing w:val="-3"/>
                <w:w w:val="105"/>
                <w:sz w:val="15"/>
              </w:rPr>
              <w:t>demolición </w:t>
            </w:r>
            <w:r>
              <w:rPr>
                <w:w w:val="105"/>
                <w:sz w:val="15"/>
              </w:rPr>
              <w:t>de siete viviendas consideradas de </w:t>
            </w:r>
            <w:r>
              <w:rPr>
                <w:spacing w:val="-3"/>
                <w:w w:val="105"/>
                <w:sz w:val="15"/>
              </w:rPr>
              <w:t>alto riesgo </w:t>
            </w:r>
            <w:r>
              <w:rPr>
                <w:w w:val="105"/>
                <w:sz w:val="15"/>
              </w:rPr>
              <w:t>ubicadas en </w:t>
            </w:r>
            <w:r>
              <w:rPr>
                <w:spacing w:val="-3"/>
                <w:w w:val="105"/>
                <w:sz w:val="15"/>
              </w:rPr>
              <w:t>las colonias </w:t>
            </w:r>
            <w:r>
              <w:rPr>
                <w:spacing w:val="-4"/>
                <w:w w:val="105"/>
                <w:sz w:val="15"/>
              </w:rPr>
              <w:t>Alpes </w:t>
            </w:r>
            <w:r>
              <w:rPr>
                <w:w w:val="105"/>
                <w:sz w:val="15"/>
              </w:rPr>
              <w:t>Hogar y Redención </w:t>
            </w:r>
            <w:r>
              <w:rPr>
                <w:spacing w:val="-4"/>
                <w:w w:val="105"/>
                <w:sz w:val="15"/>
              </w:rPr>
              <w:t>Ampliación </w:t>
            </w:r>
            <w:r>
              <w:rPr>
                <w:w w:val="105"/>
                <w:sz w:val="15"/>
              </w:rPr>
              <w:t>Pilares y </w:t>
            </w:r>
            <w:r>
              <w:rPr>
                <w:spacing w:val="-3"/>
                <w:w w:val="105"/>
                <w:sz w:val="15"/>
              </w:rPr>
              <w:t>Jalalpa. </w:t>
            </w:r>
            <w:r>
              <w:rPr>
                <w:w w:val="105"/>
                <w:sz w:val="15"/>
              </w:rPr>
              <w:t>Las </w:t>
            </w:r>
            <w:r>
              <w:rPr>
                <w:spacing w:val="-4"/>
                <w:w w:val="105"/>
                <w:sz w:val="15"/>
              </w:rPr>
              <w:t>familias </w:t>
            </w:r>
            <w:r>
              <w:rPr>
                <w:w w:val="105"/>
                <w:sz w:val="15"/>
              </w:rPr>
              <w:t>fueron reubicadas. Se registraron 10 deslaves que afectaron</w:t>
            </w:r>
            <w:r>
              <w:rPr>
                <w:spacing w:val="-5"/>
                <w:w w:val="105"/>
                <w:sz w:val="15"/>
              </w:rPr>
              <w:t> </w:t>
            </w:r>
            <w:r>
              <w:rPr>
                <w:w w:val="105"/>
                <w:sz w:val="15"/>
              </w:rPr>
              <w:t>principalmente</w:t>
            </w:r>
            <w:r>
              <w:rPr>
                <w:spacing w:val="-5"/>
                <w:w w:val="105"/>
                <w:sz w:val="15"/>
              </w:rPr>
              <w:t> </w:t>
            </w:r>
            <w:r>
              <w:rPr>
                <w:w w:val="105"/>
                <w:sz w:val="15"/>
              </w:rPr>
              <w:t>viviendas</w:t>
            </w:r>
            <w:r>
              <w:rPr>
                <w:spacing w:val="-5"/>
                <w:w w:val="105"/>
                <w:sz w:val="15"/>
              </w:rPr>
              <w:t> </w:t>
            </w:r>
            <w:r>
              <w:rPr>
                <w:w w:val="105"/>
                <w:sz w:val="15"/>
              </w:rPr>
              <w:t>y</w:t>
            </w:r>
            <w:r>
              <w:rPr>
                <w:spacing w:val="-5"/>
                <w:w w:val="105"/>
                <w:sz w:val="15"/>
              </w:rPr>
              <w:t> </w:t>
            </w:r>
            <w:r>
              <w:rPr>
                <w:w w:val="105"/>
                <w:sz w:val="15"/>
              </w:rPr>
              <w:t>bardas</w:t>
            </w:r>
            <w:r>
              <w:rPr>
                <w:spacing w:val="-5"/>
                <w:w w:val="105"/>
                <w:sz w:val="15"/>
              </w:rPr>
              <w:t> </w:t>
            </w:r>
            <w:r>
              <w:rPr>
                <w:w w:val="105"/>
                <w:sz w:val="15"/>
              </w:rPr>
              <w:t>en</w:t>
            </w:r>
            <w:r>
              <w:rPr>
                <w:spacing w:val="-5"/>
                <w:w w:val="105"/>
                <w:sz w:val="15"/>
              </w:rPr>
              <w:t> </w:t>
            </w:r>
            <w:r>
              <w:rPr>
                <w:w w:val="105"/>
                <w:sz w:val="15"/>
              </w:rPr>
              <w:t>l</w:t>
            </w:r>
            <w:r>
              <w:rPr>
                <w:spacing w:val="-11"/>
                <w:w w:val="105"/>
                <w:sz w:val="15"/>
              </w:rPr>
              <w:t> </w:t>
            </w:r>
            <w:r>
              <w:rPr>
                <w:w w:val="105"/>
                <w:sz w:val="15"/>
              </w:rPr>
              <w:t>as</w:t>
            </w:r>
            <w:r>
              <w:rPr>
                <w:spacing w:val="-5"/>
                <w:w w:val="105"/>
                <w:sz w:val="15"/>
              </w:rPr>
              <w:t> </w:t>
            </w:r>
            <w:r>
              <w:rPr>
                <w:spacing w:val="-3"/>
                <w:w w:val="105"/>
                <w:sz w:val="15"/>
              </w:rPr>
              <w:t>colonias </w:t>
            </w:r>
            <w:r>
              <w:rPr>
                <w:w w:val="105"/>
                <w:sz w:val="15"/>
              </w:rPr>
              <w:t>Puente Colorado San Clemente  Lomas de Chamontoya San Bartolo entre otras. También se colapsaron tres barda. La fuente no </w:t>
            </w:r>
            <w:r>
              <w:rPr>
                <w:spacing w:val="-3"/>
                <w:w w:val="105"/>
                <w:sz w:val="15"/>
              </w:rPr>
              <w:t>indica las </w:t>
            </w:r>
            <w:r>
              <w:rPr>
                <w:w w:val="105"/>
                <w:sz w:val="15"/>
              </w:rPr>
              <w:t>viviendas</w:t>
            </w:r>
            <w:r>
              <w:rPr>
                <w:spacing w:val="-7"/>
                <w:w w:val="105"/>
                <w:sz w:val="15"/>
              </w:rPr>
              <w:t> </w:t>
            </w:r>
            <w:r>
              <w:rPr>
                <w:w w:val="105"/>
                <w:sz w:val="15"/>
              </w:rPr>
              <w:t>afectadas.</w:t>
            </w:r>
          </w:p>
        </w:tc>
        <w:tc>
          <w:tcPr>
            <w:tcW w:w="905"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right="24"/>
              <w:jc w:val="right"/>
              <w:rPr>
                <w:sz w:val="15"/>
              </w:rPr>
            </w:pPr>
            <w:r>
              <w:rPr>
                <w:w w:val="104"/>
                <w:sz w:val="15"/>
              </w:rPr>
              <w:t>7</w:t>
            </w:r>
          </w:p>
        </w:tc>
        <w:tc>
          <w:tcPr>
            <w:tcW w:w="862"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left="26" w:right="90"/>
              <w:rPr>
                <w:sz w:val="15"/>
              </w:rPr>
            </w:pPr>
            <w:r>
              <w:rPr>
                <w:w w:val="105"/>
                <w:sz w:val="15"/>
              </w:rPr>
              <w:t>Si</w:t>
            </w:r>
          </w:p>
        </w:tc>
        <w:tc>
          <w:tcPr>
            <w:tcW w:w="914"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7"/>
              <w:ind w:left="26" w:right="181"/>
              <w:rPr>
                <w:sz w:val="15"/>
              </w:rPr>
            </w:pPr>
            <w:r>
              <w:rPr>
                <w:w w:val="105"/>
                <w:sz w:val="15"/>
              </w:rPr>
              <w:t>Lluvias</w:t>
            </w:r>
          </w:p>
        </w:tc>
        <w:tc>
          <w:tcPr>
            <w:tcW w:w="1106" w:type="dxa"/>
            <w:tcBorders>
              <w:left w:val="single" w:sz="3" w:space="0" w:color="000000"/>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8"/>
              </w:rPr>
            </w:pPr>
          </w:p>
          <w:p>
            <w:pPr>
              <w:pStyle w:val="TableParagraph"/>
              <w:spacing w:line="271" w:lineRule="auto"/>
              <w:ind w:left="26"/>
              <w:rPr>
                <w:sz w:val="15"/>
              </w:rPr>
            </w:pPr>
            <w:r>
              <w:rPr>
                <w:w w:val="105"/>
                <w:sz w:val="15"/>
              </w:rPr>
              <w:t>Varios </w:t>
            </w:r>
            <w:r>
              <w:rPr>
                <w:sz w:val="15"/>
              </w:rPr>
              <w:t>deslizamientos y </w:t>
            </w:r>
            <w:r>
              <w:rPr>
                <w:w w:val="105"/>
                <w:sz w:val="15"/>
              </w:rPr>
              <w:t>derrumbes</w:t>
            </w:r>
          </w:p>
        </w:tc>
      </w:tr>
      <w:tr>
        <w:trPr>
          <w:trHeight w:val="584" w:hRule="exact"/>
        </w:trPr>
        <w:tc>
          <w:tcPr>
            <w:tcW w:w="949" w:type="dxa"/>
            <w:tcBorders>
              <w:left w:val="single" w:sz="3" w:space="0" w:color="000000"/>
              <w:right w:val="single" w:sz="3" w:space="0" w:color="000000"/>
            </w:tcBorders>
          </w:tcPr>
          <w:p>
            <w:pPr>
              <w:pStyle w:val="TableParagraph"/>
              <w:spacing w:before="11"/>
              <w:rPr>
                <w:sz w:val="17"/>
              </w:rPr>
            </w:pPr>
          </w:p>
          <w:p>
            <w:pPr>
              <w:pStyle w:val="TableParagraph"/>
              <w:ind w:right="24"/>
              <w:jc w:val="right"/>
              <w:rPr>
                <w:sz w:val="15"/>
              </w:rPr>
            </w:pPr>
            <w:r>
              <w:rPr>
                <w:sz w:val="15"/>
              </w:rPr>
              <w:t>15/07/2005</w:t>
            </w:r>
          </w:p>
        </w:tc>
        <w:tc>
          <w:tcPr>
            <w:tcW w:w="1349" w:type="dxa"/>
            <w:tcBorders>
              <w:left w:val="single" w:sz="3" w:space="0" w:color="000000"/>
              <w:right w:val="single" w:sz="3" w:space="0" w:color="000000"/>
            </w:tcBorders>
          </w:tcPr>
          <w:p>
            <w:pPr/>
          </w:p>
        </w:tc>
        <w:tc>
          <w:tcPr>
            <w:tcW w:w="1280" w:type="dxa"/>
            <w:tcBorders>
              <w:left w:val="single" w:sz="3" w:space="0" w:color="000000"/>
              <w:right w:val="single" w:sz="3" w:space="0" w:color="000000"/>
            </w:tcBorders>
          </w:tcPr>
          <w:p>
            <w:pPr>
              <w:pStyle w:val="TableParagraph"/>
              <w:spacing w:before="11"/>
              <w:rPr>
                <w:sz w:val="17"/>
              </w:rPr>
            </w:pPr>
          </w:p>
          <w:p>
            <w:pPr>
              <w:pStyle w:val="TableParagraph"/>
              <w:ind w:left="26"/>
              <w:rPr>
                <w:sz w:val="15"/>
              </w:rPr>
            </w:pPr>
            <w:r>
              <w:rPr>
                <w:w w:val="105"/>
                <w:sz w:val="15"/>
              </w:rPr>
              <w:t>La Jornada</w:t>
            </w:r>
          </w:p>
        </w:tc>
        <w:tc>
          <w:tcPr>
            <w:tcW w:w="3838" w:type="dxa"/>
            <w:tcBorders>
              <w:left w:val="single" w:sz="3" w:space="0" w:color="000000"/>
              <w:right w:val="single" w:sz="3" w:space="0" w:color="000000"/>
            </w:tcBorders>
          </w:tcPr>
          <w:p>
            <w:pPr>
              <w:pStyle w:val="TableParagraph"/>
              <w:spacing w:line="271" w:lineRule="auto" w:before="105"/>
              <w:ind w:left="26" w:right="-13"/>
              <w:rPr>
                <w:sz w:val="15"/>
              </w:rPr>
            </w:pPr>
            <w:r>
              <w:rPr>
                <w:w w:val="105"/>
                <w:sz w:val="15"/>
              </w:rPr>
              <w:t>Se abrió una zanja en la calle y la persona que caminaba por ahí cayó.</w:t>
            </w:r>
          </w:p>
        </w:tc>
        <w:tc>
          <w:tcPr>
            <w:tcW w:w="905" w:type="dxa"/>
            <w:tcBorders>
              <w:left w:val="single" w:sz="3" w:space="0" w:color="000000"/>
              <w:right w:val="single" w:sz="3" w:space="0" w:color="000000"/>
            </w:tcBorders>
          </w:tcPr>
          <w:p>
            <w:pPr>
              <w:pStyle w:val="TableParagraph"/>
              <w:spacing w:before="11"/>
              <w:rPr>
                <w:sz w:val="17"/>
              </w:rPr>
            </w:pPr>
          </w:p>
          <w:p>
            <w:pPr>
              <w:pStyle w:val="TableParagraph"/>
              <w:ind w:right="24"/>
              <w:jc w:val="right"/>
              <w:rPr>
                <w:sz w:val="15"/>
              </w:rPr>
            </w:pPr>
            <w:r>
              <w:rPr>
                <w:w w:val="104"/>
                <w:sz w:val="15"/>
              </w:rPr>
              <w:t>1</w:t>
            </w:r>
          </w:p>
        </w:tc>
        <w:tc>
          <w:tcPr>
            <w:tcW w:w="1001" w:type="dxa"/>
            <w:tcBorders>
              <w:left w:val="single" w:sz="3" w:space="0" w:color="000000"/>
              <w:right w:val="single" w:sz="3" w:space="0" w:color="000000"/>
            </w:tcBorders>
          </w:tcPr>
          <w:p>
            <w:pPr>
              <w:pStyle w:val="TableParagraph"/>
              <w:spacing w:before="11"/>
              <w:rPr>
                <w:sz w:val="17"/>
              </w:rPr>
            </w:pPr>
          </w:p>
          <w:p>
            <w:pPr>
              <w:pStyle w:val="TableParagraph"/>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1"/>
              <w:rPr>
                <w:sz w:val="17"/>
              </w:rPr>
            </w:pPr>
          </w:p>
          <w:p>
            <w:pPr>
              <w:pStyle w:val="TableParagraph"/>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spacing w:before="11"/>
              <w:rPr>
                <w:sz w:val="17"/>
              </w:rPr>
            </w:pPr>
          </w:p>
          <w:p>
            <w:pPr>
              <w:pStyle w:val="TableParagraph"/>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11"/>
              <w:rPr>
                <w:sz w:val="17"/>
              </w:rPr>
            </w:pPr>
          </w:p>
          <w:p>
            <w:pPr>
              <w:pStyle w:val="TableParagraph"/>
              <w:ind w:left="26" w:right="181"/>
              <w:rPr>
                <w:sz w:val="15"/>
              </w:rPr>
            </w:pPr>
            <w:r>
              <w:rPr>
                <w:w w:val="105"/>
                <w:sz w:val="15"/>
              </w:rPr>
              <w:t>Escape</w:t>
            </w:r>
          </w:p>
        </w:tc>
        <w:tc>
          <w:tcPr>
            <w:tcW w:w="1106" w:type="dxa"/>
            <w:tcBorders>
              <w:left w:val="single" w:sz="3" w:space="0" w:color="000000"/>
              <w:right w:val="single" w:sz="3" w:space="0" w:color="000000"/>
            </w:tcBorders>
          </w:tcPr>
          <w:p>
            <w:pPr>
              <w:pStyle w:val="TableParagraph"/>
              <w:spacing w:before="11"/>
              <w:rPr>
                <w:sz w:val="17"/>
              </w:rPr>
            </w:pPr>
          </w:p>
          <w:p>
            <w:pPr>
              <w:pStyle w:val="TableParagraph"/>
              <w:ind w:left="26"/>
              <w:rPr>
                <w:sz w:val="15"/>
              </w:rPr>
            </w:pPr>
            <w:r>
              <w:rPr>
                <w:w w:val="105"/>
                <w:sz w:val="15"/>
              </w:rPr>
              <w:t>Fuga de agua</w:t>
            </w:r>
          </w:p>
        </w:tc>
      </w:tr>
      <w:tr>
        <w:trPr>
          <w:trHeight w:val="389" w:hRule="exact"/>
        </w:trPr>
        <w:tc>
          <w:tcPr>
            <w:tcW w:w="949" w:type="dxa"/>
            <w:tcBorders>
              <w:left w:val="single" w:sz="3" w:space="0" w:color="000000"/>
              <w:right w:val="single" w:sz="3" w:space="0" w:color="000000"/>
            </w:tcBorders>
          </w:tcPr>
          <w:p>
            <w:pPr>
              <w:pStyle w:val="TableParagraph"/>
              <w:spacing w:before="105"/>
              <w:ind w:right="24"/>
              <w:jc w:val="right"/>
              <w:rPr>
                <w:sz w:val="15"/>
              </w:rPr>
            </w:pPr>
            <w:r>
              <w:rPr>
                <w:sz w:val="15"/>
              </w:rPr>
              <w:t>29/07/2005</w:t>
            </w:r>
          </w:p>
        </w:tc>
        <w:tc>
          <w:tcPr>
            <w:tcW w:w="1349" w:type="dxa"/>
            <w:tcBorders>
              <w:left w:val="single" w:sz="3" w:space="0" w:color="000000"/>
              <w:right w:val="single" w:sz="3" w:space="0" w:color="000000"/>
            </w:tcBorders>
          </w:tcPr>
          <w:p>
            <w:pPr>
              <w:pStyle w:val="TableParagraph"/>
              <w:spacing w:line="271" w:lineRule="auto" w:before="12"/>
              <w:ind w:left="26" w:right="12"/>
              <w:rPr>
                <w:sz w:val="15"/>
              </w:rPr>
            </w:pPr>
            <w:r>
              <w:rPr>
                <w:w w:val="105"/>
                <w:sz w:val="15"/>
              </w:rPr>
              <w:t>Colonia Ampliación La Cascada</w:t>
            </w:r>
          </w:p>
        </w:tc>
        <w:tc>
          <w:tcPr>
            <w:tcW w:w="1280" w:type="dxa"/>
            <w:tcBorders>
              <w:left w:val="single" w:sz="3" w:space="0" w:color="000000"/>
              <w:right w:val="single" w:sz="3" w:space="0" w:color="000000"/>
            </w:tcBorders>
          </w:tcPr>
          <w:p>
            <w:pPr>
              <w:pStyle w:val="TableParagraph"/>
              <w:spacing w:before="105"/>
              <w:ind w:left="26"/>
              <w:rPr>
                <w:sz w:val="15"/>
              </w:rPr>
            </w:pPr>
            <w:r>
              <w:rPr>
                <w:w w:val="105"/>
                <w:sz w:val="15"/>
              </w:rPr>
              <w:t>La Jornada</w:t>
            </w:r>
          </w:p>
        </w:tc>
        <w:tc>
          <w:tcPr>
            <w:tcW w:w="3838" w:type="dxa"/>
            <w:tcBorders>
              <w:left w:val="single" w:sz="3" w:space="0" w:color="000000"/>
              <w:right w:val="single" w:sz="3" w:space="0" w:color="000000"/>
            </w:tcBorders>
          </w:tcPr>
          <w:p>
            <w:pPr>
              <w:pStyle w:val="TableParagraph"/>
              <w:spacing w:before="105"/>
              <w:ind w:left="26" w:right="-17"/>
              <w:rPr>
                <w:sz w:val="15"/>
              </w:rPr>
            </w:pPr>
            <w:r>
              <w:rPr>
                <w:w w:val="105"/>
                <w:sz w:val="15"/>
              </w:rPr>
              <w:t>11 familias evacuadas.</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1</w:t>
            </w:r>
          </w:p>
        </w:tc>
        <w:tc>
          <w:tcPr>
            <w:tcW w:w="862"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line="271" w:lineRule="auto" w:before="12"/>
              <w:ind w:left="26" w:right="246"/>
              <w:rPr>
                <w:sz w:val="15"/>
              </w:rPr>
            </w:pPr>
            <w:r>
              <w:rPr>
                <w:w w:val="105"/>
                <w:sz w:val="15"/>
              </w:rPr>
              <w:t>Tormenta Tropical</w:t>
            </w:r>
          </w:p>
        </w:tc>
        <w:tc>
          <w:tcPr>
            <w:tcW w:w="1106" w:type="dxa"/>
            <w:tcBorders>
              <w:left w:val="single" w:sz="3" w:space="0" w:color="000000"/>
              <w:right w:val="single" w:sz="3" w:space="0" w:color="000000"/>
            </w:tcBorders>
          </w:tcPr>
          <w:p>
            <w:pPr>
              <w:pStyle w:val="TableParagraph"/>
              <w:spacing w:before="105"/>
              <w:ind w:left="26"/>
              <w:rPr>
                <w:sz w:val="15"/>
              </w:rPr>
            </w:pPr>
            <w:r>
              <w:rPr>
                <w:w w:val="105"/>
                <w:sz w:val="15"/>
              </w:rPr>
              <w:t>Gert</w:t>
            </w:r>
          </w:p>
        </w:tc>
      </w:tr>
      <w:tr>
        <w:trPr>
          <w:trHeight w:val="973" w:hRule="exact"/>
        </w:trPr>
        <w:tc>
          <w:tcPr>
            <w:tcW w:w="949"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right="24"/>
              <w:jc w:val="right"/>
              <w:rPr>
                <w:sz w:val="15"/>
              </w:rPr>
            </w:pPr>
            <w:r>
              <w:rPr>
                <w:sz w:val="15"/>
              </w:rPr>
              <w:t>13/07/2006</w:t>
            </w:r>
          </w:p>
        </w:tc>
        <w:tc>
          <w:tcPr>
            <w:tcW w:w="1349" w:type="dxa"/>
            <w:tcBorders>
              <w:left w:val="single" w:sz="3" w:space="0" w:color="000000"/>
              <w:right w:val="single" w:sz="3" w:space="0" w:color="000000"/>
            </w:tcBorders>
          </w:tcPr>
          <w:p>
            <w:pPr>
              <w:pStyle w:val="TableParagraph"/>
              <w:rPr>
                <w:sz w:val="14"/>
              </w:rPr>
            </w:pPr>
          </w:p>
          <w:p>
            <w:pPr>
              <w:pStyle w:val="TableParagraph"/>
              <w:spacing w:before="1"/>
              <w:rPr>
                <w:sz w:val="12"/>
              </w:rPr>
            </w:pPr>
          </w:p>
          <w:p>
            <w:pPr>
              <w:pStyle w:val="TableParagraph"/>
              <w:spacing w:line="271" w:lineRule="auto"/>
              <w:ind w:left="26" w:right="87"/>
              <w:rPr>
                <w:sz w:val="15"/>
              </w:rPr>
            </w:pPr>
            <w:r>
              <w:rPr>
                <w:w w:val="105"/>
                <w:sz w:val="15"/>
              </w:rPr>
              <w:t>Pueblo de Tepepan Zona de Barrancas</w:t>
            </w:r>
          </w:p>
        </w:tc>
        <w:tc>
          <w:tcPr>
            <w:tcW w:w="1280"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left="26"/>
              <w:rPr>
                <w:sz w:val="15"/>
              </w:rPr>
            </w:pPr>
            <w:r>
              <w:rPr>
                <w:w w:val="105"/>
                <w:sz w:val="15"/>
              </w:rPr>
              <w:t>La Jornada</w:t>
            </w:r>
          </w:p>
        </w:tc>
        <w:tc>
          <w:tcPr>
            <w:tcW w:w="3838" w:type="dxa"/>
            <w:tcBorders>
              <w:left w:val="single" w:sz="3" w:space="0" w:color="000000"/>
              <w:right w:val="single" w:sz="3" w:space="0" w:color="000000"/>
            </w:tcBorders>
          </w:tcPr>
          <w:p>
            <w:pPr/>
          </w:p>
        </w:tc>
        <w:tc>
          <w:tcPr>
            <w:tcW w:w="905"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right="24"/>
              <w:jc w:val="right"/>
              <w:rPr>
                <w:sz w:val="15"/>
              </w:rPr>
            </w:pPr>
            <w:r>
              <w:rPr>
                <w:w w:val="105"/>
                <w:sz w:val="15"/>
              </w:rPr>
              <w:t>12</w:t>
            </w:r>
          </w:p>
        </w:tc>
        <w:tc>
          <w:tcPr>
            <w:tcW w:w="862"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rPr>
                <w:sz w:val="14"/>
              </w:rPr>
            </w:pPr>
          </w:p>
          <w:p>
            <w:pPr>
              <w:pStyle w:val="TableParagraph"/>
              <w:spacing w:before="10"/>
              <w:rPr>
                <w:sz w:val="20"/>
              </w:rPr>
            </w:pPr>
          </w:p>
          <w:p>
            <w:pPr>
              <w:pStyle w:val="TableParagraph"/>
              <w:ind w:left="26" w:right="181"/>
              <w:rPr>
                <w:sz w:val="15"/>
              </w:rPr>
            </w:pPr>
            <w:r>
              <w:rPr>
                <w:w w:val="105"/>
                <w:sz w:val="15"/>
              </w:rPr>
              <w:t>Escape</w:t>
            </w:r>
          </w:p>
        </w:tc>
        <w:tc>
          <w:tcPr>
            <w:tcW w:w="1106" w:type="dxa"/>
            <w:tcBorders>
              <w:left w:val="single" w:sz="3" w:space="0" w:color="000000"/>
              <w:right w:val="single" w:sz="3" w:space="0" w:color="000000"/>
            </w:tcBorders>
          </w:tcPr>
          <w:p>
            <w:pPr>
              <w:pStyle w:val="TableParagraph"/>
              <w:spacing w:line="271" w:lineRule="auto" w:before="12"/>
              <w:ind w:left="26"/>
              <w:rPr>
                <w:sz w:val="15"/>
              </w:rPr>
            </w:pPr>
            <w:r>
              <w:rPr>
                <w:w w:val="105"/>
                <w:sz w:val="15"/>
              </w:rPr>
              <w:t>Fuga de agua producida durante la construcción de una vivienda</w:t>
            </w:r>
          </w:p>
        </w:tc>
      </w:tr>
      <w:tr>
        <w:trPr>
          <w:trHeight w:val="389" w:hRule="exact"/>
        </w:trPr>
        <w:tc>
          <w:tcPr>
            <w:tcW w:w="949" w:type="dxa"/>
            <w:tcBorders>
              <w:left w:val="single" w:sz="3" w:space="0" w:color="000000"/>
              <w:right w:val="single" w:sz="3" w:space="0" w:color="000000"/>
            </w:tcBorders>
          </w:tcPr>
          <w:p>
            <w:pPr>
              <w:pStyle w:val="TableParagraph"/>
              <w:spacing w:before="105"/>
              <w:ind w:right="24"/>
              <w:jc w:val="right"/>
              <w:rPr>
                <w:sz w:val="15"/>
              </w:rPr>
            </w:pPr>
            <w:r>
              <w:rPr>
                <w:sz w:val="15"/>
              </w:rPr>
              <w:t>01/09/2006</w:t>
            </w:r>
          </w:p>
        </w:tc>
        <w:tc>
          <w:tcPr>
            <w:tcW w:w="1349" w:type="dxa"/>
            <w:tcBorders>
              <w:left w:val="single" w:sz="3" w:space="0" w:color="000000"/>
              <w:right w:val="single" w:sz="3" w:space="0" w:color="000000"/>
            </w:tcBorders>
          </w:tcPr>
          <w:p>
            <w:pPr>
              <w:pStyle w:val="TableParagraph"/>
              <w:spacing w:line="271" w:lineRule="auto" w:before="12"/>
              <w:ind w:left="26" w:right="12"/>
              <w:rPr>
                <w:sz w:val="15"/>
              </w:rPr>
            </w:pPr>
            <w:r>
              <w:rPr>
                <w:w w:val="105"/>
                <w:sz w:val="15"/>
              </w:rPr>
              <w:t>Cuenca del Río Borracho</w:t>
            </w:r>
          </w:p>
        </w:tc>
        <w:tc>
          <w:tcPr>
            <w:tcW w:w="1280" w:type="dxa"/>
            <w:tcBorders>
              <w:left w:val="single" w:sz="3" w:space="0" w:color="000000"/>
              <w:right w:val="single" w:sz="3" w:space="0" w:color="000000"/>
            </w:tcBorders>
          </w:tcPr>
          <w:p>
            <w:pPr>
              <w:pStyle w:val="TableParagraph"/>
              <w:spacing w:before="105"/>
              <w:ind w:left="26"/>
              <w:rPr>
                <w:sz w:val="15"/>
              </w:rPr>
            </w:pPr>
            <w:r>
              <w:rPr>
                <w:w w:val="105"/>
                <w:sz w:val="15"/>
              </w:rPr>
              <w:t>El Universal</w:t>
            </w:r>
          </w:p>
        </w:tc>
        <w:tc>
          <w:tcPr>
            <w:tcW w:w="3838" w:type="dxa"/>
            <w:tcBorders>
              <w:left w:val="single" w:sz="3" w:space="0" w:color="000000"/>
              <w:right w:val="single" w:sz="3" w:space="0" w:color="000000"/>
            </w:tcBorders>
          </w:tcPr>
          <w:p>
            <w:pPr>
              <w:pStyle w:val="TableParagraph"/>
              <w:spacing w:before="105"/>
              <w:ind w:left="26" w:right="-17"/>
              <w:rPr>
                <w:sz w:val="15"/>
              </w:rPr>
            </w:pPr>
            <w:r>
              <w:rPr>
                <w:w w:val="105"/>
                <w:sz w:val="15"/>
              </w:rPr>
              <w:t>65 familias evacuadas.</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1001"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05"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862" w:type="dxa"/>
            <w:tcBorders>
              <w:left w:val="single" w:sz="3" w:space="0" w:color="000000"/>
              <w:right w:val="single" w:sz="3" w:space="0" w:color="000000"/>
            </w:tcBorders>
          </w:tcPr>
          <w:p>
            <w:pPr>
              <w:pStyle w:val="TableParagraph"/>
              <w:spacing w:before="105"/>
              <w:ind w:right="24"/>
              <w:jc w:val="right"/>
              <w:rPr>
                <w:sz w:val="15"/>
              </w:rPr>
            </w:pPr>
            <w:r>
              <w:rPr>
                <w:w w:val="104"/>
                <w:sz w:val="15"/>
              </w:rPr>
              <w:t>0</w:t>
            </w:r>
          </w:p>
        </w:tc>
        <w:tc>
          <w:tcPr>
            <w:tcW w:w="914" w:type="dxa"/>
            <w:tcBorders>
              <w:left w:val="single" w:sz="3" w:space="0" w:color="000000"/>
              <w:right w:val="single" w:sz="3" w:space="0" w:color="000000"/>
            </w:tcBorders>
          </w:tcPr>
          <w:p>
            <w:pPr>
              <w:pStyle w:val="TableParagraph"/>
              <w:spacing w:before="105"/>
              <w:ind w:left="26" w:right="181"/>
              <w:rPr>
                <w:sz w:val="15"/>
              </w:rPr>
            </w:pPr>
            <w:r>
              <w:rPr>
                <w:w w:val="105"/>
                <w:sz w:val="15"/>
              </w:rPr>
              <w:t>Lluvias</w:t>
            </w:r>
          </w:p>
        </w:tc>
        <w:tc>
          <w:tcPr>
            <w:tcW w:w="1106" w:type="dxa"/>
            <w:tcBorders>
              <w:left w:val="single" w:sz="3" w:space="0" w:color="000000"/>
              <w:right w:val="single" w:sz="3" w:space="0" w:color="000000"/>
            </w:tcBorders>
          </w:tcPr>
          <w:p>
            <w:pPr/>
          </w:p>
        </w:tc>
      </w:tr>
    </w:tbl>
    <w:p>
      <w:pPr>
        <w:spacing w:after="0"/>
        <w:sectPr>
          <w:pgSz w:w="15840" w:h="12240" w:orient="landscape"/>
          <w:pgMar w:top="1140" w:bottom="280" w:left="1300" w:right="1200"/>
        </w:sectPr>
      </w:pPr>
    </w:p>
    <w:p>
      <w:pPr>
        <w:pStyle w:val="BodyText"/>
        <w:rPr>
          <w:sz w:val="20"/>
        </w:rPr>
      </w:pPr>
    </w:p>
    <w:p>
      <w:pPr>
        <w:pStyle w:val="BodyText"/>
        <w:spacing w:before="9"/>
        <w:rPr>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1"/>
        <w:gridCol w:w="1338"/>
        <w:gridCol w:w="1269"/>
        <w:gridCol w:w="3807"/>
        <w:gridCol w:w="898"/>
        <w:gridCol w:w="992"/>
        <w:gridCol w:w="898"/>
        <w:gridCol w:w="855"/>
        <w:gridCol w:w="906"/>
        <w:gridCol w:w="1097"/>
      </w:tblGrid>
      <w:tr>
        <w:trPr>
          <w:trHeight w:val="397" w:hRule="exact"/>
        </w:trPr>
        <w:tc>
          <w:tcPr>
            <w:tcW w:w="941" w:type="dxa"/>
            <w:shd w:val="clear" w:color="auto" w:fill="212B35"/>
          </w:tcPr>
          <w:p>
            <w:pPr>
              <w:pStyle w:val="TableParagraph"/>
              <w:spacing w:before="110"/>
              <w:ind w:right="60"/>
              <w:jc w:val="right"/>
              <w:rPr>
                <w:b/>
                <w:sz w:val="15"/>
              </w:rPr>
            </w:pPr>
            <w:r>
              <w:rPr>
                <w:b/>
                <w:color w:val="FFFFFF"/>
                <w:w w:val="105"/>
                <w:sz w:val="15"/>
              </w:rPr>
              <w:t>Fecha Inicio</w:t>
            </w:r>
          </w:p>
        </w:tc>
        <w:tc>
          <w:tcPr>
            <w:tcW w:w="1338" w:type="dxa"/>
            <w:shd w:val="clear" w:color="auto" w:fill="212B35"/>
          </w:tcPr>
          <w:p>
            <w:pPr>
              <w:pStyle w:val="TableParagraph"/>
              <w:spacing w:before="110"/>
              <w:ind w:left="487" w:right="493"/>
              <w:jc w:val="center"/>
              <w:rPr>
                <w:b/>
                <w:sz w:val="15"/>
              </w:rPr>
            </w:pPr>
            <w:r>
              <w:rPr>
                <w:b/>
                <w:color w:val="FFFFFF"/>
                <w:w w:val="105"/>
                <w:sz w:val="15"/>
              </w:rPr>
              <w:t>Sitio</w:t>
            </w:r>
          </w:p>
        </w:tc>
        <w:tc>
          <w:tcPr>
            <w:tcW w:w="1269" w:type="dxa"/>
            <w:shd w:val="clear" w:color="auto" w:fill="212B35"/>
          </w:tcPr>
          <w:p>
            <w:pPr>
              <w:pStyle w:val="TableParagraph"/>
              <w:spacing w:before="110"/>
              <w:ind w:left="371"/>
              <w:rPr>
                <w:b/>
                <w:sz w:val="15"/>
              </w:rPr>
            </w:pPr>
            <w:r>
              <w:rPr>
                <w:b/>
                <w:color w:val="FFFFFF"/>
                <w:w w:val="105"/>
                <w:sz w:val="15"/>
              </w:rPr>
              <w:t>Fuentes</w:t>
            </w:r>
          </w:p>
        </w:tc>
        <w:tc>
          <w:tcPr>
            <w:tcW w:w="3807" w:type="dxa"/>
            <w:shd w:val="clear" w:color="auto" w:fill="212B35"/>
          </w:tcPr>
          <w:p>
            <w:pPr>
              <w:pStyle w:val="TableParagraph"/>
              <w:spacing w:before="110"/>
              <w:ind w:left="1061" w:right="13"/>
              <w:rPr>
                <w:b/>
                <w:sz w:val="15"/>
              </w:rPr>
            </w:pPr>
            <w:r>
              <w:rPr>
                <w:b/>
                <w:color w:val="FFFFFF"/>
                <w:w w:val="105"/>
                <w:sz w:val="15"/>
              </w:rPr>
              <w:t>Observaciones de efectos</w:t>
            </w:r>
          </w:p>
        </w:tc>
        <w:tc>
          <w:tcPr>
            <w:tcW w:w="898" w:type="dxa"/>
            <w:shd w:val="clear" w:color="auto" w:fill="212B35"/>
          </w:tcPr>
          <w:p>
            <w:pPr>
              <w:pStyle w:val="TableParagraph"/>
              <w:spacing w:before="110"/>
              <w:ind w:left="163" w:right="99"/>
              <w:rPr>
                <w:b/>
                <w:sz w:val="15"/>
              </w:rPr>
            </w:pPr>
            <w:r>
              <w:rPr>
                <w:b/>
                <w:color w:val="FFFFFF"/>
                <w:w w:val="105"/>
                <w:sz w:val="15"/>
              </w:rPr>
              <w:t>Muertos</w:t>
            </w:r>
          </w:p>
        </w:tc>
        <w:tc>
          <w:tcPr>
            <w:tcW w:w="992" w:type="dxa"/>
            <w:shd w:val="clear" w:color="auto" w:fill="212B35"/>
          </w:tcPr>
          <w:p>
            <w:pPr>
              <w:pStyle w:val="TableParagraph"/>
              <w:spacing w:before="110"/>
              <w:ind w:right="24"/>
              <w:jc w:val="right"/>
              <w:rPr>
                <w:b/>
                <w:sz w:val="15"/>
              </w:rPr>
            </w:pPr>
            <w:r>
              <w:rPr>
                <w:b/>
                <w:color w:val="FFFFFF"/>
                <w:sz w:val="15"/>
              </w:rPr>
              <w:t>Damnificados</w:t>
            </w:r>
          </w:p>
        </w:tc>
        <w:tc>
          <w:tcPr>
            <w:tcW w:w="898" w:type="dxa"/>
            <w:shd w:val="clear" w:color="auto" w:fill="212B35"/>
          </w:tcPr>
          <w:p>
            <w:pPr>
              <w:pStyle w:val="TableParagraph"/>
              <w:spacing w:line="276" w:lineRule="auto" w:before="15"/>
              <w:ind w:left="103" w:right="99" w:firstLine="17"/>
              <w:rPr>
                <w:b/>
                <w:sz w:val="15"/>
              </w:rPr>
            </w:pPr>
            <w:r>
              <w:rPr>
                <w:b/>
                <w:color w:val="FFFFFF"/>
                <w:sz w:val="15"/>
              </w:rPr>
              <w:t>Viviendas destruidas</w:t>
            </w:r>
          </w:p>
        </w:tc>
        <w:tc>
          <w:tcPr>
            <w:tcW w:w="855" w:type="dxa"/>
            <w:shd w:val="clear" w:color="auto" w:fill="212B35"/>
          </w:tcPr>
          <w:p>
            <w:pPr>
              <w:pStyle w:val="TableParagraph"/>
              <w:spacing w:line="276" w:lineRule="auto" w:before="15"/>
              <w:ind w:left="112" w:right="84" w:hanging="18"/>
              <w:rPr>
                <w:b/>
                <w:sz w:val="15"/>
              </w:rPr>
            </w:pPr>
            <w:r>
              <w:rPr>
                <w:b/>
                <w:color w:val="FFFFFF"/>
                <w:sz w:val="15"/>
              </w:rPr>
              <w:t>Viviendas </w:t>
            </w:r>
            <w:r>
              <w:rPr>
                <w:b/>
                <w:color w:val="FFFFFF"/>
                <w:w w:val="105"/>
                <w:sz w:val="15"/>
              </w:rPr>
              <w:t>afectadas</w:t>
            </w:r>
          </w:p>
        </w:tc>
        <w:tc>
          <w:tcPr>
            <w:tcW w:w="906" w:type="dxa"/>
            <w:shd w:val="clear" w:color="auto" w:fill="212B35"/>
          </w:tcPr>
          <w:p>
            <w:pPr>
              <w:pStyle w:val="TableParagraph"/>
              <w:spacing w:line="276" w:lineRule="auto" w:before="15"/>
              <w:ind w:left="258" w:right="177" w:hanging="70"/>
              <w:rPr>
                <w:b/>
                <w:sz w:val="15"/>
              </w:rPr>
            </w:pPr>
            <w:r>
              <w:rPr>
                <w:b/>
                <w:color w:val="FFFFFF"/>
                <w:w w:val="105"/>
                <w:sz w:val="15"/>
              </w:rPr>
              <w:t>Tipo de causa</w:t>
            </w:r>
          </w:p>
        </w:tc>
        <w:tc>
          <w:tcPr>
            <w:tcW w:w="1097" w:type="dxa"/>
            <w:tcBorders>
              <w:right w:val="single" w:sz="3" w:space="0" w:color="000000"/>
            </w:tcBorders>
            <w:shd w:val="clear" w:color="auto" w:fill="212B35"/>
          </w:tcPr>
          <w:p>
            <w:pPr>
              <w:pStyle w:val="TableParagraph"/>
              <w:spacing w:line="276" w:lineRule="auto" w:before="15"/>
              <w:ind w:left="259" w:right="2" w:hanging="199"/>
              <w:rPr>
                <w:b/>
                <w:sz w:val="15"/>
              </w:rPr>
            </w:pPr>
            <w:r>
              <w:rPr>
                <w:b/>
                <w:color w:val="FFFFFF"/>
                <w:w w:val="105"/>
                <w:sz w:val="15"/>
              </w:rPr>
              <w:t>Observaciones de causa</w:t>
            </w:r>
          </w:p>
        </w:tc>
      </w:tr>
      <w:tr>
        <w:trPr>
          <w:trHeight w:val="397" w:hRule="exact"/>
        </w:trPr>
        <w:tc>
          <w:tcPr>
            <w:tcW w:w="941" w:type="dxa"/>
          </w:tcPr>
          <w:p>
            <w:pPr>
              <w:pStyle w:val="TableParagraph"/>
              <w:spacing w:before="110"/>
              <w:ind w:right="24"/>
              <w:jc w:val="right"/>
              <w:rPr>
                <w:sz w:val="15"/>
              </w:rPr>
            </w:pPr>
            <w:r>
              <w:rPr>
                <w:sz w:val="15"/>
              </w:rPr>
              <w:t>07/09/2006</w:t>
            </w:r>
          </w:p>
        </w:tc>
        <w:tc>
          <w:tcPr>
            <w:tcW w:w="1338" w:type="dxa"/>
          </w:tcPr>
          <w:p>
            <w:pPr>
              <w:pStyle w:val="TableParagraph"/>
              <w:spacing w:line="276" w:lineRule="auto" w:before="15"/>
              <w:ind w:left="25" w:right="9"/>
              <w:rPr>
                <w:sz w:val="15"/>
              </w:rPr>
            </w:pPr>
            <w:r>
              <w:rPr>
                <w:w w:val="105"/>
                <w:sz w:val="15"/>
              </w:rPr>
              <w:t>Colonia Las </w:t>
            </w:r>
            <w:r>
              <w:rPr>
                <w:sz w:val="15"/>
              </w:rPr>
              <w:t>Golondrinas</w:t>
            </w:r>
          </w:p>
        </w:tc>
        <w:tc>
          <w:tcPr>
            <w:tcW w:w="1269" w:type="dxa"/>
          </w:tcPr>
          <w:p>
            <w:pPr>
              <w:pStyle w:val="TableParagraph"/>
              <w:spacing w:before="110"/>
              <w:ind w:left="25"/>
              <w:rPr>
                <w:sz w:val="15"/>
              </w:rPr>
            </w:pPr>
            <w:r>
              <w:rPr>
                <w:w w:val="105"/>
                <w:sz w:val="15"/>
              </w:rPr>
              <w:t>El Universal</w:t>
            </w:r>
          </w:p>
        </w:tc>
        <w:tc>
          <w:tcPr>
            <w:tcW w:w="3807" w:type="dxa"/>
          </w:tcPr>
          <w:p>
            <w:pPr/>
          </w:p>
        </w:tc>
        <w:tc>
          <w:tcPr>
            <w:tcW w:w="898" w:type="dxa"/>
          </w:tcPr>
          <w:p>
            <w:pPr>
              <w:pStyle w:val="TableParagraph"/>
              <w:spacing w:before="110"/>
              <w:ind w:right="25"/>
              <w:jc w:val="right"/>
              <w:rPr>
                <w:sz w:val="15"/>
              </w:rPr>
            </w:pPr>
            <w:r>
              <w:rPr>
                <w:w w:val="103"/>
                <w:sz w:val="15"/>
              </w:rPr>
              <w:t>0</w:t>
            </w:r>
          </w:p>
        </w:tc>
        <w:tc>
          <w:tcPr>
            <w:tcW w:w="992" w:type="dxa"/>
          </w:tcPr>
          <w:p>
            <w:pPr>
              <w:pStyle w:val="TableParagraph"/>
              <w:spacing w:before="110"/>
              <w:ind w:right="23"/>
              <w:jc w:val="right"/>
              <w:rPr>
                <w:sz w:val="15"/>
              </w:rPr>
            </w:pPr>
            <w:r>
              <w:rPr>
                <w:w w:val="103"/>
                <w:sz w:val="15"/>
              </w:rPr>
              <w:t>0</w:t>
            </w:r>
          </w:p>
        </w:tc>
        <w:tc>
          <w:tcPr>
            <w:tcW w:w="898" w:type="dxa"/>
          </w:tcPr>
          <w:p>
            <w:pPr>
              <w:pStyle w:val="TableParagraph"/>
              <w:spacing w:before="110"/>
              <w:ind w:right="23"/>
              <w:jc w:val="right"/>
              <w:rPr>
                <w:sz w:val="15"/>
              </w:rPr>
            </w:pPr>
            <w:r>
              <w:rPr>
                <w:w w:val="103"/>
                <w:sz w:val="15"/>
              </w:rPr>
              <w:t>0</w:t>
            </w:r>
          </w:p>
        </w:tc>
        <w:tc>
          <w:tcPr>
            <w:tcW w:w="855" w:type="dxa"/>
          </w:tcPr>
          <w:p>
            <w:pPr>
              <w:pStyle w:val="TableParagraph"/>
              <w:spacing w:before="110"/>
              <w:ind w:right="24"/>
              <w:jc w:val="right"/>
              <w:rPr>
                <w:sz w:val="15"/>
              </w:rPr>
            </w:pPr>
            <w:r>
              <w:rPr>
                <w:w w:val="105"/>
                <w:sz w:val="15"/>
              </w:rPr>
              <w:t>27</w:t>
            </w:r>
          </w:p>
        </w:tc>
        <w:tc>
          <w:tcPr>
            <w:tcW w:w="906" w:type="dxa"/>
          </w:tcPr>
          <w:p>
            <w:pPr>
              <w:pStyle w:val="TableParagraph"/>
              <w:spacing w:before="110"/>
              <w:ind w:left="25" w:right="177"/>
              <w:rPr>
                <w:sz w:val="15"/>
              </w:rPr>
            </w:pPr>
            <w:r>
              <w:rPr>
                <w:w w:val="105"/>
                <w:sz w:val="15"/>
              </w:rPr>
              <w:t>Lluvias</w:t>
            </w:r>
          </w:p>
        </w:tc>
        <w:tc>
          <w:tcPr>
            <w:tcW w:w="1097" w:type="dxa"/>
            <w:tcBorders>
              <w:right w:val="single" w:sz="3" w:space="0" w:color="000000"/>
            </w:tcBorders>
          </w:tcPr>
          <w:p>
            <w:pPr>
              <w:pStyle w:val="TableParagraph"/>
              <w:spacing w:line="276" w:lineRule="auto" w:before="15"/>
              <w:ind w:left="26" w:right="26"/>
              <w:rPr>
                <w:sz w:val="15"/>
              </w:rPr>
            </w:pPr>
            <w:r>
              <w:rPr>
                <w:sz w:val="15"/>
              </w:rPr>
              <w:t>Reblandecimient </w:t>
            </w:r>
            <w:r>
              <w:rPr>
                <w:w w:val="105"/>
                <w:sz w:val="15"/>
              </w:rPr>
              <w:t>o del terreno</w:t>
            </w:r>
          </w:p>
        </w:tc>
      </w:tr>
      <w:tr>
        <w:trPr>
          <w:trHeight w:val="207" w:hRule="exact"/>
        </w:trPr>
        <w:tc>
          <w:tcPr>
            <w:tcW w:w="941" w:type="dxa"/>
          </w:tcPr>
          <w:p>
            <w:pPr>
              <w:pStyle w:val="TableParagraph"/>
              <w:spacing w:before="15"/>
              <w:ind w:right="24"/>
              <w:jc w:val="right"/>
              <w:rPr>
                <w:sz w:val="15"/>
              </w:rPr>
            </w:pPr>
            <w:r>
              <w:rPr>
                <w:sz w:val="15"/>
              </w:rPr>
              <w:t>02/07/2007</w:t>
            </w:r>
          </w:p>
        </w:tc>
        <w:tc>
          <w:tcPr>
            <w:tcW w:w="1338" w:type="dxa"/>
          </w:tcPr>
          <w:p>
            <w:pPr/>
          </w:p>
        </w:tc>
        <w:tc>
          <w:tcPr>
            <w:tcW w:w="1269" w:type="dxa"/>
          </w:tcPr>
          <w:p>
            <w:pPr>
              <w:pStyle w:val="TableParagraph"/>
              <w:spacing w:before="15"/>
              <w:ind w:left="25"/>
              <w:rPr>
                <w:sz w:val="15"/>
              </w:rPr>
            </w:pPr>
            <w:r>
              <w:rPr>
                <w:w w:val="105"/>
                <w:sz w:val="15"/>
              </w:rPr>
              <w:t>La Jornada</w:t>
            </w:r>
          </w:p>
        </w:tc>
        <w:tc>
          <w:tcPr>
            <w:tcW w:w="3807" w:type="dxa"/>
          </w:tcPr>
          <w:p>
            <w:pPr>
              <w:pStyle w:val="TableParagraph"/>
              <w:spacing w:before="15"/>
              <w:ind w:left="25" w:right="13"/>
              <w:rPr>
                <w:sz w:val="15"/>
              </w:rPr>
            </w:pPr>
            <w:r>
              <w:rPr>
                <w:w w:val="105"/>
                <w:sz w:val="15"/>
              </w:rPr>
              <w:t>Varias calles quedaron bloqueadas.</w:t>
            </w:r>
          </w:p>
        </w:tc>
        <w:tc>
          <w:tcPr>
            <w:tcW w:w="898" w:type="dxa"/>
          </w:tcPr>
          <w:p>
            <w:pPr>
              <w:pStyle w:val="TableParagraph"/>
              <w:spacing w:before="15"/>
              <w:ind w:right="25"/>
              <w:jc w:val="right"/>
              <w:rPr>
                <w:sz w:val="15"/>
              </w:rPr>
            </w:pPr>
            <w:r>
              <w:rPr>
                <w:w w:val="103"/>
                <w:sz w:val="15"/>
              </w:rPr>
              <w:t>0</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0</w:t>
            </w:r>
          </w:p>
        </w:tc>
        <w:tc>
          <w:tcPr>
            <w:tcW w:w="855" w:type="dxa"/>
          </w:tcPr>
          <w:p>
            <w:pPr>
              <w:pStyle w:val="TableParagraph"/>
              <w:spacing w:before="15"/>
              <w:ind w:right="23"/>
              <w:jc w:val="right"/>
              <w:rPr>
                <w:sz w:val="15"/>
              </w:rPr>
            </w:pPr>
            <w:r>
              <w:rPr>
                <w:w w:val="103"/>
                <w:sz w:val="15"/>
              </w:rPr>
              <w:t>1</w:t>
            </w:r>
          </w:p>
        </w:tc>
        <w:tc>
          <w:tcPr>
            <w:tcW w:w="906" w:type="dxa"/>
          </w:tcPr>
          <w:p>
            <w:pPr>
              <w:pStyle w:val="TableParagraph"/>
              <w:spacing w:before="15"/>
              <w:ind w:left="25"/>
              <w:rPr>
                <w:sz w:val="15"/>
              </w:rPr>
            </w:pPr>
            <w:r>
              <w:rPr>
                <w:w w:val="105"/>
                <w:sz w:val="15"/>
              </w:rPr>
              <w:t>Tempestad</w:t>
            </w:r>
          </w:p>
        </w:tc>
        <w:tc>
          <w:tcPr>
            <w:tcW w:w="1097" w:type="dxa"/>
            <w:tcBorders>
              <w:right w:val="single" w:sz="3" w:space="0" w:color="000000"/>
            </w:tcBorders>
          </w:tcPr>
          <w:p>
            <w:pPr/>
          </w:p>
        </w:tc>
      </w:tr>
      <w:tr>
        <w:trPr>
          <w:trHeight w:val="397" w:hRule="exact"/>
        </w:trPr>
        <w:tc>
          <w:tcPr>
            <w:tcW w:w="941" w:type="dxa"/>
          </w:tcPr>
          <w:p>
            <w:pPr>
              <w:pStyle w:val="TableParagraph"/>
              <w:spacing w:before="110"/>
              <w:ind w:right="24"/>
              <w:jc w:val="right"/>
              <w:rPr>
                <w:sz w:val="15"/>
              </w:rPr>
            </w:pPr>
            <w:r>
              <w:rPr>
                <w:sz w:val="15"/>
              </w:rPr>
              <w:t>06/07/2007</w:t>
            </w:r>
          </w:p>
        </w:tc>
        <w:tc>
          <w:tcPr>
            <w:tcW w:w="1338" w:type="dxa"/>
          </w:tcPr>
          <w:p>
            <w:pPr>
              <w:pStyle w:val="TableParagraph"/>
              <w:spacing w:line="276" w:lineRule="auto" w:before="15"/>
              <w:ind w:left="25" w:right="234"/>
              <w:rPr>
                <w:sz w:val="15"/>
              </w:rPr>
            </w:pPr>
            <w:r>
              <w:rPr>
                <w:w w:val="105"/>
                <w:sz w:val="15"/>
              </w:rPr>
              <w:t>Col. Ampliación Presidentes.</w:t>
            </w:r>
          </w:p>
        </w:tc>
        <w:tc>
          <w:tcPr>
            <w:tcW w:w="1269" w:type="dxa"/>
          </w:tcPr>
          <w:p>
            <w:pPr>
              <w:pStyle w:val="TableParagraph"/>
              <w:spacing w:before="110"/>
              <w:ind w:left="25"/>
              <w:rPr>
                <w:sz w:val="15"/>
              </w:rPr>
            </w:pPr>
            <w:r>
              <w:rPr>
                <w:w w:val="105"/>
                <w:sz w:val="15"/>
              </w:rPr>
              <w:t>El Universal</w:t>
            </w:r>
          </w:p>
        </w:tc>
        <w:tc>
          <w:tcPr>
            <w:tcW w:w="3807" w:type="dxa"/>
          </w:tcPr>
          <w:p>
            <w:pPr/>
          </w:p>
        </w:tc>
        <w:tc>
          <w:tcPr>
            <w:tcW w:w="898" w:type="dxa"/>
          </w:tcPr>
          <w:p>
            <w:pPr>
              <w:pStyle w:val="TableParagraph"/>
              <w:spacing w:before="110"/>
              <w:ind w:right="25"/>
              <w:jc w:val="right"/>
              <w:rPr>
                <w:sz w:val="15"/>
              </w:rPr>
            </w:pPr>
            <w:r>
              <w:rPr>
                <w:w w:val="103"/>
                <w:sz w:val="15"/>
              </w:rPr>
              <w:t>0</w:t>
            </w:r>
          </w:p>
        </w:tc>
        <w:tc>
          <w:tcPr>
            <w:tcW w:w="992" w:type="dxa"/>
          </w:tcPr>
          <w:p>
            <w:pPr>
              <w:pStyle w:val="TableParagraph"/>
              <w:spacing w:before="110"/>
              <w:ind w:right="23"/>
              <w:jc w:val="right"/>
              <w:rPr>
                <w:sz w:val="15"/>
              </w:rPr>
            </w:pPr>
            <w:r>
              <w:rPr>
                <w:w w:val="103"/>
                <w:sz w:val="15"/>
              </w:rPr>
              <w:t>0</w:t>
            </w:r>
          </w:p>
        </w:tc>
        <w:tc>
          <w:tcPr>
            <w:tcW w:w="898" w:type="dxa"/>
          </w:tcPr>
          <w:p>
            <w:pPr>
              <w:pStyle w:val="TableParagraph"/>
              <w:spacing w:before="110"/>
              <w:ind w:right="23"/>
              <w:jc w:val="right"/>
              <w:rPr>
                <w:sz w:val="15"/>
              </w:rPr>
            </w:pPr>
            <w:r>
              <w:rPr>
                <w:w w:val="103"/>
                <w:sz w:val="15"/>
              </w:rPr>
              <w:t>0</w:t>
            </w:r>
          </w:p>
        </w:tc>
        <w:tc>
          <w:tcPr>
            <w:tcW w:w="855" w:type="dxa"/>
          </w:tcPr>
          <w:p>
            <w:pPr>
              <w:pStyle w:val="TableParagraph"/>
              <w:spacing w:before="110"/>
              <w:ind w:right="23"/>
              <w:jc w:val="right"/>
              <w:rPr>
                <w:sz w:val="15"/>
              </w:rPr>
            </w:pPr>
            <w:r>
              <w:rPr>
                <w:w w:val="103"/>
                <w:sz w:val="15"/>
              </w:rPr>
              <w:t>5</w:t>
            </w:r>
          </w:p>
        </w:tc>
        <w:tc>
          <w:tcPr>
            <w:tcW w:w="906" w:type="dxa"/>
          </w:tcPr>
          <w:p>
            <w:pPr>
              <w:pStyle w:val="TableParagraph"/>
              <w:spacing w:before="110"/>
              <w:ind w:left="25" w:right="177"/>
              <w:rPr>
                <w:sz w:val="15"/>
              </w:rPr>
            </w:pPr>
            <w:r>
              <w:rPr>
                <w:w w:val="105"/>
                <w:sz w:val="15"/>
              </w:rPr>
              <w:t>Lluvias</w:t>
            </w:r>
          </w:p>
        </w:tc>
        <w:tc>
          <w:tcPr>
            <w:tcW w:w="1097" w:type="dxa"/>
            <w:tcBorders>
              <w:right w:val="single" w:sz="3" w:space="0" w:color="000000"/>
            </w:tcBorders>
          </w:tcPr>
          <w:p>
            <w:pPr/>
          </w:p>
        </w:tc>
      </w:tr>
      <w:tr>
        <w:trPr>
          <w:trHeight w:val="207" w:hRule="exact"/>
        </w:trPr>
        <w:tc>
          <w:tcPr>
            <w:tcW w:w="941" w:type="dxa"/>
          </w:tcPr>
          <w:p>
            <w:pPr>
              <w:pStyle w:val="TableParagraph"/>
              <w:spacing w:before="15"/>
              <w:ind w:right="24"/>
              <w:jc w:val="right"/>
              <w:rPr>
                <w:sz w:val="15"/>
              </w:rPr>
            </w:pPr>
            <w:r>
              <w:rPr>
                <w:sz w:val="15"/>
              </w:rPr>
              <w:t>26/08/2007</w:t>
            </w:r>
          </w:p>
        </w:tc>
        <w:tc>
          <w:tcPr>
            <w:tcW w:w="1338" w:type="dxa"/>
          </w:tcPr>
          <w:p>
            <w:pPr>
              <w:pStyle w:val="TableParagraph"/>
              <w:spacing w:before="15"/>
              <w:ind w:left="25" w:right="9"/>
              <w:rPr>
                <w:sz w:val="15"/>
              </w:rPr>
            </w:pPr>
            <w:r>
              <w:rPr>
                <w:w w:val="105"/>
                <w:sz w:val="15"/>
              </w:rPr>
              <w:t>Av. Chicago.</w:t>
            </w:r>
          </w:p>
        </w:tc>
        <w:tc>
          <w:tcPr>
            <w:tcW w:w="1269" w:type="dxa"/>
          </w:tcPr>
          <w:p>
            <w:pPr>
              <w:pStyle w:val="TableParagraph"/>
              <w:spacing w:before="15"/>
              <w:ind w:left="25"/>
              <w:rPr>
                <w:sz w:val="15"/>
              </w:rPr>
            </w:pPr>
            <w:r>
              <w:rPr>
                <w:w w:val="105"/>
                <w:sz w:val="15"/>
              </w:rPr>
              <w:t>La Jornada</w:t>
            </w:r>
          </w:p>
        </w:tc>
        <w:tc>
          <w:tcPr>
            <w:tcW w:w="3807" w:type="dxa"/>
          </w:tcPr>
          <w:p>
            <w:pPr/>
          </w:p>
        </w:tc>
        <w:tc>
          <w:tcPr>
            <w:tcW w:w="898" w:type="dxa"/>
          </w:tcPr>
          <w:p>
            <w:pPr>
              <w:pStyle w:val="TableParagraph"/>
              <w:spacing w:before="15"/>
              <w:ind w:right="25"/>
              <w:jc w:val="right"/>
              <w:rPr>
                <w:sz w:val="15"/>
              </w:rPr>
            </w:pPr>
            <w:r>
              <w:rPr>
                <w:w w:val="103"/>
                <w:sz w:val="15"/>
              </w:rPr>
              <w:t>0</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0</w:t>
            </w:r>
          </w:p>
        </w:tc>
        <w:tc>
          <w:tcPr>
            <w:tcW w:w="855" w:type="dxa"/>
          </w:tcPr>
          <w:p>
            <w:pPr>
              <w:pStyle w:val="TableParagraph"/>
              <w:spacing w:before="15"/>
              <w:ind w:right="23"/>
              <w:jc w:val="right"/>
              <w:rPr>
                <w:sz w:val="15"/>
              </w:rPr>
            </w:pPr>
            <w:r>
              <w:rPr>
                <w:w w:val="103"/>
                <w:sz w:val="15"/>
              </w:rPr>
              <w:t>0</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r>
        <w:trPr>
          <w:trHeight w:val="207" w:hRule="exact"/>
        </w:trPr>
        <w:tc>
          <w:tcPr>
            <w:tcW w:w="941" w:type="dxa"/>
          </w:tcPr>
          <w:p>
            <w:pPr>
              <w:pStyle w:val="TableParagraph"/>
              <w:spacing w:before="15"/>
              <w:ind w:right="24"/>
              <w:jc w:val="right"/>
              <w:rPr>
                <w:sz w:val="15"/>
              </w:rPr>
            </w:pPr>
            <w:r>
              <w:rPr>
                <w:sz w:val="15"/>
              </w:rPr>
              <w:t>08/09/2007</w:t>
            </w:r>
          </w:p>
        </w:tc>
        <w:tc>
          <w:tcPr>
            <w:tcW w:w="1338" w:type="dxa"/>
          </w:tcPr>
          <w:p>
            <w:pPr>
              <w:pStyle w:val="TableParagraph"/>
              <w:spacing w:before="15"/>
              <w:ind w:left="25" w:right="9"/>
              <w:rPr>
                <w:sz w:val="15"/>
              </w:rPr>
            </w:pPr>
            <w:r>
              <w:rPr>
                <w:w w:val="105"/>
                <w:sz w:val="15"/>
              </w:rPr>
              <w:t>Col. Tlacoyaque.</w:t>
            </w:r>
          </w:p>
        </w:tc>
        <w:tc>
          <w:tcPr>
            <w:tcW w:w="1269" w:type="dxa"/>
          </w:tcPr>
          <w:p>
            <w:pPr>
              <w:pStyle w:val="TableParagraph"/>
              <w:spacing w:before="15"/>
              <w:ind w:left="25"/>
              <w:rPr>
                <w:sz w:val="15"/>
              </w:rPr>
            </w:pPr>
            <w:r>
              <w:rPr>
                <w:w w:val="105"/>
                <w:sz w:val="15"/>
              </w:rPr>
              <w:t>La Jornada</w:t>
            </w:r>
          </w:p>
        </w:tc>
        <w:tc>
          <w:tcPr>
            <w:tcW w:w="3807" w:type="dxa"/>
          </w:tcPr>
          <w:p>
            <w:pPr>
              <w:pStyle w:val="TableParagraph"/>
              <w:spacing w:before="15"/>
              <w:ind w:left="25" w:right="13"/>
              <w:rPr>
                <w:sz w:val="15"/>
              </w:rPr>
            </w:pPr>
            <w:r>
              <w:rPr>
                <w:w w:val="105"/>
                <w:sz w:val="15"/>
              </w:rPr>
              <w:t>Vías y varias calles afectadas.</w:t>
            </w:r>
          </w:p>
        </w:tc>
        <w:tc>
          <w:tcPr>
            <w:tcW w:w="898" w:type="dxa"/>
          </w:tcPr>
          <w:p>
            <w:pPr>
              <w:pStyle w:val="TableParagraph"/>
              <w:spacing w:before="15"/>
              <w:ind w:right="25"/>
              <w:jc w:val="right"/>
              <w:rPr>
                <w:sz w:val="15"/>
              </w:rPr>
            </w:pPr>
            <w:r>
              <w:rPr>
                <w:w w:val="103"/>
                <w:sz w:val="15"/>
              </w:rPr>
              <w:t>0</w:t>
            </w:r>
          </w:p>
        </w:tc>
        <w:tc>
          <w:tcPr>
            <w:tcW w:w="992" w:type="dxa"/>
          </w:tcPr>
          <w:p>
            <w:pPr>
              <w:pStyle w:val="TableParagraph"/>
              <w:spacing w:before="15"/>
              <w:ind w:right="23"/>
              <w:jc w:val="right"/>
              <w:rPr>
                <w:sz w:val="15"/>
              </w:rPr>
            </w:pPr>
            <w:r>
              <w:rPr>
                <w:w w:val="103"/>
                <w:sz w:val="15"/>
              </w:rPr>
              <w:t>0</w:t>
            </w:r>
          </w:p>
        </w:tc>
        <w:tc>
          <w:tcPr>
            <w:tcW w:w="898" w:type="dxa"/>
          </w:tcPr>
          <w:p>
            <w:pPr>
              <w:pStyle w:val="TableParagraph"/>
              <w:spacing w:before="15"/>
              <w:ind w:right="23"/>
              <w:jc w:val="right"/>
              <w:rPr>
                <w:sz w:val="15"/>
              </w:rPr>
            </w:pPr>
            <w:r>
              <w:rPr>
                <w:w w:val="103"/>
                <w:sz w:val="15"/>
              </w:rPr>
              <w:t>0</w:t>
            </w:r>
          </w:p>
        </w:tc>
        <w:tc>
          <w:tcPr>
            <w:tcW w:w="855" w:type="dxa"/>
          </w:tcPr>
          <w:p>
            <w:pPr>
              <w:pStyle w:val="TableParagraph"/>
              <w:spacing w:before="15"/>
              <w:ind w:right="23"/>
              <w:jc w:val="right"/>
              <w:rPr>
                <w:sz w:val="15"/>
              </w:rPr>
            </w:pPr>
            <w:r>
              <w:rPr>
                <w:w w:val="103"/>
                <w:sz w:val="15"/>
              </w:rPr>
              <w:t>0</w:t>
            </w:r>
          </w:p>
        </w:tc>
        <w:tc>
          <w:tcPr>
            <w:tcW w:w="906" w:type="dxa"/>
          </w:tcPr>
          <w:p>
            <w:pPr>
              <w:pStyle w:val="TableParagraph"/>
              <w:spacing w:before="15"/>
              <w:ind w:left="25" w:right="177"/>
              <w:rPr>
                <w:sz w:val="15"/>
              </w:rPr>
            </w:pPr>
            <w:r>
              <w:rPr>
                <w:w w:val="105"/>
                <w:sz w:val="15"/>
              </w:rPr>
              <w:t>Lluvias</w:t>
            </w:r>
          </w:p>
        </w:tc>
        <w:tc>
          <w:tcPr>
            <w:tcW w:w="1097" w:type="dxa"/>
            <w:tcBorders>
              <w:right w:val="single" w:sz="3" w:space="0" w:color="000000"/>
            </w:tcBorders>
          </w:tcPr>
          <w:p>
            <w:pPr/>
          </w:p>
        </w:tc>
      </w:tr>
      <w:tr>
        <w:trPr>
          <w:trHeight w:val="397" w:hRule="exact"/>
        </w:trPr>
        <w:tc>
          <w:tcPr>
            <w:tcW w:w="941" w:type="dxa"/>
          </w:tcPr>
          <w:p>
            <w:pPr>
              <w:pStyle w:val="TableParagraph"/>
              <w:spacing w:before="110"/>
              <w:ind w:right="24"/>
              <w:jc w:val="right"/>
              <w:rPr>
                <w:sz w:val="15"/>
              </w:rPr>
            </w:pPr>
            <w:r>
              <w:rPr>
                <w:sz w:val="15"/>
              </w:rPr>
              <w:t>13/09/2007</w:t>
            </w:r>
          </w:p>
        </w:tc>
        <w:tc>
          <w:tcPr>
            <w:tcW w:w="1338" w:type="dxa"/>
          </w:tcPr>
          <w:p>
            <w:pPr>
              <w:pStyle w:val="TableParagraph"/>
              <w:spacing w:line="276" w:lineRule="auto" w:before="15"/>
              <w:ind w:left="25" w:right="9"/>
              <w:rPr>
                <w:sz w:val="15"/>
              </w:rPr>
            </w:pPr>
            <w:r>
              <w:rPr>
                <w:w w:val="105"/>
                <w:sz w:val="15"/>
              </w:rPr>
              <w:t>Col. Belén de las Flores.</w:t>
            </w:r>
          </w:p>
        </w:tc>
        <w:tc>
          <w:tcPr>
            <w:tcW w:w="1269" w:type="dxa"/>
          </w:tcPr>
          <w:p>
            <w:pPr>
              <w:pStyle w:val="TableParagraph"/>
              <w:spacing w:before="110"/>
              <w:ind w:left="25"/>
              <w:rPr>
                <w:sz w:val="15"/>
              </w:rPr>
            </w:pPr>
            <w:r>
              <w:rPr>
                <w:w w:val="105"/>
                <w:sz w:val="15"/>
              </w:rPr>
              <w:t>La Jornada</w:t>
            </w:r>
          </w:p>
        </w:tc>
        <w:tc>
          <w:tcPr>
            <w:tcW w:w="3807" w:type="dxa"/>
          </w:tcPr>
          <w:p>
            <w:pPr/>
          </w:p>
        </w:tc>
        <w:tc>
          <w:tcPr>
            <w:tcW w:w="898" w:type="dxa"/>
          </w:tcPr>
          <w:p>
            <w:pPr>
              <w:pStyle w:val="TableParagraph"/>
              <w:spacing w:before="110"/>
              <w:ind w:right="25"/>
              <w:jc w:val="right"/>
              <w:rPr>
                <w:sz w:val="15"/>
              </w:rPr>
            </w:pPr>
            <w:r>
              <w:rPr>
                <w:w w:val="103"/>
                <w:sz w:val="15"/>
              </w:rPr>
              <w:t>2</w:t>
            </w:r>
          </w:p>
        </w:tc>
        <w:tc>
          <w:tcPr>
            <w:tcW w:w="992" w:type="dxa"/>
          </w:tcPr>
          <w:p>
            <w:pPr>
              <w:pStyle w:val="TableParagraph"/>
              <w:spacing w:before="110"/>
              <w:ind w:right="23"/>
              <w:jc w:val="right"/>
              <w:rPr>
                <w:sz w:val="15"/>
              </w:rPr>
            </w:pPr>
            <w:r>
              <w:rPr>
                <w:w w:val="103"/>
                <w:sz w:val="15"/>
              </w:rPr>
              <w:t>0</w:t>
            </w:r>
          </w:p>
        </w:tc>
        <w:tc>
          <w:tcPr>
            <w:tcW w:w="898" w:type="dxa"/>
          </w:tcPr>
          <w:p>
            <w:pPr>
              <w:pStyle w:val="TableParagraph"/>
              <w:spacing w:before="110"/>
              <w:ind w:right="23"/>
              <w:jc w:val="right"/>
              <w:rPr>
                <w:sz w:val="15"/>
              </w:rPr>
            </w:pPr>
            <w:r>
              <w:rPr>
                <w:w w:val="103"/>
                <w:sz w:val="15"/>
              </w:rPr>
              <w:t>1</w:t>
            </w:r>
          </w:p>
        </w:tc>
        <w:tc>
          <w:tcPr>
            <w:tcW w:w="855" w:type="dxa"/>
          </w:tcPr>
          <w:p>
            <w:pPr>
              <w:pStyle w:val="TableParagraph"/>
              <w:spacing w:before="110"/>
              <w:ind w:right="24"/>
              <w:jc w:val="right"/>
              <w:rPr>
                <w:sz w:val="15"/>
              </w:rPr>
            </w:pPr>
            <w:r>
              <w:rPr>
                <w:w w:val="105"/>
                <w:sz w:val="15"/>
              </w:rPr>
              <w:t>50</w:t>
            </w:r>
          </w:p>
        </w:tc>
        <w:tc>
          <w:tcPr>
            <w:tcW w:w="906" w:type="dxa"/>
          </w:tcPr>
          <w:p>
            <w:pPr>
              <w:pStyle w:val="TableParagraph"/>
              <w:spacing w:before="110"/>
              <w:ind w:left="25" w:right="177"/>
              <w:rPr>
                <w:sz w:val="15"/>
              </w:rPr>
            </w:pPr>
            <w:r>
              <w:rPr>
                <w:w w:val="105"/>
                <w:sz w:val="15"/>
              </w:rPr>
              <w:t>Lluvias</w:t>
            </w:r>
          </w:p>
        </w:tc>
        <w:tc>
          <w:tcPr>
            <w:tcW w:w="1097" w:type="dxa"/>
            <w:tcBorders>
              <w:right w:val="single" w:sz="3" w:space="0" w:color="000000"/>
            </w:tcBorders>
          </w:tcPr>
          <w:p>
            <w:pPr/>
          </w:p>
        </w:tc>
      </w:tr>
      <w:tr>
        <w:trPr>
          <w:trHeight w:val="1312" w:hRule="exact"/>
        </w:trPr>
        <w:tc>
          <w:tcPr>
            <w:tcW w:w="941" w:type="dxa"/>
          </w:tcPr>
          <w:p>
            <w:pPr>
              <w:pStyle w:val="TableParagraph"/>
              <w:rPr>
                <w:sz w:val="16"/>
              </w:rPr>
            </w:pPr>
          </w:p>
          <w:p>
            <w:pPr>
              <w:pStyle w:val="TableParagraph"/>
              <w:rPr>
                <w:sz w:val="16"/>
              </w:rPr>
            </w:pPr>
          </w:p>
          <w:p>
            <w:pPr>
              <w:pStyle w:val="TableParagraph"/>
              <w:spacing w:before="4"/>
              <w:rPr>
                <w:sz w:val="17"/>
              </w:rPr>
            </w:pPr>
          </w:p>
          <w:p>
            <w:pPr>
              <w:pStyle w:val="TableParagraph"/>
              <w:ind w:right="24"/>
              <w:jc w:val="right"/>
              <w:rPr>
                <w:sz w:val="15"/>
              </w:rPr>
            </w:pPr>
            <w:r>
              <w:rPr>
                <w:sz w:val="15"/>
              </w:rPr>
              <w:t>07/07/2010</w:t>
            </w:r>
          </w:p>
        </w:tc>
        <w:tc>
          <w:tcPr>
            <w:tcW w:w="1338" w:type="dxa"/>
          </w:tcPr>
          <w:p>
            <w:pPr>
              <w:pStyle w:val="TableParagraph"/>
              <w:rPr>
                <w:sz w:val="16"/>
              </w:rPr>
            </w:pPr>
          </w:p>
          <w:p>
            <w:pPr>
              <w:pStyle w:val="TableParagraph"/>
              <w:rPr>
                <w:sz w:val="16"/>
              </w:rPr>
            </w:pPr>
          </w:p>
          <w:p>
            <w:pPr>
              <w:pStyle w:val="TableParagraph"/>
              <w:spacing w:before="4"/>
              <w:rPr>
                <w:sz w:val="17"/>
              </w:rPr>
            </w:pPr>
          </w:p>
          <w:p>
            <w:pPr>
              <w:pStyle w:val="TableParagraph"/>
              <w:ind w:left="25" w:right="9"/>
              <w:rPr>
                <w:sz w:val="15"/>
              </w:rPr>
            </w:pPr>
            <w:r>
              <w:rPr>
                <w:w w:val="105"/>
                <w:sz w:val="15"/>
              </w:rPr>
              <w:t>Av. de los Poetas</w:t>
            </w:r>
          </w:p>
        </w:tc>
        <w:tc>
          <w:tcPr>
            <w:tcW w:w="1269" w:type="dxa"/>
          </w:tcPr>
          <w:p>
            <w:pPr>
              <w:pStyle w:val="TableParagraph"/>
              <w:rPr>
                <w:sz w:val="16"/>
              </w:rPr>
            </w:pPr>
          </w:p>
          <w:p>
            <w:pPr>
              <w:pStyle w:val="TableParagraph"/>
              <w:rPr>
                <w:sz w:val="16"/>
              </w:rPr>
            </w:pPr>
          </w:p>
          <w:p>
            <w:pPr>
              <w:pStyle w:val="TableParagraph"/>
              <w:spacing w:before="4"/>
              <w:rPr>
                <w:sz w:val="17"/>
              </w:rPr>
            </w:pPr>
          </w:p>
          <w:p>
            <w:pPr>
              <w:pStyle w:val="TableParagraph"/>
              <w:ind w:left="25"/>
              <w:rPr>
                <w:sz w:val="15"/>
              </w:rPr>
            </w:pPr>
            <w:r>
              <w:rPr>
                <w:w w:val="105"/>
                <w:sz w:val="15"/>
              </w:rPr>
              <w:t>La Jornada</w:t>
            </w:r>
          </w:p>
        </w:tc>
        <w:tc>
          <w:tcPr>
            <w:tcW w:w="3807" w:type="dxa"/>
          </w:tcPr>
          <w:p>
            <w:pPr>
              <w:pStyle w:val="TableParagraph"/>
              <w:spacing w:line="153" w:lineRule="exact"/>
              <w:ind w:left="25" w:right="13"/>
              <w:rPr>
                <w:sz w:val="15"/>
              </w:rPr>
            </w:pPr>
            <w:r>
              <w:rPr>
                <w:w w:val="105"/>
                <w:sz w:val="15"/>
              </w:rPr>
              <w:t>La lluvia provocó un deslave de aproximadamente 1 m de</w:t>
            </w:r>
          </w:p>
          <w:p>
            <w:pPr>
              <w:pStyle w:val="TableParagraph"/>
              <w:spacing w:line="276" w:lineRule="auto" w:before="26"/>
              <w:ind w:left="25" w:right="101"/>
              <w:rPr>
                <w:sz w:val="15"/>
              </w:rPr>
            </w:pPr>
            <w:r>
              <w:rPr>
                <w:w w:val="105"/>
                <w:sz w:val="15"/>
              </w:rPr>
              <w:t>ancho por 1.5 m de largo en la Av. de los Poetas. El boquete se abrió a cinco metros de la salida del puente Jaime Sabines. La estructura del paso vehicular no resultó afectada, ya que lo que se colapsó fue un muro perimetral de un desarrollo privado que se construye en la zona de Cumbres de Santa Fe.</w:t>
            </w:r>
          </w:p>
        </w:tc>
        <w:tc>
          <w:tcPr>
            <w:tcW w:w="898" w:type="dxa"/>
          </w:tcPr>
          <w:p>
            <w:pPr>
              <w:pStyle w:val="TableParagraph"/>
              <w:rPr>
                <w:sz w:val="16"/>
              </w:rPr>
            </w:pPr>
          </w:p>
          <w:p>
            <w:pPr>
              <w:pStyle w:val="TableParagraph"/>
              <w:rPr>
                <w:sz w:val="16"/>
              </w:rPr>
            </w:pPr>
          </w:p>
          <w:p>
            <w:pPr>
              <w:pStyle w:val="TableParagraph"/>
              <w:spacing w:before="4"/>
              <w:rPr>
                <w:sz w:val="17"/>
              </w:rPr>
            </w:pPr>
          </w:p>
          <w:p>
            <w:pPr>
              <w:pStyle w:val="TableParagraph"/>
              <w:ind w:right="25"/>
              <w:jc w:val="right"/>
              <w:rPr>
                <w:sz w:val="15"/>
              </w:rPr>
            </w:pPr>
            <w:r>
              <w:rPr>
                <w:w w:val="103"/>
                <w:sz w:val="15"/>
              </w:rPr>
              <w:t>0</w:t>
            </w:r>
          </w:p>
        </w:tc>
        <w:tc>
          <w:tcPr>
            <w:tcW w:w="992" w:type="dxa"/>
          </w:tcPr>
          <w:p>
            <w:pPr>
              <w:pStyle w:val="TableParagraph"/>
              <w:rPr>
                <w:sz w:val="16"/>
              </w:rPr>
            </w:pPr>
          </w:p>
          <w:p>
            <w:pPr>
              <w:pStyle w:val="TableParagraph"/>
              <w:rPr>
                <w:sz w:val="16"/>
              </w:rPr>
            </w:pPr>
          </w:p>
          <w:p>
            <w:pPr>
              <w:pStyle w:val="TableParagraph"/>
              <w:spacing w:before="4"/>
              <w:rPr>
                <w:sz w:val="17"/>
              </w:rPr>
            </w:pPr>
          </w:p>
          <w:p>
            <w:pPr>
              <w:pStyle w:val="TableParagraph"/>
              <w:ind w:right="23"/>
              <w:jc w:val="right"/>
              <w:rPr>
                <w:sz w:val="15"/>
              </w:rPr>
            </w:pPr>
            <w:r>
              <w:rPr>
                <w:w w:val="103"/>
                <w:sz w:val="15"/>
              </w:rPr>
              <w:t>0</w:t>
            </w:r>
          </w:p>
        </w:tc>
        <w:tc>
          <w:tcPr>
            <w:tcW w:w="898" w:type="dxa"/>
          </w:tcPr>
          <w:p>
            <w:pPr>
              <w:pStyle w:val="TableParagraph"/>
              <w:rPr>
                <w:sz w:val="16"/>
              </w:rPr>
            </w:pPr>
          </w:p>
          <w:p>
            <w:pPr>
              <w:pStyle w:val="TableParagraph"/>
              <w:rPr>
                <w:sz w:val="16"/>
              </w:rPr>
            </w:pPr>
          </w:p>
          <w:p>
            <w:pPr>
              <w:pStyle w:val="TableParagraph"/>
              <w:spacing w:before="4"/>
              <w:rPr>
                <w:sz w:val="17"/>
              </w:rPr>
            </w:pPr>
          </w:p>
          <w:p>
            <w:pPr>
              <w:pStyle w:val="TableParagraph"/>
              <w:ind w:right="23"/>
              <w:jc w:val="right"/>
              <w:rPr>
                <w:sz w:val="15"/>
              </w:rPr>
            </w:pPr>
            <w:r>
              <w:rPr>
                <w:w w:val="103"/>
                <w:sz w:val="15"/>
              </w:rPr>
              <w:t>0</w:t>
            </w:r>
          </w:p>
        </w:tc>
        <w:tc>
          <w:tcPr>
            <w:tcW w:w="855" w:type="dxa"/>
          </w:tcPr>
          <w:p>
            <w:pPr>
              <w:pStyle w:val="TableParagraph"/>
              <w:rPr>
                <w:sz w:val="16"/>
              </w:rPr>
            </w:pPr>
          </w:p>
          <w:p>
            <w:pPr>
              <w:pStyle w:val="TableParagraph"/>
              <w:rPr>
                <w:sz w:val="16"/>
              </w:rPr>
            </w:pPr>
          </w:p>
          <w:p>
            <w:pPr>
              <w:pStyle w:val="TableParagraph"/>
              <w:spacing w:before="4"/>
              <w:rPr>
                <w:sz w:val="17"/>
              </w:rPr>
            </w:pPr>
          </w:p>
          <w:p>
            <w:pPr>
              <w:pStyle w:val="TableParagraph"/>
              <w:ind w:right="23"/>
              <w:jc w:val="right"/>
              <w:rPr>
                <w:sz w:val="15"/>
              </w:rPr>
            </w:pPr>
            <w:r>
              <w:rPr>
                <w:w w:val="103"/>
                <w:sz w:val="15"/>
              </w:rPr>
              <w:t>0</w:t>
            </w:r>
          </w:p>
        </w:tc>
        <w:tc>
          <w:tcPr>
            <w:tcW w:w="906" w:type="dxa"/>
          </w:tcPr>
          <w:p>
            <w:pPr>
              <w:pStyle w:val="TableParagraph"/>
              <w:rPr>
                <w:sz w:val="16"/>
              </w:rPr>
            </w:pPr>
          </w:p>
          <w:p>
            <w:pPr>
              <w:pStyle w:val="TableParagraph"/>
              <w:rPr>
                <w:sz w:val="16"/>
              </w:rPr>
            </w:pPr>
          </w:p>
          <w:p>
            <w:pPr>
              <w:pStyle w:val="TableParagraph"/>
              <w:spacing w:before="4"/>
              <w:rPr>
                <w:sz w:val="17"/>
              </w:rPr>
            </w:pPr>
          </w:p>
          <w:p>
            <w:pPr>
              <w:pStyle w:val="TableParagraph"/>
              <w:ind w:left="25" w:right="177"/>
              <w:rPr>
                <w:sz w:val="15"/>
              </w:rPr>
            </w:pPr>
            <w:r>
              <w:rPr>
                <w:w w:val="105"/>
                <w:sz w:val="15"/>
              </w:rPr>
              <w:t>Lluvias</w:t>
            </w:r>
          </w:p>
        </w:tc>
        <w:tc>
          <w:tcPr>
            <w:tcW w:w="1097" w:type="dxa"/>
            <w:tcBorders>
              <w:right w:val="single" w:sz="3" w:space="0" w:color="000000"/>
            </w:tcBorders>
          </w:tcPr>
          <w:p>
            <w:pPr>
              <w:pStyle w:val="TableParagraph"/>
              <w:rPr>
                <w:sz w:val="16"/>
              </w:rPr>
            </w:pPr>
          </w:p>
          <w:p>
            <w:pPr>
              <w:pStyle w:val="TableParagraph"/>
              <w:rPr>
                <w:sz w:val="16"/>
              </w:rPr>
            </w:pPr>
          </w:p>
          <w:p>
            <w:pPr>
              <w:pStyle w:val="TableParagraph"/>
              <w:spacing w:line="276" w:lineRule="auto" w:before="105"/>
              <w:ind w:left="26" w:right="2"/>
              <w:rPr>
                <w:sz w:val="15"/>
              </w:rPr>
            </w:pPr>
            <w:r>
              <w:rPr>
                <w:w w:val="105"/>
                <w:sz w:val="15"/>
              </w:rPr>
              <w:t>Remanentes de Alex</w:t>
            </w:r>
          </w:p>
        </w:tc>
      </w:tr>
      <w:tr>
        <w:trPr>
          <w:trHeight w:val="992" w:hRule="exact"/>
        </w:trPr>
        <w:tc>
          <w:tcPr>
            <w:tcW w:w="941" w:type="dxa"/>
          </w:tcPr>
          <w:p>
            <w:pPr>
              <w:pStyle w:val="TableParagraph"/>
              <w:rPr>
                <w:sz w:val="16"/>
              </w:rPr>
            </w:pPr>
          </w:p>
          <w:p>
            <w:pPr>
              <w:pStyle w:val="TableParagraph"/>
              <w:spacing w:before="9"/>
              <w:rPr>
                <w:sz w:val="19"/>
              </w:rPr>
            </w:pPr>
          </w:p>
          <w:p>
            <w:pPr>
              <w:pStyle w:val="TableParagraph"/>
              <w:ind w:right="24"/>
              <w:jc w:val="right"/>
              <w:rPr>
                <w:sz w:val="15"/>
              </w:rPr>
            </w:pPr>
            <w:r>
              <w:rPr>
                <w:sz w:val="15"/>
              </w:rPr>
              <w:t>25/03/2012</w:t>
            </w:r>
          </w:p>
        </w:tc>
        <w:tc>
          <w:tcPr>
            <w:tcW w:w="1338" w:type="dxa"/>
          </w:tcPr>
          <w:p>
            <w:pPr>
              <w:pStyle w:val="TableParagraph"/>
              <w:spacing w:before="6"/>
              <w:rPr>
                <w:sz w:val="18"/>
              </w:rPr>
            </w:pPr>
          </w:p>
          <w:p>
            <w:pPr>
              <w:pStyle w:val="TableParagraph"/>
              <w:spacing w:line="276" w:lineRule="auto"/>
              <w:ind w:left="25" w:right="9"/>
              <w:rPr>
                <w:sz w:val="15"/>
              </w:rPr>
            </w:pPr>
            <w:r>
              <w:rPr>
                <w:w w:val="105"/>
                <w:sz w:val="15"/>
              </w:rPr>
              <w:t>Túnel 1 Supervía, col. Lomas de Guadalupe</w:t>
            </w:r>
          </w:p>
        </w:tc>
        <w:tc>
          <w:tcPr>
            <w:tcW w:w="1269" w:type="dxa"/>
          </w:tcPr>
          <w:p>
            <w:pPr>
              <w:pStyle w:val="TableParagraph"/>
              <w:rPr>
                <w:sz w:val="16"/>
              </w:rPr>
            </w:pPr>
          </w:p>
          <w:p>
            <w:pPr>
              <w:pStyle w:val="TableParagraph"/>
              <w:spacing w:before="9"/>
              <w:rPr>
                <w:sz w:val="19"/>
              </w:rPr>
            </w:pPr>
          </w:p>
          <w:p>
            <w:pPr>
              <w:pStyle w:val="TableParagraph"/>
              <w:ind w:left="25"/>
              <w:rPr>
                <w:sz w:val="15"/>
              </w:rPr>
            </w:pPr>
            <w:r>
              <w:rPr>
                <w:w w:val="105"/>
                <w:sz w:val="15"/>
              </w:rPr>
              <w:t>La Jornada</w:t>
            </w:r>
          </w:p>
        </w:tc>
        <w:tc>
          <w:tcPr>
            <w:tcW w:w="3807" w:type="dxa"/>
          </w:tcPr>
          <w:p>
            <w:pPr>
              <w:pStyle w:val="TableParagraph"/>
              <w:spacing w:line="276" w:lineRule="auto" w:before="15"/>
              <w:ind w:left="25" w:right="22"/>
              <w:rPr>
                <w:sz w:val="15"/>
              </w:rPr>
            </w:pPr>
            <w:r>
              <w:rPr>
                <w:w w:val="105"/>
                <w:sz w:val="15"/>
              </w:rPr>
              <w:t>Se produce un derrumbe en un túnel en las obras de la Supervía cuando un obrero hacía trabajos de cimbra en una de las paredes que se construyen en el cruce de calzada de las Aguilas y la calle Río Nautla. Es el segundo derrumbe que se registra en menos de 1 mes.</w:t>
            </w:r>
          </w:p>
        </w:tc>
        <w:tc>
          <w:tcPr>
            <w:tcW w:w="898" w:type="dxa"/>
          </w:tcPr>
          <w:p>
            <w:pPr>
              <w:pStyle w:val="TableParagraph"/>
              <w:rPr>
                <w:sz w:val="16"/>
              </w:rPr>
            </w:pPr>
          </w:p>
          <w:p>
            <w:pPr>
              <w:pStyle w:val="TableParagraph"/>
              <w:spacing w:before="9"/>
              <w:rPr>
                <w:sz w:val="19"/>
              </w:rPr>
            </w:pPr>
          </w:p>
          <w:p>
            <w:pPr>
              <w:pStyle w:val="TableParagraph"/>
              <w:ind w:right="25"/>
              <w:jc w:val="right"/>
              <w:rPr>
                <w:sz w:val="15"/>
              </w:rPr>
            </w:pPr>
            <w:r>
              <w:rPr>
                <w:w w:val="103"/>
                <w:sz w:val="15"/>
              </w:rPr>
              <w:t>1</w:t>
            </w:r>
          </w:p>
        </w:tc>
        <w:tc>
          <w:tcPr>
            <w:tcW w:w="992" w:type="dxa"/>
          </w:tcPr>
          <w:p>
            <w:pPr>
              <w:pStyle w:val="TableParagraph"/>
              <w:rPr>
                <w:sz w:val="16"/>
              </w:rPr>
            </w:pPr>
          </w:p>
          <w:p>
            <w:pPr>
              <w:pStyle w:val="TableParagraph"/>
              <w:spacing w:before="9"/>
              <w:rPr>
                <w:sz w:val="19"/>
              </w:rPr>
            </w:pPr>
          </w:p>
          <w:p>
            <w:pPr>
              <w:pStyle w:val="TableParagraph"/>
              <w:ind w:right="23"/>
              <w:jc w:val="right"/>
              <w:rPr>
                <w:sz w:val="15"/>
              </w:rPr>
            </w:pPr>
            <w:r>
              <w:rPr>
                <w:w w:val="103"/>
                <w:sz w:val="15"/>
              </w:rPr>
              <w:t>0</w:t>
            </w:r>
          </w:p>
        </w:tc>
        <w:tc>
          <w:tcPr>
            <w:tcW w:w="898" w:type="dxa"/>
          </w:tcPr>
          <w:p>
            <w:pPr>
              <w:pStyle w:val="TableParagraph"/>
              <w:rPr>
                <w:sz w:val="16"/>
              </w:rPr>
            </w:pPr>
          </w:p>
          <w:p>
            <w:pPr>
              <w:pStyle w:val="TableParagraph"/>
              <w:spacing w:before="9"/>
              <w:rPr>
                <w:sz w:val="19"/>
              </w:rPr>
            </w:pPr>
          </w:p>
          <w:p>
            <w:pPr>
              <w:pStyle w:val="TableParagraph"/>
              <w:ind w:right="23"/>
              <w:jc w:val="right"/>
              <w:rPr>
                <w:sz w:val="15"/>
              </w:rPr>
            </w:pPr>
            <w:r>
              <w:rPr>
                <w:w w:val="103"/>
                <w:sz w:val="15"/>
              </w:rPr>
              <w:t>0</w:t>
            </w:r>
          </w:p>
        </w:tc>
        <w:tc>
          <w:tcPr>
            <w:tcW w:w="855" w:type="dxa"/>
          </w:tcPr>
          <w:p>
            <w:pPr>
              <w:pStyle w:val="TableParagraph"/>
              <w:rPr>
                <w:sz w:val="16"/>
              </w:rPr>
            </w:pPr>
          </w:p>
          <w:p>
            <w:pPr>
              <w:pStyle w:val="TableParagraph"/>
              <w:spacing w:before="9"/>
              <w:rPr>
                <w:sz w:val="19"/>
              </w:rPr>
            </w:pPr>
          </w:p>
          <w:p>
            <w:pPr>
              <w:pStyle w:val="TableParagraph"/>
              <w:ind w:right="23"/>
              <w:jc w:val="right"/>
              <w:rPr>
                <w:sz w:val="15"/>
              </w:rPr>
            </w:pPr>
            <w:r>
              <w:rPr>
                <w:w w:val="103"/>
                <w:sz w:val="15"/>
              </w:rPr>
              <w:t>0</w:t>
            </w:r>
          </w:p>
        </w:tc>
        <w:tc>
          <w:tcPr>
            <w:tcW w:w="906" w:type="dxa"/>
          </w:tcPr>
          <w:p>
            <w:pPr>
              <w:pStyle w:val="TableParagraph"/>
              <w:rPr>
                <w:sz w:val="16"/>
              </w:rPr>
            </w:pPr>
          </w:p>
          <w:p>
            <w:pPr>
              <w:pStyle w:val="TableParagraph"/>
              <w:spacing w:before="9"/>
              <w:rPr>
                <w:sz w:val="19"/>
              </w:rPr>
            </w:pPr>
          </w:p>
          <w:p>
            <w:pPr>
              <w:pStyle w:val="TableParagraph"/>
              <w:ind w:left="25"/>
              <w:rPr>
                <w:sz w:val="15"/>
              </w:rPr>
            </w:pPr>
            <w:r>
              <w:rPr>
                <w:w w:val="105"/>
                <w:sz w:val="15"/>
              </w:rPr>
              <w:t>Otra causa</w:t>
            </w:r>
          </w:p>
        </w:tc>
        <w:tc>
          <w:tcPr>
            <w:tcW w:w="1097" w:type="dxa"/>
            <w:tcBorders>
              <w:right w:val="single" w:sz="3" w:space="0" w:color="000000"/>
            </w:tcBorders>
          </w:tcPr>
          <w:p>
            <w:pPr>
              <w:pStyle w:val="TableParagraph"/>
              <w:spacing w:before="6"/>
              <w:rPr>
                <w:sz w:val="18"/>
              </w:rPr>
            </w:pPr>
          </w:p>
          <w:p>
            <w:pPr>
              <w:pStyle w:val="TableParagraph"/>
              <w:spacing w:line="276" w:lineRule="auto"/>
              <w:ind w:left="26" w:right="2"/>
              <w:rPr>
                <w:sz w:val="15"/>
              </w:rPr>
            </w:pPr>
            <w:r>
              <w:rPr>
                <w:w w:val="105"/>
                <w:sz w:val="15"/>
              </w:rPr>
              <w:t>Derrumbe en túnel en construcción</w:t>
            </w:r>
          </w:p>
        </w:tc>
      </w:tr>
      <w:tr>
        <w:trPr>
          <w:trHeight w:val="596" w:hRule="exact"/>
        </w:trPr>
        <w:tc>
          <w:tcPr>
            <w:tcW w:w="941" w:type="dxa"/>
          </w:tcPr>
          <w:p>
            <w:pPr>
              <w:pStyle w:val="TableParagraph"/>
              <w:spacing w:before="6"/>
              <w:rPr>
                <w:sz w:val="18"/>
              </w:rPr>
            </w:pPr>
          </w:p>
          <w:p>
            <w:pPr>
              <w:pStyle w:val="TableParagraph"/>
              <w:spacing w:before="1"/>
              <w:ind w:right="24"/>
              <w:jc w:val="right"/>
              <w:rPr>
                <w:sz w:val="15"/>
              </w:rPr>
            </w:pPr>
            <w:r>
              <w:rPr>
                <w:sz w:val="15"/>
              </w:rPr>
              <w:t>21/03/2013</w:t>
            </w:r>
          </w:p>
        </w:tc>
        <w:tc>
          <w:tcPr>
            <w:tcW w:w="1338" w:type="dxa"/>
          </w:tcPr>
          <w:p>
            <w:pPr>
              <w:pStyle w:val="TableParagraph"/>
              <w:spacing w:line="276" w:lineRule="auto" w:before="15"/>
              <w:ind w:left="25" w:right="64"/>
              <w:rPr>
                <w:sz w:val="15"/>
              </w:rPr>
            </w:pPr>
            <w:r>
              <w:rPr>
                <w:w w:val="105"/>
                <w:sz w:val="15"/>
              </w:rPr>
              <w:t>Av. Prolongación Paseo de la Reforma No. 425</w:t>
            </w:r>
          </w:p>
        </w:tc>
        <w:tc>
          <w:tcPr>
            <w:tcW w:w="1269" w:type="dxa"/>
          </w:tcPr>
          <w:p>
            <w:pPr>
              <w:pStyle w:val="TableParagraph"/>
              <w:spacing w:before="6"/>
              <w:rPr>
                <w:sz w:val="18"/>
              </w:rPr>
            </w:pPr>
          </w:p>
          <w:p>
            <w:pPr>
              <w:pStyle w:val="TableParagraph"/>
              <w:spacing w:before="1"/>
              <w:ind w:left="25"/>
              <w:rPr>
                <w:sz w:val="15"/>
              </w:rPr>
            </w:pPr>
            <w:r>
              <w:rPr>
                <w:w w:val="105"/>
                <w:sz w:val="15"/>
              </w:rPr>
              <w:t>La Jornada</w:t>
            </w:r>
          </w:p>
        </w:tc>
        <w:tc>
          <w:tcPr>
            <w:tcW w:w="3807" w:type="dxa"/>
          </w:tcPr>
          <w:p>
            <w:pPr>
              <w:pStyle w:val="TableParagraph"/>
              <w:spacing w:line="276" w:lineRule="auto" w:before="15"/>
              <w:ind w:left="25" w:right="346"/>
              <w:rPr>
                <w:sz w:val="15"/>
              </w:rPr>
            </w:pPr>
            <w:r>
              <w:rPr>
                <w:w w:val="105"/>
                <w:sz w:val="15"/>
              </w:rPr>
              <w:t>Derrumbe de un tal en una construcción irregular. Las instalaciones del INIFAP, aledañas al sitio, fueron desalojadas hasta que se realicen obras de mitigación.</w:t>
            </w:r>
          </w:p>
        </w:tc>
        <w:tc>
          <w:tcPr>
            <w:tcW w:w="898" w:type="dxa"/>
          </w:tcPr>
          <w:p>
            <w:pPr>
              <w:pStyle w:val="TableParagraph"/>
              <w:spacing w:before="6"/>
              <w:rPr>
                <w:sz w:val="18"/>
              </w:rPr>
            </w:pPr>
          </w:p>
          <w:p>
            <w:pPr>
              <w:pStyle w:val="TableParagraph"/>
              <w:spacing w:before="1"/>
              <w:ind w:right="25"/>
              <w:jc w:val="right"/>
              <w:rPr>
                <w:sz w:val="15"/>
              </w:rPr>
            </w:pPr>
            <w:r>
              <w:rPr>
                <w:w w:val="103"/>
                <w:sz w:val="15"/>
              </w:rPr>
              <w:t>0</w:t>
            </w:r>
          </w:p>
        </w:tc>
        <w:tc>
          <w:tcPr>
            <w:tcW w:w="992" w:type="dxa"/>
          </w:tcPr>
          <w:p>
            <w:pPr>
              <w:pStyle w:val="TableParagraph"/>
              <w:spacing w:before="6"/>
              <w:rPr>
                <w:sz w:val="18"/>
              </w:rPr>
            </w:pPr>
          </w:p>
          <w:p>
            <w:pPr>
              <w:pStyle w:val="TableParagraph"/>
              <w:spacing w:before="1"/>
              <w:ind w:right="23"/>
              <w:jc w:val="right"/>
              <w:rPr>
                <w:sz w:val="15"/>
              </w:rPr>
            </w:pPr>
            <w:r>
              <w:rPr>
                <w:w w:val="103"/>
                <w:sz w:val="15"/>
              </w:rPr>
              <w:t>0</w:t>
            </w:r>
          </w:p>
        </w:tc>
        <w:tc>
          <w:tcPr>
            <w:tcW w:w="898" w:type="dxa"/>
          </w:tcPr>
          <w:p>
            <w:pPr>
              <w:pStyle w:val="TableParagraph"/>
              <w:spacing w:before="6"/>
              <w:rPr>
                <w:sz w:val="18"/>
              </w:rPr>
            </w:pPr>
          </w:p>
          <w:p>
            <w:pPr>
              <w:pStyle w:val="TableParagraph"/>
              <w:spacing w:before="1"/>
              <w:ind w:right="23"/>
              <w:jc w:val="right"/>
              <w:rPr>
                <w:sz w:val="15"/>
              </w:rPr>
            </w:pPr>
            <w:r>
              <w:rPr>
                <w:w w:val="103"/>
                <w:sz w:val="15"/>
              </w:rPr>
              <w:t>0</w:t>
            </w:r>
          </w:p>
        </w:tc>
        <w:tc>
          <w:tcPr>
            <w:tcW w:w="855" w:type="dxa"/>
          </w:tcPr>
          <w:p>
            <w:pPr>
              <w:pStyle w:val="TableParagraph"/>
              <w:spacing w:before="6"/>
              <w:rPr>
                <w:sz w:val="18"/>
              </w:rPr>
            </w:pPr>
          </w:p>
          <w:p>
            <w:pPr>
              <w:pStyle w:val="TableParagraph"/>
              <w:spacing w:before="1"/>
              <w:ind w:right="23"/>
              <w:jc w:val="right"/>
              <w:rPr>
                <w:sz w:val="15"/>
              </w:rPr>
            </w:pPr>
            <w:r>
              <w:rPr>
                <w:w w:val="103"/>
                <w:sz w:val="15"/>
              </w:rPr>
              <w:t>0</w:t>
            </w:r>
          </w:p>
        </w:tc>
        <w:tc>
          <w:tcPr>
            <w:tcW w:w="906" w:type="dxa"/>
          </w:tcPr>
          <w:p>
            <w:pPr>
              <w:pStyle w:val="TableParagraph"/>
              <w:spacing w:before="6"/>
              <w:rPr>
                <w:sz w:val="18"/>
              </w:rPr>
            </w:pPr>
          </w:p>
          <w:p>
            <w:pPr>
              <w:pStyle w:val="TableParagraph"/>
              <w:spacing w:before="1"/>
              <w:ind w:left="25"/>
              <w:rPr>
                <w:sz w:val="15"/>
              </w:rPr>
            </w:pPr>
            <w:r>
              <w:rPr>
                <w:w w:val="105"/>
                <w:sz w:val="15"/>
              </w:rPr>
              <w:t>Otra causa</w:t>
            </w:r>
          </w:p>
        </w:tc>
        <w:tc>
          <w:tcPr>
            <w:tcW w:w="1097" w:type="dxa"/>
            <w:tcBorders>
              <w:right w:val="single" w:sz="3" w:space="0" w:color="000000"/>
            </w:tcBorders>
          </w:tcPr>
          <w:p>
            <w:pPr>
              <w:pStyle w:val="TableParagraph"/>
              <w:spacing w:line="276" w:lineRule="auto" w:before="15"/>
              <w:ind w:left="26" w:right="50"/>
              <w:jc w:val="both"/>
              <w:rPr>
                <w:sz w:val="15"/>
              </w:rPr>
            </w:pPr>
            <w:r>
              <w:rPr>
                <w:w w:val="105"/>
                <w:sz w:val="15"/>
              </w:rPr>
              <w:t>Construcción</w:t>
            </w:r>
            <w:r>
              <w:rPr>
                <w:spacing w:val="-19"/>
                <w:w w:val="105"/>
                <w:sz w:val="15"/>
              </w:rPr>
              <w:t> </w:t>
            </w:r>
            <w:r>
              <w:rPr>
                <w:w w:val="105"/>
                <w:sz w:val="15"/>
              </w:rPr>
              <w:t>de </w:t>
            </w:r>
            <w:r>
              <w:rPr>
                <w:spacing w:val="-4"/>
                <w:w w:val="105"/>
                <w:sz w:val="15"/>
              </w:rPr>
              <w:t>edificio </w:t>
            </w:r>
            <w:r>
              <w:rPr>
                <w:w w:val="105"/>
                <w:sz w:val="15"/>
              </w:rPr>
              <w:t>en zona inadecuada</w:t>
            </w:r>
          </w:p>
        </w:tc>
      </w:tr>
      <w:tr>
        <w:trPr>
          <w:trHeight w:val="595" w:hRule="exact"/>
        </w:trPr>
        <w:tc>
          <w:tcPr>
            <w:tcW w:w="941" w:type="dxa"/>
          </w:tcPr>
          <w:p>
            <w:pPr>
              <w:pStyle w:val="TableParagraph"/>
              <w:spacing w:before="6"/>
              <w:rPr>
                <w:sz w:val="18"/>
              </w:rPr>
            </w:pPr>
          </w:p>
          <w:p>
            <w:pPr>
              <w:pStyle w:val="TableParagraph"/>
              <w:ind w:right="24"/>
              <w:jc w:val="right"/>
              <w:rPr>
                <w:sz w:val="15"/>
              </w:rPr>
            </w:pPr>
            <w:r>
              <w:rPr>
                <w:sz w:val="15"/>
              </w:rPr>
              <w:t>10/09/2013</w:t>
            </w:r>
          </w:p>
        </w:tc>
        <w:tc>
          <w:tcPr>
            <w:tcW w:w="1338" w:type="dxa"/>
          </w:tcPr>
          <w:p>
            <w:pPr>
              <w:pStyle w:val="TableParagraph"/>
              <w:spacing w:line="276" w:lineRule="auto" w:before="15"/>
              <w:ind w:left="25" w:right="64"/>
              <w:rPr>
                <w:sz w:val="15"/>
              </w:rPr>
            </w:pPr>
            <w:r>
              <w:rPr>
                <w:w w:val="105"/>
                <w:sz w:val="15"/>
              </w:rPr>
              <w:t>Paseo de la Reforma, Colonia San Gabriel</w:t>
            </w:r>
          </w:p>
        </w:tc>
        <w:tc>
          <w:tcPr>
            <w:tcW w:w="1269" w:type="dxa"/>
          </w:tcPr>
          <w:p>
            <w:pPr>
              <w:pStyle w:val="TableParagraph"/>
              <w:spacing w:before="6"/>
              <w:rPr>
                <w:sz w:val="18"/>
              </w:rPr>
            </w:pPr>
          </w:p>
          <w:p>
            <w:pPr>
              <w:pStyle w:val="TableParagraph"/>
              <w:ind w:left="25"/>
              <w:rPr>
                <w:sz w:val="15"/>
              </w:rPr>
            </w:pPr>
            <w:r>
              <w:rPr>
                <w:w w:val="105"/>
                <w:sz w:val="15"/>
              </w:rPr>
              <w:t>La Jornada</w:t>
            </w:r>
          </w:p>
        </w:tc>
        <w:tc>
          <w:tcPr>
            <w:tcW w:w="3807" w:type="dxa"/>
          </w:tcPr>
          <w:p>
            <w:pPr>
              <w:pStyle w:val="TableParagraph"/>
              <w:spacing w:before="6"/>
              <w:rPr>
                <w:sz w:val="18"/>
              </w:rPr>
            </w:pPr>
          </w:p>
          <w:p>
            <w:pPr>
              <w:pStyle w:val="TableParagraph"/>
              <w:ind w:left="25" w:right="13"/>
              <w:rPr>
                <w:sz w:val="15"/>
              </w:rPr>
            </w:pPr>
            <w:r>
              <w:rPr>
                <w:w w:val="105"/>
                <w:sz w:val="15"/>
              </w:rPr>
              <w:t>Bloqueo parcial de vialidad.</w:t>
            </w:r>
          </w:p>
        </w:tc>
        <w:tc>
          <w:tcPr>
            <w:tcW w:w="898" w:type="dxa"/>
          </w:tcPr>
          <w:p>
            <w:pPr>
              <w:pStyle w:val="TableParagraph"/>
              <w:spacing w:before="6"/>
              <w:rPr>
                <w:sz w:val="18"/>
              </w:rPr>
            </w:pPr>
          </w:p>
          <w:p>
            <w:pPr>
              <w:pStyle w:val="TableParagraph"/>
              <w:ind w:right="25"/>
              <w:jc w:val="right"/>
              <w:rPr>
                <w:sz w:val="15"/>
              </w:rPr>
            </w:pPr>
            <w:r>
              <w:rPr>
                <w:w w:val="103"/>
                <w:sz w:val="15"/>
              </w:rPr>
              <w:t>0</w:t>
            </w:r>
          </w:p>
        </w:tc>
        <w:tc>
          <w:tcPr>
            <w:tcW w:w="992" w:type="dxa"/>
          </w:tcPr>
          <w:p>
            <w:pPr>
              <w:pStyle w:val="TableParagraph"/>
              <w:spacing w:before="6"/>
              <w:rPr>
                <w:sz w:val="18"/>
              </w:rPr>
            </w:pPr>
          </w:p>
          <w:p>
            <w:pPr>
              <w:pStyle w:val="TableParagraph"/>
              <w:ind w:right="23"/>
              <w:jc w:val="right"/>
              <w:rPr>
                <w:sz w:val="15"/>
              </w:rPr>
            </w:pPr>
            <w:r>
              <w:rPr>
                <w:w w:val="103"/>
                <w:sz w:val="15"/>
              </w:rPr>
              <w:t>0</w:t>
            </w:r>
          </w:p>
        </w:tc>
        <w:tc>
          <w:tcPr>
            <w:tcW w:w="898" w:type="dxa"/>
          </w:tcPr>
          <w:p>
            <w:pPr>
              <w:pStyle w:val="TableParagraph"/>
              <w:spacing w:before="6"/>
              <w:rPr>
                <w:sz w:val="18"/>
              </w:rPr>
            </w:pPr>
          </w:p>
          <w:p>
            <w:pPr>
              <w:pStyle w:val="TableParagraph"/>
              <w:ind w:right="23"/>
              <w:jc w:val="right"/>
              <w:rPr>
                <w:sz w:val="15"/>
              </w:rPr>
            </w:pPr>
            <w:r>
              <w:rPr>
                <w:w w:val="103"/>
                <w:sz w:val="15"/>
              </w:rPr>
              <w:t>0</w:t>
            </w:r>
          </w:p>
        </w:tc>
        <w:tc>
          <w:tcPr>
            <w:tcW w:w="855" w:type="dxa"/>
          </w:tcPr>
          <w:p>
            <w:pPr>
              <w:pStyle w:val="TableParagraph"/>
              <w:spacing w:before="6"/>
              <w:rPr>
                <w:sz w:val="18"/>
              </w:rPr>
            </w:pPr>
          </w:p>
          <w:p>
            <w:pPr>
              <w:pStyle w:val="TableParagraph"/>
              <w:ind w:right="23"/>
              <w:jc w:val="right"/>
              <w:rPr>
                <w:sz w:val="15"/>
              </w:rPr>
            </w:pPr>
            <w:r>
              <w:rPr>
                <w:w w:val="103"/>
                <w:sz w:val="15"/>
              </w:rPr>
              <w:t>0</w:t>
            </w:r>
          </w:p>
        </w:tc>
        <w:tc>
          <w:tcPr>
            <w:tcW w:w="906" w:type="dxa"/>
          </w:tcPr>
          <w:p>
            <w:pPr>
              <w:pStyle w:val="TableParagraph"/>
              <w:spacing w:before="6"/>
              <w:rPr>
                <w:sz w:val="18"/>
              </w:rPr>
            </w:pPr>
          </w:p>
          <w:p>
            <w:pPr>
              <w:pStyle w:val="TableParagraph"/>
              <w:ind w:left="25" w:right="177"/>
              <w:rPr>
                <w:sz w:val="15"/>
              </w:rPr>
            </w:pPr>
            <w:r>
              <w:rPr>
                <w:w w:val="105"/>
                <w:sz w:val="15"/>
              </w:rPr>
              <w:t>Lluvias</w:t>
            </w:r>
          </w:p>
        </w:tc>
        <w:tc>
          <w:tcPr>
            <w:tcW w:w="1097" w:type="dxa"/>
            <w:tcBorders>
              <w:right w:val="single" w:sz="3" w:space="0" w:color="000000"/>
            </w:tcBorders>
          </w:tcPr>
          <w:p>
            <w:pPr/>
          </w:p>
        </w:tc>
      </w:tr>
    </w:tbl>
    <w:p>
      <w:pPr>
        <w:pStyle w:val="BodyText"/>
        <w:spacing w:before="7"/>
        <w:rPr>
          <w:sz w:val="8"/>
        </w:rPr>
      </w:pPr>
    </w:p>
    <w:p>
      <w:pPr>
        <w:spacing w:before="79"/>
        <w:ind w:left="3818" w:right="0" w:firstLine="0"/>
        <w:jc w:val="left"/>
        <w:rPr>
          <w:sz w:val="16"/>
        </w:rPr>
      </w:pPr>
      <w:r>
        <w:rPr>
          <w:sz w:val="16"/>
        </w:rPr>
        <w:t>Fuente: Elaboración propia con base en el Sistema de inventario de efectos de desastres</w:t>
      </w:r>
    </w:p>
    <w:p>
      <w:pPr>
        <w:spacing w:after="0"/>
        <w:jc w:val="left"/>
        <w:rPr>
          <w:sz w:val="16"/>
        </w:rPr>
        <w:sectPr>
          <w:pgSz w:w="15840" w:h="12240" w:orient="landscape"/>
          <w:pgMar w:top="1140" w:bottom="280" w:left="1300" w:right="1300"/>
        </w:sectPr>
      </w:pPr>
    </w:p>
    <w:p>
      <w:pPr>
        <w:pStyle w:val="BodyText"/>
        <w:rPr>
          <w:sz w:val="20"/>
        </w:rPr>
      </w:pPr>
    </w:p>
    <w:p>
      <w:pPr>
        <w:pStyle w:val="BodyText"/>
        <w:spacing w:before="2"/>
      </w:pPr>
    </w:p>
    <w:p>
      <w:pPr>
        <w:spacing w:before="75"/>
        <w:ind w:left="3333" w:right="0" w:firstLine="0"/>
        <w:jc w:val="left"/>
        <w:rPr>
          <w:b/>
          <w:sz w:val="20"/>
        </w:rPr>
      </w:pPr>
      <w:r>
        <w:rPr>
          <w:b/>
          <w:sz w:val="20"/>
        </w:rPr>
        <w:t>Tabla 12. Registros históricos de deslizamientos en la Delegación Cuajimalpa</w:t>
      </w:r>
    </w:p>
    <w:p>
      <w:pPr>
        <w:pStyle w:val="BodyText"/>
        <w:spacing w:before="6"/>
        <w:rPr>
          <w:b/>
          <w:sz w:val="15"/>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98"/>
        <w:gridCol w:w="897"/>
        <w:gridCol w:w="898"/>
        <w:gridCol w:w="4074"/>
        <w:gridCol w:w="915"/>
        <w:gridCol w:w="1200"/>
        <w:gridCol w:w="967"/>
        <w:gridCol w:w="923"/>
        <w:gridCol w:w="950"/>
        <w:gridCol w:w="1278"/>
      </w:tblGrid>
      <w:tr>
        <w:trPr>
          <w:trHeight w:val="398" w:hRule="exact"/>
        </w:trPr>
        <w:tc>
          <w:tcPr>
            <w:tcW w:w="898" w:type="dxa"/>
            <w:shd w:val="clear" w:color="auto" w:fill="212B35"/>
          </w:tcPr>
          <w:p>
            <w:pPr>
              <w:pStyle w:val="TableParagraph"/>
              <w:spacing w:before="111"/>
              <w:ind w:right="41"/>
              <w:jc w:val="right"/>
              <w:rPr>
                <w:b/>
                <w:sz w:val="15"/>
              </w:rPr>
            </w:pPr>
            <w:r>
              <w:rPr>
                <w:b/>
                <w:color w:val="FFFFFF"/>
                <w:w w:val="105"/>
                <w:sz w:val="15"/>
              </w:rPr>
              <w:t>Fecha Inicio</w:t>
            </w:r>
          </w:p>
        </w:tc>
        <w:tc>
          <w:tcPr>
            <w:tcW w:w="897" w:type="dxa"/>
            <w:shd w:val="clear" w:color="auto" w:fill="212B35"/>
          </w:tcPr>
          <w:p>
            <w:pPr>
              <w:pStyle w:val="TableParagraph"/>
              <w:spacing w:before="111"/>
              <w:ind w:left="284" w:right="15"/>
              <w:rPr>
                <w:b/>
                <w:sz w:val="15"/>
              </w:rPr>
            </w:pPr>
            <w:r>
              <w:rPr>
                <w:b/>
                <w:color w:val="FFFFFF"/>
                <w:w w:val="105"/>
                <w:sz w:val="15"/>
              </w:rPr>
              <w:t>Sitio</w:t>
            </w:r>
          </w:p>
        </w:tc>
        <w:tc>
          <w:tcPr>
            <w:tcW w:w="898" w:type="dxa"/>
            <w:shd w:val="clear" w:color="auto" w:fill="212B35"/>
          </w:tcPr>
          <w:p>
            <w:pPr>
              <w:pStyle w:val="TableParagraph"/>
              <w:spacing w:before="111"/>
              <w:ind w:left="190"/>
              <w:rPr>
                <w:b/>
                <w:sz w:val="15"/>
              </w:rPr>
            </w:pPr>
            <w:r>
              <w:rPr>
                <w:b/>
                <w:color w:val="FFFFFF"/>
                <w:w w:val="105"/>
                <w:sz w:val="15"/>
              </w:rPr>
              <w:t>Fuentes</w:t>
            </w:r>
          </w:p>
        </w:tc>
        <w:tc>
          <w:tcPr>
            <w:tcW w:w="4074" w:type="dxa"/>
            <w:shd w:val="clear" w:color="auto" w:fill="212B35"/>
          </w:tcPr>
          <w:p>
            <w:pPr>
              <w:pStyle w:val="TableParagraph"/>
              <w:spacing w:before="111"/>
              <w:ind w:left="1199" w:right="44"/>
              <w:rPr>
                <w:b/>
                <w:sz w:val="15"/>
              </w:rPr>
            </w:pPr>
            <w:r>
              <w:rPr>
                <w:b/>
                <w:color w:val="FFFFFF"/>
                <w:w w:val="105"/>
                <w:sz w:val="15"/>
              </w:rPr>
              <w:t>Observaciones de efectos</w:t>
            </w:r>
          </w:p>
        </w:tc>
        <w:tc>
          <w:tcPr>
            <w:tcW w:w="915" w:type="dxa"/>
            <w:shd w:val="clear" w:color="auto" w:fill="212B35"/>
          </w:tcPr>
          <w:p>
            <w:pPr>
              <w:pStyle w:val="TableParagraph"/>
              <w:spacing w:before="111"/>
              <w:ind w:left="172"/>
              <w:rPr>
                <w:b/>
                <w:sz w:val="15"/>
              </w:rPr>
            </w:pPr>
            <w:r>
              <w:rPr>
                <w:b/>
                <w:color w:val="FFFFFF"/>
                <w:w w:val="105"/>
                <w:sz w:val="15"/>
              </w:rPr>
              <w:t>Muertos</w:t>
            </w:r>
          </w:p>
        </w:tc>
        <w:tc>
          <w:tcPr>
            <w:tcW w:w="1200" w:type="dxa"/>
            <w:shd w:val="clear" w:color="auto" w:fill="212B35"/>
          </w:tcPr>
          <w:p>
            <w:pPr>
              <w:pStyle w:val="TableParagraph"/>
              <w:spacing w:before="111"/>
              <w:ind w:left="129"/>
              <w:rPr>
                <w:b/>
                <w:sz w:val="15"/>
              </w:rPr>
            </w:pPr>
            <w:r>
              <w:rPr>
                <w:b/>
                <w:color w:val="FFFFFF"/>
                <w:w w:val="105"/>
                <w:sz w:val="15"/>
              </w:rPr>
              <w:t>Damnificados</w:t>
            </w:r>
          </w:p>
        </w:tc>
        <w:tc>
          <w:tcPr>
            <w:tcW w:w="967" w:type="dxa"/>
            <w:shd w:val="clear" w:color="auto" w:fill="212B35"/>
          </w:tcPr>
          <w:p>
            <w:pPr>
              <w:pStyle w:val="TableParagraph"/>
              <w:spacing w:line="276" w:lineRule="auto" w:before="16"/>
              <w:ind w:left="138" w:right="133" w:firstLine="17"/>
              <w:rPr>
                <w:b/>
                <w:sz w:val="15"/>
              </w:rPr>
            </w:pPr>
            <w:r>
              <w:rPr>
                <w:b/>
                <w:color w:val="FFFFFF"/>
                <w:sz w:val="15"/>
              </w:rPr>
              <w:t>Viviendas destruidas</w:t>
            </w:r>
          </w:p>
        </w:tc>
        <w:tc>
          <w:tcPr>
            <w:tcW w:w="923" w:type="dxa"/>
            <w:shd w:val="clear" w:color="auto" w:fill="212B35"/>
          </w:tcPr>
          <w:p>
            <w:pPr>
              <w:pStyle w:val="TableParagraph"/>
              <w:spacing w:line="276" w:lineRule="auto" w:before="16"/>
              <w:ind w:left="146" w:right="118" w:hanging="18"/>
              <w:rPr>
                <w:b/>
                <w:sz w:val="15"/>
              </w:rPr>
            </w:pPr>
            <w:r>
              <w:rPr>
                <w:b/>
                <w:color w:val="FFFFFF"/>
                <w:sz w:val="15"/>
              </w:rPr>
              <w:t>Viviendas </w:t>
            </w:r>
            <w:r>
              <w:rPr>
                <w:b/>
                <w:color w:val="FFFFFF"/>
                <w:w w:val="105"/>
                <w:sz w:val="15"/>
              </w:rPr>
              <w:t>afectadas</w:t>
            </w:r>
          </w:p>
        </w:tc>
        <w:tc>
          <w:tcPr>
            <w:tcW w:w="950" w:type="dxa"/>
            <w:shd w:val="clear" w:color="auto" w:fill="212B35"/>
          </w:tcPr>
          <w:p>
            <w:pPr>
              <w:pStyle w:val="TableParagraph"/>
              <w:spacing w:line="276" w:lineRule="auto" w:before="16"/>
              <w:ind w:left="284" w:hanging="69"/>
              <w:rPr>
                <w:b/>
                <w:sz w:val="15"/>
              </w:rPr>
            </w:pPr>
            <w:r>
              <w:rPr>
                <w:b/>
                <w:color w:val="FFFFFF"/>
                <w:w w:val="105"/>
                <w:sz w:val="15"/>
              </w:rPr>
              <w:t>Tipo de causa</w:t>
            </w:r>
          </w:p>
        </w:tc>
        <w:tc>
          <w:tcPr>
            <w:tcW w:w="1278" w:type="dxa"/>
            <w:tcBorders>
              <w:right w:val="single" w:sz="3" w:space="0" w:color="000000"/>
            </w:tcBorders>
            <w:shd w:val="clear" w:color="auto" w:fill="212B35"/>
          </w:tcPr>
          <w:p>
            <w:pPr>
              <w:pStyle w:val="TableParagraph"/>
              <w:spacing w:line="276" w:lineRule="auto" w:before="16"/>
              <w:ind w:left="448" w:right="15" w:hanging="398"/>
              <w:rPr>
                <w:b/>
                <w:sz w:val="15"/>
              </w:rPr>
            </w:pPr>
            <w:r>
              <w:rPr>
                <w:b/>
                <w:color w:val="FFFFFF"/>
                <w:w w:val="105"/>
                <w:sz w:val="15"/>
              </w:rPr>
              <w:t>Observaciones de causa</w:t>
            </w: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spacing w:before="1"/>
              <w:ind w:right="30"/>
              <w:jc w:val="right"/>
              <w:rPr>
                <w:sz w:val="14"/>
              </w:rPr>
            </w:pPr>
            <w:r>
              <w:rPr>
                <w:w w:val="105"/>
                <w:sz w:val="14"/>
              </w:rPr>
              <w:t>02/07/1974</w:t>
            </w:r>
          </w:p>
        </w:tc>
        <w:tc>
          <w:tcPr>
            <w:tcW w:w="897" w:type="dxa"/>
          </w:tcPr>
          <w:p>
            <w:pPr>
              <w:pStyle w:val="TableParagraph"/>
              <w:spacing w:line="283" w:lineRule="auto" w:before="8"/>
              <w:ind w:left="25" w:right="297"/>
              <w:rPr>
                <w:sz w:val="14"/>
              </w:rPr>
            </w:pPr>
            <w:r>
              <w:rPr>
                <w:w w:val="105"/>
                <w:sz w:val="14"/>
              </w:rPr>
              <w:t>Carretera México- Toluca</w:t>
            </w:r>
          </w:p>
        </w:tc>
        <w:tc>
          <w:tcPr>
            <w:tcW w:w="898"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El Universal</w:t>
            </w:r>
          </w:p>
        </w:tc>
        <w:tc>
          <w:tcPr>
            <w:tcW w:w="4074" w:type="dxa"/>
          </w:tcPr>
          <w:p>
            <w:pPr/>
          </w:p>
        </w:tc>
        <w:tc>
          <w:tcPr>
            <w:tcW w:w="915"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1200"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23"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50"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Lluvias</w:t>
            </w:r>
          </w:p>
        </w:tc>
        <w:tc>
          <w:tcPr>
            <w:tcW w:w="1278" w:type="dxa"/>
            <w:tcBorders>
              <w:right w:val="single" w:sz="3" w:space="0" w:color="000000"/>
            </w:tcBorders>
          </w:tcPr>
          <w:p>
            <w:pP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spacing w:before="1"/>
              <w:ind w:right="30"/>
              <w:jc w:val="right"/>
              <w:rPr>
                <w:sz w:val="14"/>
              </w:rPr>
            </w:pPr>
            <w:r>
              <w:rPr>
                <w:w w:val="105"/>
                <w:sz w:val="14"/>
              </w:rPr>
              <w:t>19/07/1984</w:t>
            </w:r>
          </w:p>
        </w:tc>
        <w:tc>
          <w:tcPr>
            <w:tcW w:w="897" w:type="dxa"/>
          </w:tcPr>
          <w:p>
            <w:pPr>
              <w:pStyle w:val="TableParagraph"/>
              <w:spacing w:before="2"/>
              <w:rPr>
                <w:b/>
                <w:sz w:val="17"/>
              </w:rPr>
            </w:pPr>
          </w:p>
          <w:p>
            <w:pPr>
              <w:pStyle w:val="TableParagraph"/>
              <w:spacing w:line="283" w:lineRule="auto"/>
              <w:ind w:left="25" w:right="354"/>
              <w:rPr>
                <w:sz w:val="14"/>
              </w:rPr>
            </w:pPr>
            <w:r>
              <w:rPr>
                <w:w w:val="105"/>
                <w:sz w:val="14"/>
              </w:rPr>
              <w:t>Colonia </w:t>
            </w:r>
            <w:r>
              <w:rPr>
                <w:sz w:val="14"/>
              </w:rPr>
              <w:t>Zentlapa</w:t>
            </w:r>
          </w:p>
        </w:tc>
        <w:tc>
          <w:tcPr>
            <w:tcW w:w="898" w:type="dxa"/>
          </w:tcPr>
          <w:p>
            <w:pPr>
              <w:pStyle w:val="TableParagraph"/>
              <w:spacing w:line="283" w:lineRule="auto" w:before="8"/>
              <w:ind w:left="25"/>
              <w:rPr>
                <w:sz w:val="14"/>
              </w:rPr>
            </w:pPr>
            <w:r>
              <w:rPr>
                <w:w w:val="105"/>
                <w:sz w:val="14"/>
              </w:rPr>
              <w:t>El Universal Excélsior 20/07/84:36a</w:t>
            </w:r>
          </w:p>
        </w:tc>
        <w:tc>
          <w:tcPr>
            <w:tcW w:w="4074" w:type="dxa"/>
          </w:tcPr>
          <w:p>
            <w:pPr>
              <w:pStyle w:val="TableParagraph"/>
              <w:rPr>
                <w:b/>
                <w:sz w:val="14"/>
              </w:rPr>
            </w:pPr>
          </w:p>
          <w:p>
            <w:pPr>
              <w:pStyle w:val="TableParagraph"/>
              <w:spacing w:before="8"/>
              <w:rPr>
                <w:b/>
                <w:sz w:val="19"/>
              </w:rPr>
            </w:pPr>
          </w:p>
          <w:p>
            <w:pPr>
              <w:pStyle w:val="TableParagraph"/>
              <w:spacing w:before="1"/>
              <w:ind w:left="25" w:right="44"/>
              <w:rPr>
                <w:sz w:val="14"/>
              </w:rPr>
            </w:pPr>
            <w:r>
              <w:rPr>
                <w:w w:val="105"/>
                <w:sz w:val="14"/>
              </w:rPr>
              <w:t>Hay varias fotos del evento.</w:t>
            </w:r>
          </w:p>
        </w:tc>
        <w:tc>
          <w:tcPr>
            <w:tcW w:w="915"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1200"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spacing w:before="1"/>
              <w:ind w:left="25" w:right="133"/>
              <w:rPr>
                <w:sz w:val="14"/>
              </w:rPr>
            </w:pPr>
            <w:r>
              <w:rPr>
                <w:w w:val="105"/>
                <w:sz w:val="14"/>
              </w:rPr>
              <w:t>Si</w:t>
            </w:r>
          </w:p>
        </w:tc>
        <w:tc>
          <w:tcPr>
            <w:tcW w:w="923" w:type="dxa"/>
          </w:tcPr>
          <w:p>
            <w:pPr>
              <w:pStyle w:val="TableParagraph"/>
              <w:rPr>
                <w:b/>
                <w:sz w:val="14"/>
              </w:rPr>
            </w:pPr>
          </w:p>
          <w:p>
            <w:pPr>
              <w:pStyle w:val="TableParagraph"/>
              <w:spacing w:before="8"/>
              <w:rPr>
                <w:b/>
                <w:sz w:val="19"/>
              </w:rPr>
            </w:pPr>
          </w:p>
          <w:p>
            <w:pPr>
              <w:pStyle w:val="TableParagraph"/>
              <w:spacing w:before="1"/>
              <w:ind w:left="25" w:right="118"/>
              <w:rPr>
                <w:sz w:val="14"/>
              </w:rPr>
            </w:pPr>
            <w:r>
              <w:rPr>
                <w:w w:val="105"/>
                <w:sz w:val="14"/>
              </w:rPr>
              <w:t>Si</w:t>
            </w:r>
          </w:p>
        </w:tc>
        <w:tc>
          <w:tcPr>
            <w:tcW w:w="950"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Lluvias</w:t>
            </w:r>
          </w:p>
        </w:tc>
        <w:tc>
          <w:tcPr>
            <w:tcW w:w="1278" w:type="dxa"/>
            <w:tcBorders>
              <w:right w:val="single" w:sz="3" w:space="0" w:color="000000"/>
            </w:tcBorders>
          </w:tcPr>
          <w:p>
            <w:pPr/>
          </w:p>
        </w:tc>
      </w:tr>
      <w:tr>
        <w:trPr>
          <w:trHeight w:val="208" w:hRule="exact"/>
        </w:trPr>
        <w:tc>
          <w:tcPr>
            <w:tcW w:w="898" w:type="dxa"/>
          </w:tcPr>
          <w:p>
            <w:pPr>
              <w:pStyle w:val="TableParagraph"/>
              <w:spacing w:before="16"/>
              <w:ind w:right="30"/>
              <w:jc w:val="right"/>
              <w:rPr>
                <w:sz w:val="14"/>
              </w:rPr>
            </w:pPr>
            <w:r>
              <w:rPr>
                <w:w w:val="105"/>
                <w:sz w:val="14"/>
              </w:rPr>
              <w:t>04/05/1985</w:t>
            </w:r>
          </w:p>
        </w:tc>
        <w:tc>
          <w:tcPr>
            <w:tcW w:w="897" w:type="dxa"/>
          </w:tcPr>
          <w:p>
            <w:pPr/>
          </w:p>
        </w:tc>
        <w:tc>
          <w:tcPr>
            <w:tcW w:w="898" w:type="dxa"/>
          </w:tcPr>
          <w:p>
            <w:pPr>
              <w:pStyle w:val="TableParagraph"/>
              <w:spacing w:before="16"/>
              <w:ind w:left="25"/>
              <w:rPr>
                <w:sz w:val="14"/>
              </w:rPr>
            </w:pPr>
            <w:r>
              <w:rPr>
                <w:w w:val="105"/>
                <w:sz w:val="14"/>
              </w:rPr>
              <w:t>El Universal</w:t>
            </w:r>
          </w:p>
        </w:tc>
        <w:tc>
          <w:tcPr>
            <w:tcW w:w="4074" w:type="dxa"/>
          </w:tcPr>
          <w:p>
            <w:pPr/>
          </w:p>
        </w:tc>
        <w:tc>
          <w:tcPr>
            <w:tcW w:w="915" w:type="dxa"/>
          </w:tcPr>
          <w:p>
            <w:pPr>
              <w:pStyle w:val="TableParagraph"/>
              <w:spacing w:before="16"/>
              <w:ind w:right="28"/>
              <w:jc w:val="right"/>
              <w:rPr>
                <w:sz w:val="14"/>
              </w:rPr>
            </w:pPr>
            <w:r>
              <w:rPr>
                <w:w w:val="104"/>
                <w:sz w:val="14"/>
              </w:rPr>
              <w:t>0</w:t>
            </w:r>
          </w:p>
        </w:tc>
        <w:tc>
          <w:tcPr>
            <w:tcW w:w="1200" w:type="dxa"/>
          </w:tcPr>
          <w:p>
            <w:pPr>
              <w:pStyle w:val="TableParagraph"/>
              <w:spacing w:before="16"/>
              <w:ind w:right="28"/>
              <w:jc w:val="right"/>
              <w:rPr>
                <w:sz w:val="14"/>
              </w:rPr>
            </w:pPr>
            <w:r>
              <w:rPr>
                <w:w w:val="104"/>
                <w:sz w:val="14"/>
              </w:rPr>
              <w:t>0</w:t>
            </w:r>
          </w:p>
        </w:tc>
        <w:tc>
          <w:tcPr>
            <w:tcW w:w="967" w:type="dxa"/>
          </w:tcPr>
          <w:p>
            <w:pPr>
              <w:pStyle w:val="TableParagraph"/>
              <w:spacing w:before="16"/>
              <w:ind w:right="28"/>
              <w:jc w:val="right"/>
              <w:rPr>
                <w:sz w:val="14"/>
              </w:rPr>
            </w:pPr>
            <w:r>
              <w:rPr>
                <w:w w:val="104"/>
                <w:sz w:val="14"/>
              </w:rPr>
              <w:t>0</w:t>
            </w:r>
          </w:p>
        </w:tc>
        <w:tc>
          <w:tcPr>
            <w:tcW w:w="923" w:type="dxa"/>
          </w:tcPr>
          <w:p>
            <w:pPr>
              <w:pStyle w:val="TableParagraph"/>
              <w:spacing w:before="16"/>
              <w:ind w:right="28"/>
              <w:jc w:val="right"/>
              <w:rPr>
                <w:sz w:val="14"/>
              </w:rPr>
            </w:pPr>
            <w:r>
              <w:rPr>
                <w:w w:val="104"/>
                <w:sz w:val="14"/>
              </w:rPr>
              <w:t>0</w:t>
            </w:r>
          </w:p>
        </w:tc>
        <w:tc>
          <w:tcPr>
            <w:tcW w:w="950" w:type="dxa"/>
          </w:tcPr>
          <w:p>
            <w:pPr>
              <w:pStyle w:val="TableParagraph"/>
              <w:spacing w:before="16"/>
              <w:ind w:left="25"/>
              <w:rPr>
                <w:sz w:val="14"/>
              </w:rPr>
            </w:pPr>
            <w:r>
              <w:rPr>
                <w:w w:val="105"/>
                <w:sz w:val="14"/>
              </w:rPr>
              <w:t>Otra causa</w:t>
            </w:r>
          </w:p>
        </w:tc>
        <w:tc>
          <w:tcPr>
            <w:tcW w:w="1278" w:type="dxa"/>
            <w:tcBorders>
              <w:right w:val="single" w:sz="3" w:space="0" w:color="000000"/>
            </w:tcBorders>
          </w:tcPr>
          <w:p>
            <w:pPr/>
          </w:p>
        </w:tc>
      </w:tr>
      <w:tr>
        <w:trPr>
          <w:trHeight w:val="389" w:hRule="exact"/>
        </w:trPr>
        <w:tc>
          <w:tcPr>
            <w:tcW w:w="898" w:type="dxa"/>
          </w:tcPr>
          <w:p>
            <w:pPr>
              <w:pStyle w:val="TableParagraph"/>
              <w:spacing w:before="2"/>
              <w:rPr>
                <w:b/>
                <w:sz w:val="17"/>
              </w:rPr>
            </w:pPr>
          </w:p>
          <w:p>
            <w:pPr>
              <w:pStyle w:val="TableParagraph"/>
              <w:ind w:right="30"/>
              <w:jc w:val="right"/>
              <w:rPr>
                <w:sz w:val="14"/>
              </w:rPr>
            </w:pPr>
            <w:r>
              <w:rPr>
                <w:w w:val="105"/>
                <w:sz w:val="14"/>
              </w:rPr>
              <w:t>07/06/1986</w:t>
            </w:r>
          </w:p>
        </w:tc>
        <w:tc>
          <w:tcPr>
            <w:tcW w:w="897" w:type="dxa"/>
          </w:tcPr>
          <w:p>
            <w:pPr/>
          </w:p>
        </w:tc>
        <w:tc>
          <w:tcPr>
            <w:tcW w:w="898" w:type="dxa"/>
          </w:tcPr>
          <w:p>
            <w:pPr>
              <w:pStyle w:val="TableParagraph"/>
              <w:spacing w:line="283" w:lineRule="auto" w:before="7"/>
              <w:ind w:left="25"/>
              <w:rPr>
                <w:sz w:val="14"/>
              </w:rPr>
            </w:pPr>
            <w:r>
              <w:rPr>
                <w:w w:val="105"/>
                <w:sz w:val="14"/>
              </w:rPr>
              <w:t>La Jornada 08/06/86:17</w:t>
            </w:r>
          </w:p>
        </w:tc>
        <w:tc>
          <w:tcPr>
            <w:tcW w:w="4074" w:type="dxa"/>
          </w:tcPr>
          <w:p>
            <w:pPr/>
          </w:p>
        </w:tc>
        <w:tc>
          <w:tcPr>
            <w:tcW w:w="915" w:type="dxa"/>
          </w:tcPr>
          <w:p>
            <w:pPr>
              <w:pStyle w:val="TableParagraph"/>
              <w:spacing w:before="2"/>
              <w:rPr>
                <w:b/>
                <w:sz w:val="17"/>
              </w:rPr>
            </w:pPr>
          </w:p>
          <w:p>
            <w:pPr>
              <w:pStyle w:val="TableParagraph"/>
              <w:ind w:right="28"/>
              <w:jc w:val="right"/>
              <w:rPr>
                <w:sz w:val="14"/>
              </w:rPr>
            </w:pPr>
            <w:r>
              <w:rPr>
                <w:w w:val="104"/>
                <w:sz w:val="14"/>
              </w:rPr>
              <w:t>0</w:t>
            </w:r>
          </w:p>
        </w:tc>
        <w:tc>
          <w:tcPr>
            <w:tcW w:w="1200" w:type="dxa"/>
          </w:tcPr>
          <w:p>
            <w:pPr>
              <w:pStyle w:val="TableParagraph"/>
              <w:spacing w:before="2"/>
              <w:rPr>
                <w:b/>
                <w:sz w:val="17"/>
              </w:rPr>
            </w:pPr>
          </w:p>
          <w:p>
            <w:pPr>
              <w:pStyle w:val="TableParagraph"/>
              <w:ind w:right="28"/>
              <w:jc w:val="right"/>
              <w:rPr>
                <w:sz w:val="14"/>
              </w:rPr>
            </w:pPr>
            <w:r>
              <w:rPr>
                <w:w w:val="104"/>
                <w:sz w:val="14"/>
              </w:rPr>
              <w:t>0</w:t>
            </w:r>
          </w:p>
        </w:tc>
        <w:tc>
          <w:tcPr>
            <w:tcW w:w="967" w:type="dxa"/>
          </w:tcPr>
          <w:p>
            <w:pPr>
              <w:pStyle w:val="TableParagraph"/>
              <w:spacing w:before="2"/>
              <w:rPr>
                <w:b/>
                <w:sz w:val="17"/>
              </w:rPr>
            </w:pPr>
          </w:p>
          <w:p>
            <w:pPr>
              <w:pStyle w:val="TableParagraph"/>
              <w:ind w:right="28"/>
              <w:jc w:val="right"/>
              <w:rPr>
                <w:sz w:val="14"/>
              </w:rPr>
            </w:pPr>
            <w:r>
              <w:rPr>
                <w:w w:val="104"/>
                <w:sz w:val="14"/>
              </w:rPr>
              <w:t>1</w:t>
            </w:r>
          </w:p>
        </w:tc>
        <w:tc>
          <w:tcPr>
            <w:tcW w:w="923" w:type="dxa"/>
          </w:tcPr>
          <w:p>
            <w:pPr>
              <w:pStyle w:val="TableParagraph"/>
              <w:spacing w:before="2"/>
              <w:rPr>
                <w:b/>
                <w:sz w:val="17"/>
              </w:rPr>
            </w:pPr>
          </w:p>
          <w:p>
            <w:pPr>
              <w:pStyle w:val="TableParagraph"/>
              <w:ind w:right="28"/>
              <w:jc w:val="right"/>
              <w:rPr>
                <w:sz w:val="14"/>
              </w:rPr>
            </w:pPr>
            <w:r>
              <w:rPr>
                <w:w w:val="104"/>
                <w:sz w:val="14"/>
              </w:rPr>
              <w:t>1</w:t>
            </w:r>
          </w:p>
        </w:tc>
        <w:tc>
          <w:tcPr>
            <w:tcW w:w="950" w:type="dxa"/>
          </w:tcPr>
          <w:p>
            <w:pPr>
              <w:pStyle w:val="TableParagraph"/>
              <w:spacing w:before="2"/>
              <w:rPr>
                <w:b/>
                <w:sz w:val="17"/>
              </w:rPr>
            </w:pPr>
          </w:p>
          <w:p>
            <w:pPr>
              <w:pStyle w:val="TableParagraph"/>
              <w:ind w:left="25"/>
              <w:rPr>
                <w:sz w:val="14"/>
              </w:rPr>
            </w:pPr>
            <w:r>
              <w:rPr>
                <w:w w:val="105"/>
                <w:sz w:val="14"/>
              </w:rPr>
              <w:t>Lluvias</w:t>
            </w:r>
          </w:p>
        </w:tc>
        <w:tc>
          <w:tcPr>
            <w:tcW w:w="1278" w:type="dxa"/>
            <w:tcBorders>
              <w:right w:val="single" w:sz="3" w:space="0" w:color="000000"/>
            </w:tcBorders>
          </w:tcPr>
          <w:p>
            <w:pPr>
              <w:pStyle w:val="TableParagraph"/>
              <w:spacing w:before="2"/>
              <w:rPr>
                <w:b/>
                <w:sz w:val="17"/>
              </w:rPr>
            </w:pPr>
          </w:p>
          <w:p>
            <w:pPr>
              <w:pStyle w:val="TableParagraph"/>
              <w:ind w:left="25" w:right="15"/>
              <w:rPr>
                <w:sz w:val="14"/>
              </w:rPr>
            </w:pPr>
            <w:r>
              <w:rPr>
                <w:w w:val="105"/>
                <w:sz w:val="14"/>
              </w:rPr>
              <w:t>Se desgajó un cerro</w:t>
            </w:r>
          </w:p>
        </w:tc>
      </w:tr>
      <w:tr>
        <w:trPr>
          <w:trHeight w:val="389" w:hRule="exact"/>
        </w:trPr>
        <w:tc>
          <w:tcPr>
            <w:tcW w:w="898" w:type="dxa"/>
          </w:tcPr>
          <w:p>
            <w:pPr>
              <w:pStyle w:val="TableParagraph"/>
              <w:spacing w:before="2"/>
              <w:rPr>
                <w:b/>
                <w:sz w:val="17"/>
              </w:rPr>
            </w:pPr>
          </w:p>
          <w:p>
            <w:pPr>
              <w:pStyle w:val="TableParagraph"/>
              <w:ind w:right="30"/>
              <w:jc w:val="right"/>
              <w:rPr>
                <w:sz w:val="14"/>
              </w:rPr>
            </w:pPr>
            <w:r>
              <w:rPr>
                <w:w w:val="105"/>
                <w:sz w:val="14"/>
              </w:rPr>
              <w:t>27/07/1987</w:t>
            </w:r>
          </w:p>
        </w:tc>
        <w:tc>
          <w:tcPr>
            <w:tcW w:w="897" w:type="dxa"/>
          </w:tcPr>
          <w:p>
            <w:pPr/>
          </w:p>
        </w:tc>
        <w:tc>
          <w:tcPr>
            <w:tcW w:w="898" w:type="dxa"/>
          </w:tcPr>
          <w:p>
            <w:pPr>
              <w:pStyle w:val="TableParagraph"/>
              <w:spacing w:line="283" w:lineRule="auto" w:before="8"/>
              <w:ind w:left="25"/>
              <w:rPr>
                <w:sz w:val="14"/>
              </w:rPr>
            </w:pPr>
            <w:r>
              <w:rPr>
                <w:w w:val="105"/>
                <w:sz w:val="14"/>
              </w:rPr>
              <w:t>La Jornada 28/07/87:14</w:t>
            </w:r>
          </w:p>
        </w:tc>
        <w:tc>
          <w:tcPr>
            <w:tcW w:w="4074" w:type="dxa"/>
          </w:tcPr>
          <w:p>
            <w:pPr/>
          </w:p>
        </w:tc>
        <w:tc>
          <w:tcPr>
            <w:tcW w:w="915" w:type="dxa"/>
          </w:tcPr>
          <w:p>
            <w:pPr>
              <w:pStyle w:val="TableParagraph"/>
              <w:spacing w:before="2"/>
              <w:rPr>
                <w:b/>
                <w:sz w:val="17"/>
              </w:rPr>
            </w:pPr>
          </w:p>
          <w:p>
            <w:pPr>
              <w:pStyle w:val="TableParagraph"/>
              <w:ind w:right="28"/>
              <w:jc w:val="right"/>
              <w:rPr>
                <w:sz w:val="14"/>
              </w:rPr>
            </w:pPr>
            <w:r>
              <w:rPr>
                <w:w w:val="104"/>
                <w:sz w:val="14"/>
              </w:rPr>
              <w:t>0</w:t>
            </w:r>
          </w:p>
        </w:tc>
        <w:tc>
          <w:tcPr>
            <w:tcW w:w="1200" w:type="dxa"/>
          </w:tcPr>
          <w:p>
            <w:pPr>
              <w:pStyle w:val="TableParagraph"/>
              <w:spacing w:before="2"/>
              <w:rPr>
                <w:b/>
                <w:sz w:val="17"/>
              </w:rPr>
            </w:pPr>
          </w:p>
          <w:p>
            <w:pPr>
              <w:pStyle w:val="TableParagraph"/>
              <w:ind w:right="28"/>
              <w:jc w:val="right"/>
              <w:rPr>
                <w:sz w:val="14"/>
              </w:rPr>
            </w:pPr>
            <w:r>
              <w:rPr>
                <w:w w:val="104"/>
                <w:sz w:val="14"/>
              </w:rPr>
              <w:t>0</w:t>
            </w:r>
          </w:p>
        </w:tc>
        <w:tc>
          <w:tcPr>
            <w:tcW w:w="967" w:type="dxa"/>
          </w:tcPr>
          <w:p>
            <w:pPr>
              <w:pStyle w:val="TableParagraph"/>
              <w:spacing w:before="2"/>
              <w:rPr>
                <w:b/>
                <w:sz w:val="17"/>
              </w:rPr>
            </w:pPr>
          </w:p>
          <w:p>
            <w:pPr>
              <w:pStyle w:val="TableParagraph"/>
              <w:ind w:left="25" w:right="133"/>
              <w:rPr>
                <w:sz w:val="14"/>
              </w:rPr>
            </w:pPr>
            <w:r>
              <w:rPr>
                <w:w w:val="105"/>
                <w:sz w:val="14"/>
              </w:rPr>
              <w:t>Si</w:t>
            </w:r>
          </w:p>
        </w:tc>
        <w:tc>
          <w:tcPr>
            <w:tcW w:w="923" w:type="dxa"/>
          </w:tcPr>
          <w:p>
            <w:pPr>
              <w:pStyle w:val="TableParagraph"/>
              <w:spacing w:before="2"/>
              <w:rPr>
                <w:b/>
                <w:sz w:val="17"/>
              </w:rPr>
            </w:pPr>
          </w:p>
          <w:p>
            <w:pPr>
              <w:pStyle w:val="TableParagraph"/>
              <w:ind w:right="28"/>
              <w:jc w:val="right"/>
              <w:rPr>
                <w:sz w:val="14"/>
              </w:rPr>
            </w:pPr>
            <w:r>
              <w:rPr>
                <w:w w:val="104"/>
                <w:sz w:val="14"/>
              </w:rPr>
              <w:t>0</w:t>
            </w:r>
          </w:p>
        </w:tc>
        <w:tc>
          <w:tcPr>
            <w:tcW w:w="950" w:type="dxa"/>
          </w:tcPr>
          <w:p>
            <w:pPr>
              <w:pStyle w:val="TableParagraph"/>
              <w:spacing w:before="2"/>
              <w:rPr>
                <w:b/>
                <w:sz w:val="17"/>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207" w:hRule="exact"/>
        </w:trPr>
        <w:tc>
          <w:tcPr>
            <w:tcW w:w="898" w:type="dxa"/>
          </w:tcPr>
          <w:p>
            <w:pPr>
              <w:pStyle w:val="TableParagraph"/>
              <w:spacing w:before="16"/>
              <w:ind w:right="30"/>
              <w:jc w:val="right"/>
              <w:rPr>
                <w:sz w:val="14"/>
              </w:rPr>
            </w:pPr>
            <w:r>
              <w:rPr>
                <w:w w:val="105"/>
                <w:sz w:val="14"/>
              </w:rPr>
              <w:t>11/05/1989</w:t>
            </w:r>
          </w:p>
        </w:tc>
        <w:tc>
          <w:tcPr>
            <w:tcW w:w="897" w:type="dxa"/>
          </w:tcPr>
          <w:p>
            <w:pPr/>
          </w:p>
        </w:tc>
        <w:tc>
          <w:tcPr>
            <w:tcW w:w="898" w:type="dxa"/>
          </w:tcPr>
          <w:p>
            <w:pPr>
              <w:pStyle w:val="TableParagraph"/>
              <w:spacing w:before="16"/>
              <w:ind w:left="25"/>
              <w:rPr>
                <w:sz w:val="14"/>
              </w:rPr>
            </w:pPr>
            <w:r>
              <w:rPr>
                <w:w w:val="105"/>
                <w:sz w:val="14"/>
              </w:rPr>
              <w:t>El Universal</w:t>
            </w:r>
          </w:p>
        </w:tc>
        <w:tc>
          <w:tcPr>
            <w:tcW w:w="4074" w:type="dxa"/>
          </w:tcPr>
          <w:p>
            <w:pPr/>
          </w:p>
        </w:tc>
        <w:tc>
          <w:tcPr>
            <w:tcW w:w="915" w:type="dxa"/>
          </w:tcPr>
          <w:p>
            <w:pPr>
              <w:pStyle w:val="TableParagraph"/>
              <w:spacing w:before="16"/>
              <w:ind w:right="28"/>
              <w:jc w:val="right"/>
              <w:rPr>
                <w:sz w:val="14"/>
              </w:rPr>
            </w:pPr>
            <w:r>
              <w:rPr>
                <w:w w:val="104"/>
                <w:sz w:val="14"/>
              </w:rPr>
              <w:t>3</w:t>
            </w:r>
          </w:p>
        </w:tc>
        <w:tc>
          <w:tcPr>
            <w:tcW w:w="1200" w:type="dxa"/>
          </w:tcPr>
          <w:p>
            <w:pPr>
              <w:pStyle w:val="TableParagraph"/>
              <w:spacing w:before="16"/>
              <w:ind w:left="25"/>
              <w:rPr>
                <w:sz w:val="14"/>
              </w:rPr>
            </w:pPr>
            <w:r>
              <w:rPr>
                <w:w w:val="105"/>
                <w:sz w:val="14"/>
              </w:rPr>
              <w:t>Si</w:t>
            </w:r>
          </w:p>
        </w:tc>
        <w:tc>
          <w:tcPr>
            <w:tcW w:w="967" w:type="dxa"/>
          </w:tcPr>
          <w:p>
            <w:pPr>
              <w:pStyle w:val="TableParagraph"/>
              <w:spacing w:before="16"/>
              <w:ind w:left="25" w:right="133"/>
              <w:rPr>
                <w:sz w:val="14"/>
              </w:rPr>
            </w:pPr>
            <w:r>
              <w:rPr>
                <w:w w:val="105"/>
                <w:sz w:val="14"/>
              </w:rPr>
              <w:t>Si</w:t>
            </w:r>
          </w:p>
        </w:tc>
        <w:tc>
          <w:tcPr>
            <w:tcW w:w="923" w:type="dxa"/>
          </w:tcPr>
          <w:p>
            <w:pPr>
              <w:pStyle w:val="TableParagraph"/>
              <w:spacing w:before="16"/>
              <w:ind w:left="25" w:right="118"/>
              <w:rPr>
                <w:sz w:val="14"/>
              </w:rPr>
            </w:pPr>
            <w:r>
              <w:rPr>
                <w:w w:val="105"/>
                <w:sz w:val="14"/>
              </w:rPr>
              <w:t>Si</w:t>
            </w:r>
          </w:p>
        </w:tc>
        <w:tc>
          <w:tcPr>
            <w:tcW w:w="950" w:type="dxa"/>
          </w:tcPr>
          <w:p>
            <w:pPr>
              <w:pStyle w:val="TableParagraph"/>
              <w:spacing w:before="16"/>
              <w:ind w:left="25"/>
              <w:rPr>
                <w:sz w:val="14"/>
              </w:rPr>
            </w:pPr>
            <w:r>
              <w:rPr>
                <w:w w:val="105"/>
                <w:sz w:val="14"/>
              </w:rPr>
              <w:t>Lluvias</w:t>
            </w:r>
          </w:p>
        </w:tc>
        <w:tc>
          <w:tcPr>
            <w:tcW w:w="1278" w:type="dxa"/>
            <w:tcBorders>
              <w:right w:val="single" w:sz="3" w:space="0" w:color="000000"/>
            </w:tcBorders>
          </w:tcPr>
          <w:p>
            <w:pPr/>
          </w:p>
        </w:tc>
      </w:tr>
      <w:tr>
        <w:trPr>
          <w:trHeight w:val="389" w:hRule="exact"/>
        </w:trPr>
        <w:tc>
          <w:tcPr>
            <w:tcW w:w="898" w:type="dxa"/>
          </w:tcPr>
          <w:p>
            <w:pPr>
              <w:pStyle w:val="TableParagraph"/>
              <w:spacing w:before="2"/>
              <w:rPr>
                <w:b/>
                <w:sz w:val="17"/>
              </w:rPr>
            </w:pPr>
          </w:p>
          <w:p>
            <w:pPr>
              <w:pStyle w:val="TableParagraph"/>
              <w:ind w:right="30"/>
              <w:jc w:val="right"/>
              <w:rPr>
                <w:sz w:val="14"/>
              </w:rPr>
            </w:pPr>
            <w:r>
              <w:rPr>
                <w:w w:val="105"/>
                <w:sz w:val="14"/>
              </w:rPr>
              <w:t>08/07/1989</w:t>
            </w:r>
          </w:p>
        </w:tc>
        <w:tc>
          <w:tcPr>
            <w:tcW w:w="897" w:type="dxa"/>
          </w:tcPr>
          <w:p>
            <w:pPr>
              <w:pStyle w:val="TableParagraph"/>
              <w:spacing w:line="283" w:lineRule="auto" w:before="8"/>
              <w:ind w:left="25" w:right="15"/>
              <w:rPr>
                <w:sz w:val="14"/>
              </w:rPr>
            </w:pPr>
            <w:r>
              <w:rPr>
                <w:w w:val="105"/>
                <w:sz w:val="14"/>
              </w:rPr>
              <w:t>Tiradero de Santa Fé</w:t>
            </w:r>
          </w:p>
        </w:tc>
        <w:tc>
          <w:tcPr>
            <w:tcW w:w="898" w:type="dxa"/>
          </w:tcPr>
          <w:p>
            <w:pPr>
              <w:pStyle w:val="TableParagraph"/>
              <w:spacing w:line="283" w:lineRule="auto" w:before="8"/>
              <w:ind w:left="25"/>
              <w:rPr>
                <w:sz w:val="14"/>
              </w:rPr>
            </w:pPr>
            <w:r>
              <w:rPr>
                <w:w w:val="105"/>
                <w:sz w:val="14"/>
              </w:rPr>
              <w:t>La Jornada 09/07/89:13</w:t>
            </w:r>
          </w:p>
        </w:tc>
        <w:tc>
          <w:tcPr>
            <w:tcW w:w="4074" w:type="dxa"/>
          </w:tcPr>
          <w:p>
            <w:pPr>
              <w:pStyle w:val="TableParagraph"/>
              <w:spacing w:before="2"/>
              <w:rPr>
                <w:b/>
                <w:sz w:val="17"/>
              </w:rPr>
            </w:pPr>
          </w:p>
          <w:p>
            <w:pPr>
              <w:pStyle w:val="TableParagraph"/>
              <w:ind w:left="25" w:right="44"/>
              <w:rPr>
                <w:sz w:val="14"/>
              </w:rPr>
            </w:pPr>
            <w:r>
              <w:rPr>
                <w:w w:val="105"/>
                <w:sz w:val="14"/>
              </w:rPr>
              <w:t>Las víctimas eran pepenadores.</w:t>
            </w:r>
          </w:p>
        </w:tc>
        <w:tc>
          <w:tcPr>
            <w:tcW w:w="915" w:type="dxa"/>
          </w:tcPr>
          <w:p>
            <w:pPr>
              <w:pStyle w:val="TableParagraph"/>
              <w:spacing w:before="2"/>
              <w:rPr>
                <w:b/>
                <w:sz w:val="17"/>
              </w:rPr>
            </w:pPr>
          </w:p>
          <w:p>
            <w:pPr>
              <w:pStyle w:val="TableParagraph"/>
              <w:ind w:right="28"/>
              <w:jc w:val="right"/>
              <w:rPr>
                <w:sz w:val="14"/>
              </w:rPr>
            </w:pPr>
            <w:r>
              <w:rPr>
                <w:w w:val="104"/>
                <w:sz w:val="14"/>
              </w:rPr>
              <w:t>3</w:t>
            </w:r>
          </w:p>
        </w:tc>
        <w:tc>
          <w:tcPr>
            <w:tcW w:w="1200" w:type="dxa"/>
          </w:tcPr>
          <w:p>
            <w:pPr>
              <w:pStyle w:val="TableParagraph"/>
              <w:spacing w:before="2"/>
              <w:rPr>
                <w:b/>
                <w:sz w:val="17"/>
              </w:rPr>
            </w:pPr>
          </w:p>
          <w:p>
            <w:pPr>
              <w:pStyle w:val="TableParagraph"/>
              <w:ind w:right="28"/>
              <w:jc w:val="right"/>
              <w:rPr>
                <w:sz w:val="14"/>
              </w:rPr>
            </w:pPr>
            <w:r>
              <w:rPr>
                <w:w w:val="104"/>
                <w:sz w:val="14"/>
              </w:rPr>
              <w:t>0</w:t>
            </w:r>
          </w:p>
        </w:tc>
        <w:tc>
          <w:tcPr>
            <w:tcW w:w="967" w:type="dxa"/>
          </w:tcPr>
          <w:p>
            <w:pPr>
              <w:pStyle w:val="TableParagraph"/>
              <w:spacing w:before="2"/>
              <w:rPr>
                <w:b/>
                <w:sz w:val="17"/>
              </w:rPr>
            </w:pPr>
          </w:p>
          <w:p>
            <w:pPr>
              <w:pStyle w:val="TableParagraph"/>
              <w:ind w:right="28"/>
              <w:jc w:val="right"/>
              <w:rPr>
                <w:sz w:val="14"/>
              </w:rPr>
            </w:pPr>
            <w:r>
              <w:rPr>
                <w:w w:val="104"/>
                <w:sz w:val="14"/>
              </w:rPr>
              <w:t>0</w:t>
            </w:r>
          </w:p>
        </w:tc>
        <w:tc>
          <w:tcPr>
            <w:tcW w:w="923" w:type="dxa"/>
          </w:tcPr>
          <w:p>
            <w:pPr>
              <w:pStyle w:val="TableParagraph"/>
              <w:spacing w:before="2"/>
              <w:rPr>
                <w:b/>
                <w:sz w:val="17"/>
              </w:rPr>
            </w:pPr>
          </w:p>
          <w:p>
            <w:pPr>
              <w:pStyle w:val="TableParagraph"/>
              <w:ind w:right="28"/>
              <w:jc w:val="right"/>
              <w:rPr>
                <w:sz w:val="14"/>
              </w:rPr>
            </w:pPr>
            <w:r>
              <w:rPr>
                <w:w w:val="104"/>
                <w:sz w:val="14"/>
              </w:rPr>
              <w:t>0</w:t>
            </w:r>
          </w:p>
        </w:tc>
        <w:tc>
          <w:tcPr>
            <w:tcW w:w="950" w:type="dxa"/>
          </w:tcPr>
          <w:p>
            <w:pPr>
              <w:pStyle w:val="TableParagraph"/>
              <w:spacing w:before="2"/>
              <w:rPr>
                <w:b/>
                <w:sz w:val="17"/>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ind w:right="30"/>
              <w:jc w:val="right"/>
              <w:rPr>
                <w:sz w:val="14"/>
              </w:rPr>
            </w:pPr>
            <w:r>
              <w:rPr>
                <w:w w:val="105"/>
                <w:sz w:val="14"/>
              </w:rPr>
              <w:t>07/10/1992</w:t>
            </w:r>
          </w:p>
        </w:tc>
        <w:tc>
          <w:tcPr>
            <w:tcW w:w="897" w:type="dxa"/>
          </w:tcPr>
          <w:p>
            <w:pPr>
              <w:pStyle w:val="TableParagraph"/>
              <w:spacing w:line="283" w:lineRule="auto" w:before="7"/>
              <w:ind w:left="25" w:right="15"/>
              <w:rPr>
                <w:sz w:val="14"/>
              </w:rPr>
            </w:pPr>
            <w:r>
              <w:rPr>
                <w:w w:val="105"/>
                <w:sz w:val="14"/>
              </w:rPr>
              <w:t>Autopista México- Toluca</w:t>
            </w:r>
          </w:p>
        </w:tc>
        <w:tc>
          <w:tcPr>
            <w:tcW w:w="898" w:type="dxa"/>
          </w:tcPr>
          <w:p>
            <w:pPr>
              <w:pStyle w:val="TableParagraph"/>
              <w:rPr>
                <w:b/>
                <w:sz w:val="14"/>
              </w:rPr>
            </w:pPr>
          </w:p>
          <w:p>
            <w:pPr>
              <w:pStyle w:val="TableParagraph"/>
              <w:spacing w:before="8"/>
              <w:rPr>
                <w:b/>
                <w:sz w:val="19"/>
              </w:rPr>
            </w:pPr>
          </w:p>
          <w:p>
            <w:pPr>
              <w:pStyle w:val="TableParagraph"/>
              <w:ind w:left="25"/>
              <w:rPr>
                <w:sz w:val="14"/>
              </w:rPr>
            </w:pPr>
            <w:r>
              <w:rPr>
                <w:w w:val="105"/>
                <w:sz w:val="14"/>
              </w:rPr>
              <w:t>El Universal</w:t>
            </w:r>
          </w:p>
        </w:tc>
        <w:tc>
          <w:tcPr>
            <w:tcW w:w="4074" w:type="dxa"/>
          </w:tcPr>
          <w:p>
            <w:pPr/>
          </w:p>
        </w:tc>
        <w:tc>
          <w:tcPr>
            <w:tcW w:w="915" w:type="dxa"/>
          </w:tcPr>
          <w:p>
            <w:pPr>
              <w:pStyle w:val="TableParagraph"/>
              <w:rPr>
                <w:b/>
                <w:sz w:val="14"/>
              </w:rPr>
            </w:pPr>
          </w:p>
          <w:p>
            <w:pPr>
              <w:pStyle w:val="TableParagraph"/>
              <w:spacing w:before="8"/>
              <w:rPr>
                <w:b/>
                <w:sz w:val="19"/>
              </w:rPr>
            </w:pPr>
          </w:p>
          <w:p>
            <w:pPr>
              <w:pStyle w:val="TableParagraph"/>
              <w:ind w:right="28"/>
              <w:jc w:val="right"/>
              <w:rPr>
                <w:sz w:val="14"/>
              </w:rPr>
            </w:pPr>
            <w:r>
              <w:rPr>
                <w:w w:val="104"/>
                <w:sz w:val="14"/>
              </w:rPr>
              <w:t>0</w:t>
            </w:r>
          </w:p>
        </w:tc>
        <w:tc>
          <w:tcPr>
            <w:tcW w:w="1200" w:type="dxa"/>
          </w:tcPr>
          <w:p>
            <w:pPr>
              <w:pStyle w:val="TableParagraph"/>
              <w:rPr>
                <w:b/>
                <w:sz w:val="14"/>
              </w:rPr>
            </w:pPr>
          </w:p>
          <w:p>
            <w:pPr>
              <w:pStyle w:val="TableParagraph"/>
              <w:spacing w:before="8"/>
              <w:rPr>
                <w:b/>
                <w:sz w:val="19"/>
              </w:rPr>
            </w:pPr>
          </w:p>
          <w:p>
            <w:pPr>
              <w:pStyle w:val="TableParagraph"/>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ind w:right="28"/>
              <w:jc w:val="right"/>
              <w:rPr>
                <w:sz w:val="14"/>
              </w:rPr>
            </w:pPr>
            <w:r>
              <w:rPr>
                <w:w w:val="104"/>
                <w:sz w:val="14"/>
              </w:rPr>
              <w:t>0</w:t>
            </w:r>
          </w:p>
        </w:tc>
        <w:tc>
          <w:tcPr>
            <w:tcW w:w="923" w:type="dxa"/>
          </w:tcPr>
          <w:p>
            <w:pPr>
              <w:pStyle w:val="TableParagraph"/>
              <w:rPr>
                <w:b/>
                <w:sz w:val="14"/>
              </w:rPr>
            </w:pPr>
          </w:p>
          <w:p>
            <w:pPr>
              <w:pStyle w:val="TableParagraph"/>
              <w:spacing w:before="8"/>
              <w:rPr>
                <w:b/>
                <w:sz w:val="19"/>
              </w:rPr>
            </w:pPr>
          </w:p>
          <w:p>
            <w:pPr>
              <w:pStyle w:val="TableParagraph"/>
              <w:ind w:right="28"/>
              <w:jc w:val="right"/>
              <w:rPr>
                <w:sz w:val="14"/>
              </w:rPr>
            </w:pPr>
            <w:r>
              <w:rPr>
                <w:w w:val="104"/>
                <w:sz w:val="14"/>
              </w:rPr>
              <w:t>2</w:t>
            </w:r>
          </w:p>
        </w:tc>
        <w:tc>
          <w:tcPr>
            <w:tcW w:w="950" w:type="dxa"/>
          </w:tcPr>
          <w:p>
            <w:pPr>
              <w:pStyle w:val="TableParagraph"/>
              <w:rPr>
                <w:b/>
                <w:sz w:val="14"/>
              </w:rPr>
            </w:pPr>
          </w:p>
          <w:p>
            <w:pPr>
              <w:pStyle w:val="TableParagraph"/>
              <w:spacing w:before="8"/>
              <w:rPr>
                <w:b/>
                <w:sz w:val="19"/>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207" w:hRule="exact"/>
        </w:trPr>
        <w:tc>
          <w:tcPr>
            <w:tcW w:w="898" w:type="dxa"/>
          </w:tcPr>
          <w:p>
            <w:pPr>
              <w:pStyle w:val="TableParagraph"/>
              <w:spacing w:before="16"/>
              <w:ind w:right="30"/>
              <w:jc w:val="right"/>
              <w:rPr>
                <w:sz w:val="14"/>
              </w:rPr>
            </w:pPr>
            <w:r>
              <w:rPr>
                <w:w w:val="105"/>
                <w:sz w:val="14"/>
              </w:rPr>
              <w:t>14/10/1992</w:t>
            </w:r>
          </w:p>
        </w:tc>
        <w:tc>
          <w:tcPr>
            <w:tcW w:w="897" w:type="dxa"/>
          </w:tcPr>
          <w:p>
            <w:pPr/>
          </w:p>
        </w:tc>
        <w:tc>
          <w:tcPr>
            <w:tcW w:w="898" w:type="dxa"/>
          </w:tcPr>
          <w:p>
            <w:pPr>
              <w:pStyle w:val="TableParagraph"/>
              <w:spacing w:before="16"/>
              <w:ind w:left="25"/>
              <w:rPr>
                <w:sz w:val="14"/>
              </w:rPr>
            </w:pPr>
            <w:r>
              <w:rPr>
                <w:w w:val="105"/>
                <w:sz w:val="14"/>
              </w:rPr>
              <w:t>SNPC</w:t>
            </w:r>
          </w:p>
        </w:tc>
        <w:tc>
          <w:tcPr>
            <w:tcW w:w="4074" w:type="dxa"/>
          </w:tcPr>
          <w:p>
            <w:pPr/>
          </w:p>
        </w:tc>
        <w:tc>
          <w:tcPr>
            <w:tcW w:w="915" w:type="dxa"/>
          </w:tcPr>
          <w:p>
            <w:pPr>
              <w:pStyle w:val="TableParagraph"/>
              <w:spacing w:before="16"/>
              <w:ind w:right="28"/>
              <w:jc w:val="right"/>
              <w:rPr>
                <w:sz w:val="14"/>
              </w:rPr>
            </w:pPr>
            <w:r>
              <w:rPr>
                <w:w w:val="104"/>
                <w:sz w:val="14"/>
              </w:rPr>
              <w:t>5</w:t>
            </w:r>
          </w:p>
        </w:tc>
        <w:tc>
          <w:tcPr>
            <w:tcW w:w="1200" w:type="dxa"/>
          </w:tcPr>
          <w:p>
            <w:pPr>
              <w:pStyle w:val="TableParagraph"/>
              <w:spacing w:before="16"/>
              <w:ind w:right="24"/>
              <w:jc w:val="right"/>
              <w:rPr>
                <w:sz w:val="14"/>
              </w:rPr>
            </w:pPr>
            <w:r>
              <w:rPr>
                <w:w w:val="105"/>
                <w:sz w:val="14"/>
              </w:rPr>
              <w:t>55</w:t>
            </w:r>
          </w:p>
        </w:tc>
        <w:tc>
          <w:tcPr>
            <w:tcW w:w="967" w:type="dxa"/>
          </w:tcPr>
          <w:p>
            <w:pPr>
              <w:pStyle w:val="TableParagraph"/>
              <w:spacing w:before="16"/>
              <w:ind w:right="28"/>
              <w:jc w:val="right"/>
              <w:rPr>
                <w:sz w:val="14"/>
              </w:rPr>
            </w:pPr>
            <w:r>
              <w:rPr>
                <w:w w:val="104"/>
                <w:sz w:val="14"/>
              </w:rPr>
              <w:t>1</w:t>
            </w:r>
          </w:p>
        </w:tc>
        <w:tc>
          <w:tcPr>
            <w:tcW w:w="923" w:type="dxa"/>
          </w:tcPr>
          <w:p>
            <w:pPr>
              <w:pStyle w:val="TableParagraph"/>
              <w:spacing w:before="16"/>
              <w:ind w:right="23"/>
              <w:jc w:val="right"/>
              <w:rPr>
                <w:sz w:val="14"/>
              </w:rPr>
            </w:pPr>
            <w:r>
              <w:rPr>
                <w:w w:val="105"/>
                <w:sz w:val="14"/>
              </w:rPr>
              <w:t>11</w:t>
            </w:r>
          </w:p>
        </w:tc>
        <w:tc>
          <w:tcPr>
            <w:tcW w:w="950" w:type="dxa"/>
          </w:tcPr>
          <w:p>
            <w:pPr>
              <w:pStyle w:val="TableParagraph"/>
              <w:spacing w:before="16"/>
              <w:ind w:left="25"/>
              <w:rPr>
                <w:sz w:val="14"/>
              </w:rPr>
            </w:pPr>
            <w:r>
              <w:rPr>
                <w:w w:val="105"/>
                <w:sz w:val="14"/>
              </w:rPr>
              <w:t>Lluvias</w:t>
            </w:r>
          </w:p>
        </w:tc>
        <w:tc>
          <w:tcPr>
            <w:tcW w:w="1278" w:type="dxa"/>
            <w:tcBorders>
              <w:right w:val="single" w:sz="3" w:space="0" w:color="000000"/>
            </w:tcBorders>
          </w:tcPr>
          <w:p>
            <w:pPr/>
          </w:p>
        </w:tc>
      </w:tr>
      <w:tr>
        <w:trPr>
          <w:trHeight w:val="389" w:hRule="exact"/>
        </w:trPr>
        <w:tc>
          <w:tcPr>
            <w:tcW w:w="898" w:type="dxa"/>
          </w:tcPr>
          <w:p>
            <w:pPr>
              <w:pStyle w:val="TableParagraph"/>
              <w:spacing w:before="2"/>
              <w:rPr>
                <w:b/>
                <w:sz w:val="17"/>
              </w:rPr>
            </w:pPr>
          </w:p>
          <w:p>
            <w:pPr>
              <w:pStyle w:val="TableParagraph"/>
              <w:ind w:right="30"/>
              <w:jc w:val="right"/>
              <w:rPr>
                <w:sz w:val="14"/>
              </w:rPr>
            </w:pPr>
            <w:r>
              <w:rPr>
                <w:w w:val="105"/>
                <w:sz w:val="14"/>
              </w:rPr>
              <w:t>15/10/1996</w:t>
            </w:r>
          </w:p>
        </w:tc>
        <w:tc>
          <w:tcPr>
            <w:tcW w:w="897" w:type="dxa"/>
          </w:tcPr>
          <w:p>
            <w:pPr>
              <w:pStyle w:val="TableParagraph"/>
              <w:spacing w:line="283" w:lineRule="auto" w:before="8"/>
              <w:ind w:left="25" w:right="15"/>
              <w:rPr>
                <w:sz w:val="14"/>
              </w:rPr>
            </w:pPr>
            <w:r>
              <w:rPr>
                <w:w w:val="105"/>
                <w:sz w:val="14"/>
              </w:rPr>
              <w:t>Pueblo San Mateo</w:t>
            </w:r>
          </w:p>
        </w:tc>
        <w:tc>
          <w:tcPr>
            <w:tcW w:w="898" w:type="dxa"/>
          </w:tcPr>
          <w:p>
            <w:pPr>
              <w:pStyle w:val="TableParagraph"/>
              <w:spacing w:before="2"/>
              <w:rPr>
                <w:b/>
                <w:sz w:val="17"/>
              </w:rPr>
            </w:pPr>
          </w:p>
          <w:p>
            <w:pPr>
              <w:pStyle w:val="TableParagraph"/>
              <w:ind w:left="25"/>
              <w:rPr>
                <w:sz w:val="14"/>
              </w:rPr>
            </w:pPr>
            <w:r>
              <w:rPr>
                <w:w w:val="105"/>
                <w:sz w:val="14"/>
              </w:rPr>
              <w:t>La Jornada</w:t>
            </w:r>
          </w:p>
        </w:tc>
        <w:tc>
          <w:tcPr>
            <w:tcW w:w="4074" w:type="dxa"/>
          </w:tcPr>
          <w:p>
            <w:pPr/>
          </w:p>
        </w:tc>
        <w:tc>
          <w:tcPr>
            <w:tcW w:w="915" w:type="dxa"/>
          </w:tcPr>
          <w:p>
            <w:pPr>
              <w:pStyle w:val="TableParagraph"/>
              <w:spacing w:before="2"/>
              <w:rPr>
                <w:b/>
                <w:sz w:val="17"/>
              </w:rPr>
            </w:pPr>
          </w:p>
          <w:p>
            <w:pPr>
              <w:pStyle w:val="TableParagraph"/>
              <w:ind w:right="28"/>
              <w:jc w:val="right"/>
              <w:rPr>
                <w:sz w:val="14"/>
              </w:rPr>
            </w:pPr>
            <w:r>
              <w:rPr>
                <w:w w:val="104"/>
                <w:sz w:val="14"/>
              </w:rPr>
              <w:t>4</w:t>
            </w:r>
          </w:p>
        </w:tc>
        <w:tc>
          <w:tcPr>
            <w:tcW w:w="1200" w:type="dxa"/>
          </w:tcPr>
          <w:p>
            <w:pPr>
              <w:pStyle w:val="TableParagraph"/>
              <w:spacing w:before="2"/>
              <w:rPr>
                <w:b/>
                <w:sz w:val="17"/>
              </w:rPr>
            </w:pPr>
          </w:p>
          <w:p>
            <w:pPr>
              <w:pStyle w:val="TableParagraph"/>
              <w:ind w:right="28"/>
              <w:jc w:val="right"/>
              <w:rPr>
                <w:sz w:val="14"/>
              </w:rPr>
            </w:pPr>
            <w:r>
              <w:rPr>
                <w:w w:val="104"/>
                <w:sz w:val="14"/>
              </w:rPr>
              <w:t>0</w:t>
            </w:r>
          </w:p>
        </w:tc>
        <w:tc>
          <w:tcPr>
            <w:tcW w:w="967" w:type="dxa"/>
          </w:tcPr>
          <w:p>
            <w:pPr>
              <w:pStyle w:val="TableParagraph"/>
              <w:spacing w:before="2"/>
              <w:rPr>
                <w:b/>
                <w:sz w:val="17"/>
              </w:rPr>
            </w:pPr>
          </w:p>
          <w:p>
            <w:pPr>
              <w:pStyle w:val="TableParagraph"/>
              <w:ind w:right="28"/>
              <w:jc w:val="right"/>
              <w:rPr>
                <w:sz w:val="14"/>
              </w:rPr>
            </w:pPr>
            <w:r>
              <w:rPr>
                <w:w w:val="104"/>
                <w:sz w:val="14"/>
              </w:rPr>
              <w:t>1</w:t>
            </w:r>
          </w:p>
        </w:tc>
        <w:tc>
          <w:tcPr>
            <w:tcW w:w="923" w:type="dxa"/>
          </w:tcPr>
          <w:p>
            <w:pPr>
              <w:pStyle w:val="TableParagraph"/>
              <w:spacing w:before="2"/>
              <w:rPr>
                <w:b/>
                <w:sz w:val="17"/>
              </w:rPr>
            </w:pPr>
          </w:p>
          <w:p>
            <w:pPr>
              <w:pStyle w:val="TableParagraph"/>
              <w:ind w:right="28"/>
              <w:jc w:val="right"/>
              <w:rPr>
                <w:sz w:val="14"/>
              </w:rPr>
            </w:pPr>
            <w:r>
              <w:rPr>
                <w:w w:val="104"/>
                <w:sz w:val="14"/>
              </w:rPr>
              <w:t>0</w:t>
            </w:r>
          </w:p>
        </w:tc>
        <w:tc>
          <w:tcPr>
            <w:tcW w:w="950" w:type="dxa"/>
          </w:tcPr>
          <w:p>
            <w:pPr>
              <w:pStyle w:val="TableParagraph"/>
              <w:spacing w:before="2"/>
              <w:rPr>
                <w:b/>
                <w:sz w:val="17"/>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207" w:hRule="exact"/>
        </w:trPr>
        <w:tc>
          <w:tcPr>
            <w:tcW w:w="898" w:type="dxa"/>
          </w:tcPr>
          <w:p>
            <w:pPr>
              <w:pStyle w:val="TableParagraph"/>
              <w:spacing w:before="16"/>
              <w:ind w:right="30"/>
              <w:jc w:val="right"/>
              <w:rPr>
                <w:sz w:val="14"/>
              </w:rPr>
            </w:pPr>
            <w:r>
              <w:rPr>
                <w:w w:val="105"/>
                <w:sz w:val="14"/>
              </w:rPr>
              <w:t>29/08/1997</w:t>
            </w:r>
          </w:p>
        </w:tc>
        <w:tc>
          <w:tcPr>
            <w:tcW w:w="897" w:type="dxa"/>
          </w:tcPr>
          <w:p>
            <w:pPr/>
          </w:p>
        </w:tc>
        <w:tc>
          <w:tcPr>
            <w:tcW w:w="898" w:type="dxa"/>
          </w:tcPr>
          <w:p>
            <w:pPr>
              <w:pStyle w:val="TableParagraph"/>
              <w:spacing w:before="16"/>
              <w:ind w:left="25"/>
              <w:rPr>
                <w:sz w:val="14"/>
              </w:rPr>
            </w:pPr>
            <w:r>
              <w:rPr>
                <w:w w:val="105"/>
                <w:sz w:val="14"/>
              </w:rPr>
              <w:t>El Universal</w:t>
            </w:r>
          </w:p>
        </w:tc>
        <w:tc>
          <w:tcPr>
            <w:tcW w:w="4074" w:type="dxa"/>
          </w:tcPr>
          <w:p>
            <w:pPr/>
          </w:p>
        </w:tc>
        <w:tc>
          <w:tcPr>
            <w:tcW w:w="915" w:type="dxa"/>
          </w:tcPr>
          <w:p>
            <w:pPr>
              <w:pStyle w:val="TableParagraph"/>
              <w:spacing w:before="16"/>
              <w:ind w:right="28"/>
              <w:jc w:val="right"/>
              <w:rPr>
                <w:sz w:val="14"/>
              </w:rPr>
            </w:pPr>
            <w:r>
              <w:rPr>
                <w:w w:val="104"/>
                <w:sz w:val="14"/>
              </w:rPr>
              <w:t>0</w:t>
            </w:r>
          </w:p>
        </w:tc>
        <w:tc>
          <w:tcPr>
            <w:tcW w:w="1200" w:type="dxa"/>
          </w:tcPr>
          <w:p>
            <w:pPr>
              <w:pStyle w:val="TableParagraph"/>
              <w:spacing w:before="16"/>
              <w:ind w:right="28"/>
              <w:jc w:val="right"/>
              <w:rPr>
                <w:sz w:val="14"/>
              </w:rPr>
            </w:pPr>
            <w:r>
              <w:rPr>
                <w:w w:val="104"/>
                <w:sz w:val="14"/>
              </w:rPr>
              <w:t>0</w:t>
            </w:r>
          </w:p>
        </w:tc>
        <w:tc>
          <w:tcPr>
            <w:tcW w:w="967" w:type="dxa"/>
          </w:tcPr>
          <w:p>
            <w:pPr>
              <w:pStyle w:val="TableParagraph"/>
              <w:spacing w:before="16"/>
              <w:ind w:right="28"/>
              <w:jc w:val="right"/>
              <w:rPr>
                <w:sz w:val="14"/>
              </w:rPr>
            </w:pPr>
            <w:r>
              <w:rPr>
                <w:w w:val="104"/>
                <w:sz w:val="14"/>
              </w:rPr>
              <w:t>1</w:t>
            </w:r>
          </w:p>
        </w:tc>
        <w:tc>
          <w:tcPr>
            <w:tcW w:w="923" w:type="dxa"/>
          </w:tcPr>
          <w:p>
            <w:pPr>
              <w:pStyle w:val="TableParagraph"/>
              <w:spacing w:before="16"/>
              <w:ind w:right="28"/>
              <w:jc w:val="right"/>
              <w:rPr>
                <w:sz w:val="14"/>
              </w:rPr>
            </w:pPr>
            <w:r>
              <w:rPr>
                <w:w w:val="104"/>
                <w:sz w:val="14"/>
              </w:rPr>
              <w:t>0</w:t>
            </w:r>
          </w:p>
        </w:tc>
        <w:tc>
          <w:tcPr>
            <w:tcW w:w="950" w:type="dxa"/>
          </w:tcPr>
          <w:p>
            <w:pPr>
              <w:pStyle w:val="TableParagraph"/>
              <w:spacing w:before="16"/>
              <w:ind w:left="25"/>
              <w:rPr>
                <w:sz w:val="14"/>
              </w:rPr>
            </w:pPr>
            <w:r>
              <w:rPr>
                <w:w w:val="105"/>
                <w:sz w:val="14"/>
              </w:rPr>
              <w:t>Lluvias</w:t>
            </w:r>
          </w:p>
        </w:tc>
        <w:tc>
          <w:tcPr>
            <w:tcW w:w="1278" w:type="dxa"/>
            <w:tcBorders>
              <w:right w:val="single" w:sz="3" w:space="0" w:color="000000"/>
            </w:tcBorders>
          </w:tcPr>
          <w:p>
            <w:pP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spacing w:before="1"/>
              <w:ind w:right="30"/>
              <w:jc w:val="right"/>
              <w:rPr>
                <w:sz w:val="14"/>
              </w:rPr>
            </w:pPr>
            <w:r>
              <w:rPr>
                <w:w w:val="105"/>
                <w:sz w:val="14"/>
              </w:rPr>
              <w:t>25/09/2001</w:t>
            </w:r>
          </w:p>
        </w:tc>
        <w:tc>
          <w:tcPr>
            <w:tcW w:w="897" w:type="dxa"/>
          </w:tcPr>
          <w:p>
            <w:pPr/>
          </w:p>
        </w:tc>
        <w:tc>
          <w:tcPr>
            <w:tcW w:w="898" w:type="dxa"/>
          </w:tcPr>
          <w:p>
            <w:pPr>
              <w:pStyle w:val="TableParagraph"/>
              <w:spacing w:line="283" w:lineRule="auto" w:before="8"/>
              <w:ind w:left="25"/>
              <w:rPr>
                <w:sz w:val="14"/>
              </w:rPr>
            </w:pPr>
            <w:r>
              <w:rPr>
                <w:w w:val="105"/>
                <w:sz w:val="14"/>
              </w:rPr>
              <w:t>La Jornada 26/09/2001:5</w:t>
            </w:r>
          </w:p>
          <w:p>
            <w:pPr>
              <w:pStyle w:val="TableParagraph"/>
              <w:spacing w:before="1"/>
              <w:ind w:left="25"/>
              <w:rPr>
                <w:sz w:val="14"/>
              </w:rPr>
            </w:pPr>
            <w:r>
              <w:rPr>
                <w:w w:val="104"/>
                <w:sz w:val="14"/>
              </w:rPr>
              <w:t>0</w:t>
            </w:r>
          </w:p>
        </w:tc>
        <w:tc>
          <w:tcPr>
            <w:tcW w:w="4074" w:type="dxa"/>
          </w:tcPr>
          <w:p>
            <w:pPr/>
          </w:p>
        </w:tc>
        <w:tc>
          <w:tcPr>
            <w:tcW w:w="915"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1200"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23"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50"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Lluvias</w:t>
            </w:r>
          </w:p>
        </w:tc>
        <w:tc>
          <w:tcPr>
            <w:tcW w:w="1278" w:type="dxa"/>
            <w:tcBorders>
              <w:right w:val="single" w:sz="3" w:space="0" w:color="000000"/>
            </w:tcBorders>
          </w:tcPr>
          <w:p>
            <w:pPr>
              <w:pStyle w:val="TableParagraph"/>
              <w:spacing w:before="2"/>
              <w:rPr>
                <w:b/>
                <w:sz w:val="17"/>
              </w:rPr>
            </w:pPr>
          </w:p>
          <w:p>
            <w:pPr>
              <w:pStyle w:val="TableParagraph"/>
              <w:spacing w:line="283" w:lineRule="auto"/>
              <w:ind w:left="25" w:right="68"/>
              <w:rPr>
                <w:sz w:val="14"/>
              </w:rPr>
            </w:pPr>
            <w:r>
              <w:rPr>
                <w:w w:val="105"/>
                <w:sz w:val="14"/>
              </w:rPr>
              <w:t>20 deslizamientos en diversos puntos</w:t>
            </w:r>
          </w:p>
        </w:tc>
      </w:tr>
      <w:tr>
        <w:trPr>
          <w:trHeight w:val="208" w:hRule="exact"/>
        </w:trPr>
        <w:tc>
          <w:tcPr>
            <w:tcW w:w="898" w:type="dxa"/>
          </w:tcPr>
          <w:p>
            <w:pPr>
              <w:pStyle w:val="TableParagraph"/>
              <w:spacing w:before="16"/>
              <w:ind w:right="30"/>
              <w:jc w:val="right"/>
              <w:rPr>
                <w:sz w:val="14"/>
              </w:rPr>
            </w:pPr>
            <w:r>
              <w:rPr>
                <w:w w:val="105"/>
                <w:sz w:val="14"/>
              </w:rPr>
              <w:t>08/10/2001</w:t>
            </w:r>
          </w:p>
        </w:tc>
        <w:tc>
          <w:tcPr>
            <w:tcW w:w="897" w:type="dxa"/>
          </w:tcPr>
          <w:p>
            <w:pPr/>
          </w:p>
        </w:tc>
        <w:tc>
          <w:tcPr>
            <w:tcW w:w="898" w:type="dxa"/>
          </w:tcPr>
          <w:p>
            <w:pPr>
              <w:pStyle w:val="TableParagraph"/>
              <w:spacing w:before="16"/>
              <w:ind w:left="25"/>
              <w:rPr>
                <w:sz w:val="14"/>
              </w:rPr>
            </w:pPr>
            <w:r>
              <w:rPr>
                <w:w w:val="105"/>
                <w:sz w:val="14"/>
              </w:rPr>
              <w:t>la Jornada</w:t>
            </w:r>
          </w:p>
        </w:tc>
        <w:tc>
          <w:tcPr>
            <w:tcW w:w="4074" w:type="dxa"/>
          </w:tcPr>
          <w:p>
            <w:pPr/>
          </w:p>
        </w:tc>
        <w:tc>
          <w:tcPr>
            <w:tcW w:w="915" w:type="dxa"/>
          </w:tcPr>
          <w:p>
            <w:pPr>
              <w:pStyle w:val="TableParagraph"/>
              <w:spacing w:before="16"/>
              <w:ind w:right="28"/>
              <w:jc w:val="right"/>
              <w:rPr>
                <w:sz w:val="14"/>
              </w:rPr>
            </w:pPr>
            <w:r>
              <w:rPr>
                <w:w w:val="104"/>
                <w:sz w:val="14"/>
              </w:rPr>
              <w:t>0</w:t>
            </w:r>
          </w:p>
        </w:tc>
        <w:tc>
          <w:tcPr>
            <w:tcW w:w="1200" w:type="dxa"/>
          </w:tcPr>
          <w:p>
            <w:pPr>
              <w:pStyle w:val="TableParagraph"/>
              <w:spacing w:before="16"/>
              <w:ind w:right="28"/>
              <w:jc w:val="right"/>
              <w:rPr>
                <w:sz w:val="14"/>
              </w:rPr>
            </w:pPr>
            <w:r>
              <w:rPr>
                <w:w w:val="104"/>
                <w:sz w:val="14"/>
              </w:rPr>
              <w:t>6</w:t>
            </w:r>
          </w:p>
        </w:tc>
        <w:tc>
          <w:tcPr>
            <w:tcW w:w="967" w:type="dxa"/>
          </w:tcPr>
          <w:p>
            <w:pPr>
              <w:pStyle w:val="TableParagraph"/>
              <w:spacing w:before="16"/>
              <w:ind w:right="28"/>
              <w:jc w:val="right"/>
              <w:rPr>
                <w:sz w:val="14"/>
              </w:rPr>
            </w:pPr>
            <w:r>
              <w:rPr>
                <w:w w:val="104"/>
                <w:sz w:val="14"/>
              </w:rPr>
              <w:t>1</w:t>
            </w:r>
          </w:p>
        </w:tc>
        <w:tc>
          <w:tcPr>
            <w:tcW w:w="923" w:type="dxa"/>
          </w:tcPr>
          <w:p>
            <w:pPr>
              <w:pStyle w:val="TableParagraph"/>
              <w:spacing w:before="16"/>
              <w:ind w:right="28"/>
              <w:jc w:val="right"/>
              <w:rPr>
                <w:sz w:val="14"/>
              </w:rPr>
            </w:pPr>
            <w:r>
              <w:rPr>
                <w:w w:val="104"/>
                <w:sz w:val="14"/>
              </w:rPr>
              <w:t>0</w:t>
            </w:r>
          </w:p>
        </w:tc>
        <w:tc>
          <w:tcPr>
            <w:tcW w:w="950" w:type="dxa"/>
          </w:tcPr>
          <w:p>
            <w:pPr>
              <w:pStyle w:val="TableParagraph"/>
              <w:spacing w:before="16"/>
              <w:ind w:left="25"/>
              <w:rPr>
                <w:sz w:val="14"/>
              </w:rPr>
            </w:pPr>
            <w:r>
              <w:rPr>
                <w:w w:val="105"/>
                <w:sz w:val="14"/>
              </w:rPr>
              <w:t>Lluvias</w:t>
            </w:r>
          </w:p>
        </w:tc>
        <w:tc>
          <w:tcPr>
            <w:tcW w:w="1278" w:type="dxa"/>
            <w:tcBorders>
              <w:right w:val="single" w:sz="3" w:space="0" w:color="000000"/>
            </w:tcBorders>
          </w:tcPr>
          <w:p>
            <w:pP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spacing w:before="1"/>
              <w:ind w:right="30"/>
              <w:jc w:val="right"/>
              <w:rPr>
                <w:sz w:val="14"/>
              </w:rPr>
            </w:pPr>
            <w:r>
              <w:rPr>
                <w:w w:val="105"/>
                <w:sz w:val="14"/>
              </w:rPr>
              <w:t>19/12/2001</w:t>
            </w:r>
          </w:p>
        </w:tc>
        <w:tc>
          <w:tcPr>
            <w:tcW w:w="897" w:type="dxa"/>
          </w:tcPr>
          <w:p>
            <w:pPr>
              <w:pStyle w:val="TableParagraph"/>
              <w:rPr>
                <w:b/>
                <w:sz w:val="14"/>
              </w:rPr>
            </w:pPr>
          </w:p>
          <w:p>
            <w:pPr>
              <w:pStyle w:val="TableParagraph"/>
              <w:spacing w:before="8"/>
              <w:rPr>
                <w:b/>
                <w:sz w:val="19"/>
              </w:rPr>
            </w:pPr>
          </w:p>
          <w:p>
            <w:pPr>
              <w:pStyle w:val="TableParagraph"/>
              <w:spacing w:before="1"/>
              <w:ind w:left="25" w:right="15"/>
              <w:rPr>
                <w:sz w:val="14"/>
              </w:rPr>
            </w:pPr>
            <w:r>
              <w:rPr>
                <w:w w:val="105"/>
                <w:sz w:val="14"/>
              </w:rPr>
              <w:t>Col. Rosita</w:t>
            </w:r>
          </w:p>
        </w:tc>
        <w:tc>
          <w:tcPr>
            <w:tcW w:w="898" w:type="dxa"/>
          </w:tcPr>
          <w:p>
            <w:pPr>
              <w:pStyle w:val="TableParagraph"/>
              <w:spacing w:line="283" w:lineRule="auto" w:before="7"/>
              <w:ind w:left="25"/>
              <w:rPr>
                <w:sz w:val="14"/>
              </w:rPr>
            </w:pPr>
            <w:r>
              <w:rPr>
                <w:w w:val="105"/>
                <w:sz w:val="14"/>
              </w:rPr>
              <w:t>La Jornada 20/12/2001:4</w:t>
            </w:r>
          </w:p>
          <w:p>
            <w:pPr>
              <w:pStyle w:val="TableParagraph"/>
              <w:spacing w:before="1"/>
              <w:ind w:left="25"/>
              <w:rPr>
                <w:sz w:val="14"/>
              </w:rPr>
            </w:pPr>
            <w:r>
              <w:rPr>
                <w:w w:val="104"/>
                <w:sz w:val="14"/>
              </w:rPr>
              <w:t>2</w:t>
            </w:r>
          </w:p>
        </w:tc>
        <w:tc>
          <w:tcPr>
            <w:tcW w:w="4074" w:type="dxa"/>
          </w:tcPr>
          <w:p>
            <w:pPr/>
          </w:p>
        </w:tc>
        <w:tc>
          <w:tcPr>
            <w:tcW w:w="915"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1</w:t>
            </w:r>
          </w:p>
        </w:tc>
        <w:tc>
          <w:tcPr>
            <w:tcW w:w="1200"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1</w:t>
            </w:r>
          </w:p>
        </w:tc>
        <w:tc>
          <w:tcPr>
            <w:tcW w:w="923"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50"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Lluvias</w:t>
            </w:r>
          </w:p>
        </w:tc>
        <w:tc>
          <w:tcPr>
            <w:tcW w:w="1278" w:type="dxa"/>
            <w:tcBorders>
              <w:right w:val="single" w:sz="3" w:space="0" w:color="000000"/>
            </w:tcBorders>
          </w:tcPr>
          <w:p>
            <w:pPr/>
          </w:p>
        </w:tc>
      </w:tr>
      <w:tr>
        <w:trPr>
          <w:trHeight w:val="580" w:hRule="exact"/>
        </w:trPr>
        <w:tc>
          <w:tcPr>
            <w:tcW w:w="898" w:type="dxa"/>
          </w:tcPr>
          <w:p>
            <w:pPr>
              <w:pStyle w:val="TableParagraph"/>
              <w:rPr>
                <w:b/>
                <w:sz w:val="14"/>
              </w:rPr>
            </w:pPr>
          </w:p>
          <w:p>
            <w:pPr>
              <w:pStyle w:val="TableParagraph"/>
              <w:spacing w:before="8"/>
              <w:rPr>
                <w:b/>
                <w:sz w:val="19"/>
              </w:rPr>
            </w:pPr>
          </w:p>
          <w:p>
            <w:pPr>
              <w:pStyle w:val="TableParagraph"/>
              <w:spacing w:before="1"/>
              <w:ind w:right="30"/>
              <w:jc w:val="right"/>
              <w:rPr>
                <w:sz w:val="14"/>
              </w:rPr>
            </w:pPr>
            <w:r>
              <w:rPr>
                <w:w w:val="105"/>
                <w:sz w:val="14"/>
              </w:rPr>
              <w:t>14/09/2002</w:t>
            </w:r>
          </w:p>
        </w:tc>
        <w:tc>
          <w:tcPr>
            <w:tcW w:w="897" w:type="dxa"/>
          </w:tcPr>
          <w:p>
            <w:pPr>
              <w:pStyle w:val="TableParagraph"/>
              <w:spacing w:line="283" w:lineRule="auto" w:before="7"/>
              <w:ind w:left="25" w:right="15"/>
              <w:rPr>
                <w:sz w:val="14"/>
              </w:rPr>
            </w:pPr>
            <w:r>
              <w:rPr>
                <w:w w:val="105"/>
                <w:sz w:val="14"/>
              </w:rPr>
              <w:t>Colonia Profesor Arturo López</w:t>
            </w:r>
          </w:p>
        </w:tc>
        <w:tc>
          <w:tcPr>
            <w:tcW w:w="898"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El Universal</w:t>
            </w:r>
          </w:p>
        </w:tc>
        <w:tc>
          <w:tcPr>
            <w:tcW w:w="4074" w:type="dxa"/>
          </w:tcPr>
          <w:p>
            <w:pPr>
              <w:pStyle w:val="TableParagraph"/>
              <w:rPr>
                <w:b/>
                <w:sz w:val="14"/>
              </w:rPr>
            </w:pPr>
          </w:p>
          <w:p>
            <w:pPr>
              <w:pStyle w:val="TableParagraph"/>
              <w:spacing w:before="8"/>
              <w:rPr>
                <w:b/>
                <w:sz w:val="19"/>
              </w:rPr>
            </w:pPr>
          </w:p>
          <w:p>
            <w:pPr>
              <w:pStyle w:val="TableParagraph"/>
              <w:spacing w:before="1"/>
              <w:ind w:left="25" w:right="44"/>
              <w:rPr>
                <w:sz w:val="14"/>
              </w:rPr>
            </w:pPr>
            <w:r>
              <w:rPr>
                <w:w w:val="105"/>
                <w:sz w:val="14"/>
              </w:rPr>
              <w:t>3 deslaves más se han registrado en la zona.</w:t>
            </w:r>
          </w:p>
        </w:tc>
        <w:tc>
          <w:tcPr>
            <w:tcW w:w="915"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1200"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67"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23" w:type="dxa"/>
          </w:tcPr>
          <w:p>
            <w:pPr>
              <w:pStyle w:val="TableParagraph"/>
              <w:rPr>
                <w:b/>
                <w:sz w:val="14"/>
              </w:rPr>
            </w:pPr>
          </w:p>
          <w:p>
            <w:pPr>
              <w:pStyle w:val="TableParagraph"/>
              <w:spacing w:before="8"/>
              <w:rPr>
                <w:b/>
                <w:sz w:val="19"/>
              </w:rPr>
            </w:pPr>
          </w:p>
          <w:p>
            <w:pPr>
              <w:pStyle w:val="TableParagraph"/>
              <w:spacing w:before="1"/>
              <w:ind w:right="28"/>
              <w:jc w:val="right"/>
              <w:rPr>
                <w:sz w:val="14"/>
              </w:rPr>
            </w:pPr>
            <w:r>
              <w:rPr>
                <w:w w:val="104"/>
                <w:sz w:val="14"/>
              </w:rPr>
              <w:t>0</w:t>
            </w:r>
          </w:p>
        </w:tc>
        <w:tc>
          <w:tcPr>
            <w:tcW w:w="950" w:type="dxa"/>
          </w:tcPr>
          <w:p>
            <w:pPr>
              <w:pStyle w:val="TableParagraph"/>
              <w:rPr>
                <w:b/>
                <w:sz w:val="14"/>
              </w:rPr>
            </w:pPr>
          </w:p>
          <w:p>
            <w:pPr>
              <w:pStyle w:val="TableParagraph"/>
              <w:spacing w:before="8"/>
              <w:rPr>
                <w:b/>
                <w:sz w:val="19"/>
              </w:rPr>
            </w:pPr>
          </w:p>
          <w:p>
            <w:pPr>
              <w:pStyle w:val="TableParagraph"/>
              <w:spacing w:before="1"/>
              <w:ind w:left="25"/>
              <w:rPr>
                <w:sz w:val="14"/>
              </w:rPr>
            </w:pPr>
            <w:r>
              <w:rPr>
                <w:w w:val="105"/>
                <w:sz w:val="14"/>
              </w:rPr>
              <w:t>Lluvias</w:t>
            </w:r>
          </w:p>
        </w:tc>
        <w:tc>
          <w:tcPr>
            <w:tcW w:w="1278" w:type="dxa"/>
            <w:tcBorders>
              <w:right w:val="single" w:sz="3" w:space="0" w:color="000000"/>
            </w:tcBorders>
          </w:tcPr>
          <w:p>
            <w:pPr/>
          </w:p>
        </w:tc>
      </w:tr>
      <w:tr>
        <w:trPr>
          <w:trHeight w:val="770" w:hRule="exact"/>
        </w:trPr>
        <w:tc>
          <w:tcPr>
            <w:tcW w:w="898" w:type="dxa"/>
          </w:tcPr>
          <w:p>
            <w:pPr>
              <w:pStyle w:val="TableParagraph"/>
              <w:rPr>
                <w:b/>
                <w:sz w:val="14"/>
              </w:rPr>
            </w:pPr>
          </w:p>
          <w:p>
            <w:pPr>
              <w:pStyle w:val="TableParagraph"/>
              <w:rPr>
                <w:b/>
                <w:sz w:val="14"/>
              </w:rPr>
            </w:pPr>
          </w:p>
          <w:p>
            <w:pPr>
              <w:pStyle w:val="TableParagraph"/>
              <w:rPr>
                <w:b/>
                <w:sz w:val="14"/>
              </w:rPr>
            </w:pPr>
          </w:p>
          <w:p>
            <w:pPr>
              <w:pStyle w:val="TableParagraph"/>
              <w:spacing w:before="95"/>
              <w:ind w:right="30"/>
              <w:jc w:val="right"/>
              <w:rPr>
                <w:sz w:val="14"/>
              </w:rPr>
            </w:pPr>
            <w:r>
              <w:rPr>
                <w:w w:val="105"/>
                <w:sz w:val="14"/>
              </w:rPr>
              <w:t>09/07/2004</w:t>
            </w:r>
          </w:p>
        </w:tc>
        <w:tc>
          <w:tcPr>
            <w:tcW w:w="897" w:type="dxa"/>
          </w:tcPr>
          <w:p>
            <w:pPr>
              <w:pStyle w:val="TableParagraph"/>
              <w:spacing w:before="2"/>
              <w:rPr>
                <w:b/>
                <w:sz w:val="17"/>
              </w:rPr>
            </w:pPr>
          </w:p>
          <w:p>
            <w:pPr>
              <w:pStyle w:val="TableParagraph"/>
              <w:spacing w:line="283" w:lineRule="auto"/>
              <w:ind w:left="25" w:right="-10"/>
              <w:rPr>
                <w:sz w:val="14"/>
              </w:rPr>
            </w:pPr>
            <w:r>
              <w:rPr>
                <w:w w:val="105"/>
                <w:sz w:val="14"/>
              </w:rPr>
              <w:t>Carretera México- Toluca  km 24</w:t>
            </w:r>
          </w:p>
        </w:tc>
        <w:tc>
          <w:tcPr>
            <w:tcW w:w="898" w:type="dxa"/>
          </w:tcPr>
          <w:p>
            <w:pPr>
              <w:pStyle w:val="TableParagraph"/>
              <w:spacing w:before="2"/>
              <w:rPr>
                <w:b/>
                <w:sz w:val="17"/>
              </w:rPr>
            </w:pPr>
          </w:p>
          <w:p>
            <w:pPr>
              <w:pStyle w:val="TableParagraph"/>
              <w:spacing w:line="283" w:lineRule="auto"/>
              <w:ind w:left="25" w:right="105"/>
              <w:rPr>
                <w:sz w:val="14"/>
              </w:rPr>
            </w:pPr>
            <w:r>
              <w:rPr>
                <w:w w:val="105"/>
                <w:sz w:val="14"/>
              </w:rPr>
              <w:t>El Universal 11/07/2004:</w:t>
            </w:r>
          </w:p>
          <w:p>
            <w:pPr>
              <w:pStyle w:val="TableParagraph"/>
              <w:spacing w:before="1"/>
              <w:ind w:left="25"/>
              <w:rPr>
                <w:sz w:val="14"/>
              </w:rPr>
            </w:pPr>
            <w:r>
              <w:rPr>
                <w:w w:val="105"/>
                <w:sz w:val="14"/>
              </w:rPr>
              <w:t>1c</w:t>
            </w:r>
          </w:p>
        </w:tc>
        <w:tc>
          <w:tcPr>
            <w:tcW w:w="4074" w:type="dxa"/>
          </w:tcPr>
          <w:p>
            <w:pPr/>
          </w:p>
        </w:tc>
        <w:tc>
          <w:tcPr>
            <w:tcW w:w="915" w:type="dxa"/>
          </w:tcPr>
          <w:p>
            <w:pPr>
              <w:pStyle w:val="TableParagraph"/>
              <w:rPr>
                <w:b/>
                <w:sz w:val="14"/>
              </w:rPr>
            </w:pPr>
          </w:p>
          <w:p>
            <w:pPr>
              <w:pStyle w:val="TableParagraph"/>
              <w:rPr>
                <w:b/>
                <w:sz w:val="14"/>
              </w:rPr>
            </w:pPr>
          </w:p>
          <w:p>
            <w:pPr>
              <w:pStyle w:val="TableParagraph"/>
              <w:rPr>
                <w:b/>
                <w:sz w:val="14"/>
              </w:rPr>
            </w:pPr>
          </w:p>
          <w:p>
            <w:pPr>
              <w:pStyle w:val="TableParagraph"/>
              <w:spacing w:before="95"/>
              <w:ind w:right="28"/>
              <w:jc w:val="right"/>
              <w:rPr>
                <w:sz w:val="14"/>
              </w:rPr>
            </w:pPr>
            <w:r>
              <w:rPr>
                <w:w w:val="104"/>
                <w:sz w:val="14"/>
              </w:rPr>
              <w:t>0</w:t>
            </w:r>
          </w:p>
        </w:tc>
        <w:tc>
          <w:tcPr>
            <w:tcW w:w="1200" w:type="dxa"/>
          </w:tcPr>
          <w:p>
            <w:pPr>
              <w:pStyle w:val="TableParagraph"/>
              <w:rPr>
                <w:b/>
                <w:sz w:val="14"/>
              </w:rPr>
            </w:pPr>
          </w:p>
          <w:p>
            <w:pPr>
              <w:pStyle w:val="TableParagraph"/>
              <w:rPr>
                <w:b/>
                <w:sz w:val="14"/>
              </w:rPr>
            </w:pPr>
          </w:p>
          <w:p>
            <w:pPr>
              <w:pStyle w:val="TableParagraph"/>
              <w:rPr>
                <w:b/>
                <w:sz w:val="14"/>
              </w:rPr>
            </w:pPr>
          </w:p>
          <w:p>
            <w:pPr>
              <w:pStyle w:val="TableParagraph"/>
              <w:spacing w:before="95"/>
              <w:ind w:right="28"/>
              <w:jc w:val="right"/>
              <w:rPr>
                <w:sz w:val="14"/>
              </w:rPr>
            </w:pPr>
            <w:r>
              <w:rPr>
                <w:w w:val="104"/>
                <w:sz w:val="14"/>
              </w:rPr>
              <w:t>0</w:t>
            </w:r>
          </w:p>
        </w:tc>
        <w:tc>
          <w:tcPr>
            <w:tcW w:w="967" w:type="dxa"/>
          </w:tcPr>
          <w:p>
            <w:pPr>
              <w:pStyle w:val="TableParagraph"/>
              <w:rPr>
                <w:b/>
                <w:sz w:val="14"/>
              </w:rPr>
            </w:pPr>
          </w:p>
          <w:p>
            <w:pPr>
              <w:pStyle w:val="TableParagraph"/>
              <w:rPr>
                <w:b/>
                <w:sz w:val="14"/>
              </w:rPr>
            </w:pPr>
          </w:p>
          <w:p>
            <w:pPr>
              <w:pStyle w:val="TableParagraph"/>
              <w:rPr>
                <w:b/>
                <w:sz w:val="14"/>
              </w:rPr>
            </w:pPr>
          </w:p>
          <w:p>
            <w:pPr>
              <w:pStyle w:val="TableParagraph"/>
              <w:spacing w:before="95"/>
              <w:ind w:right="28"/>
              <w:jc w:val="right"/>
              <w:rPr>
                <w:sz w:val="14"/>
              </w:rPr>
            </w:pPr>
            <w:r>
              <w:rPr>
                <w:w w:val="104"/>
                <w:sz w:val="14"/>
              </w:rPr>
              <w:t>0</w:t>
            </w:r>
          </w:p>
        </w:tc>
        <w:tc>
          <w:tcPr>
            <w:tcW w:w="923" w:type="dxa"/>
          </w:tcPr>
          <w:p>
            <w:pPr>
              <w:pStyle w:val="TableParagraph"/>
              <w:rPr>
                <w:b/>
                <w:sz w:val="14"/>
              </w:rPr>
            </w:pPr>
          </w:p>
          <w:p>
            <w:pPr>
              <w:pStyle w:val="TableParagraph"/>
              <w:rPr>
                <w:b/>
                <w:sz w:val="14"/>
              </w:rPr>
            </w:pPr>
          </w:p>
          <w:p>
            <w:pPr>
              <w:pStyle w:val="TableParagraph"/>
              <w:rPr>
                <w:b/>
                <w:sz w:val="14"/>
              </w:rPr>
            </w:pPr>
          </w:p>
          <w:p>
            <w:pPr>
              <w:pStyle w:val="TableParagraph"/>
              <w:spacing w:before="95"/>
              <w:ind w:right="28"/>
              <w:jc w:val="right"/>
              <w:rPr>
                <w:sz w:val="14"/>
              </w:rPr>
            </w:pPr>
            <w:r>
              <w:rPr>
                <w:w w:val="104"/>
                <w:sz w:val="14"/>
              </w:rPr>
              <w:t>0</w:t>
            </w:r>
          </w:p>
        </w:tc>
        <w:tc>
          <w:tcPr>
            <w:tcW w:w="950" w:type="dxa"/>
          </w:tcPr>
          <w:p>
            <w:pPr>
              <w:pStyle w:val="TableParagraph"/>
              <w:rPr>
                <w:b/>
                <w:sz w:val="14"/>
              </w:rPr>
            </w:pPr>
          </w:p>
          <w:p>
            <w:pPr>
              <w:pStyle w:val="TableParagraph"/>
              <w:rPr>
                <w:b/>
                <w:sz w:val="14"/>
              </w:rPr>
            </w:pPr>
          </w:p>
          <w:p>
            <w:pPr>
              <w:pStyle w:val="TableParagraph"/>
              <w:rPr>
                <w:b/>
                <w:sz w:val="14"/>
              </w:rPr>
            </w:pPr>
          </w:p>
          <w:p>
            <w:pPr>
              <w:pStyle w:val="TableParagraph"/>
              <w:spacing w:before="95"/>
              <w:ind w:left="25"/>
              <w:rPr>
                <w:sz w:val="14"/>
              </w:rPr>
            </w:pPr>
            <w:r>
              <w:rPr>
                <w:w w:val="105"/>
                <w:sz w:val="14"/>
              </w:rPr>
              <w:t>Lluvias</w:t>
            </w:r>
          </w:p>
        </w:tc>
        <w:tc>
          <w:tcPr>
            <w:tcW w:w="1278" w:type="dxa"/>
            <w:tcBorders>
              <w:right w:val="single" w:sz="3" w:space="0" w:color="000000"/>
            </w:tcBorders>
          </w:tcPr>
          <w:p>
            <w:pPr/>
          </w:p>
        </w:tc>
      </w:tr>
    </w:tbl>
    <w:p>
      <w:pPr>
        <w:spacing w:after="0"/>
        <w:sectPr>
          <w:pgSz w:w="15840" w:h="12240" w:orient="landscape"/>
          <w:pgMar w:top="1140" w:bottom="280" w:left="1300" w:right="1300"/>
        </w:sectPr>
      </w:pPr>
    </w:p>
    <w:p>
      <w:pPr>
        <w:pStyle w:val="BodyText"/>
        <w:rPr>
          <w:sz w:val="20"/>
        </w:rPr>
      </w:pPr>
    </w:p>
    <w:p>
      <w:pPr>
        <w:pStyle w:val="BodyText"/>
        <w:spacing w:before="9"/>
        <w:rPr>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98"/>
        <w:gridCol w:w="897"/>
        <w:gridCol w:w="898"/>
        <w:gridCol w:w="4074"/>
        <w:gridCol w:w="915"/>
        <w:gridCol w:w="1200"/>
        <w:gridCol w:w="967"/>
        <w:gridCol w:w="923"/>
        <w:gridCol w:w="950"/>
        <w:gridCol w:w="1278"/>
      </w:tblGrid>
      <w:tr>
        <w:trPr>
          <w:trHeight w:val="397" w:hRule="exact"/>
        </w:trPr>
        <w:tc>
          <w:tcPr>
            <w:tcW w:w="898" w:type="dxa"/>
            <w:shd w:val="clear" w:color="auto" w:fill="212B35"/>
          </w:tcPr>
          <w:p>
            <w:pPr>
              <w:pStyle w:val="TableParagraph"/>
              <w:spacing w:before="110"/>
              <w:ind w:right="41"/>
              <w:jc w:val="right"/>
              <w:rPr>
                <w:b/>
                <w:sz w:val="15"/>
              </w:rPr>
            </w:pPr>
            <w:r>
              <w:rPr>
                <w:b/>
                <w:color w:val="FFFFFF"/>
                <w:w w:val="105"/>
                <w:sz w:val="15"/>
              </w:rPr>
              <w:t>Fecha Inicio</w:t>
            </w:r>
          </w:p>
        </w:tc>
        <w:tc>
          <w:tcPr>
            <w:tcW w:w="897" w:type="dxa"/>
            <w:shd w:val="clear" w:color="auto" w:fill="212B35"/>
          </w:tcPr>
          <w:p>
            <w:pPr>
              <w:pStyle w:val="TableParagraph"/>
              <w:spacing w:before="110"/>
              <w:ind w:left="284" w:right="15"/>
              <w:rPr>
                <w:b/>
                <w:sz w:val="15"/>
              </w:rPr>
            </w:pPr>
            <w:r>
              <w:rPr>
                <w:b/>
                <w:color w:val="FFFFFF"/>
                <w:w w:val="105"/>
                <w:sz w:val="15"/>
              </w:rPr>
              <w:t>Sitio</w:t>
            </w:r>
          </w:p>
        </w:tc>
        <w:tc>
          <w:tcPr>
            <w:tcW w:w="898" w:type="dxa"/>
            <w:shd w:val="clear" w:color="auto" w:fill="212B35"/>
          </w:tcPr>
          <w:p>
            <w:pPr>
              <w:pStyle w:val="TableParagraph"/>
              <w:spacing w:before="110"/>
              <w:ind w:right="188"/>
              <w:jc w:val="right"/>
              <w:rPr>
                <w:b/>
                <w:sz w:val="15"/>
              </w:rPr>
            </w:pPr>
            <w:r>
              <w:rPr>
                <w:b/>
                <w:color w:val="FFFFFF"/>
                <w:sz w:val="15"/>
              </w:rPr>
              <w:t>Fuentes</w:t>
            </w:r>
          </w:p>
        </w:tc>
        <w:tc>
          <w:tcPr>
            <w:tcW w:w="4074" w:type="dxa"/>
            <w:shd w:val="clear" w:color="auto" w:fill="212B35"/>
          </w:tcPr>
          <w:p>
            <w:pPr>
              <w:pStyle w:val="TableParagraph"/>
              <w:spacing w:before="110"/>
              <w:ind w:left="1199" w:right="44"/>
              <w:rPr>
                <w:b/>
                <w:sz w:val="15"/>
              </w:rPr>
            </w:pPr>
            <w:r>
              <w:rPr>
                <w:b/>
                <w:color w:val="FFFFFF"/>
                <w:w w:val="105"/>
                <w:sz w:val="15"/>
              </w:rPr>
              <w:t>Observaciones de efectos</w:t>
            </w:r>
          </w:p>
        </w:tc>
        <w:tc>
          <w:tcPr>
            <w:tcW w:w="915" w:type="dxa"/>
            <w:shd w:val="clear" w:color="auto" w:fill="212B35"/>
          </w:tcPr>
          <w:p>
            <w:pPr>
              <w:pStyle w:val="TableParagraph"/>
              <w:spacing w:before="110"/>
              <w:ind w:left="172"/>
              <w:rPr>
                <w:b/>
                <w:sz w:val="15"/>
              </w:rPr>
            </w:pPr>
            <w:r>
              <w:rPr>
                <w:b/>
                <w:color w:val="FFFFFF"/>
                <w:w w:val="105"/>
                <w:sz w:val="15"/>
              </w:rPr>
              <w:t>Muertos</w:t>
            </w:r>
          </w:p>
        </w:tc>
        <w:tc>
          <w:tcPr>
            <w:tcW w:w="1200" w:type="dxa"/>
            <w:shd w:val="clear" w:color="auto" w:fill="212B35"/>
          </w:tcPr>
          <w:p>
            <w:pPr>
              <w:pStyle w:val="TableParagraph"/>
              <w:spacing w:before="110"/>
              <w:ind w:left="129"/>
              <w:rPr>
                <w:b/>
                <w:sz w:val="15"/>
              </w:rPr>
            </w:pPr>
            <w:r>
              <w:rPr>
                <w:b/>
                <w:color w:val="FFFFFF"/>
                <w:w w:val="105"/>
                <w:sz w:val="15"/>
              </w:rPr>
              <w:t>Damnificados</w:t>
            </w:r>
          </w:p>
        </w:tc>
        <w:tc>
          <w:tcPr>
            <w:tcW w:w="967" w:type="dxa"/>
            <w:shd w:val="clear" w:color="auto" w:fill="212B35"/>
          </w:tcPr>
          <w:p>
            <w:pPr>
              <w:pStyle w:val="TableParagraph"/>
              <w:spacing w:line="276" w:lineRule="auto" w:before="15"/>
              <w:ind w:left="138" w:right="133" w:firstLine="17"/>
              <w:rPr>
                <w:b/>
                <w:sz w:val="15"/>
              </w:rPr>
            </w:pPr>
            <w:r>
              <w:rPr>
                <w:b/>
                <w:color w:val="FFFFFF"/>
                <w:sz w:val="15"/>
              </w:rPr>
              <w:t>Viviendas destruidas</w:t>
            </w:r>
          </w:p>
        </w:tc>
        <w:tc>
          <w:tcPr>
            <w:tcW w:w="923" w:type="dxa"/>
            <w:shd w:val="clear" w:color="auto" w:fill="212B35"/>
          </w:tcPr>
          <w:p>
            <w:pPr>
              <w:pStyle w:val="TableParagraph"/>
              <w:spacing w:line="276" w:lineRule="auto" w:before="15"/>
              <w:ind w:left="146" w:right="118" w:hanging="18"/>
              <w:rPr>
                <w:b/>
                <w:sz w:val="15"/>
              </w:rPr>
            </w:pPr>
            <w:r>
              <w:rPr>
                <w:b/>
                <w:color w:val="FFFFFF"/>
                <w:sz w:val="15"/>
              </w:rPr>
              <w:t>Viviendas </w:t>
            </w:r>
            <w:r>
              <w:rPr>
                <w:b/>
                <w:color w:val="FFFFFF"/>
                <w:w w:val="105"/>
                <w:sz w:val="15"/>
              </w:rPr>
              <w:t>afectadas</w:t>
            </w:r>
          </w:p>
        </w:tc>
        <w:tc>
          <w:tcPr>
            <w:tcW w:w="950" w:type="dxa"/>
            <w:shd w:val="clear" w:color="auto" w:fill="212B35"/>
          </w:tcPr>
          <w:p>
            <w:pPr>
              <w:pStyle w:val="TableParagraph"/>
              <w:spacing w:line="276" w:lineRule="auto" w:before="15"/>
              <w:ind w:left="284" w:hanging="69"/>
              <w:rPr>
                <w:b/>
                <w:sz w:val="15"/>
              </w:rPr>
            </w:pPr>
            <w:r>
              <w:rPr>
                <w:b/>
                <w:color w:val="FFFFFF"/>
                <w:w w:val="105"/>
                <w:sz w:val="15"/>
              </w:rPr>
              <w:t>Tipo de causa</w:t>
            </w:r>
          </w:p>
        </w:tc>
        <w:tc>
          <w:tcPr>
            <w:tcW w:w="1278" w:type="dxa"/>
            <w:tcBorders>
              <w:right w:val="single" w:sz="3" w:space="0" w:color="000000"/>
            </w:tcBorders>
            <w:shd w:val="clear" w:color="auto" w:fill="212B35"/>
          </w:tcPr>
          <w:p>
            <w:pPr>
              <w:pStyle w:val="TableParagraph"/>
              <w:spacing w:line="276" w:lineRule="auto" w:before="15"/>
              <w:ind w:left="448" w:right="15" w:hanging="398"/>
              <w:rPr>
                <w:b/>
                <w:sz w:val="15"/>
              </w:rPr>
            </w:pPr>
            <w:r>
              <w:rPr>
                <w:b/>
                <w:color w:val="FFFFFF"/>
                <w:w w:val="105"/>
                <w:sz w:val="15"/>
              </w:rPr>
              <w:t>Observaciones de causa</w:t>
            </w:r>
          </w:p>
        </w:tc>
      </w:tr>
      <w:tr>
        <w:trPr>
          <w:trHeight w:val="950"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right="30"/>
              <w:jc w:val="right"/>
              <w:rPr>
                <w:sz w:val="14"/>
              </w:rPr>
            </w:pPr>
            <w:r>
              <w:rPr>
                <w:w w:val="105"/>
                <w:sz w:val="14"/>
              </w:rPr>
              <w:t>21/08/2004</w:t>
            </w:r>
          </w:p>
        </w:tc>
        <w:tc>
          <w:tcPr>
            <w:tcW w:w="897" w:type="dxa"/>
          </w:tcPr>
          <w:p>
            <w:pPr>
              <w:pStyle w:val="TableParagraph"/>
              <w:rPr>
                <w:sz w:val="14"/>
              </w:rPr>
            </w:pPr>
          </w:p>
          <w:p>
            <w:pPr>
              <w:pStyle w:val="TableParagraph"/>
              <w:rPr>
                <w:sz w:val="14"/>
              </w:rPr>
            </w:pPr>
          </w:p>
          <w:p>
            <w:pPr>
              <w:pStyle w:val="TableParagraph"/>
              <w:rPr>
                <w:sz w:val="14"/>
              </w:rPr>
            </w:pPr>
          </w:p>
          <w:p>
            <w:pPr>
              <w:pStyle w:val="TableParagraph"/>
              <w:spacing w:line="283" w:lineRule="auto" w:before="86"/>
              <w:ind w:left="25" w:right="15"/>
              <w:rPr>
                <w:sz w:val="14"/>
              </w:rPr>
            </w:pPr>
            <w:r>
              <w:rPr>
                <w:w w:val="105"/>
                <w:sz w:val="14"/>
              </w:rPr>
              <w:t>Colonia Chamizal</w:t>
            </w:r>
          </w:p>
        </w:tc>
        <w:tc>
          <w:tcPr>
            <w:tcW w:w="898" w:type="dxa"/>
          </w:tcPr>
          <w:p>
            <w:pPr>
              <w:pStyle w:val="TableParagraph"/>
              <w:rPr>
                <w:sz w:val="14"/>
              </w:rPr>
            </w:pPr>
          </w:p>
          <w:p>
            <w:pPr>
              <w:pStyle w:val="TableParagraph"/>
              <w:spacing w:before="11"/>
              <w:rPr>
                <w:sz w:val="18"/>
              </w:rPr>
            </w:pPr>
          </w:p>
          <w:p>
            <w:pPr>
              <w:pStyle w:val="TableParagraph"/>
              <w:spacing w:line="283" w:lineRule="auto"/>
              <w:ind w:left="25"/>
              <w:rPr>
                <w:sz w:val="14"/>
              </w:rPr>
            </w:pPr>
            <w:r>
              <w:rPr>
                <w:w w:val="105"/>
                <w:sz w:val="14"/>
              </w:rPr>
              <w:t>La Jornada 22/08/2004:</w:t>
            </w:r>
          </w:p>
          <w:p>
            <w:pPr>
              <w:pStyle w:val="TableParagraph"/>
              <w:spacing w:before="1"/>
              <w:ind w:left="25"/>
              <w:rPr>
                <w:sz w:val="14"/>
              </w:rPr>
            </w:pPr>
            <w:r>
              <w:rPr>
                <w:w w:val="105"/>
                <w:sz w:val="14"/>
              </w:rPr>
              <w:t>35a</w:t>
            </w:r>
          </w:p>
        </w:tc>
        <w:tc>
          <w:tcPr>
            <w:tcW w:w="4074" w:type="dxa"/>
          </w:tcPr>
          <w:p>
            <w:pPr>
              <w:pStyle w:val="TableParagraph"/>
              <w:spacing w:line="283" w:lineRule="auto"/>
              <w:ind w:left="25" w:right="44"/>
              <w:rPr>
                <w:sz w:val="14"/>
              </w:rPr>
            </w:pPr>
            <w:r>
              <w:rPr>
                <w:w w:val="105"/>
                <w:sz w:val="14"/>
              </w:rPr>
              <w:t>La fuerte lluvia que cayó durante las primeras horas del sábado provocó un deslave que ocasionó la muerte de tres trabajadores de una construcción. El siniestro ocurrió alrededor del mediodía cuando se desgajó un promontorio de tierra en un fraccionamien to residencial de dicha colonia.</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right="28"/>
              <w:jc w:val="right"/>
              <w:rPr>
                <w:sz w:val="14"/>
              </w:rPr>
            </w:pPr>
            <w:r>
              <w:rPr>
                <w:w w:val="104"/>
                <w:sz w:val="14"/>
              </w:rPr>
              <w:t>3</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5"/>
              <w:ind w:left="25"/>
              <w:rPr>
                <w:sz w:val="14"/>
              </w:rPr>
            </w:pPr>
            <w:r>
              <w:rPr>
                <w:w w:val="105"/>
                <w:sz w:val="14"/>
              </w:rPr>
              <w:t>Lluvias</w:t>
            </w:r>
          </w:p>
        </w:tc>
        <w:tc>
          <w:tcPr>
            <w:tcW w:w="1278" w:type="dxa"/>
            <w:tcBorders>
              <w:right w:val="single" w:sz="3" w:space="0" w:color="000000"/>
            </w:tcBorders>
          </w:tcPr>
          <w:p>
            <w:pPr/>
          </w:p>
        </w:tc>
      </w:tr>
      <w:tr>
        <w:trPr>
          <w:trHeight w:val="639" w:hRule="exact"/>
        </w:trPr>
        <w:tc>
          <w:tcPr>
            <w:tcW w:w="898" w:type="dxa"/>
          </w:tcPr>
          <w:p>
            <w:pPr>
              <w:pStyle w:val="TableParagraph"/>
              <w:rPr>
                <w:sz w:val="14"/>
              </w:rPr>
            </w:pPr>
          </w:p>
          <w:p>
            <w:pPr>
              <w:pStyle w:val="TableParagraph"/>
              <w:rPr>
                <w:sz w:val="14"/>
              </w:rPr>
            </w:pPr>
          </w:p>
          <w:p>
            <w:pPr>
              <w:pStyle w:val="TableParagraph"/>
              <w:spacing w:before="125"/>
              <w:ind w:right="30"/>
              <w:jc w:val="right"/>
              <w:rPr>
                <w:sz w:val="14"/>
              </w:rPr>
            </w:pPr>
            <w:r>
              <w:rPr>
                <w:w w:val="105"/>
                <w:sz w:val="14"/>
              </w:rPr>
              <w:t>09/09/2004</w:t>
            </w:r>
          </w:p>
        </w:tc>
        <w:tc>
          <w:tcPr>
            <w:tcW w:w="897" w:type="dxa"/>
          </w:tcPr>
          <w:p>
            <w:pPr>
              <w:pStyle w:val="TableParagraph"/>
              <w:rPr>
                <w:sz w:val="14"/>
              </w:rPr>
            </w:pPr>
          </w:p>
          <w:p>
            <w:pPr>
              <w:pStyle w:val="TableParagraph"/>
              <w:spacing w:line="283" w:lineRule="auto" w:before="96"/>
              <w:ind w:left="25" w:right="15"/>
              <w:rPr>
                <w:sz w:val="14"/>
              </w:rPr>
            </w:pPr>
            <w:r>
              <w:rPr>
                <w:w w:val="105"/>
                <w:sz w:val="14"/>
              </w:rPr>
              <w:t>Paraje Las Galicias</w:t>
            </w:r>
          </w:p>
        </w:tc>
        <w:tc>
          <w:tcPr>
            <w:tcW w:w="898" w:type="dxa"/>
          </w:tcPr>
          <w:p>
            <w:pPr>
              <w:pStyle w:val="TableParagraph"/>
              <w:spacing w:line="283" w:lineRule="auto" w:before="67"/>
              <w:ind w:left="25" w:right="105"/>
              <w:rPr>
                <w:sz w:val="14"/>
              </w:rPr>
            </w:pPr>
            <w:r>
              <w:rPr>
                <w:w w:val="105"/>
                <w:sz w:val="14"/>
              </w:rPr>
              <w:t>El Universal 10/09/2004:</w:t>
            </w:r>
          </w:p>
          <w:p>
            <w:pPr>
              <w:pStyle w:val="TableParagraph"/>
              <w:spacing w:before="1"/>
              <w:ind w:left="25"/>
              <w:rPr>
                <w:sz w:val="14"/>
              </w:rPr>
            </w:pPr>
            <w:r>
              <w:rPr>
                <w:w w:val="105"/>
                <w:sz w:val="14"/>
              </w:rPr>
              <w:t>2c</w:t>
            </w:r>
          </w:p>
        </w:tc>
        <w:tc>
          <w:tcPr>
            <w:tcW w:w="4074" w:type="dxa"/>
          </w:tcPr>
          <w:p>
            <w:pPr>
              <w:pStyle w:val="TableParagraph"/>
              <w:spacing w:line="283" w:lineRule="auto" w:before="67"/>
              <w:ind w:left="25" w:right="44"/>
              <w:rPr>
                <w:sz w:val="14"/>
              </w:rPr>
            </w:pPr>
            <w:r>
              <w:rPr>
                <w:w w:val="105"/>
                <w:sz w:val="14"/>
              </w:rPr>
              <w:t>Varios deslizamientos se </w:t>
            </w:r>
            <w:r>
              <w:rPr>
                <w:spacing w:val="-4"/>
                <w:w w:val="105"/>
                <w:sz w:val="14"/>
              </w:rPr>
              <w:t>han </w:t>
            </w:r>
            <w:r>
              <w:rPr>
                <w:w w:val="105"/>
                <w:sz w:val="14"/>
              </w:rPr>
              <w:t>producido en la zona debido a las </w:t>
            </w:r>
            <w:r>
              <w:rPr>
                <w:spacing w:val="-3"/>
                <w:w w:val="105"/>
                <w:sz w:val="14"/>
              </w:rPr>
              <w:t>lluvias </w:t>
            </w:r>
            <w:r>
              <w:rPr>
                <w:w w:val="105"/>
                <w:sz w:val="14"/>
              </w:rPr>
              <w:t>y 7 familias fueron </w:t>
            </w:r>
            <w:r>
              <w:rPr>
                <w:spacing w:val="-4"/>
                <w:w w:val="105"/>
                <w:sz w:val="14"/>
              </w:rPr>
              <w:t>evacuadas </w:t>
            </w:r>
            <w:r>
              <w:rPr>
                <w:w w:val="105"/>
                <w:sz w:val="14"/>
              </w:rPr>
              <w:t>en forma </w:t>
            </w:r>
            <w:r>
              <w:rPr>
                <w:spacing w:val="-3"/>
                <w:w w:val="105"/>
                <w:sz w:val="14"/>
              </w:rPr>
              <w:t>preventiva ya </w:t>
            </w:r>
            <w:r>
              <w:rPr>
                <w:spacing w:val="-4"/>
                <w:w w:val="105"/>
                <w:sz w:val="14"/>
              </w:rPr>
              <w:t>que </w:t>
            </w:r>
            <w:r>
              <w:rPr>
                <w:w w:val="105"/>
                <w:sz w:val="14"/>
              </w:rPr>
              <w:t>sus </w:t>
            </w:r>
            <w:r>
              <w:rPr>
                <w:spacing w:val="-4"/>
                <w:w w:val="105"/>
                <w:sz w:val="14"/>
              </w:rPr>
              <w:t>viviendas </w:t>
            </w:r>
            <w:r>
              <w:rPr>
                <w:w w:val="105"/>
                <w:sz w:val="14"/>
              </w:rPr>
              <w:t>se encontraban en </w:t>
            </w:r>
            <w:r>
              <w:rPr>
                <w:spacing w:val="-4"/>
                <w:w w:val="105"/>
                <w:sz w:val="14"/>
              </w:rPr>
              <w:t>una </w:t>
            </w:r>
            <w:r>
              <w:rPr>
                <w:w w:val="105"/>
                <w:sz w:val="14"/>
              </w:rPr>
              <w:t>zona </w:t>
            </w:r>
            <w:r>
              <w:rPr>
                <w:spacing w:val="-3"/>
                <w:w w:val="105"/>
                <w:sz w:val="14"/>
              </w:rPr>
              <w:t>de </w:t>
            </w:r>
            <w:r>
              <w:rPr>
                <w:w w:val="105"/>
                <w:sz w:val="14"/>
              </w:rPr>
              <w:t>alto riesgo.</w:t>
            </w:r>
          </w:p>
        </w:tc>
        <w:tc>
          <w:tcPr>
            <w:tcW w:w="915" w:type="dxa"/>
          </w:tcPr>
          <w:p>
            <w:pPr>
              <w:pStyle w:val="TableParagraph"/>
              <w:rPr>
                <w:sz w:val="14"/>
              </w:rPr>
            </w:pPr>
          </w:p>
          <w:p>
            <w:pPr>
              <w:pStyle w:val="TableParagraph"/>
              <w:rPr>
                <w:sz w:val="14"/>
              </w:rPr>
            </w:pPr>
          </w:p>
          <w:p>
            <w:pPr>
              <w:pStyle w:val="TableParagraph"/>
              <w:spacing w:before="125"/>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spacing w:before="125"/>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spacing w:before="125"/>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spacing w:before="125"/>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spacing w:before="125"/>
              <w:ind w:left="25"/>
              <w:rPr>
                <w:sz w:val="14"/>
              </w:rPr>
            </w:pPr>
            <w:r>
              <w:rPr>
                <w:w w:val="105"/>
                <w:sz w:val="14"/>
              </w:rPr>
              <w:t>Lluvias</w:t>
            </w:r>
          </w:p>
        </w:tc>
        <w:tc>
          <w:tcPr>
            <w:tcW w:w="1278" w:type="dxa"/>
            <w:tcBorders>
              <w:right w:val="single" w:sz="3" w:space="0" w:color="000000"/>
            </w:tcBorders>
          </w:tcPr>
          <w:p>
            <w:pPr/>
          </w:p>
        </w:tc>
      </w:tr>
      <w:tr>
        <w:trPr>
          <w:trHeight w:val="207" w:hRule="exact"/>
        </w:trPr>
        <w:tc>
          <w:tcPr>
            <w:tcW w:w="898" w:type="dxa"/>
          </w:tcPr>
          <w:p>
            <w:pPr>
              <w:pStyle w:val="TableParagraph"/>
              <w:spacing w:before="16"/>
              <w:ind w:right="30"/>
              <w:jc w:val="right"/>
              <w:rPr>
                <w:sz w:val="14"/>
              </w:rPr>
            </w:pPr>
            <w:r>
              <w:rPr>
                <w:w w:val="105"/>
                <w:sz w:val="14"/>
              </w:rPr>
              <w:t>02/09/2005</w:t>
            </w:r>
          </w:p>
        </w:tc>
        <w:tc>
          <w:tcPr>
            <w:tcW w:w="897" w:type="dxa"/>
          </w:tcPr>
          <w:p>
            <w:pPr/>
          </w:p>
        </w:tc>
        <w:tc>
          <w:tcPr>
            <w:tcW w:w="898" w:type="dxa"/>
          </w:tcPr>
          <w:p>
            <w:pPr>
              <w:pStyle w:val="TableParagraph"/>
              <w:spacing w:before="16"/>
              <w:ind w:right="227"/>
              <w:jc w:val="right"/>
              <w:rPr>
                <w:sz w:val="14"/>
              </w:rPr>
            </w:pPr>
            <w:r>
              <w:rPr>
                <w:w w:val="105"/>
                <w:sz w:val="14"/>
              </w:rPr>
              <w:t>La Jornada</w:t>
            </w:r>
          </w:p>
        </w:tc>
        <w:tc>
          <w:tcPr>
            <w:tcW w:w="4074" w:type="dxa"/>
          </w:tcPr>
          <w:p>
            <w:pPr/>
          </w:p>
        </w:tc>
        <w:tc>
          <w:tcPr>
            <w:tcW w:w="915" w:type="dxa"/>
          </w:tcPr>
          <w:p>
            <w:pPr>
              <w:pStyle w:val="TableParagraph"/>
              <w:spacing w:before="16"/>
              <w:ind w:right="28"/>
              <w:jc w:val="right"/>
              <w:rPr>
                <w:sz w:val="14"/>
              </w:rPr>
            </w:pPr>
            <w:r>
              <w:rPr>
                <w:w w:val="104"/>
                <w:sz w:val="14"/>
              </w:rPr>
              <w:t>0</w:t>
            </w:r>
          </w:p>
        </w:tc>
        <w:tc>
          <w:tcPr>
            <w:tcW w:w="1200" w:type="dxa"/>
          </w:tcPr>
          <w:p>
            <w:pPr>
              <w:pStyle w:val="TableParagraph"/>
              <w:spacing w:before="16"/>
              <w:ind w:right="28"/>
              <w:jc w:val="right"/>
              <w:rPr>
                <w:sz w:val="14"/>
              </w:rPr>
            </w:pPr>
            <w:r>
              <w:rPr>
                <w:w w:val="104"/>
                <w:sz w:val="14"/>
              </w:rPr>
              <w:t>0</w:t>
            </w:r>
          </w:p>
        </w:tc>
        <w:tc>
          <w:tcPr>
            <w:tcW w:w="967" w:type="dxa"/>
          </w:tcPr>
          <w:p>
            <w:pPr>
              <w:pStyle w:val="TableParagraph"/>
              <w:spacing w:before="16"/>
              <w:ind w:right="28"/>
              <w:jc w:val="right"/>
              <w:rPr>
                <w:sz w:val="14"/>
              </w:rPr>
            </w:pPr>
            <w:r>
              <w:rPr>
                <w:w w:val="104"/>
                <w:sz w:val="14"/>
              </w:rPr>
              <w:t>0</w:t>
            </w:r>
          </w:p>
        </w:tc>
        <w:tc>
          <w:tcPr>
            <w:tcW w:w="923" w:type="dxa"/>
          </w:tcPr>
          <w:p>
            <w:pPr>
              <w:pStyle w:val="TableParagraph"/>
              <w:spacing w:before="16"/>
              <w:ind w:right="28"/>
              <w:jc w:val="right"/>
              <w:rPr>
                <w:sz w:val="14"/>
              </w:rPr>
            </w:pPr>
            <w:r>
              <w:rPr>
                <w:w w:val="104"/>
                <w:sz w:val="14"/>
              </w:rPr>
              <w:t>0</w:t>
            </w:r>
          </w:p>
        </w:tc>
        <w:tc>
          <w:tcPr>
            <w:tcW w:w="950" w:type="dxa"/>
          </w:tcPr>
          <w:p>
            <w:pPr>
              <w:pStyle w:val="TableParagraph"/>
              <w:spacing w:before="16"/>
              <w:ind w:left="25"/>
              <w:rPr>
                <w:sz w:val="14"/>
              </w:rPr>
            </w:pPr>
            <w:r>
              <w:rPr>
                <w:w w:val="105"/>
                <w:sz w:val="14"/>
              </w:rPr>
              <w:t>Lluvias</w:t>
            </w:r>
          </w:p>
        </w:tc>
        <w:tc>
          <w:tcPr>
            <w:tcW w:w="1278" w:type="dxa"/>
            <w:tcBorders>
              <w:right w:val="single" w:sz="3" w:space="0" w:color="000000"/>
            </w:tcBorders>
          </w:tcPr>
          <w:p>
            <w:pPr/>
          </w:p>
        </w:tc>
      </w:tr>
      <w:tr>
        <w:trPr>
          <w:trHeight w:val="388" w:hRule="exact"/>
        </w:trPr>
        <w:tc>
          <w:tcPr>
            <w:tcW w:w="898" w:type="dxa"/>
          </w:tcPr>
          <w:p>
            <w:pPr>
              <w:pStyle w:val="TableParagraph"/>
              <w:spacing w:before="1"/>
              <w:rPr>
                <w:sz w:val="17"/>
              </w:rPr>
            </w:pPr>
          </w:p>
          <w:p>
            <w:pPr>
              <w:pStyle w:val="TableParagraph"/>
              <w:spacing w:before="1"/>
              <w:ind w:right="30"/>
              <w:jc w:val="right"/>
              <w:rPr>
                <w:sz w:val="14"/>
              </w:rPr>
            </w:pPr>
            <w:r>
              <w:rPr>
                <w:w w:val="105"/>
                <w:sz w:val="14"/>
              </w:rPr>
              <w:t>26/08/2006</w:t>
            </w:r>
          </w:p>
        </w:tc>
        <w:tc>
          <w:tcPr>
            <w:tcW w:w="897" w:type="dxa"/>
          </w:tcPr>
          <w:p>
            <w:pPr>
              <w:pStyle w:val="TableParagraph"/>
              <w:spacing w:line="283" w:lineRule="auto" w:before="7"/>
              <w:ind w:left="25" w:right="15"/>
              <w:rPr>
                <w:sz w:val="14"/>
              </w:rPr>
            </w:pPr>
            <w:r>
              <w:rPr>
                <w:w w:val="105"/>
                <w:sz w:val="14"/>
              </w:rPr>
              <w:t>Paraje Las Galicias</w:t>
            </w:r>
          </w:p>
        </w:tc>
        <w:tc>
          <w:tcPr>
            <w:tcW w:w="898" w:type="dxa"/>
          </w:tcPr>
          <w:p>
            <w:pPr>
              <w:pStyle w:val="TableParagraph"/>
              <w:spacing w:before="1"/>
              <w:rPr>
                <w:sz w:val="17"/>
              </w:rPr>
            </w:pPr>
          </w:p>
          <w:p>
            <w:pPr>
              <w:pStyle w:val="TableParagraph"/>
              <w:spacing w:before="1"/>
              <w:ind w:right="227"/>
              <w:jc w:val="right"/>
              <w:rPr>
                <w:sz w:val="14"/>
              </w:rPr>
            </w:pPr>
            <w:r>
              <w:rPr>
                <w:w w:val="105"/>
                <w:sz w:val="14"/>
              </w:rPr>
              <w:t>La Jornada</w:t>
            </w:r>
          </w:p>
        </w:tc>
        <w:tc>
          <w:tcPr>
            <w:tcW w:w="4074" w:type="dxa"/>
          </w:tcPr>
          <w:p>
            <w:pPr/>
          </w:p>
        </w:tc>
        <w:tc>
          <w:tcPr>
            <w:tcW w:w="915" w:type="dxa"/>
          </w:tcPr>
          <w:p>
            <w:pPr>
              <w:pStyle w:val="TableParagraph"/>
              <w:spacing w:before="1"/>
              <w:rPr>
                <w:sz w:val="17"/>
              </w:rPr>
            </w:pPr>
          </w:p>
          <w:p>
            <w:pPr>
              <w:pStyle w:val="TableParagraph"/>
              <w:spacing w:before="1"/>
              <w:ind w:right="28"/>
              <w:jc w:val="right"/>
              <w:rPr>
                <w:sz w:val="14"/>
              </w:rPr>
            </w:pPr>
            <w:r>
              <w:rPr>
                <w:w w:val="104"/>
                <w:sz w:val="14"/>
              </w:rPr>
              <w:t>4</w:t>
            </w:r>
          </w:p>
        </w:tc>
        <w:tc>
          <w:tcPr>
            <w:tcW w:w="1200" w:type="dxa"/>
          </w:tcPr>
          <w:p>
            <w:pPr>
              <w:pStyle w:val="TableParagraph"/>
              <w:spacing w:before="1"/>
              <w:rPr>
                <w:sz w:val="17"/>
              </w:rPr>
            </w:pPr>
          </w:p>
          <w:p>
            <w:pPr>
              <w:pStyle w:val="TableParagraph"/>
              <w:spacing w:before="1"/>
              <w:ind w:right="28"/>
              <w:jc w:val="right"/>
              <w:rPr>
                <w:sz w:val="14"/>
              </w:rPr>
            </w:pPr>
            <w:r>
              <w:rPr>
                <w:w w:val="104"/>
                <w:sz w:val="14"/>
              </w:rPr>
              <w:t>0</w:t>
            </w:r>
          </w:p>
        </w:tc>
        <w:tc>
          <w:tcPr>
            <w:tcW w:w="967" w:type="dxa"/>
          </w:tcPr>
          <w:p>
            <w:pPr>
              <w:pStyle w:val="TableParagraph"/>
              <w:spacing w:before="1"/>
              <w:rPr>
                <w:sz w:val="17"/>
              </w:rPr>
            </w:pPr>
          </w:p>
          <w:p>
            <w:pPr>
              <w:pStyle w:val="TableParagraph"/>
              <w:spacing w:before="1"/>
              <w:ind w:right="28"/>
              <w:jc w:val="right"/>
              <w:rPr>
                <w:sz w:val="14"/>
              </w:rPr>
            </w:pPr>
            <w:r>
              <w:rPr>
                <w:w w:val="104"/>
                <w:sz w:val="14"/>
              </w:rPr>
              <w:t>1</w:t>
            </w:r>
          </w:p>
        </w:tc>
        <w:tc>
          <w:tcPr>
            <w:tcW w:w="923" w:type="dxa"/>
          </w:tcPr>
          <w:p>
            <w:pPr>
              <w:pStyle w:val="TableParagraph"/>
              <w:spacing w:before="1"/>
              <w:rPr>
                <w:sz w:val="17"/>
              </w:rPr>
            </w:pPr>
          </w:p>
          <w:p>
            <w:pPr>
              <w:pStyle w:val="TableParagraph"/>
              <w:spacing w:before="1"/>
              <w:ind w:right="28"/>
              <w:jc w:val="right"/>
              <w:rPr>
                <w:sz w:val="14"/>
              </w:rPr>
            </w:pPr>
            <w:r>
              <w:rPr>
                <w:w w:val="104"/>
                <w:sz w:val="14"/>
              </w:rPr>
              <w:t>0</w:t>
            </w:r>
          </w:p>
        </w:tc>
        <w:tc>
          <w:tcPr>
            <w:tcW w:w="950" w:type="dxa"/>
          </w:tcPr>
          <w:p>
            <w:pPr>
              <w:pStyle w:val="TableParagraph"/>
              <w:spacing w:before="1"/>
              <w:rPr>
                <w:sz w:val="17"/>
              </w:rPr>
            </w:pPr>
          </w:p>
          <w:p>
            <w:pPr>
              <w:pStyle w:val="TableParagraph"/>
              <w:spacing w:before="1"/>
              <w:ind w:left="25"/>
              <w:rPr>
                <w:sz w:val="14"/>
              </w:rPr>
            </w:pPr>
            <w:r>
              <w:rPr>
                <w:w w:val="105"/>
                <w:sz w:val="14"/>
              </w:rPr>
              <w:t>Huracán</w:t>
            </w:r>
          </w:p>
        </w:tc>
        <w:tc>
          <w:tcPr>
            <w:tcW w:w="1278" w:type="dxa"/>
            <w:tcBorders>
              <w:right w:val="single" w:sz="3" w:space="0" w:color="000000"/>
            </w:tcBorders>
          </w:tcPr>
          <w:p>
            <w:pPr>
              <w:pStyle w:val="TableParagraph"/>
              <w:spacing w:before="1"/>
              <w:rPr>
                <w:sz w:val="17"/>
              </w:rPr>
            </w:pPr>
          </w:p>
          <w:p>
            <w:pPr>
              <w:pStyle w:val="TableParagraph"/>
              <w:spacing w:before="1"/>
              <w:ind w:left="25" w:right="15"/>
              <w:rPr>
                <w:sz w:val="14"/>
              </w:rPr>
            </w:pPr>
            <w:r>
              <w:rPr>
                <w:w w:val="105"/>
                <w:sz w:val="14"/>
              </w:rPr>
              <w:t>Ileana</w:t>
            </w:r>
          </w:p>
        </w:tc>
      </w:tr>
      <w:tr>
        <w:trPr>
          <w:trHeight w:val="768"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30"/>
              <w:jc w:val="right"/>
              <w:rPr>
                <w:sz w:val="14"/>
              </w:rPr>
            </w:pPr>
            <w:r>
              <w:rPr>
                <w:w w:val="105"/>
                <w:sz w:val="14"/>
              </w:rPr>
              <w:t>24/09/2006</w:t>
            </w:r>
          </w:p>
        </w:tc>
        <w:tc>
          <w:tcPr>
            <w:tcW w:w="897" w:type="dxa"/>
          </w:tcPr>
          <w:p>
            <w:pPr>
              <w:pStyle w:val="TableParagraph"/>
              <w:spacing w:before="7"/>
              <w:ind w:left="25" w:right="15"/>
              <w:rPr>
                <w:sz w:val="14"/>
              </w:rPr>
            </w:pPr>
            <w:r>
              <w:rPr>
                <w:w w:val="105"/>
                <w:sz w:val="14"/>
              </w:rPr>
              <w:t>Km. 35</w:t>
            </w:r>
          </w:p>
          <w:p>
            <w:pPr>
              <w:pStyle w:val="TableParagraph"/>
              <w:spacing w:line="283" w:lineRule="auto" w:before="28"/>
              <w:ind w:left="25" w:right="15"/>
              <w:rPr>
                <w:sz w:val="14"/>
              </w:rPr>
            </w:pPr>
            <w:r>
              <w:rPr>
                <w:w w:val="105"/>
                <w:sz w:val="14"/>
              </w:rPr>
              <w:t>Autopista México- Toluca</w:t>
            </w:r>
          </w:p>
        </w:tc>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139"/>
              <w:jc w:val="right"/>
              <w:rPr>
                <w:sz w:val="14"/>
              </w:rPr>
            </w:pPr>
            <w:r>
              <w:rPr>
                <w:w w:val="105"/>
                <w:sz w:val="14"/>
              </w:rPr>
              <w:t>El Universal</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94"/>
              <w:ind w:left="25" w:right="44"/>
              <w:rPr>
                <w:sz w:val="14"/>
              </w:rPr>
            </w:pPr>
            <w:r>
              <w:rPr>
                <w:w w:val="105"/>
                <w:sz w:val="14"/>
              </w:rPr>
              <w:t>Cierre temporal de la carretera.</w:t>
            </w:r>
          </w:p>
        </w:tc>
        <w:tc>
          <w:tcPr>
            <w:tcW w:w="915"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spacing w:before="94"/>
              <w:ind w:left="25"/>
              <w:rPr>
                <w:sz w:val="14"/>
              </w:rPr>
            </w:pPr>
            <w:r>
              <w:rPr>
                <w:w w:val="105"/>
                <w:sz w:val="14"/>
              </w:rPr>
              <w:t>Lluvias</w:t>
            </w:r>
          </w:p>
        </w:tc>
        <w:tc>
          <w:tcPr>
            <w:tcW w:w="1278" w:type="dxa"/>
            <w:tcBorders>
              <w:right w:val="single" w:sz="3" w:space="0" w:color="000000"/>
            </w:tcBorders>
          </w:tcPr>
          <w:p>
            <w:pPr>
              <w:pStyle w:val="TableParagraph"/>
              <w:rPr>
                <w:sz w:val="14"/>
              </w:rPr>
            </w:pPr>
          </w:p>
          <w:p>
            <w:pPr>
              <w:pStyle w:val="TableParagraph"/>
              <w:spacing w:before="8"/>
              <w:rPr>
                <w:sz w:val="19"/>
              </w:rPr>
            </w:pPr>
          </w:p>
          <w:p>
            <w:pPr>
              <w:pStyle w:val="TableParagraph"/>
              <w:spacing w:line="283" w:lineRule="auto"/>
              <w:ind w:left="25" w:right="15"/>
              <w:rPr>
                <w:sz w:val="14"/>
              </w:rPr>
            </w:pPr>
            <w:r>
              <w:rPr>
                <w:w w:val="105"/>
                <w:sz w:val="14"/>
              </w:rPr>
              <w:t>Reblandecimiento del terreno</w:t>
            </w:r>
          </w:p>
        </w:tc>
      </w:tr>
      <w:tr>
        <w:trPr>
          <w:trHeight w:val="769"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30"/>
              <w:jc w:val="right"/>
              <w:rPr>
                <w:sz w:val="14"/>
              </w:rPr>
            </w:pPr>
            <w:r>
              <w:rPr>
                <w:w w:val="105"/>
                <w:sz w:val="14"/>
              </w:rPr>
              <w:t>26/09/2006</w:t>
            </w:r>
          </w:p>
        </w:tc>
        <w:tc>
          <w:tcPr>
            <w:tcW w:w="897" w:type="dxa"/>
          </w:tcPr>
          <w:p>
            <w:pPr>
              <w:pStyle w:val="TableParagraph"/>
              <w:spacing w:before="7"/>
              <w:ind w:left="25" w:right="15"/>
              <w:rPr>
                <w:sz w:val="14"/>
              </w:rPr>
            </w:pPr>
            <w:r>
              <w:rPr>
                <w:w w:val="105"/>
                <w:sz w:val="14"/>
              </w:rPr>
              <w:t>Km. 32.5</w:t>
            </w:r>
          </w:p>
          <w:p>
            <w:pPr>
              <w:pStyle w:val="TableParagraph"/>
              <w:spacing w:line="283" w:lineRule="auto" w:before="28"/>
              <w:ind w:left="25" w:right="15"/>
              <w:rPr>
                <w:sz w:val="14"/>
              </w:rPr>
            </w:pPr>
            <w:r>
              <w:rPr>
                <w:w w:val="105"/>
                <w:sz w:val="14"/>
              </w:rPr>
              <w:t>Autopista México- Toluca</w:t>
            </w:r>
          </w:p>
        </w:tc>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139"/>
              <w:jc w:val="right"/>
              <w:rPr>
                <w:sz w:val="14"/>
              </w:rPr>
            </w:pPr>
            <w:r>
              <w:rPr>
                <w:w w:val="105"/>
                <w:sz w:val="14"/>
              </w:rPr>
              <w:t>El Universal</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94"/>
              <w:ind w:left="25" w:right="44"/>
              <w:rPr>
                <w:sz w:val="14"/>
              </w:rPr>
            </w:pPr>
            <w:r>
              <w:rPr>
                <w:w w:val="105"/>
                <w:sz w:val="14"/>
              </w:rPr>
              <w:t>Cierre temporal de carretera.</w:t>
            </w:r>
          </w:p>
        </w:tc>
        <w:tc>
          <w:tcPr>
            <w:tcW w:w="915"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spacing w:before="94"/>
              <w:ind w:left="25"/>
              <w:rPr>
                <w:sz w:val="14"/>
              </w:rPr>
            </w:pPr>
            <w:r>
              <w:rPr>
                <w:w w:val="105"/>
                <w:sz w:val="14"/>
              </w:rPr>
              <w:t>Lluvias</w:t>
            </w:r>
          </w:p>
        </w:tc>
        <w:tc>
          <w:tcPr>
            <w:tcW w:w="1278" w:type="dxa"/>
            <w:tcBorders>
              <w:right w:val="single" w:sz="3" w:space="0" w:color="000000"/>
            </w:tcBorders>
          </w:tcPr>
          <w:p>
            <w:pPr>
              <w:pStyle w:val="TableParagraph"/>
              <w:rPr>
                <w:sz w:val="14"/>
              </w:rPr>
            </w:pPr>
          </w:p>
          <w:p>
            <w:pPr>
              <w:pStyle w:val="TableParagraph"/>
              <w:spacing w:before="8"/>
              <w:rPr>
                <w:sz w:val="19"/>
              </w:rPr>
            </w:pPr>
          </w:p>
          <w:p>
            <w:pPr>
              <w:pStyle w:val="TableParagraph"/>
              <w:ind w:left="25" w:right="15"/>
              <w:rPr>
                <w:sz w:val="14"/>
              </w:rPr>
            </w:pPr>
            <w:r>
              <w:rPr>
                <w:w w:val="105"/>
                <w:sz w:val="14"/>
              </w:rPr>
              <w:t>FF No. 4; 3</w:t>
            </w:r>
          </w:p>
          <w:p>
            <w:pPr>
              <w:pStyle w:val="TableParagraph"/>
              <w:spacing w:before="28"/>
              <w:ind w:left="25" w:right="15"/>
              <w:rPr>
                <w:sz w:val="14"/>
              </w:rPr>
            </w:pPr>
            <w:r>
              <w:rPr>
                <w:w w:val="105"/>
                <w:sz w:val="14"/>
              </w:rPr>
              <w:t>derrumbes más</w:t>
            </w:r>
          </w:p>
        </w:tc>
      </w:tr>
      <w:tr>
        <w:trPr>
          <w:trHeight w:val="388" w:hRule="exact"/>
        </w:trPr>
        <w:tc>
          <w:tcPr>
            <w:tcW w:w="898" w:type="dxa"/>
          </w:tcPr>
          <w:p>
            <w:pPr>
              <w:pStyle w:val="TableParagraph"/>
              <w:spacing w:before="1"/>
              <w:rPr>
                <w:sz w:val="17"/>
              </w:rPr>
            </w:pPr>
          </w:p>
          <w:p>
            <w:pPr>
              <w:pStyle w:val="TableParagraph"/>
              <w:ind w:right="30"/>
              <w:jc w:val="right"/>
              <w:rPr>
                <w:sz w:val="14"/>
              </w:rPr>
            </w:pPr>
            <w:r>
              <w:rPr>
                <w:w w:val="105"/>
                <w:sz w:val="14"/>
              </w:rPr>
              <w:t>29/07/2007</w:t>
            </w:r>
          </w:p>
        </w:tc>
        <w:tc>
          <w:tcPr>
            <w:tcW w:w="897" w:type="dxa"/>
          </w:tcPr>
          <w:p>
            <w:pPr>
              <w:pStyle w:val="TableParagraph"/>
              <w:spacing w:line="283" w:lineRule="auto" w:before="7"/>
              <w:ind w:left="25" w:right="15"/>
              <w:rPr>
                <w:sz w:val="14"/>
              </w:rPr>
            </w:pPr>
            <w:r>
              <w:rPr>
                <w:w w:val="105"/>
                <w:sz w:val="14"/>
              </w:rPr>
              <w:t>Paraje Las Galicias.</w:t>
            </w:r>
          </w:p>
        </w:tc>
        <w:tc>
          <w:tcPr>
            <w:tcW w:w="898" w:type="dxa"/>
          </w:tcPr>
          <w:p>
            <w:pPr>
              <w:pStyle w:val="TableParagraph"/>
              <w:spacing w:before="1"/>
              <w:rPr>
                <w:sz w:val="17"/>
              </w:rPr>
            </w:pPr>
          </w:p>
          <w:p>
            <w:pPr>
              <w:pStyle w:val="TableParagraph"/>
              <w:ind w:right="227"/>
              <w:jc w:val="right"/>
              <w:rPr>
                <w:sz w:val="14"/>
              </w:rPr>
            </w:pPr>
            <w:r>
              <w:rPr>
                <w:w w:val="105"/>
                <w:sz w:val="14"/>
              </w:rPr>
              <w:t>La Jornada</w:t>
            </w:r>
          </w:p>
        </w:tc>
        <w:tc>
          <w:tcPr>
            <w:tcW w:w="4074" w:type="dxa"/>
          </w:tcPr>
          <w:p>
            <w:pPr>
              <w:pStyle w:val="TableParagraph"/>
              <w:spacing w:before="1"/>
              <w:rPr>
                <w:sz w:val="17"/>
              </w:rPr>
            </w:pPr>
          </w:p>
          <w:p>
            <w:pPr>
              <w:pStyle w:val="TableParagraph"/>
              <w:ind w:left="25" w:right="44"/>
              <w:rPr>
                <w:sz w:val="14"/>
              </w:rPr>
            </w:pPr>
            <w:r>
              <w:rPr>
                <w:w w:val="105"/>
                <w:sz w:val="14"/>
              </w:rPr>
              <w:t>Carretera bloqueada.</w:t>
            </w:r>
          </w:p>
        </w:tc>
        <w:tc>
          <w:tcPr>
            <w:tcW w:w="915" w:type="dxa"/>
          </w:tcPr>
          <w:p>
            <w:pPr>
              <w:pStyle w:val="TableParagraph"/>
              <w:spacing w:before="1"/>
              <w:rPr>
                <w:sz w:val="17"/>
              </w:rPr>
            </w:pPr>
          </w:p>
          <w:p>
            <w:pPr>
              <w:pStyle w:val="TableParagraph"/>
              <w:ind w:right="28"/>
              <w:jc w:val="right"/>
              <w:rPr>
                <w:sz w:val="14"/>
              </w:rPr>
            </w:pPr>
            <w:r>
              <w:rPr>
                <w:w w:val="104"/>
                <w:sz w:val="14"/>
              </w:rPr>
              <w:t>0</w:t>
            </w:r>
          </w:p>
        </w:tc>
        <w:tc>
          <w:tcPr>
            <w:tcW w:w="1200" w:type="dxa"/>
          </w:tcPr>
          <w:p>
            <w:pPr>
              <w:pStyle w:val="TableParagraph"/>
              <w:spacing w:before="1"/>
              <w:rPr>
                <w:sz w:val="17"/>
              </w:rPr>
            </w:pPr>
          </w:p>
          <w:p>
            <w:pPr>
              <w:pStyle w:val="TableParagraph"/>
              <w:ind w:right="28"/>
              <w:jc w:val="right"/>
              <w:rPr>
                <w:sz w:val="14"/>
              </w:rPr>
            </w:pPr>
            <w:r>
              <w:rPr>
                <w:w w:val="104"/>
                <w:sz w:val="14"/>
              </w:rPr>
              <w:t>0</w:t>
            </w:r>
          </w:p>
        </w:tc>
        <w:tc>
          <w:tcPr>
            <w:tcW w:w="967" w:type="dxa"/>
          </w:tcPr>
          <w:p>
            <w:pPr>
              <w:pStyle w:val="TableParagraph"/>
              <w:spacing w:before="1"/>
              <w:rPr>
                <w:sz w:val="17"/>
              </w:rPr>
            </w:pPr>
          </w:p>
          <w:p>
            <w:pPr>
              <w:pStyle w:val="TableParagraph"/>
              <w:ind w:right="28"/>
              <w:jc w:val="right"/>
              <w:rPr>
                <w:sz w:val="14"/>
              </w:rPr>
            </w:pPr>
            <w:r>
              <w:rPr>
                <w:w w:val="104"/>
                <w:sz w:val="14"/>
              </w:rPr>
              <w:t>0</w:t>
            </w:r>
          </w:p>
        </w:tc>
        <w:tc>
          <w:tcPr>
            <w:tcW w:w="923" w:type="dxa"/>
          </w:tcPr>
          <w:p>
            <w:pPr>
              <w:pStyle w:val="TableParagraph"/>
              <w:spacing w:before="1"/>
              <w:rPr>
                <w:sz w:val="17"/>
              </w:rPr>
            </w:pPr>
          </w:p>
          <w:p>
            <w:pPr>
              <w:pStyle w:val="TableParagraph"/>
              <w:ind w:left="25" w:right="118"/>
              <w:rPr>
                <w:sz w:val="14"/>
              </w:rPr>
            </w:pPr>
            <w:r>
              <w:rPr>
                <w:w w:val="105"/>
                <w:sz w:val="14"/>
              </w:rPr>
              <w:t>Si</w:t>
            </w:r>
          </w:p>
        </w:tc>
        <w:tc>
          <w:tcPr>
            <w:tcW w:w="950" w:type="dxa"/>
          </w:tcPr>
          <w:p>
            <w:pPr>
              <w:pStyle w:val="TableParagraph"/>
              <w:spacing w:before="1"/>
              <w:rPr>
                <w:sz w:val="17"/>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1209"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30"/>
              <w:jc w:val="right"/>
              <w:rPr>
                <w:sz w:val="14"/>
              </w:rPr>
            </w:pPr>
            <w:r>
              <w:rPr>
                <w:w w:val="105"/>
                <w:sz w:val="14"/>
              </w:rPr>
              <w:t>27/07/2009</w:t>
            </w:r>
          </w:p>
        </w:tc>
        <w:tc>
          <w:tcPr>
            <w:tcW w:w="897" w:type="dxa"/>
          </w:tcPr>
          <w:p>
            <w:pPr>
              <w:pStyle w:val="TableParagraph"/>
              <w:rPr>
                <w:sz w:val="14"/>
              </w:rPr>
            </w:pPr>
          </w:p>
          <w:p>
            <w:pPr>
              <w:pStyle w:val="TableParagraph"/>
              <w:rPr>
                <w:sz w:val="14"/>
              </w:rPr>
            </w:pPr>
          </w:p>
          <w:p>
            <w:pPr>
              <w:pStyle w:val="TableParagraph"/>
              <w:spacing w:line="283" w:lineRule="auto" w:before="125"/>
              <w:ind w:left="25" w:right="59"/>
              <w:rPr>
                <w:sz w:val="14"/>
              </w:rPr>
            </w:pPr>
            <w:r>
              <w:rPr>
                <w:w w:val="105"/>
                <w:sz w:val="14"/>
              </w:rPr>
              <w:t>Av. Prolongación Paseo de la Reforma.</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227"/>
              <w:jc w:val="right"/>
              <w:rPr>
                <w:sz w:val="14"/>
              </w:rPr>
            </w:pPr>
            <w:r>
              <w:rPr>
                <w:w w:val="105"/>
                <w:sz w:val="14"/>
              </w:rPr>
              <w:t>La Jornada</w:t>
            </w:r>
          </w:p>
        </w:tc>
        <w:tc>
          <w:tcPr>
            <w:tcW w:w="4074" w:type="dxa"/>
          </w:tcPr>
          <w:p>
            <w:pPr>
              <w:pStyle w:val="TableParagraph"/>
              <w:rPr>
                <w:sz w:val="14"/>
              </w:rPr>
            </w:pPr>
          </w:p>
          <w:p>
            <w:pPr>
              <w:pStyle w:val="TableParagraph"/>
              <w:spacing w:line="283" w:lineRule="auto" w:before="97"/>
              <w:ind w:left="25"/>
              <w:rPr>
                <w:sz w:val="14"/>
              </w:rPr>
            </w:pPr>
            <w:r>
              <w:rPr>
                <w:w w:val="105"/>
                <w:sz w:val="14"/>
              </w:rPr>
              <w:t>Se registró el desgajamiento </w:t>
            </w:r>
            <w:r>
              <w:rPr>
                <w:spacing w:val="-3"/>
                <w:w w:val="105"/>
                <w:sz w:val="14"/>
              </w:rPr>
              <w:t>de </w:t>
            </w:r>
            <w:r>
              <w:rPr>
                <w:spacing w:val="-4"/>
                <w:w w:val="105"/>
                <w:sz w:val="14"/>
              </w:rPr>
              <w:t>una </w:t>
            </w:r>
            <w:r>
              <w:rPr>
                <w:w w:val="105"/>
                <w:sz w:val="14"/>
              </w:rPr>
              <w:t>pared en </w:t>
            </w:r>
            <w:r>
              <w:rPr>
                <w:spacing w:val="-4"/>
                <w:w w:val="105"/>
                <w:sz w:val="14"/>
              </w:rPr>
              <w:t>una </w:t>
            </w:r>
            <w:r>
              <w:rPr>
                <w:w w:val="105"/>
                <w:sz w:val="14"/>
              </w:rPr>
              <w:t>obra </w:t>
            </w:r>
            <w:r>
              <w:rPr>
                <w:spacing w:val="-3"/>
                <w:w w:val="105"/>
                <w:sz w:val="14"/>
              </w:rPr>
              <w:t>de </w:t>
            </w:r>
            <w:r>
              <w:rPr>
                <w:w w:val="105"/>
                <w:sz w:val="14"/>
              </w:rPr>
              <w:t>excavación </w:t>
            </w:r>
            <w:r>
              <w:rPr>
                <w:spacing w:val="-4"/>
                <w:w w:val="105"/>
                <w:sz w:val="14"/>
              </w:rPr>
              <w:t>que </w:t>
            </w:r>
            <w:r>
              <w:rPr>
                <w:w w:val="105"/>
                <w:sz w:val="14"/>
              </w:rPr>
              <w:t>tiene 30 m. </w:t>
            </w:r>
            <w:r>
              <w:rPr>
                <w:spacing w:val="-3"/>
                <w:w w:val="105"/>
                <w:sz w:val="14"/>
              </w:rPr>
              <w:t>de profundidad, </w:t>
            </w:r>
            <w:r>
              <w:rPr>
                <w:w w:val="105"/>
                <w:sz w:val="14"/>
              </w:rPr>
              <w:t>afectando 2 carriles </w:t>
            </w:r>
            <w:r>
              <w:rPr>
                <w:spacing w:val="-3"/>
                <w:w w:val="105"/>
                <w:sz w:val="14"/>
              </w:rPr>
              <w:t>de </w:t>
            </w:r>
            <w:r>
              <w:rPr>
                <w:w w:val="105"/>
                <w:sz w:val="14"/>
              </w:rPr>
              <w:t>la </w:t>
            </w:r>
            <w:r>
              <w:rPr>
                <w:spacing w:val="-8"/>
                <w:w w:val="105"/>
                <w:sz w:val="14"/>
              </w:rPr>
              <w:t>Av.</w:t>
            </w:r>
          </w:p>
          <w:p>
            <w:pPr>
              <w:pStyle w:val="TableParagraph"/>
              <w:spacing w:line="283" w:lineRule="auto" w:before="1"/>
              <w:ind w:left="25" w:right="330"/>
              <w:rPr>
                <w:sz w:val="14"/>
              </w:rPr>
            </w:pPr>
            <w:r>
              <w:rPr>
                <w:w w:val="105"/>
                <w:sz w:val="14"/>
              </w:rPr>
              <w:t>Prolongación Paseo de la Reforma. En ese sitio se pretende construir un edificio de 16 pisos de departamentos, sin haberse construido muros de contención para la excavación.</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8"/>
              </w:rPr>
            </w:pPr>
          </w:p>
          <w:p>
            <w:pPr>
              <w:pStyle w:val="TableParagraph"/>
              <w:spacing w:before="1"/>
              <w:ind w:left="25"/>
              <w:rPr>
                <w:sz w:val="14"/>
              </w:rPr>
            </w:pPr>
            <w:r>
              <w:rPr>
                <w:w w:val="105"/>
                <w:sz w:val="14"/>
              </w:rPr>
              <w:t>Negligencia</w:t>
            </w:r>
          </w:p>
        </w:tc>
        <w:tc>
          <w:tcPr>
            <w:tcW w:w="1278" w:type="dxa"/>
            <w:tcBorders>
              <w:right w:val="single" w:sz="3" w:space="0" w:color="000000"/>
            </w:tcBorders>
          </w:tcPr>
          <w:p>
            <w:pPr>
              <w:pStyle w:val="TableParagraph"/>
              <w:spacing w:line="283" w:lineRule="auto" w:before="67"/>
              <w:ind w:left="25" w:right="15"/>
              <w:rPr>
                <w:sz w:val="14"/>
              </w:rPr>
            </w:pPr>
            <w:r>
              <w:rPr>
                <w:w w:val="105"/>
                <w:sz w:val="14"/>
              </w:rPr>
              <w:t>Excavación para la construcción de edificio de departamentos sin medidas de seguridad.</w:t>
            </w:r>
          </w:p>
        </w:tc>
      </w:tr>
      <w:tr>
        <w:trPr>
          <w:trHeight w:val="1805"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30"/>
              <w:jc w:val="right"/>
              <w:rPr>
                <w:sz w:val="14"/>
              </w:rPr>
            </w:pPr>
            <w:r>
              <w:rPr>
                <w:w w:val="105"/>
                <w:sz w:val="14"/>
              </w:rPr>
              <w:t>14/07/2010</w:t>
            </w:r>
          </w:p>
        </w:tc>
        <w:tc>
          <w:tcPr>
            <w:tcW w:w="89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8"/>
              </w:rPr>
            </w:pPr>
          </w:p>
          <w:p>
            <w:pPr>
              <w:pStyle w:val="TableParagraph"/>
              <w:spacing w:line="283" w:lineRule="auto" w:before="1"/>
              <w:ind w:left="25" w:right="15"/>
              <w:rPr>
                <w:sz w:val="14"/>
              </w:rPr>
            </w:pPr>
            <w:r>
              <w:rPr>
                <w:w w:val="105"/>
                <w:sz w:val="14"/>
              </w:rPr>
              <w:t>Juan Salvador Graz No. 37, colonia Ponderosa, Santa Fe</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139"/>
              <w:jc w:val="right"/>
              <w:rPr>
                <w:sz w:val="14"/>
              </w:rPr>
            </w:pPr>
            <w:r>
              <w:rPr>
                <w:w w:val="105"/>
                <w:sz w:val="14"/>
              </w:rPr>
              <w:t>El Universal</w:t>
            </w:r>
          </w:p>
        </w:tc>
        <w:tc>
          <w:tcPr>
            <w:tcW w:w="4074" w:type="dxa"/>
          </w:tcPr>
          <w:p>
            <w:pPr>
              <w:pStyle w:val="TableParagraph"/>
              <w:spacing w:line="283" w:lineRule="auto" w:before="94"/>
              <w:ind w:left="25" w:right="26"/>
              <w:rPr>
                <w:sz w:val="14"/>
              </w:rPr>
            </w:pPr>
            <w:r>
              <w:rPr>
                <w:spacing w:val="2"/>
                <w:w w:val="105"/>
                <w:sz w:val="14"/>
              </w:rPr>
              <w:t>320 </w:t>
            </w:r>
            <w:r>
              <w:rPr>
                <w:w w:val="105"/>
                <w:sz w:val="14"/>
              </w:rPr>
              <w:t>personas del edificio </w:t>
            </w:r>
            <w:r>
              <w:rPr>
                <w:spacing w:val="-3"/>
                <w:w w:val="105"/>
                <w:sz w:val="14"/>
              </w:rPr>
              <w:t>de </w:t>
            </w:r>
            <w:r>
              <w:rPr>
                <w:w w:val="105"/>
                <w:sz w:val="14"/>
              </w:rPr>
              <w:t>departamentos Escape fueron desalojadas, luego </w:t>
            </w:r>
            <w:r>
              <w:rPr>
                <w:spacing w:val="-3"/>
                <w:w w:val="105"/>
                <w:sz w:val="14"/>
              </w:rPr>
              <w:t>de </w:t>
            </w:r>
            <w:r>
              <w:rPr>
                <w:spacing w:val="-4"/>
                <w:w w:val="105"/>
                <w:sz w:val="14"/>
              </w:rPr>
              <w:t>que </w:t>
            </w:r>
            <w:r>
              <w:rPr>
                <w:w w:val="105"/>
                <w:sz w:val="14"/>
              </w:rPr>
              <w:t>en el predio contiguo se registró </w:t>
            </w:r>
            <w:r>
              <w:rPr>
                <w:spacing w:val="-3"/>
                <w:w w:val="105"/>
                <w:sz w:val="14"/>
              </w:rPr>
              <w:t>un deslave </w:t>
            </w:r>
            <w:r>
              <w:rPr>
                <w:spacing w:val="-4"/>
                <w:w w:val="105"/>
                <w:sz w:val="14"/>
              </w:rPr>
              <w:t>que </w:t>
            </w:r>
            <w:r>
              <w:rPr>
                <w:w w:val="105"/>
                <w:sz w:val="14"/>
              </w:rPr>
              <w:t>cubrió 5 niveles del estacionamiento subterráneo y mantiene presión sobre </w:t>
            </w:r>
            <w:r>
              <w:rPr>
                <w:spacing w:val="-4"/>
                <w:w w:val="105"/>
                <w:sz w:val="14"/>
              </w:rPr>
              <w:t>uno </w:t>
            </w:r>
            <w:r>
              <w:rPr>
                <w:spacing w:val="-3"/>
                <w:w w:val="105"/>
                <w:sz w:val="14"/>
              </w:rPr>
              <w:t>de </w:t>
            </w:r>
            <w:r>
              <w:rPr>
                <w:spacing w:val="2"/>
                <w:w w:val="105"/>
                <w:sz w:val="14"/>
              </w:rPr>
              <w:t>los </w:t>
            </w:r>
            <w:r>
              <w:rPr>
                <w:w w:val="105"/>
                <w:sz w:val="14"/>
              </w:rPr>
              <w:t>muros. 4 trabajadores quedaron atrapados</w:t>
            </w:r>
            <w:r>
              <w:rPr>
                <w:spacing w:val="-1"/>
                <w:w w:val="105"/>
                <w:sz w:val="14"/>
              </w:rPr>
              <w:t> </w:t>
            </w:r>
            <w:r>
              <w:rPr>
                <w:w w:val="105"/>
                <w:sz w:val="14"/>
              </w:rPr>
              <w:t>en</w:t>
            </w:r>
            <w:r>
              <w:rPr>
                <w:spacing w:val="-8"/>
                <w:w w:val="105"/>
                <w:sz w:val="14"/>
              </w:rPr>
              <w:t> </w:t>
            </w:r>
            <w:r>
              <w:rPr>
                <w:spacing w:val="-4"/>
                <w:w w:val="105"/>
                <w:sz w:val="14"/>
              </w:rPr>
              <w:t>una</w:t>
            </w:r>
            <w:r>
              <w:rPr>
                <w:spacing w:val="-9"/>
                <w:w w:val="105"/>
                <w:sz w:val="14"/>
              </w:rPr>
              <w:t> </w:t>
            </w:r>
            <w:r>
              <w:rPr>
                <w:w w:val="105"/>
                <w:sz w:val="14"/>
              </w:rPr>
              <w:t>bodega</w:t>
            </w:r>
            <w:r>
              <w:rPr>
                <w:spacing w:val="-9"/>
                <w:w w:val="105"/>
                <w:sz w:val="14"/>
              </w:rPr>
              <w:t> </w:t>
            </w:r>
            <w:r>
              <w:rPr>
                <w:w w:val="105"/>
                <w:sz w:val="14"/>
              </w:rPr>
              <w:t>y</w:t>
            </w:r>
            <w:r>
              <w:rPr>
                <w:spacing w:val="-8"/>
                <w:w w:val="105"/>
                <w:sz w:val="14"/>
              </w:rPr>
              <w:t> </w:t>
            </w:r>
            <w:r>
              <w:rPr>
                <w:w w:val="105"/>
                <w:sz w:val="14"/>
              </w:rPr>
              <w:t>2 personas</w:t>
            </w:r>
            <w:r>
              <w:rPr>
                <w:spacing w:val="-1"/>
                <w:w w:val="105"/>
                <w:sz w:val="14"/>
              </w:rPr>
              <w:t> </w:t>
            </w:r>
            <w:r>
              <w:rPr>
                <w:spacing w:val="-3"/>
                <w:w w:val="105"/>
                <w:sz w:val="14"/>
              </w:rPr>
              <w:t>más</w:t>
            </w:r>
            <w:r>
              <w:rPr>
                <w:spacing w:val="-1"/>
                <w:w w:val="105"/>
                <w:sz w:val="14"/>
              </w:rPr>
              <w:t> </w:t>
            </w:r>
            <w:r>
              <w:rPr>
                <w:w w:val="105"/>
                <w:sz w:val="14"/>
              </w:rPr>
              <w:t>sufrieron</w:t>
            </w:r>
            <w:r>
              <w:rPr>
                <w:spacing w:val="-8"/>
                <w:w w:val="105"/>
                <w:sz w:val="14"/>
              </w:rPr>
              <w:t> </w:t>
            </w:r>
            <w:r>
              <w:rPr>
                <w:w w:val="105"/>
                <w:sz w:val="14"/>
              </w:rPr>
              <w:t>crisis</w:t>
            </w:r>
            <w:r>
              <w:rPr>
                <w:spacing w:val="-1"/>
                <w:w w:val="105"/>
                <w:sz w:val="14"/>
              </w:rPr>
              <w:t> </w:t>
            </w:r>
            <w:r>
              <w:rPr>
                <w:w w:val="105"/>
                <w:sz w:val="14"/>
              </w:rPr>
              <w:t>nerviosa</w:t>
            </w:r>
            <w:r>
              <w:rPr>
                <w:spacing w:val="-9"/>
                <w:w w:val="105"/>
                <w:sz w:val="14"/>
              </w:rPr>
              <w:t> </w:t>
            </w:r>
            <w:r>
              <w:rPr>
                <w:w w:val="105"/>
                <w:sz w:val="14"/>
              </w:rPr>
              <w:t>y golpes leves. </w:t>
            </w:r>
            <w:r>
              <w:rPr>
                <w:spacing w:val="-4"/>
                <w:w w:val="105"/>
                <w:sz w:val="14"/>
              </w:rPr>
              <w:t>Además </w:t>
            </w:r>
            <w:r>
              <w:rPr>
                <w:spacing w:val="-3"/>
                <w:w w:val="105"/>
                <w:sz w:val="14"/>
              </w:rPr>
              <w:t>de </w:t>
            </w:r>
            <w:r>
              <w:rPr>
                <w:w w:val="105"/>
                <w:sz w:val="14"/>
              </w:rPr>
              <w:t>este edificio 2 </w:t>
            </w:r>
            <w:r>
              <w:rPr>
                <w:spacing w:val="-3"/>
                <w:w w:val="105"/>
                <w:sz w:val="14"/>
              </w:rPr>
              <w:t>más </w:t>
            </w:r>
            <w:r>
              <w:rPr>
                <w:w w:val="105"/>
                <w:sz w:val="14"/>
              </w:rPr>
              <w:t>(uno </w:t>
            </w:r>
            <w:r>
              <w:rPr>
                <w:spacing w:val="-4"/>
                <w:w w:val="105"/>
                <w:sz w:val="14"/>
              </w:rPr>
              <w:t>que </w:t>
            </w:r>
            <w:r>
              <w:rPr>
                <w:w w:val="105"/>
                <w:sz w:val="14"/>
              </w:rPr>
              <w:t>se usa como hotel, restaurante y oficinas y </w:t>
            </w:r>
            <w:r>
              <w:rPr>
                <w:spacing w:val="-3"/>
                <w:w w:val="105"/>
                <w:sz w:val="14"/>
              </w:rPr>
              <w:t>un </w:t>
            </w:r>
            <w:r>
              <w:rPr>
                <w:w w:val="105"/>
                <w:sz w:val="14"/>
              </w:rPr>
              <w:t>conjunto habitacional) también quedaron inhabilitados mientras se realiza </w:t>
            </w:r>
            <w:r>
              <w:rPr>
                <w:spacing w:val="-3"/>
                <w:w w:val="105"/>
                <w:sz w:val="14"/>
              </w:rPr>
              <w:t>un </w:t>
            </w:r>
            <w:r>
              <w:rPr>
                <w:w w:val="105"/>
                <w:sz w:val="14"/>
              </w:rPr>
              <w:t>dictamen sobre su condición</w:t>
            </w:r>
            <w:r>
              <w:rPr>
                <w:spacing w:val="2"/>
                <w:w w:val="105"/>
                <w:sz w:val="14"/>
              </w:rPr>
              <w:t> </w:t>
            </w:r>
            <w:r>
              <w:rPr>
                <w:w w:val="105"/>
                <w:sz w:val="14"/>
              </w:rPr>
              <w:t>estructural.</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left="25"/>
              <w:rPr>
                <w:sz w:val="14"/>
              </w:rPr>
            </w:pPr>
            <w:r>
              <w:rPr>
                <w:w w:val="105"/>
                <w:sz w:val="14"/>
              </w:rPr>
              <w:t>Lluvias</w:t>
            </w:r>
          </w:p>
        </w:tc>
        <w:tc>
          <w:tcPr>
            <w:tcW w:w="1278" w:type="dxa"/>
            <w:tcBorders>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4"/>
              </w:rPr>
            </w:pPr>
          </w:p>
          <w:p>
            <w:pPr>
              <w:pStyle w:val="TableParagraph"/>
              <w:ind w:left="25" w:right="15"/>
              <w:rPr>
                <w:sz w:val="14"/>
              </w:rPr>
            </w:pPr>
            <w:r>
              <w:rPr>
                <w:w w:val="105"/>
                <w:sz w:val="14"/>
              </w:rPr>
              <w:t>OT No. 13 y 14</w:t>
            </w:r>
          </w:p>
        </w:tc>
      </w:tr>
      <w:tr>
        <w:trPr>
          <w:trHeight w:val="1002"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30"/>
              <w:jc w:val="right"/>
              <w:rPr>
                <w:sz w:val="14"/>
              </w:rPr>
            </w:pPr>
            <w:r>
              <w:rPr>
                <w:w w:val="105"/>
                <w:sz w:val="14"/>
              </w:rPr>
              <w:t>06/09/2011</w:t>
            </w:r>
          </w:p>
        </w:tc>
        <w:tc>
          <w:tcPr>
            <w:tcW w:w="897" w:type="dxa"/>
          </w:tcPr>
          <w:p>
            <w:pPr>
              <w:pStyle w:val="TableParagraph"/>
              <w:spacing w:line="283" w:lineRule="auto" w:before="51"/>
              <w:ind w:left="25" w:right="59"/>
              <w:rPr>
                <w:sz w:val="14"/>
              </w:rPr>
            </w:pPr>
            <w:r>
              <w:rPr>
                <w:w w:val="105"/>
                <w:sz w:val="14"/>
              </w:rPr>
              <w:t>Av. Tamarindos, colonia Bosques de las Lomas</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227"/>
              <w:jc w:val="right"/>
              <w:rPr>
                <w:sz w:val="14"/>
              </w:rPr>
            </w:pPr>
            <w:r>
              <w:rPr>
                <w:w w:val="105"/>
                <w:sz w:val="14"/>
              </w:rPr>
              <w:t>La Jornada</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11"/>
              <w:rPr>
                <w:sz w:val="11"/>
              </w:rPr>
            </w:pPr>
          </w:p>
          <w:p>
            <w:pPr>
              <w:pStyle w:val="TableParagraph"/>
              <w:spacing w:line="283" w:lineRule="auto"/>
              <w:ind w:left="25" w:right="44"/>
              <w:rPr>
                <w:sz w:val="14"/>
              </w:rPr>
            </w:pPr>
            <w:r>
              <w:rPr>
                <w:w w:val="105"/>
                <w:sz w:val="14"/>
              </w:rPr>
              <w:t>Derrumbe en barranca blouqea parcialmente la circulación en esta avenida en el sentido sur-norte.</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28"/>
              <w:jc w:val="right"/>
              <w:rPr>
                <w:sz w:val="14"/>
              </w:rPr>
            </w:pPr>
            <w:r>
              <w:rPr>
                <w:w w:val="104"/>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28"/>
              <w:jc w:val="right"/>
              <w:rPr>
                <w:sz w:val="14"/>
              </w:rPr>
            </w:pPr>
            <w:r>
              <w:rPr>
                <w:w w:val="104"/>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28"/>
              <w:jc w:val="right"/>
              <w:rPr>
                <w:sz w:val="14"/>
              </w:rPr>
            </w:pPr>
            <w:r>
              <w:rPr>
                <w:w w:val="104"/>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right="28"/>
              <w:jc w:val="right"/>
              <w:rPr>
                <w:sz w:val="14"/>
              </w:rPr>
            </w:pPr>
            <w:r>
              <w:rPr>
                <w:w w:val="104"/>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5"/>
              <w:rPr>
                <w:sz w:val="14"/>
              </w:rPr>
            </w:pPr>
          </w:p>
          <w:p>
            <w:pPr>
              <w:pStyle w:val="TableParagraph"/>
              <w:ind w:left="25"/>
              <w:rPr>
                <w:sz w:val="14"/>
              </w:rPr>
            </w:pPr>
            <w:r>
              <w:rPr>
                <w:w w:val="105"/>
                <w:sz w:val="14"/>
              </w:rPr>
              <w:t>Lluvias</w:t>
            </w:r>
          </w:p>
        </w:tc>
        <w:tc>
          <w:tcPr>
            <w:tcW w:w="1278" w:type="dxa"/>
            <w:tcBorders>
              <w:right w:val="single" w:sz="3" w:space="0" w:color="000000"/>
            </w:tcBorders>
          </w:tcPr>
          <w:p>
            <w:pPr/>
          </w:p>
        </w:tc>
      </w:tr>
    </w:tbl>
    <w:p>
      <w:pPr>
        <w:spacing w:after="0"/>
        <w:sectPr>
          <w:pgSz w:w="15840" w:h="12240" w:orient="landscape"/>
          <w:pgMar w:top="1140" w:bottom="280" w:left="1300" w:right="1300"/>
        </w:sectPr>
      </w:pPr>
    </w:p>
    <w:p>
      <w:pPr>
        <w:pStyle w:val="BodyText"/>
        <w:rPr>
          <w:sz w:val="20"/>
        </w:rPr>
      </w:pPr>
    </w:p>
    <w:p>
      <w:pPr>
        <w:pStyle w:val="BodyText"/>
        <w:spacing w:before="9"/>
        <w:rPr>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81"/>
        <w:gridCol w:w="881"/>
        <w:gridCol w:w="881"/>
        <w:gridCol w:w="3999"/>
        <w:gridCol w:w="898"/>
        <w:gridCol w:w="1178"/>
        <w:gridCol w:w="949"/>
        <w:gridCol w:w="906"/>
        <w:gridCol w:w="932"/>
        <w:gridCol w:w="1254"/>
      </w:tblGrid>
      <w:tr>
        <w:trPr>
          <w:trHeight w:val="423" w:hRule="exact"/>
        </w:trPr>
        <w:tc>
          <w:tcPr>
            <w:tcW w:w="881" w:type="dxa"/>
            <w:shd w:val="clear" w:color="auto" w:fill="212B35"/>
          </w:tcPr>
          <w:p>
            <w:pPr>
              <w:pStyle w:val="TableParagraph"/>
              <w:spacing w:before="122"/>
              <w:ind w:right="41"/>
              <w:jc w:val="right"/>
              <w:rPr>
                <w:b/>
                <w:sz w:val="15"/>
              </w:rPr>
            </w:pPr>
            <w:r>
              <w:rPr>
                <w:b/>
                <w:color w:val="FFFFFF"/>
                <w:sz w:val="15"/>
              </w:rPr>
              <w:t>Fecha Inicio</w:t>
            </w:r>
          </w:p>
        </w:tc>
        <w:tc>
          <w:tcPr>
            <w:tcW w:w="881" w:type="dxa"/>
            <w:shd w:val="clear" w:color="auto" w:fill="212B35"/>
          </w:tcPr>
          <w:p>
            <w:pPr>
              <w:pStyle w:val="TableParagraph"/>
              <w:spacing w:before="122"/>
              <w:ind w:left="279" w:right="31"/>
              <w:rPr>
                <w:b/>
                <w:sz w:val="15"/>
              </w:rPr>
            </w:pPr>
            <w:r>
              <w:rPr>
                <w:b/>
                <w:color w:val="FFFFFF"/>
                <w:sz w:val="15"/>
              </w:rPr>
              <w:t>Sitio</w:t>
            </w:r>
          </w:p>
        </w:tc>
        <w:tc>
          <w:tcPr>
            <w:tcW w:w="881" w:type="dxa"/>
            <w:shd w:val="clear" w:color="auto" w:fill="212B35"/>
          </w:tcPr>
          <w:p>
            <w:pPr>
              <w:pStyle w:val="TableParagraph"/>
              <w:spacing w:before="122"/>
              <w:ind w:left="186"/>
              <w:rPr>
                <w:b/>
                <w:sz w:val="15"/>
              </w:rPr>
            </w:pPr>
            <w:r>
              <w:rPr>
                <w:b/>
                <w:color w:val="FFFFFF"/>
                <w:sz w:val="15"/>
              </w:rPr>
              <w:t>Fuentes</w:t>
            </w:r>
          </w:p>
        </w:tc>
        <w:tc>
          <w:tcPr>
            <w:tcW w:w="3999" w:type="dxa"/>
            <w:shd w:val="clear" w:color="auto" w:fill="212B35"/>
          </w:tcPr>
          <w:p>
            <w:pPr>
              <w:pStyle w:val="TableParagraph"/>
              <w:spacing w:before="122"/>
              <w:ind w:left="1177" w:right="24"/>
              <w:rPr>
                <w:b/>
                <w:sz w:val="15"/>
              </w:rPr>
            </w:pPr>
            <w:r>
              <w:rPr>
                <w:b/>
                <w:color w:val="FFFFFF"/>
                <w:sz w:val="15"/>
              </w:rPr>
              <w:t>Observaciones  de efectos</w:t>
            </w:r>
          </w:p>
        </w:tc>
        <w:tc>
          <w:tcPr>
            <w:tcW w:w="898" w:type="dxa"/>
            <w:shd w:val="clear" w:color="auto" w:fill="212B35"/>
          </w:tcPr>
          <w:p>
            <w:pPr>
              <w:pStyle w:val="TableParagraph"/>
              <w:spacing w:before="122"/>
              <w:ind w:left="169"/>
              <w:rPr>
                <w:b/>
                <w:sz w:val="15"/>
              </w:rPr>
            </w:pPr>
            <w:r>
              <w:rPr>
                <w:b/>
                <w:color w:val="FFFFFF"/>
                <w:sz w:val="15"/>
              </w:rPr>
              <w:t>Muertos</w:t>
            </w:r>
          </w:p>
        </w:tc>
        <w:tc>
          <w:tcPr>
            <w:tcW w:w="1178" w:type="dxa"/>
            <w:shd w:val="clear" w:color="auto" w:fill="212B35"/>
          </w:tcPr>
          <w:p>
            <w:pPr>
              <w:pStyle w:val="TableParagraph"/>
              <w:spacing w:before="122"/>
              <w:ind w:left="126"/>
              <w:rPr>
                <w:b/>
                <w:sz w:val="15"/>
              </w:rPr>
            </w:pPr>
            <w:r>
              <w:rPr>
                <w:b/>
                <w:color w:val="FFFFFF"/>
                <w:sz w:val="15"/>
              </w:rPr>
              <w:t>Damnificados</w:t>
            </w:r>
          </w:p>
        </w:tc>
        <w:tc>
          <w:tcPr>
            <w:tcW w:w="949" w:type="dxa"/>
            <w:shd w:val="clear" w:color="auto" w:fill="212B35"/>
          </w:tcPr>
          <w:p>
            <w:pPr>
              <w:pStyle w:val="TableParagraph"/>
              <w:spacing w:line="271" w:lineRule="auto" w:before="29"/>
              <w:ind w:left="135" w:right="118" w:firstLine="16"/>
              <w:rPr>
                <w:b/>
                <w:sz w:val="15"/>
              </w:rPr>
            </w:pPr>
            <w:r>
              <w:rPr>
                <w:b/>
                <w:color w:val="FFFFFF"/>
                <w:sz w:val="15"/>
              </w:rPr>
              <w:t>Viviendas destruidas</w:t>
            </w:r>
          </w:p>
        </w:tc>
        <w:tc>
          <w:tcPr>
            <w:tcW w:w="906" w:type="dxa"/>
            <w:shd w:val="clear" w:color="auto" w:fill="212B35"/>
          </w:tcPr>
          <w:p>
            <w:pPr>
              <w:pStyle w:val="TableParagraph"/>
              <w:spacing w:line="271" w:lineRule="auto" w:before="29"/>
              <w:ind w:left="143" w:right="119" w:hanging="18"/>
              <w:rPr>
                <w:b/>
                <w:sz w:val="15"/>
              </w:rPr>
            </w:pPr>
            <w:r>
              <w:rPr>
                <w:b/>
                <w:color w:val="FFFFFF"/>
                <w:sz w:val="15"/>
              </w:rPr>
              <w:t>Viviendas afectadas</w:t>
            </w:r>
          </w:p>
        </w:tc>
        <w:tc>
          <w:tcPr>
            <w:tcW w:w="932" w:type="dxa"/>
            <w:shd w:val="clear" w:color="auto" w:fill="212B35"/>
          </w:tcPr>
          <w:p>
            <w:pPr>
              <w:pStyle w:val="TableParagraph"/>
              <w:spacing w:line="271" w:lineRule="auto" w:before="29"/>
              <w:ind w:left="279" w:right="204" w:hanging="68"/>
              <w:rPr>
                <w:b/>
                <w:sz w:val="15"/>
              </w:rPr>
            </w:pPr>
            <w:r>
              <w:rPr>
                <w:b/>
                <w:color w:val="FFFFFF"/>
                <w:sz w:val="15"/>
              </w:rPr>
              <w:t>Tipo de causa</w:t>
            </w:r>
          </w:p>
        </w:tc>
        <w:tc>
          <w:tcPr>
            <w:tcW w:w="1254" w:type="dxa"/>
            <w:tcBorders>
              <w:right w:val="single" w:sz="3" w:space="0" w:color="000000"/>
            </w:tcBorders>
            <w:shd w:val="clear" w:color="auto" w:fill="212B35"/>
          </w:tcPr>
          <w:p>
            <w:pPr>
              <w:pStyle w:val="TableParagraph"/>
              <w:spacing w:line="271" w:lineRule="auto" w:before="29"/>
              <w:ind w:left="440" w:hanging="390"/>
              <w:rPr>
                <w:b/>
                <w:sz w:val="15"/>
              </w:rPr>
            </w:pPr>
            <w:r>
              <w:rPr>
                <w:b/>
                <w:color w:val="FFFFFF"/>
                <w:sz w:val="15"/>
              </w:rPr>
              <w:t>Observaciones de causa</w:t>
            </w:r>
          </w:p>
        </w:tc>
      </w:tr>
      <w:tr>
        <w:trPr>
          <w:trHeight w:val="1313" w:hRule="exact"/>
        </w:trPr>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right="30"/>
              <w:jc w:val="right"/>
              <w:rPr>
                <w:sz w:val="14"/>
              </w:rPr>
            </w:pPr>
            <w:r>
              <w:rPr>
                <w:sz w:val="14"/>
              </w:rPr>
              <w:t>07/10/2012</w:t>
            </w:r>
          </w:p>
        </w:tc>
        <w:tc>
          <w:tcPr>
            <w:tcW w:w="881" w:type="dxa"/>
          </w:tcPr>
          <w:p>
            <w:pPr/>
          </w:p>
        </w:tc>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left="25"/>
              <w:rPr>
                <w:sz w:val="14"/>
              </w:rPr>
            </w:pPr>
            <w:r>
              <w:rPr>
                <w:sz w:val="14"/>
              </w:rPr>
              <w:t>El Universal</w:t>
            </w:r>
          </w:p>
        </w:tc>
        <w:tc>
          <w:tcPr>
            <w:tcW w:w="3999" w:type="dxa"/>
          </w:tcPr>
          <w:p>
            <w:pPr>
              <w:pStyle w:val="TableParagraph"/>
              <w:spacing w:line="278" w:lineRule="auto" w:before="5"/>
              <w:ind w:left="25" w:right="24"/>
              <w:rPr>
                <w:sz w:val="14"/>
              </w:rPr>
            </w:pPr>
            <w:r>
              <w:rPr>
                <w:w w:val="105"/>
                <w:sz w:val="14"/>
              </w:rPr>
              <w:t>1 </w:t>
            </w:r>
            <w:r>
              <w:rPr>
                <w:spacing w:val="-4"/>
                <w:w w:val="105"/>
                <w:sz w:val="14"/>
              </w:rPr>
              <w:t>vivienda </w:t>
            </w:r>
            <w:r>
              <w:rPr>
                <w:spacing w:val="2"/>
                <w:w w:val="105"/>
                <w:sz w:val="14"/>
              </w:rPr>
              <w:t>con </w:t>
            </w:r>
            <w:r>
              <w:rPr>
                <w:spacing w:val="-3"/>
                <w:w w:val="105"/>
                <w:sz w:val="14"/>
              </w:rPr>
              <w:t>daños </w:t>
            </w:r>
            <w:r>
              <w:rPr>
                <w:w w:val="105"/>
                <w:sz w:val="14"/>
              </w:rPr>
              <w:t>estructurales. El derrumbe se llevó parte </w:t>
            </w:r>
            <w:r>
              <w:rPr>
                <w:spacing w:val="-3"/>
                <w:w w:val="105"/>
                <w:sz w:val="14"/>
              </w:rPr>
              <w:t>de </w:t>
            </w:r>
            <w:r>
              <w:rPr>
                <w:w w:val="105"/>
                <w:sz w:val="14"/>
              </w:rPr>
              <w:t>la tierra debajo del piso </w:t>
            </w:r>
            <w:r>
              <w:rPr>
                <w:spacing w:val="-3"/>
                <w:w w:val="105"/>
                <w:sz w:val="14"/>
              </w:rPr>
              <w:t>de </w:t>
            </w:r>
            <w:r>
              <w:rPr>
                <w:w w:val="105"/>
                <w:sz w:val="14"/>
              </w:rPr>
              <w:t>la </w:t>
            </w:r>
            <w:r>
              <w:rPr>
                <w:spacing w:val="-4"/>
                <w:w w:val="105"/>
                <w:sz w:val="14"/>
              </w:rPr>
              <w:t>vivienda </w:t>
            </w:r>
            <w:r>
              <w:rPr>
                <w:w w:val="105"/>
                <w:sz w:val="14"/>
              </w:rPr>
              <w:t>y </w:t>
            </w:r>
            <w:r>
              <w:rPr>
                <w:spacing w:val="-3"/>
                <w:w w:val="105"/>
                <w:sz w:val="14"/>
              </w:rPr>
              <w:t>al </w:t>
            </w:r>
            <w:r>
              <w:rPr>
                <w:w w:val="105"/>
                <w:sz w:val="14"/>
              </w:rPr>
              <w:t>parecer fue ocasionado por el edificio contiguo. Se trata </w:t>
            </w:r>
            <w:r>
              <w:rPr>
                <w:spacing w:val="-3"/>
                <w:w w:val="105"/>
                <w:sz w:val="14"/>
              </w:rPr>
              <w:t>de </w:t>
            </w:r>
            <w:r>
              <w:rPr>
                <w:spacing w:val="-4"/>
                <w:w w:val="105"/>
                <w:sz w:val="14"/>
              </w:rPr>
              <w:t>una </w:t>
            </w:r>
            <w:r>
              <w:rPr>
                <w:w w:val="105"/>
                <w:sz w:val="14"/>
              </w:rPr>
              <w:t>zona </w:t>
            </w:r>
            <w:r>
              <w:rPr>
                <w:spacing w:val="-3"/>
                <w:w w:val="105"/>
                <w:sz w:val="14"/>
              </w:rPr>
              <w:t>de </w:t>
            </w:r>
            <w:r>
              <w:rPr>
                <w:w w:val="105"/>
                <w:sz w:val="14"/>
              </w:rPr>
              <w:t>relleno, </w:t>
            </w:r>
            <w:r>
              <w:rPr>
                <w:spacing w:val="-3"/>
                <w:w w:val="105"/>
                <w:sz w:val="14"/>
              </w:rPr>
              <w:t>donde </w:t>
            </w:r>
            <w:r>
              <w:rPr>
                <w:w w:val="105"/>
                <w:sz w:val="14"/>
              </w:rPr>
              <w:t>a pesar </w:t>
            </w:r>
            <w:r>
              <w:rPr>
                <w:spacing w:val="-3"/>
                <w:w w:val="105"/>
                <w:sz w:val="14"/>
              </w:rPr>
              <w:t>de </w:t>
            </w:r>
            <w:r>
              <w:rPr>
                <w:spacing w:val="-4"/>
                <w:w w:val="105"/>
                <w:sz w:val="14"/>
              </w:rPr>
              <w:t>que </w:t>
            </w:r>
            <w:r>
              <w:rPr>
                <w:w w:val="105"/>
                <w:sz w:val="14"/>
              </w:rPr>
              <w:t>se advirtió a la </w:t>
            </w:r>
            <w:r>
              <w:rPr>
                <w:spacing w:val="-3"/>
                <w:w w:val="105"/>
                <w:sz w:val="14"/>
              </w:rPr>
              <w:t>dueña </w:t>
            </w:r>
            <w:r>
              <w:rPr>
                <w:spacing w:val="-4"/>
                <w:w w:val="105"/>
                <w:sz w:val="14"/>
              </w:rPr>
              <w:t>que </w:t>
            </w:r>
            <w:r>
              <w:rPr>
                <w:spacing w:val="-3"/>
                <w:w w:val="105"/>
                <w:sz w:val="14"/>
              </w:rPr>
              <w:t>no </w:t>
            </w:r>
            <w:r>
              <w:rPr>
                <w:w w:val="105"/>
                <w:sz w:val="14"/>
              </w:rPr>
              <w:t>construyera el edificio </w:t>
            </w:r>
            <w:r>
              <w:rPr>
                <w:spacing w:val="-3"/>
                <w:w w:val="105"/>
                <w:sz w:val="14"/>
              </w:rPr>
              <w:t>de </w:t>
            </w:r>
            <w:r>
              <w:rPr>
                <w:w w:val="105"/>
                <w:sz w:val="14"/>
              </w:rPr>
              <w:t>5 pisos por ser suelo </w:t>
            </w:r>
            <w:r>
              <w:rPr>
                <w:spacing w:val="-3"/>
                <w:w w:val="105"/>
                <w:sz w:val="14"/>
              </w:rPr>
              <w:t>inadecuado </w:t>
            </w:r>
            <w:r>
              <w:rPr>
                <w:w w:val="105"/>
                <w:sz w:val="14"/>
              </w:rPr>
              <w:t>(barranca </w:t>
            </w:r>
            <w:r>
              <w:rPr>
                <w:spacing w:val="2"/>
                <w:w w:val="105"/>
                <w:sz w:val="14"/>
              </w:rPr>
              <w:t>con </w:t>
            </w:r>
            <w:r>
              <w:rPr>
                <w:w w:val="105"/>
                <w:sz w:val="14"/>
              </w:rPr>
              <w:t>suelo </w:t>
            </w:r>
            <w:r>
              <w:rPr>
                <w:spacing w:val="-3"/>
                <w:w w:val="105"/>
                <w:sz w:val="14"/>
              </w:rPr>
              <w:t>de </w:t>
            </w:r>
            <w:r>
              <w:rPr>
                <w:w w:val="105"/>
                <w:sz w:val="14"/>
              </w:rPr>
              <w:t>relleno), decidió construir y ahora </w:t>
            </w:r>
            <w:r>
              <w:rPr>
                <w:spacing w:val="-4"/>
                <w:w w:val="105"/>
                <w:sz w:val="14"/>
              </w:rPr>
              <w:t>hay </w:t>
            </w:r>
            <w:r>
              <w:rPr>
                <w:w w:val="105"/>
                <w:sz w:val="14"/>
              </w:rPr>
              <w:t>25 </w:t>
            </w:r>
            <w:r>
              <w:rPr>
                <w:spacing w:val="-4"/>
                <w:w w:val="105"/>
                <w:sz w:val="14"/>
              </w:rPr>
              <w:t>viviendas </w:t>
            </w:r>
            <w:r>
              <w:rPr>
                <w:w w:val="105"/>
                <w:sz w:val="14"/>
              </w:rPr>
              <w:t>en riesgo y 12 </w:t>
            </w:r>
            <w:r>
              <w:rPr>
                <w:spacing w:val="-3"/>
                <w:w w:val="105"/>
                <w:sz w:val="14"/>
              </w:rPr>
              <w:t>de </w:t>
            </w:r>
            <w:r>
              <w:rPr>
                <w:w w:val="105"/>
                <w:sz w:val="14"/>
              </w:rPr>
              <w:t>ellas consideradas como </w:t>
            </w:r>
            <w:r>
              <w:rPr>
                <w:spacing w:val="-3"/>
                <w:w w:val="105"/>
                <w:sz w:val="14"/>
              </w:rPr>
              <w:t>de </w:t>
            </w:r>
            <w:r>
              <w:rPr>
                <w:w w:val="105"/>
                <w:sz w:val="14"/>
              </w:rPr>
              <w:t>alto riesgo.</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right="28"/>
              <w:jc w:val="right"/>
              <w:rPr>
                <w:sz w:val="14"/>
              </w:rPr>
            </w:pPr>
            <w:r>
              <w:rPr>
                <w:w w:val="102"/>
                <w:sz w:val="14"/>
              </w:rPr>
              <w:t>2</w:t>
            </w:r>
          </w:p>
        </w:tc>
        <w:tc>
          <w:tcPr>
            <w:tcW w:w="90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left="25" w:right="119"/>
              <w:rPr>
                <w:sz w:val="14"/>
              </w:rPr>
            </w:pPr>
            <w:r>
              <w:rPr>
                <w:w w:val="105"/>
                <w:sz w:val="14"/>
              </w:rPr>
              <w:t>Si</w:t>
            </w:r>
          </w:p>
        </w:tc>
        <w:tc>
          <w:tcPr>
            <w:tcW w:w="932"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3"/>
              </w:rPr>
            </w:pPr>
          </w:p>
          <w:p>
            <w:pPr>
              <w:pStyle w:val="TableParagraph"/>
              <w:ind w:left="25"/>
              <w:rPr>
                <w:sz w:val="14"/>
              </w:rPr>
            </w:pPr>
            <w:r>
              <w:rPr>
                <w:w w:val="105"/>
                <w:sz w:val="14"/>
              </w:rPr>
              <w:t>Negligencia</w:t>
            </w:r>
          </w:p>
        </w:tc>
        <w:tc>
          <w:tcPr>
            <w:tcW w:w="1254" w:type="dxa"/>
            <w:tcBorders>
              <w:right w:val="single" w:sz="3"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line="278" w:lineRule="auto" w:before="106"/>
              <w:ind w:left="25" w:right="250"/>
              <w:jc w:val="both"/>
              <w:rPr>
                <w:sz w:val="14"/>
              </w:rPr>
            </w:pPr>
            <w:r>
              <w:rPr>
                <w:w w:val="105"/>
                <w:sz w:val="14"/>
              </w:rPr>
              <w:t>Construcción </w:t>
            </w:r>
            <w:r>
              <w:rPr>
                <w:spacing w:val="-3"/>
                <w:w w:val="105"/>
                <w:sz w:val="14"/>
              </w:rPr>
              <w:t>de </w:t>
            </w:r>
            <w:r>
              <w:rPr>
                <w:w w:val="105"/>
                <w:sz w:val="14"/>
              </w:rPr>
              <w:t>edificio en</w:t>
            </w:r>
            <w:r>
              <w:rPr>
                <w:spacing w:val="-11"/>
                <w:w w:val="105"/>
                <w:sz w:val="14"/>
              </w:rPr>
              <w:t> </w:t>
            </w:r>
            <w:r>
              <w:rPr>
                <w:w w:val="105"/>
                <w:sz w:val="14"/>
              </w:rPr>
              <w:t>suelo </w:t>
            </w:r>
            <w:r>
              <w:rPr>
                <w:spacing w:val="-3"/>
                <w:w w:val="105"/>
                <w:sz w:val="14"/>
              </w:rPr>
              <w:t>inadecuado</w:t>
            </w:r>
          </w:p>
        </w:tc>
      </w:tr>
      <w:tr>
        <w:trPr>
          <w:trHeight w:val="567" w:hRule="exact"/>
        </w:trPr>
        <w:tc>
          <w:tcPr>
            <w:tcW w:w="881" w:type="dxa"/>
          </w:tcPr>
          <w:p>
            <w:pPr>
              <w:pStyle w:val="TableParagraph"/>
              <w:rPr>
                <w:sz w:val="14"/>
              </w:rPr>
            </w:pPr>
          </w:p>
          <w:p>
            <w:pPr>
              <w:pStyle w:val="TableParagraph"/>
              <w:spacing w:before="9"/>
              <w:rPr>
                <w:sz w:val="18"/>
              </w:rPr>
            </w:pPr>
          </w:p>
          <w:p>
            <w:pPr>
              <w:pStyle w:val="TableParagraph"/>
              <w:ind w:right="30"/>
              <w:jc w:val="right"/>
              <w:rPr>
                <w:sz w:val="14"/>
              </w:rPr>
            </w:pPr>
            <w:r>
              <w:rPr>
                <w:sz w:val="14"/>
              </w:rPr>
              <w:t>06/09/2013</w:t>
            </w:r>
          </w:p>
        </w:tc>
        <w:tc>
          <w:tcPr>
            <w:tcW w:w="881" w:type="dxa"/>
          </w:tcPr>
          <w:p>
            <w:pPr>
              <w:pStyle w:val="TableParagraph"/>
              <w:spacing w:line="278" w:lineRule="auto" w:before="4"/>
              <w:ind w:left="25" w:right="283"/>
              <w:rPr>
                <w:sz w:val="14"/>
              </w:rPr>
            </w:pPr>
            <w:r>
              <w:rPr>
                <w:sz w:val="14"/>
              </w:rPr>
              <w:t>Autopista </w:t>
            </w:r>
            <w:r>
              <w:rPr>
                <w:w w:val="105"/>
                <w:sz w:val="14"/>
              </w:rPr>
              <w:t>México- Toluca</w:t>
            </w:r>
          </w:p>
        </w:tc>
        <w:tc>
          <w:tcPr>
            <w:tcW w:w="881" w:type="dxa"/>
          </w:tcPr>
          <w:p>
            <w:pPr>
              <w:pStyle w:val="TableParagraph"/>
              <w:rPr>
                <w:sz w:val="14"/>
              </w:rPr>
            </w:pPr>
          </w:p>
          <w:p>
            <w:pPr>
              <w:pStyle w:val="TableParagraph"/>
              <w:spacing w:before="9"/>
              <w:rPr>
                <w:sz w:val="18"/>
              </w:rPr>
            </w:pPr>
          </w:p>
          <w:p>
            <w:pPr>
              <w:pStyle w:val="TableParagraph"/>
              <w:ind w:left="25"/>
              <w:rPr>
                <w:sz w:val="14"/>
              </w:rPr>
            </w:pPr>
            <w:r>
              <w:rPr>
                <w:sz w:val="14"/>
              </w:rPr>
              <w:t>La Jornada</w:t>
            </w:r>
          </w:p>
        </w:tc>
        <w:tc>
          <w:tcPr>
            <w:tcW w:w="3999" w:type="dxa"/>
          </w:tcPr>
          <w:p>
            <w:pPr>
              <w:pStyle w:val="TableParagraph"/>
              <w:rPr>
                <w:sz w:val="14"/>
              </w:rPr>
            </w:pPr>
          </w:p>
          <w:p>
            <w:pPr>
              <w:pStyle w:val="TableParagraph"/>
              <w:spacing w:before="9"/>
              <w:rPr>
                <w:sz w:val="18"/>
              </w:rPr>
            </w:pPr>
          </w:p>
          <w:p>
            <w:pPr>
              <w:pStyle w:val="TableParagraph"/>
              <w:ind w:left="25" w:right="24"/>
              <w:rPr>
                <w:sz w:val="14"/>
              </w:rPr>
            </w:pPr>
            <w:r>
              <w:rPr>
                <w:w w:val="105"/>
                <w:sz w:val="14"/>
              </w:rPr>
              <w:t>Bloque parcial de carretera produce afectaciones viales.</w:t>
            </w:r>
          </w:p>
        </w:tc>
        <w:tc>
          <w:tcPr>
            <w:tcW w:w="898" w:type="dxa"/>
          </w:tcPr>
          <w:p>
            <w:pPr>
              <w:pStyle w:val="TableParagraph"/>
              <w:rPr>
                <w:sz w:val="14"/>
              </w:rPr>
            </w:pPr>
          </w:p>
          <w:p>
            <w:pPr>
              <w:pStyle w:val="TableParagraph"/>
              <w:spacing w:before="9"/>
              <w:rPr>
                <w:sz w:val="18"/>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spacing w:before="9"/>
              <w:rPr>
                <w:sz w:val="18"/>
              </w:rPr>
            </w:pPr>
          </w:p>
          <w:p>
            <w:pPr>
              <w:pStyle w:val="TableParagraph"/>
              <w:ind w:right="28"/>
              <w:jc w:val="right"/>
              <w:rPr>
                <w:sz w:val="14"/>
              </w:rPr>
            </w:pPr>
            <w:r>
              <w:rPr>
                <w:w w:val="102"/>
                <w:sz w:val="14"/>
              </w:rPr>
              <w:t>0</w:t>
            </w:r>
          </w:p>
        </w:tc>
        <w:tc>
          <w:tcPr>
            <w:tcW w:w="906"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32" w:type="dxa"/>
          </w:tcPr>
          <w:p>
            <w:pPr>
              <w:pStyle w:val="TableParagraph"/>
              <w:rPr>
                <w:sz w:val="14"/>
              </w:rPr>
            </w:pPr>
          </w:p>
          <w:p>
            <w:pPr>
              <w:pStyle w:val="TableParagraph"/>
              <w:spacing w:before="9"/>
              <w:rPr>
                <w:sz w:val="18"/>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1135" w:hRule="exact"/>
        </w:trPr>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right="30"/>
              <w:jc w:val="right"/>
              <w:rPr>
                <w:sz w:val="14"/>
              </w:rPr>
            </w:pPr>
            <w:r>
              <w:rPr>
                <w:sz w:val="14"/>
              </w:rPr>
              <w:t>06/09/2013</w:t>
            </w:r>
          </w:p>
        </w:tc>
        <w:tc>
          <w:tcPr>
            <w:tcW w:w="881" w:type="dxa"/>
          </w:tcPr>
          <w:p>
            <w:pPr>
              <w:pStyle w:val="TableParagraph"/>
              <w:rPr>
                <w:sz w:val="14"/>
              </w:rPr>
            </w:pPr>
          </w:p>
          <w:p>
            <w:pPr>
              <w:pStyle w:val="TableParagraph"/>
              <w:rPr>
                <w:sz w:val="14"/>
              </w:rPr>
            </w:pPr>
          </w:p>
          <w:p>
            <w:pPr>
              <w:pStyle w:val="TableParagraph"/>
              <w:rPr>
                <w:sz w:val="14"/>
              </w:rPr>
            </w:pPr>
          </w:p>
          <w:p>
            <w:pPr>
              <w:pStyle w:val="TableParagraph"/>
              <w:spacing w:line="278" w:lineRule="auto" w:before="89"/>
              <w:ind w:left="25" w:right="31"/>
              <w:rPr>
                <w:sz w:val="14"/>
              </w:rPr>
            </w:pPr>
            <w:r>
              <w:rPr>
                <w:w w:val="105"/>
                <w:sz w:val="14"/>
              </w:rPr>
              <w:t>Av. Vasco de Quiroga, Santa Fe</w:t>
            </w:r>
          </w:p>
        </w:tc>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left="25"/>
              <w:rPr>
                <w:sz w:val="14"/>
              </w:rPr>
            </w:pPr>
            <w:r>
              <w:rPr>
                <w:sz w:val="14"/>
              </w:rPr>
              <w:t>La Jornada</w:t>
            </w:r>
          </w:p>
        </w:tc>
        <w:tc>
          <w:tcPr>
            <w:tcW w:w="399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left="25" w:right="24"/>
              <w:rPr>
                <w:sz w:val="14"/>
              </w:rPr>
            </w:pPr>
            <w:r>
              <w:rPr>
                <w:w w:val="105"/>
                <w:sz w:val="14"/>
              </w:rPr>
              <w:t>Bloqueo parcial de la circulación por derrumbe de un talud.</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right="29"/>
              <w:jc w:val="right"/>
              <w:rPr>
                <w:sz w:val="14"/>
              </w:rPr>
            </w:pPr>
            <w:r>
              <w:rPr>
                <w:w w:val="102"/>
                <w:sz w:val="14"/>
              </w:rPr>
              <w:t>0</w:t>
            </w:r>
          </w:p>
        </w:tc>
        <w:tc>
          <w:tcPr>
            <w:tcW w:w="117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right="27"/>
              <w:jc w:val="right"/>
              <w:rPr>
                <w:sz w:val="14"/>
              </w:rPr>
            </w:pPr>
            <w:r>
              <w:rPr>
                <w:w w:val="102"/>
                <w:sz w:val="14"/>
              </w:rPr>
              <w:t>0</w:t>
            </w:r>
          </w:p>
        </w:tc>
        <w:tc>
          <w:tcPr>
            <w:tcW w:w="94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right="28"/>
              <w:jc w:val="right"/>
              <w:rPr>
                <w:sz w:val="14"/>
              </w:rPr>
            </w:pPr>
            <w:r>
              <w:rPr>
                <w:w w:val="102"/>
                <w:sz w:val="14"/>
              </w:rPr>
              <w:t>0</w:t>
            </w:r>
          </w:p>
        </w:tc>
        <w:tc>
          <w:tcPr>
            <w:tcW w:w="90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right="27"/>
              <w:jc w:val="right"/>
              <w:rPr>
                <w:sz w:val="14"/>
              </w:rPr>
            </w:pPr>
            <w:r>
              <w:rPr>
                <w:w w:val="102"/>
                <w:sz w:val="14"/>
              </w:rPr>
              <w:t>0</w:t>
            </w:r>
          </w:p>
        </w:tc>
        <w:tc>
          <w:tcPr>
            <w:tcW w:w="932"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2"/>
              </w:rPr>
            </w:pPr>
          </w:p>
          <w:p>
            <w:pPr>
              <w:pStyle w:val="TableParagraph"/>
              <w:spacing w:before="1"/>
              <w:ind w:left="25" w:right="204"/>
              <w:rPr>
                <w:sz w:val="14"/>
              </w:rPr>
            </w:pPr>
            <w:r>
              <w:rPr>
                <w:w w:val="105"/>
                <w:sz w:val="14"/>
              </w:rPr>
              <w:t>Lluvias</w:t>
            </w:r>
          </w:p>
        </w:tc>
        <w:tc>
          <w:tcPr>
            <w:tcW w:w="1254" w:type="dxa"/>
            <w:tcBorders>
              <w:right w:val="single" w:sz="3" w:space="0" w:color="000000"/>
            </w:tcBorders>
          </w:tcPr>
          <w:p>
            <w:pPr/>
          </w:p>
        </w:tc>
      </w:tr>
      <w:tr>
        <w:trPr>
          <w:trHeight w:val="1126" w:hRule="exact"/>
        </w:trPr>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right="30"/>
              <w:jc w:val="right"/>
              <w:rPr>
                <w:sz w:val="14"/>
              </w:rPr>
            </w:pPr>
            <w:r>
              <w:rPr>
                <w:sz w:val="14"/>
              </w:rPr>
              <w:t>06/09/2013</w:t>
            </w:r>
          </w:p>
        </w:tc>
        <w:tc>
          <w:tcPr>
            <w:tcW w:w="881" w:type="dxa"/>
          </w:tcPr>
          <w:p>
            <w:pPr>
              <w:pStyle w:val="TableParagraph"/>
              <w:spacing w:line="278" w:lineRule="auto" w:before="5"/>
              <w:ind w:left="25"/>
              <w:rPr>
                <w:sz w:val="14"/>
              </w:rPr>
            </w:pPr>
            <w:r>
              <w:rPr>
                <w:w w:val="105"/>
                <w:sz w:val="14"/>
              </w:rPr>
              <w:t>Bosques de Toronjos No. 94,</w:t>
            </w:r>
          </w:p>
          <w:p>
            <w:pPr>
              <w:pStyle w:val="TableParagraph"/>
              <w:spacing w:line="278" w:lineRule="auto"/>
              <w:ind w:left="25" w:right="31"/>
              <w:rPr>
                <w:sz w:val="14"/>
              </w:rPr>
            </w:pPr>
            <w:r>
              <w:rPr>
                <w:sz w:val="14"/>
              </w:rPr>
              <w:t>fracccionami </w:t>
            </w:r>
            <w:r>
              <w:rPr>
                <w:w w:val="105"/>
                <w:sz w:val="14"/>
              </w:rPr>
              <w:t>ento Bosque de las Lomas</w:t>
            </w:r>
          </w:p>
        </w:tc>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left="25"/>
              <w:rPr>
                <w:sz w:val="14"/>
              </w:rPr>
            </w:pPr>
            <w:r>
              <w:rPr>
                <w:sz w:val="14"/>
              </w:rPr>
              <w:t>La Jornada</w:t>
            </w:r>
          </w:p>
        </w:tc>
        <w:tc>
          <w:tcPr>
            <w:tcW w:w="3999" w:type="dxa"/>
          </w:tcPr>
          <w:p>
            <w:pPr>
              <w:pStyle w:val="TableParagraph"/>
              <w:rPr>
                <w:sz w:val="14"/>
              </w:rPr>
            </w:pPr>
          </w:p>
          <w:p>
            <w:pPr>
              <w:pStyle w:val="TableParagraph"/>
              <w:rPr>
                <w:sz w:val="14"/>
              </w:rPr>
            </w:pPr>
          </w:p>
          <w:p>
            <w:pPr>
              <w:pStyle w:val="TableParagraph"/>
              <w:rPr>
                <w:sz w:val="14"/>
              </w:rPr>
            </w:pPr>
          </w:p>
          <w:p>
            <w:pPr>
              <w:pStyle w:val="TableParagraph"/>
              <w:spacing w:line="278" w:lineRule="auto" w:before="80"/>
              <w:ind w:left="25" w:right="24"/>
              <w:rPr>
                <w:sz w:val="14"/>
              </w:rPr>
            </w:pPr>
            <w:r>
              <w:rPr>
                <w:w w:val="105"/>
                <w:sz w:val="14"/>
              </w:rPr>
              <w:t>6 </w:t>
            </w:r>
            <w:r>
              <w:rPr>
                <w:spacing w:val="-4"/>
                <w:w w:val="105"/>
                <w:sz w:val="14"/>
              </w:rPr>
              <w:t>viviendas </w:t>
            </w:r>
            <w:r>
              <w:rPr>
                <w:w w:val="105"/>
                <w:sz w:val="14"/>
              </w:rPr>
              <w:t>afectadas por derrumbe </w:t>
            </w:r>
            <w:r>
              <w:rPr>
                <w:spacing w:val="-3"/>
                <w:w w:val="105"/>
                <w:sz w:val="14"/>
              </w:rPr>
              <w:t>de un </w:t>
            </w:r>
            <w:r>
              <w:rPr>
                <w:w w:val="105"/>
                <w:sz w:val="14"/>
              </w:rPr>
              <w:t>talud y 1 declarada inhabitable</w:t>
            </w:r>
            <w:r>
              <w:rPr>
                <w:spacing w:val="-11"/>
                <w:w w:val="105"/>
                <w:sz w:val="14"/>
              </w:rPr>
              <w:t> </w:t>
            </w:r>
            <w:r>
              <w:rPr>
                <w:spacing w:val="-3"/>
                <w:w w:val="105"/>
                <w:sz w:val="14"/>
              </w:rPr>
              <w:t>donde</w:t>
            </w:r>
            <w:r>
              <w:rPr>
                <w:spacing w:val="-11"/>
                <w:w w:val="105"/>
                <w:sz w:val="14"/>
              </w:rPr>
              <w:t> </w:t>
            </w:r>
            <w:r>
              <w:rPr>
                <w:w w:val="105"/>
                <w:sz w:val="14"/>
              </w:rPr>
              <w:t>la</w:t>
            </w:r>
            <w:r>
              <w:rPr>
                <w:spacing w:val="-16"/>
                <w:w w:val="105"/>
                <w:sz w:val="14"/>
              </w:rPr>
              <w:t> </w:t>
            </w:r>
            <w:r>
              <w:rPr>
                <w:w w:val="105"/>
                <w:sz w:val="14"/>
              </w:rPr>
              <w:t>tierra</w:t>
            </w:r>
            <w:r>
              <w:rPr>
                <w:spacing w:val="-16"/>
                <w:w w:val="105"/>
                <w:sz w:val="14"/>
              </w:rPr>
              <w:t> </w:t>
            </w:r>
            <w:r>
              <w:rPr>
                <w:w w:val="105"/>
                <w:sz w:val="14"/>
              </w:rPr>
              <w:t>entró</w:t>
            </w:r>
            <w:r>
              <w:rPr>
                <w:spacing w:val="-11"/>
                <w:w w:val="105"/>
                <w:sz w:val="14"/>
              </w:rPr>
              <w:t> </w:t>
            </w:r>
            <w:r>
              <w:rPr>
                <w:spacing w:val="-3"/>
                <w:w w:val="105"/>
                <w:sz w:val="14"/>
              </w:rPr>
              <w:t>al</w:t>
            </w:r>
            <w:r>
              <w:rPr>
                <w:spacing w:val="-11"/>
                <w:w w:val="105"/>
                <w:sz w:val="14"/>
              </w:rPr>
              <w:t> </w:t>
            </w:r>
            <w:r>
              <w:rPr>
                <w:w w:val="105"/>
                <w:sz w:val="14"/>
              </w:rPr>
              <w:t>jardín</w:t>
            </w:r>
            <w:r>
              <w:rPr>
                <w:spacing w:val="-16"/>
                <w:w w:val="105"/>
                <w:sz w:val="14"/>
              </w:rPr>
              <w:t> </w:t>
            </w:r>
            <w:r>
              <w:rPr>
                <w:w w:val="105"/>
                <w:sz w:val="14"/>
              </w:rPr>
              <w:t>las</w:t>
            </w:r>
            <w:r>
              <w:rPr>
                <w:spacing w:val="-11"/>
                <w:w w:val="105"/>
                <w:sz w:val="14"/>
              </w:rPr>
              <w:t> </w:t>
            </w:r>
            <w:r>
              <w:rPr>
                <w:w w:val="105"/>
                <w:sz w:val="14"/>
              </w:rPr>
              <w:t>recámaras</w:t>
            </w:r>
            <w:r>
              <w:rPr>
                <w:spacing w:val="-11"/>
                <w:w w:val="105"/>
                <w:sz w:val="14"/>
              </w:rPr>
              <w:t> </w:t>
            </w:r>
            <w:r>
              <w:rPr>
                <w:w w:val="105"/>
                <w:sz w:val="14"/>
              </w:rPr>
              <w:t>y</w:t>
            </w:r>
            <w:r>
              <w:rPr>
                <w:spacing w:val="-16"/>
                <w:w w:val="105"/>
                <w:sz w:val="14"/>
              </w:rPr>
              <w:t> </w:t>
            </w:r>
            <w:r>
              <w:rPr>
                <w:w w:val="105"/>
                <w:sz w:val="14"/>
              </w:rPr>
              <w:t>algunos muros</w:t>
            </w:r>
            <w:r>
              <w:rPr>
                <w:spacing w:val="-8"/>
                <w:w w:val="105"/>
                <w:sz w:val="14"/>
              </w:rPr>
              <w:t> </w:t>
            </w:r>
            <w:r>
              <w:rPr>
                <w:w w:val="105"/>
                <w:sz w:val="14"/>
              </w:rPr>
              <w:t>tuvieron</w:t>
            </w:r>
            <w:r>
              <w:rPr>
                <w:spacing w:val="-14"/>
                <w:w w:val="105"/>
                <w:sz w:val="14"/>
              </w:rPr>
              <w:t> </w:t>
            </w:r>
            <w:r>
              <w:rPr>
                <w:spacing w:val="-3"/>
                <w:w w:val="105"/>
                <w:sz w:val="14"/>
              </w:rPr>
              <w:t>daños</w:t>
            </w:r>
            <w:r>
              <w:rPr>
                <w:spacing w:val="-8"/>
                <w:w w:val="105"/>
                <w:sz w:val="14"/>
              </w:rPr>
              <w:t> </w:t>
            </w:r>
            <w:r>
              <w:rPr>
                <w:w w:val="105"/>
                <w:sz w:val="14"/>
              </w:rPr>
              <w:t>severos</w:t>
            </w:r>
            <w:r>
              <w:rPr>
                <w:spacing w:val="-8"/>
                <w:w w:val="105"/>
                <w:sz w:val="14"/>
              </w:rPr>
              <w:t> </w:t>
            </w:r>
            <w:r>
              <w:rPr>
                <w:w w:val="105"/>
                <w:sz w:val="14"/>
              </w:rPr>
              <w:t>debido</w:t>
            </w:r>
            <w:r>
              <w:rPr>
                <w:spacing w:val="-8"/>
                <w:w w:val="105"/>
                <w:sz w:val="14"/>
              </w:rPr>
              <w:t> </w:t>
            </w:r>
            <w:r>
              <w:rPr>
                <w:spacing w:val="-3"/>
                <w:w w:val="105"/>
                <w:sz w:val="14"/>
              </w:rPr>
              <w:t>al</w:t>
            </w:r>
            <w:r>
              <w:rPr>
                <w:spacing w:val="-9"/>
                <w:w w:val="105"/>
                <w:sz w:val="14"/>
              </w:rPr>
              <w:t> </w:t>
            </w:r>
            <w:r>
              <w:rPr>
                <w:w w:val="105"/>
                <w:sz w:val="14"/>
              </w:rPr>
              <w:t>golpe</w:t>
            </w:r>
            <w:r>
              <w:rPr>
                <w:spacing w:val="-8"/>
                <w:w w:val="105"/>
                <w:sz w:val="14"/>
              </w:rPr>
              <w:t> </w:t>
            </w:r>
            <w:r>
              <w:rPr>
                <w:spacing w:val="-3"/>
                <w:w w:val="105"/>
                <w:sz w:val="14"/>
              </w:rPr>
              <w:t>de</w:t>
            </w:r>
            <w:r>
              <w:rPr>
                <w:spacing w:val="-8"/>
                <w:w w:val="105"/>
                <w:sz w:val="14"/>
              </w:rPr>
              <w:t> </w:t>
            </w:r>
            <w:r>
              <w:rPr>
                <w:w w:val="105"/>
                <w:sz w:val="14"/>
              </w:rPr>
              <w:t>la</w:t>
            </w:r>
            <w:r>
              <w:rPr>
                <w:spacing w:val="-14"/>
                <w:w w:val="105"/>
                <w:sz w:val="14"/>
              </w:rPr>
              <w:t> </w:t>
            </w:r>
            <w:r>
              <w:rPr>
                <w:w w:val="105"/>
                <w:sz w:val="14"/>
              </w:rPr>
              <w:t>tierra.</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right="28"/>
              <w:jc w:val="right"/>
              <w:rPr>
                <w:sz w:val="14"/>
              </w:rPr>
            </w:pPr>
            <w:r>
              <w:rPr>
                <w:w w:val="102"/>
                <w:sz w:val="14"/>
              </w:rPr>
              <w:t>1</w:t>
            </w:r>
          </w:p>
        </w:tc>
        <w:tc>
          <w:tcPr>
            <w:tcW w:w="90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right="27"/>
              <w:jc w:val="right"/>
              <w:rPr>
                <w:sz w:val="14"/>
              </w:rPr>
            </w:pPr>
            <w:r>
              <w:rPr>
                <w:w w:val="102"/>
                <w:sz w:val="14"/>
              </w:rPr>
              <w:t>6</w:t>
            </w:r>
          </w:p>
        </w:tc>
        <w:tc>
          <w:tcPr>
            <w:tcW w:w="932"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1"/>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567" w:hRule="exact"/>
        </w:trPr>
        <w:tc>
          <w:tcPr>
            <w:tcW w:w="881" w:type="dxa"/>
          </w:tcPr>
          <w:p>
            <w:pPr>
              <w:pStyle w:val="TableParagraph"/>
              <w:rPr>
                <w:sz w:val="14"/>
              </w:rPr>
            </w:pPr>
          </w:p>
          <w:p>
            <w:pPr>
              <w:pStyle w:val="TableParagraph"/>
              <w:spacing w:before="9"/>
              <w:rPr>
                <w:sz w:val="18"/>
              </w:rPr>
            </w:pPr>
          </w:p>
          <w:p>
            <w:pPr>
              <w:pStyle w:val="TableParagraph"/>
              <w:ind w:right="30"/>
              <w:jc w:val="right"/>
              <w:rPr>
                <w:sz w:val="14"/>
              </w:rPr>
            </w:pPr>
            <w:r>
              <w:rPr>
                <w:sz w:val="14"/>
              </w:rPr>
              <w:t>26/09/2013</w:t>
            </w:r>
          </w:p>
        </w:tc>
        <w:tc>
          <w:tcPr>
            <w:tcW w:w="881" w:type="dxa"/>
          </w:tcPr>
          <w:p>
            <w:pPr>
              <w:pStyle w:val="TableParagraph"/>
              <w:spacing w:line="278" w:lineRule="auto" w:before="5"/>
              <w:ind w:left="25" w:right="31"/>
              <w:rPr>
                <w:sz w:val="14"/>
              </w:rPr>
            </w:pPr>
            <w:r>
              <w:rPr>
                <w:w w:val="105"/>
                <w:sz w:val="14"/>
              </w:rPr>
              <w:t>Colonia San Pablo Chimalpa</w:t>
            </w:r>
          </w:p>
        </w:tc>
        <w:tc>
          <w:tcPr>
            <w:tcW w:w="881" w:type="dxa"/>
          </w:tcPr>
          <w:p>
            <w:pPr>
              <w:pStyle w:val="TableParagraph"/>
              <w:rPr>
                <w:sz w:val="14"/>
              </w:rPr>
            </w:pPr>
          </w:p>
          <w:p>
            <w:pPr>
              <w:pStyle w:val="TableParagraph"/>
              <w:spacing w:before="9"/>
              <w:rPr>
                <w:sz w:val="18"/>
              </w:rPr>
            </w:pPr>
          </w:p>
          <w:p>
            <w:pPr>
              <w:pStyle w:val="TableParagraph"/>
              <w:ind w:left="25"/>
              <w:rPr>
                <w:sz w:val="14"/>
              </w:rPr>
            </w:pPr>
            <w:r>
              <w:rPr>
                <w:sz w:val="14"/>
              </w:rPr>
              <w:t>La Jornada</w:t>
            </w:r>
          </w:p>
        </w:tc>
        <w:tc>
          <w:tcPr>
            <w:tcW w:w="3999" w:type="dxa"/>
          </w:tcPr>
          <w:p>
            <w:pPr>
              <w:pStyle w:val="TableParagraph"/>
              <w:spacing w:before="7"/>
              <w:rPr>
                <w:sz w:val="16"/>
              </w:rPr>
            </w:pPr>
          </w:p>
          <w:p>
            <w:pPr>
              <w:pStyle w:val="TableParagraph"/>
              <w:spacing w:line="278" w:lineRule="auto"/>
              <w:ind w:left="25" w:right="-15"/>
              <w:rPr>
                <w:sz w:val="14"/>
              </w:rPr>
            </w:pPr>
            <w:r>
              <w:rPr>
                <w:w w:val="105"/>
                <w:sz w:val="14"/>
              </w:rPr>
              <w:t>La caída </w:t>
            </w:r>
            <w:r>
              <w:rPr>
                <w:spacing w:val="-3"/>
                <w:w w:val="105"/>
                <w:sz w:val="14"/>
              </w:rPr>
              <w:t>de </w:t>
            </w:r>
            <w:r>
              <w:rPr>
                <w:w w:val="105"/>
                <w:sz w:val="14"/>
              </w:rPr>
              <w:t>unos 40 m3 </w:t>
            </w:r>
            <w:r>
              <w:rPr>
                <w:spacing w:val="-3"/>
                <w:w w:val="105"/>
                <w:sz w:val="14"/>
              </w:rPr>
              <w:t>de </w:t>
            </w:r>
            <w:r>
              <w:rPr>
                <w:w w:val="105"/>
                <w:sz w:val="14"/>
              </w:rPr>
              <w:t>tierra </w:t>
            </w:r>
            <w:r>
              <w:rPr>
                <w:spacing w:val="-3"/>
                <w:w w:val="105"/>
                <w:sz w:val="14"/>
              </w:rPr>
              <w:t>de un </w:t>
            </w:r>
            <w:r>
              <w:rPr>
                <w:w w:val="105"/>
                <w:sz w:val="14"/>
              </w:rPr>
              <w:t>cerro arrastró varios autos, 2 </w:t>
            </w:r>
            <w:r>
              <w:rPr>
                <w:spacing w:val="-3"/>
                <w:w w:val="105"/>
                <w:sz w:val="14"/>
              </w:rPr>
              <w:t>de </w:t>
            </w:r>
            <w:r>
              <w:rPr>
                <w:spacing w:val="2"/>
                <w:w w:val="105"/>
                <w:sz w:val="14"/>
              </w:rPr>
              <w:t>los </w:t>
            </w:r>
            <w:r>
              <w:rPr>
                <w:w w:val="105"/>
                <w:sz w:val="14"/>
              </w:rPr>
              <w:t>cuales quedaron inservibles.</w:t>
            </w:r>
          </w:p>
        </w:tc>
        <w:tc>
          <w:tcPr>
            <w:tcW w:w="898" w:type="dxa"/>
          </w:tcPr>
          <w:p>
            <w:pPr>
              <w:pStyle w:val="TableParagraph"/>
              <w:rPr>
                <w:sz w:val="14"/>
              </w:rPr>
            </w:pPr>
          </w:p>
          <w:p>
            <w:pPr>
              <w:pStyle w:val="TableParagraph"/>
              <w:spacing w:before="9"/>
              <w:rPr>
                <w:sz w:val="18"/>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spacing w:before="9"/>
              <w:rPr>
                <w:sz w:val="18"/>
              </w:rPr>
            </w:pPr>
          </w:p>
          <w:p>
            <w:pPr>
              <w:pStyle w:val="TableParagraph"/>
              <w:ind w:right="28"/>
              <w:jc w:val="right"/>
              <w:rPr>
                <w:sz w:val="14"/>
              </w:rPr>
            </w:pPr>
            <w:r>
              <w:rPr>
                <w:w w:val="102"/>
                <w:sz w:val="14"/>
              </w:rPr>
              <w:t>0</w:t>
            </w:r>
          </w:p>
        </w:tc>
        <w:tc>
          <w:tcPr>
            <w:tcW w:w="906"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32" w:type="dxa"/>
          </w:tcPr>
          <w:p>
            <w:pPr>
              <w:pStyle w:val="TableParagraph"/>
              <w:rPr>
                <w:sz w:val="14"/>
              </w:rPr>
            </w:pPr>
          </w:p>
          <w:p>
            <w:pPr>
              <w:pStyle w:val="TableParagraph"/>
              <w:spacing w:before="9"/>
              <w:rPr>
                <w:sz w:val="18"/>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381" w:hRule="exact"/>
        </w:trPr>
        <w:tc>
          <w:tcPr>
            <w:tcW w:w="881" w:type="dxa"/>
          </w:tcPr>
          <w:p>
            <w:pPr>
              <w:pStyle w:val="TableParagraph"/>
              <w:spacing w:before="7"/>
              <w:rPr>
                <w:sz w:val="16"/>
              </w:rPr>
            </w:pPr>
          </w:p>
          <w:p>
            <w:pPr>
              <w:pStyle w:val="TableParagraph"/>
              <w:ind w:right="30"/>
              <w:jc w:val="right"/>
              <w:rPr>
                <w:sz w:val="14"/>
              </w:rPr>
            </w:pPr>
            <w:r>
              <w:rPr>
                <w:sz w:val="14"/>
              </w:rPr>
              <w:t>26/09/2013</w:t>
            </w:r>
          </w:p>
        </w:tc>
        <w:tc>
          <w:tcPr>
            <w:tcW w:w="881" w:type="dxa"/>
          </w:tcPr>
          <w:p>
            <w:pPr/>
          </w:p>
        </w:tc>
        <w:tc>
          <w:tcPr>
            <w:tcW w:w="881" w:type="dxa"/>
          </w:tcPr>
          <w:p>
            <w:pPr>
              <w:pStyle w:val="TableParagraph"/>
              <w:spacing w:before="7"/>
              <w:rPr>
                <w:sz w:val="16"/>
              </w:rPr>
            </w:pPr>
          </w:p>
          <w:p>
            <w:pPr>
              <w:pStyle w:val="TableParagraph"/>
              <w:ind w:left="25"/>
              <w:rPr>
                <w:sz w:val="14"/>
              </w:rPr>
            </w:pPr>
            <w:r>
              <w:rPr>
                <w:sz w:val="14"/>
              </w:rPr>
              <w:t>La Jornada</w:t>
            </w:r>
          </w:p>
        </w:tc>
        <w:tc>
          <w:tcPr>
            <w:tcW w:w="3999" w:type="dxa"/>
          </w:tcPr>
          <w:p>
            <w:pPr>
              <w:pStyle w:val="TableParagraph"/>
              <w:spacing w:before="7"/>
              <w:rPr>
                <w:sz w:val="16"/>
              </w:rPr>
            </w:pPr>
          </w:p>
          <w:p>
            <w:pPr>
              <w:pStyle w:val="TableParagraph"/>
              <w:ind w:left="25" w:right="24"/>
              <w:rPr>
                <w:sz w:val="14"/>
              </w:rPr>
            </w:pPr>
            <w:r>
              <w:rPr>
                <w:w w:val="105"/>
                <w:sz w:val="14"/>
              </w:rPr>
              <w:t>Derrumbe</w:t>
            </w:r>
            <w:r>
              <w:rPr>
                <w:spacing w:val="-8"/>
                <w:w w:val="105"/>
                <w:sz w:val="14"/>
              </w:rPr>
              <w:t> </w:t>
            </w:r>
            <w:r>
              <w:rPr>
                <w:spacing w:val="-3"/>
                <w:w w:val="105"/>
                <w:sz w:val="14"/>
              </w:rPr>
              <w:t>de</w:t>
            </w:r>
            <w:r>
              <w:rPr>
                <w:spacing w:val="-8"/>
                <w:w w:val="105"/>
                <w:sz w:val="14"/>
              </w:rPr>
              <w:t> </w:t>
            </w:r>
            <w:r>
              <w:rPr>
                <w:w w:val="105"/>
                <w:sz w:val="14"/>
              </w:rPr>
              <w:t>cerro</w:t>
            </w:r>
            <w:r>
              <w:rPr>
                <w:spacing w:val="-8"/>
                <w:w w:val="105"/>
                <w:sz w:val="14"/>
              </w:rPr>
              <w:t> </w:t>
            </w:r>
            <w:r>
              <w:rPr>
                <w:w w:val="105"/>
                <w:sz w:val="14"/>
              </w:rPr>
              <w:t>sobre</w:t>
            </w:r>
            <w:r>
              <w:rPr>
                <w:spacing w:val="-8"/>
                <w:w w:val="105"/>
                <w:sz w:val="14"/>
              </w:rPr>
              <w:t> </w:t>
            </w:r>
            <w:r>
              <w:rPr>
                <w:spacing w:val="-4"/>
                <w:w w:val="105"/>
                <w:sz w:val="14"/>
              </w:rPr>
              <w:t>una</w:t>
            </w:r>
            <w:r>
              <w:rPr>
                <w:spacing w:val="-14"/>
                <w:w w:val="105"/>
                <w:sz w:val="14"/>
              </w:rPr>
              <w:t> </w:t>
            </w:r>
            <w:r>
              <w:rPr>
                <w:w w:val="105"/>
                <w:sz w:val="14"/>
              </w:rPr>
              <w:t>casa</w:t>
            </w:r>
            <w:r>
              <w:rPr>
                <w:spacing w:val="-14"/>
                <w:w w:val="105"/>
                <w:sz w:val="14"/>
              </w:rPr>
              <w:t> </w:t>
            </w:r>
            <w:r>
              <w:rPr>
                <w:w w:val="105"/>
                <w:sz w:val="14"/>
              </w:rPr>
              <w:t>precaria</w:t>
            </w:r>
            <w:r>
              <w:rPr>
                <w:spacing w:val="-14"/>
                <w:w w:val="105"/>
                <w:sz w:val="14"/>
              </w:rPr>
              <w:t> </w:t>
            </w:r>
            <w:r>
              <w:rPr>
                <w:w w:val="105"/>
                <w:sz w:val="14"/>
              </w:rPr>
              <w:t>deja</w:t>
            </w:r>
            <w:r>
              <w:rPr>
                <w:spacing w:val="-14"/>
                <w:w w:val="105"/>
                <w:sz w:val="14"/>
              </w:rPr>
              <w:t> </w:t>
            </w:r>
            <w:r>
              <w:rPr>
                <w:w w:val="105"/>
                <w:sz w:val="14"/>
              </w:rPr>
              <w:t>1</w:t>
            </w:r>
            <w:r>
              <w:rPr>
                <w:spacing w:val="-8"/>
                <w:w w:val="105"/>
                <w:sz w:val="14"/>
              </w:rPr>
              <w:t> </w:t>
            </w:r>
            <w:r>
              <w:rPr>
                <w:w w:val="105"/>
                <w:sz w:val="14"/>
              </w:rPr>
              <w:t>persona</w:t>
            </w:r>
            <w:r>
              <w:rPr>
                <w:spacing w:val="-14"/>
                <w:w w:val="105"/>
                <w:sz w:val="14"/>
              </w:rPr>
              <w:t> </w:t>
            </w:r>
            <w:r>
              <w:rPr>
                <w:w w:val="105"/>
                <w:sz w:val="14"/>
              </w:rPr>
              <w:t>lesionada.</w:t>
            </w:r>
          </w:p>
        </w:tc>
        <w:tc>
          <w:tcPr>
            <w:tcW w:w="898" w:type="dxa"/>
          </w:tcPr>
          <w:p>
            <w:pPr>
              <w:pStyle w:val="TableParagraph"/>
              <w:spacing w:before="7"/>
              <w:rPr>
                <w:sz w:val="16"/>
              </w:rPr>
            </w:pPr>
          </w:p>
          <w:p>
            <w:pPr>
              <w:pStyle w:val="TableParagraph"/>
              <w:ind w:right="29"/>
              <w:jc w:val="right"/>
              <w:rPr>
                <w:sz w:val="14"/>
              </w:rPr>
            </w:pPr>
            <w:r>
              <w:rPr>
                <w:w w:val="102"/>
                <w:sz w:val="14"/>
              </w:rPr>
              <w:t>0</w:t>
            </w:r>
          </w:p>
        </w:tc>
        <w:tc>
          <w:tcPr>
            <w:tcW w:w="1178" w:type="dxa"/>
          </w:tcPr>
          <w:p>
            <w:pPr>
              <w:pStyle w:val="TableParagraph"/>
              <w:spacing w:before="7"/>
              <w:rPr>
                <w:sz w:val="16"/>
              </w:rPr>
            </w:pPr>
          </w:p>
          <w:p>
            <w:pPr>
              <w:pStyle w:val="TableParagraph"/>
              <w:ind w:right="27"/>
              <w:jc w:val="right"/>
              <w:rPr>
                <w:sz w:val="14"/>
              </w:rPr>
            </w:pPr>
            <w:r>
              <w:rPr>
                <w:w w:val="102"/>
                <w:sz w:val="14"/>
              </w:rPr>
              <w:t>0</w:t>
            </w:r>
          </w:p>
        </w:tc>
        <w:tc>
          <w:tcPr>
            <w:tcW w:w="949" w:type="dxa"/>
          </w:tcPr>
          <w:p>
            <w:pPr>
              <w:pStyle w:val="TableParagraph"/>
              <w:spacing w:before="7"/>
              <w:rPr>
                <w:sz w:val="16"/>
              </w:rPr>
            </w:pPr>
          </w:p>
          <w:p>
            <w:pPr>
              <w:pStyle w:val="TableParagraph"/>
              <w:ind w:right="28"/>
              <w:jc w:val="right"/>
              <w:rPr>
                <w:sz w:val="14"/>
              </w:rPr>
            </w:pPr>
            <w:r>
              <w:rPr>
                <w:w w:val="102"/>
                <w:sz w:val="14"/>
              </w:rPr>
              <w:t>1</w:t>
            </w:r>
          </w:p>
        </w:tc>
        <w:tc>
          <w:tcPr>
            <w:tcW w:w="906" w:type="dxa"/>
          </w:tcPr>
          <w:p>
            <w:pPr>
              <w:pStyle w:val="TableParagraph"/>
              <w:spacing w:before="7"/>
              <w:rPr>
                <w:sz w:val="16"/>
              </w:rPr>
            </w:pPr>
          </w:p>
          <w:p>
            <w:pPr>
              <w:pStyle w:val="TableParagraph"/>
              <w:ind w:right="27"/>
              <w:jc w:val="right"/>
              <w:rPr>
                <w:sz w:val="14"/>
              </w:rPr>
            </w:pPr>
            <w:r>
              <w:rPr>
                <w:w w:val="102"/>
                <w:sz w:val="14"/>
              </w:rPr>
              <w:t>0</w:t>
            </w:r>
          </w:p>
        </w:tc>
        <w:tc>
          <w:tcPr>
            <w:tcW w:w="932" w:type="dxa"/>
          </w:tcPr>
          <w:p>
            <w:pPr>
              <w:pStyle w:val="TableParagraph"/>
              <w:spacing w:before="7"/>
              <w:rPr>
                <w:sz w:val="16"/>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567" w:hRule="exact"/>
        </w:trPr>
        <w:tc>
          <w:tcPr>
            <w:tcW w:w="881" w:type="dxa"/>
          </w:tcPr>
          <w:p>
            <w:pPr>
              <w:pStyle w:val="TableParagraph"/>
              <w:rPr>
                <w:sz w:val="14"/>
              </w:rPr>
            </w:pPr>
          </w:p>
          <w:p>
            <w:pPr>
              <w:pStyle w:val="TableParagraph"/>
              <w:spacing w:before="9"/>
              <w:rPr>
                <w:sz w:val="18"/>
              </w:rPr>
            </w:pPr>
          </w:p>
          <w:p>
            <w:pPr>
              <w:pStyle w:val="TableParagraph"/>
              <w:ind w:right="30"/>
              <w:jc w:val="right"/>
              <w:rPr>
                <w:sz w:val="14"/>
              </w:rPr>
            </w:pPr>
            <w:r>
              <w:rPr>
                <w:sz w:val="14"/>
              </w:rPr>
              <w:t>26/09/2013</w:t>
            </w:r>
          </w:p>
        </w:tc>
        <w:tc>
          <w:tcPr>
            <w:tcW w:w="881" w:type="dxa"/>
          </w:tcPr>
          <w:p>
            <w:pPr>
              <w:pStyle w:val="TableParagraph"/>
              <w:spacing w:line="278" w:lineRule="auto" w:before="4"/>
              <w:ind w:left="25" w:right="45"/>
              <w:rPr>
                <w:sz w:val="14"/>
              </w:rPr>
            </w:pPr>
            <w:r>
              <w:rPr>
                <w:w w:val="105"/>
                <w:sz w:val="14"/>
              </w:rPr>
              <w:t>Calzada Tecnológico </w:t>
            </w:r>
            <w:r>
              <w:rPr>
                <w:sz w:val="14"/>
              </w:rPr>
              <w:t>esquina Atitla</w:t>
            </w:r>
          </w:p>
        </w:tc>
        <w:tc>
          <w:tcPr>
            <w:tcW w:w="881" w:type="dxa"/>
          </w:tcPr>
          <w:p>
            <w:pPr>
              <w:pStyle w:val="TableParagraph"/>
              <w:rPr>
                <w:sz w:val="14"/>
              </w:rPr>
            </w:pPr>
          </w:p>
          <w:p>
            <w:pPr>
              <w:pStyle w:val="TableParagraph"/>
              <w:spacing w:before="9"/>
              <w:rPr>
                <w:sz w:val="18"/>
              </w:rPr>
            </w:pPr>
          </w:p>
          <w:p>
            <w:pPr>
              <w:pStyle w:val="TableParagraph"/>
              <w:ind w:left="25"/>
              <w:rPr>
                <w:sz w:val="14"/>
              </w:rPr>
            </w:pPr>
            <w:r>
              <w:rPr>
                <w:sz w:val="14"/>
              </w:rPr>
              <w:t>La Jornada</w:t>
            </w:r>
          </w:p>
        </w:tc>
        <w:tc>
          <w:tcPr>
            <w:tcW w:w="3999" w:type="dxa"/>
          </w:tcPr>
          <w:p>
            <w:pPr>
              <w:pStyle w:val="TableParagraph"/>
              <w:spacing w:before="7"/>
              <w:rPr>
                <w:sz w:val="16"/>
              </w:rPr>
            </w:pPr>
          </w:p>
          <w:p>
            <w:pPr>
              <w:pStyle w:val="TableParagraph"/>
              <w:spacing w:line="278" w:lineRule="auto"/>
              <w:ind w:left="25" w:right="63"/>
              <w:rPr>
                <w:sz w:val="14"/>
              </w:rPr>
            </w:pPr>
            <w:r>
              <w:rPr>
                <w:w w:val="105"/>
                <w:sz w:val="14"/>
              </w:rPr>
              <w:t>Deslizamiento </w:t>
            </w:r>
            <w:r>
              <w:rPr>
                <w:spacing w:val="-3"/>
                <w:w w:val="105"/>
                <w:sz w:val="14"/>
              </w:rPr>
              <w:t>de </w:t>
            </w:r>
            <w:r>
              <w:rPr>
                <w:w w:val="105"/>
                <w:sz w:val="14"/>
              </w:rPr>
              <w:t>tierra provoca la caída </w:t>
            </w:r>
            <w:r>
              <w:rPr>
                <w:spacing w:val="-3"/>
                <w:w w:val="105"/>
                <w:sz w:val="14"/>
              </w:rPr>
              <w:t>de </w:t>
            </w:r>
            <w:r>
              <w:rPr>
                <w:w w:val="105"/>
                <w:sz w:val="14"/>
              </w:rPr>
              <w:t>árboles y </w:t>
            </w:r>
            <w:r>
              <w:rPr>
                <w:spacing w:val="-3"/>
                <w:w w:val="105"/>
                <w:sz w:val="14"/>
              </w:rPr>
              <w:t>daños </w:t>
            </w:r>
            <w:r>
              <w:rPr>
                <w:w w:val="105"/>
                <w:sz w:val="14"/>
              </w:rPr>
              <w:t>totales en 6 autos 1 motocicleta.</w:t>
            </w:r>
          </w:p>
        </w:tc>
        <w:tc>
          <w:tcPr>
            <w:tcW w:w="898" w:type="dxa"/>
          </w:tcPr>
          <w:p>
            <w:pPr>
              <w:pStyle w:val="TableParagraph"/>
              <w:rPr>
                <w:sz w:val="14"/>
              </w:rPr>
            </w:pPr>
          </w:p>
          <w:p>
            <w:pPr>
              <w:pStyle w:val="TableParagraph"/>
              <w:spacing w:before="9"/>
              <w:rPr>
                <w:sz w:val="18"/>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spacing w:before="9"/>
              <w:rPr>
                <w:sz w:val="18"/>
              </w:rPr>
            </w:pPr>
          </w:p>
          <w:p>
            <w:pPr>
              <w:pStyle w:val="TableParagraph"/>
              <w:ind w:right="28"/>
              <w:jc w:val="right"/>
              <w:rPr>
                <w:sz w:val="14"/>
              </w:rPr>
            </w:pPr>
            <w:r>
              <w:rPr>
                <w:w w:val="102"/>
                <w:sz w:val="14"/>
              </w:rPr>
              <w:t>0</w:t>
            </w:r>
          </w:p>
        </w:tc>
        <w:tc>
          <w:tcPr>
            <w:tcW w:w="906"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32" w:type="dxa"/>
          </w:tcPr>
          <w:p>
            <w:pPr>
              <w:pStyle w:val="TableParagraph"/>
              <w:rPr>
                <w:sz w:val="14"/>
              </w:rPr>
            </w:pPr>
          </w:p>
          <w:p>
            <w:pPr>
              <w:pStyle w:val="TableParagraph"/>
              <w:spacing w:before="9"/>
              <w:rPr>
                <w:sz w:val="18"/>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940" w:hRule="exact"/>
        </w:trPr>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right="30"/>
              <w:jc w:val="right"/>
              <w:rPr>
                <w:sz w:val="14"/>
              </w:rPr>
            </w:pPr>
            <w:r>
              <w:rPr>
                <w:sz w:val="14"/>
              </w:rPr>
              <w:t>26/09/2013</w:t>
            </w:r>
          </w:p>
        </w:tc>
        <w:tc>
          <w:tcPr>
            <w:tcW w:w="881" w:type="dxa"/>
          </w:tcPr>
          <w:p>
            <w:pPr>
              <w:pStyle w:val="TableParagraph"/>
              <w:spacing w:line="278" w:lineRule="auto" w:before="5"/>
              <w:ind w:left="25" w:right="31"/>
              <w:rPr>
                <w:sz w:val="14"/>
              </w:rPr>
            </w:pPr>
            <w:r>
              <w:rPr>
                <w:w w:val="105"/>
                <w:sz w:val="14"/>
              </w:rPr>
              <w:t>Calzada Tecnológico esquina </w:t>
            </w:r>
            <w:r>
              <w:rPr>
                <w:sz w:val="14"/>
              </w:rPr>
              <w:t>Prolongación </w:t>
            </w:r>
            <w:r>
              <w:rPr>
                <w:w w:val="105"/>
                <w:sz w:val="14"/>
              </w:rPr>
              <w:t>Concordia</w:t>
            </w:r>
          </w:p>
        </w:tc>
        <w:tc>
          <w:tcPr>
            <w:tcW w:w="881"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left="25"/>
              <w:rPr>
                <w:sz w:val="14"/>
              </w:rPr>
            </w:pPr>
            <w:r>
              <w:rPr>
                <w:sz w:val="14"/>
              </w:rPr>
              <w:t>La Jornada</w:t>
            </w:r>
          </w:p>
        </w:tc>
        <w:tc>
          <w:tcPr>
            <w:tcW w:w="399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left="25" w:right="24"/>
              <w:rPr>
                <w:sz w:val="14"/>
              </w:rPr>
            </w:pPr>
            <w:r>
              <w:rPr>
                <w:w w:val="105"/>
                <w:sz w:val="14"/>
              </w:rPr>
              <w:t>Cierre parcial de circulación por deslave sobre el pavimento.</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right="29"/>
              <w:jc w:val="right"/>
              <w:rPr>
                <w:sz w:val="14"/>
              </w:rPr>
            </w:pPr>
            <w:r>
              <w:rPr>
                <w:w w:val="102"/>
                <w:sz w:val="14"/>
              </w:rPr>
              <w:t>0</w:t>
            </w:r>
          </w:p>
        </w:tc>
        <w:tc>
          <w:tcPr>
            <w:tcW w:w="117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right="27"/>
              <w:jc w:val="right"/>
              <w:rPr>
                <w:sz w:val="14"/>
              </w:rPr>
            </w:pPr>
            <w:r>
              <w:rPr>
                <w:w w:val="102"/>
                <w:sz w:val="14"/>
              </w:rPr>
              <w:t>0</w:t>
            </w:r>
          </w:p>
        </w:tc>
        <w:tc>
          <w:tcPr>
            <w:tcW w:w="949"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right="28"/>
              <w:jc w:val="right"/>
              <w:rPr>
                <w:sz w:val="14"/>
              </w:rPr>
            </w:pPr>
            <w:r>
              <w:rPr>
                <w:w w:val="102"/>
                <w:sz w:val="14"/>
              </w:rPr>
              <w:t>0</w:t>
            </w:r>
          </w:p>
        </w:tc>
        <w:tc>
          <w:tcPr>
            <w:tcW w:w="906"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right="27"/>
              <w:jc w:val="right"/>
              <w:rPr>
                <w:sz w:val="14"/>
              </w:rPr>
            </w:pPr>
            <w:r>
              <w:rPr>
                <w:w w:val="102"/>
                <w:sz w:val="14"/>
              </w:rPr>
              <w:t>0</w:t>
            </w:r>
          </w:p>
        </w:tc>
        <w:tc>
          <w:tcPr>
            <w:tcW w:w="932"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06"/>
              <w:ind w:left="25" w:right="204"/>
              <w:rPr>
                <w:sz w:val="14"/>
              </w:rPr>
            </w:pPr>
            <w:r>
              <w:rPr>
                <w:w w:val="105"/>
                <w:sz w:val="14"/>
              </w:rPr>
              <w:t>Lluvias</w:t>
            </w:r>
          </w:p>
        </w:tc>
        <w:tc>
          <w:tcPr>
            <w:tcW w:w="1254" w:type="dxa"/>
            <w:tcBorders>
              <w:right w:val="single" w:sz="3" w:space="0" w:color="000000"/>
            </w:tcBorders>
          </w:tcPr>
          <w:p>
            <w:pPr/>
          </w:p>
        </w:tc>
      </w:tr>
      <w:tr>
        <w:trPr>
          <w:trHeight w:val="669" w:hRule="exact"/>
        </w:trPr>
        <w:tc>
          <w:tcPr>
            <w:tcW w:w="881" w:type="dxa"/>
          </w:tcPr>
          <w:p>
            <w:pPr>
              <w:pStyle w:val="TableParagraph"/>
              <w:rPr>
                <w:sz w:val="14"/>
              </w:rPr>
            </w:pPr>
          </w:p>
          <w:p>
            <w:pPr>
              <w:pStyle w:val="TableParagraph"/>
              <w:rPr>
                <w:sz w:val="14"/>
              </w:rPr>
            </w:pPr>
          </w:p>
          <w:p>
            <w:pPr>
              <w:pStyle w:val="TableParagraph"/>
              <w:spacing w:before="7"/>
              <w:rPr>
                <w:sz w:val="13"/>
              </w:rPr>
            </w:pPr>
          </w:p>
          <w:p>
            <w:pPr>
              <w:pStyle w:val="TableParagraph"/>
              <w:ind w:right="30"/>
              <w:jc w:val="right"/>
              <w:rPr>
                <w:sz w:val="14"/>
              </w:rPr>
            </w:pPr>
            <w:r>
              <w:rPr>
                <w:sz w:val="14"/>
              </w:rPr>
              <w:t>26/09/2013</w:t>
            </w:r>
          </w:p>
        </w:tc>
        <w:tc>
          <w:tcPr>
            <w:tcW w:w="881" w:type="dxa"/>
          </w:tcPr>
          <w:p>
            <w:pPr>
              <w:pStyle w:val="TableParagraph"/>
              <w:spacing w:line="81" w:lineRule="exact"/>
              <w:ind w:left="25" w:right="31"/>
              <w:rPr>
                <w:sz w:val="14"/>
              </w:rPr>
            </w:pPr>
            <w:r>
              <w:rPr>
                <w:w w:val="105"/>
                <w:sz w:val="14"/>
              </w:rPr>
              <w:t>Calle</w:t>
            </w:r>
          </w:p>
          <w:p>
            <w:pPr>
              <w:pStyle w:val="TableParagraph"/>
              <w:spacing w:line="278" w:lineRule="auto" w:before="25"/>
              <w:ind w:left="25" w:right="205"/>
              <w:rPr>
                <w:sz w:val="14"/>
              </w:rPr>
            </w:pPr>
            <w:r>
              <w:rPr>
                <w:sz w:val="14"/>
              </w:rPr>
              <w:t>Constancia </w:t>
            </w:r>
            <w:r>
              <w:rPr>
                <w:w w:val="105"/>
                <w:sz w:val="14"/>
              </w:rPr>
              <w:t>esquina Encinal</w:t>
            </w:r>
          </w:p>
        </w:tc>
        <w:tc>
          <w:tcPr>
            <w:tcW w:w="881" w:type="dxa"/>
          </w:tcPr>
          <w:p>
            <w:pPr>
              <w:pStyle w:val="TableParagraph"/>
              <w:rPr>
                <w:sz w:val="14"/>
              </w:rPr>
            </w:pPr>
          </w:p>
          <w:p>
            <w:pPr>
              <w:pStyle w:val="TableParagraph"/>
              <w:rPr>
                <w:sz w:val="14"/>
              </w:rPr>
            </w:pPr>
          </w:p>
          <w:p>
            <w:pPr>
              <w:pStyle w:val="TableParagraph"/>
              <w:spacing w:before="7"/>
              <w:rPr>
                <w:sz w:val="13"/>
              </w:rPr>
            </w:pPr>
          </w:p>
          <w:p>
            <w:pPr>
              <w:pStyle w:val="TableParagraph"/>
              <w:ind w:left="25"/>
              <w:rPr>
                <w:sz w:val="14"/>
              </w:rPr>
            </w:pPr>
            <w:r>
              <w:rPr>
                <w:sz w:val="14"/>
              </w:rPr>
              <w:t>La Jornada</w:t>
            </w:r>
          </w:p>
        </w:tc>
        <w:tc>
          <w:tcPr>
            <w:tcW w:w="3999" w:type="dxa"/>
          </w:tcPr>
          <w:p>
            <w:pPr>
              <w:pStyle w:val="TableParagraph"/>
              <w:rPr>
                <w:sz w:val="14"/>
              </w:rPr>
            </w:pPr>
          </w:p>
          <w:p>
            <w:pPr>
              <w:pStyle w:val="TableParagraph"/>
              <w:spacing w:before="5"/>
              <w:rPr>
                <w:sz w:val="11"/>
              </w:rPr>
            </w:pPr>
          </w:p>
          <w:p>
            <w:pPr>
              <w:pStyle w:val="TableParagraph"/>
              <w:spacing w:line="278" w:lineRule="auto"/>
              <w:ind w:left="25" w:right="100"/>
              <w:rPr>
                <w:sz w:val="14"/>
              </w:rPr>
            </w:pPr>
            <w:r>
              <w:rPr>
                <w:spacing w:val="2"/>
                <w:w w:val="105"/>
                <w:sz w:val="14"/>
              </w:rPr>
              <w:t>Por </w:t>
            </w:r>
            <w:r>
              <w:rPr>
                <w:w w:val="105"/>
                <w:sz w:val="14"/>
              </w:rPr>
              <w:t>deslizamiento </w:t>
            </w:r>
            <w:r>
              <w:rPr>
                <w:spacing w:val="-3"/>
                <w:w w:val="105"/>
                <w:sz w:val="14"/>
              </w:rPr>
              <w:t>de </w:t>
            </w:r>
            <w:r>
              <w:rPr>
                <w:w w:val="105"/>
                <w:sz w:val="14"/>
              </w:rPr>
              <w:t>tierra </w:t>
            </w:r>
            <w:r>
              <w:rPr>
                <w:spacing w:val="-4"/>
                <w:w w:val="105"/>
                <w:sz w:val="14"/>
              </w:rPr>
              <w:t>una </w:t>
            </w:r>
            <w:r>
              <w:rPr>
                <w:spacing w:val="-3"/>
                <w:w w:val="105"/>
                <w:sz w:val="14"/>
              </w:rPr>
              <w:t>barda de </w:t>
            </w:r>
            <w:r>
              <w:rPr>
                <w:w w:val="105"/>
                <w:sz w:val="14"/>
              </w:rPr>
              <w:t>6m </w:t>
            </w:r>
            <w:r>
              <w:rPr>
                <w:spacing w:val="-3"/>
                <w:w w:val="105"/>
                <w:sz w:val="14"/>
              </w:rPr>
              <w:t>de </w:t>
            </w:r>
            <w:r>
              <w:rPr>
                <w:w w:val="105"/>
                <w:sz w:val="14"/>
              </w:rPr>
              <w:t>altura se desploma provocando heridas a </w:t>
            </w:r>
            <w:r>
              <w:rPr>
                <w:spacing w:val="-4"/>
                <w:w w:val="105"/>
                <w:sz w:val="14"/>
              </w:rPr>
              <w:t>una </w:t>
            </w:r>
            <w:r>
              <w:rPr>
                <w:w w:val="105"/>
                <w:sz w:val="14"/>
              </w:rPr>
              <w:t>menor </w:t>
            </w:r>
            <w:r>
              <w:rPr>
                <w:spacing w:val="-3"/>
                <w:w w:val="105"/>
                <w:sz w:val="14"/>
              </w:rPr>
              <w:t>de edad.</w:t>
            </w:r>
          </w:p>
        </w:tc>
        <w:tc>
          <w:tcPr>
            <w:tcW w:w="898" w:type="dxa"/>
          </w:tcPr>
          <w:p>
            <w:pPr>
              <w:pStyle w:val="TableParagraph"/>
              <w:rPr>
                <w:sz w:val="14"/>
              </w:rPr>
            </w:pPr>
          </w:p>
          <w:p>
            <w:pPr>
              <w:pStyle w:val="TableParagraph"/>
              <w:rPr>
                <w:sz w:val="14"/>
              </w:rPr>
            </w:pPr>
          </w:p>
          <w:p>
            <w:pPr>
              <w:pStyle w:val="TableParagraph"/>
              <w:spacing w:before="7"/>
              <w:rPr>
                <w:sz w:val="13"/>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rPr>
                <w:sz w:val="14"/>
              </w:rPr>
            </w:pPr>
          </w:p>
          <w:p>
            <w:pPr>
              <w:pStyle w:val="TableParagraph"/>
              <w:spacing w:before="7"/>
              <w:rPr>
                <w:sz w:val="13"/>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rPr>
                <w:sz w:val="14"/>
              </w:rPr>
            </w:pPr>
          </w:p>
          <w:p>
            <w:pPr>
              <w:pStyle w:val="TableParagraph"/>
              <w:spacing w:before="7"/>
              <w:rPr>
                <w:sz w:val="13"/>
              </w:rPr>
            </w:pPr>
          </w:p>
          <w:p>
            <w:pPr>
              <w:pStyle w:val="TableParagraph"/>
              <w:ind w:right="28"/>
              <w:jc w:val="right"/>
              <w:rPr>
                <w:sz w:val="14"/>
              </w:rPr>
            </w:pPr>
            <w:r>
              <w:rPr>
                <w:w w:val="102"/>
                <w:sz w:val="14"/>
              </w:rPr>
              <w:t>0</w:t>
            </w:r>
          </w:p>
        </w:tc>
        <w:tc>
          <w:tcPr>
            <w:tcW w:w="906" w:type="dxa"/>
          </w:tcPr>
          <w:p>
            <w:pPr>
              <w:pStyle w:val="TableParagraph"/>
              <w:rPr>
                <w:sz w:val="14"/>
              </w:rPr>
            </w:pPr>
          </w:p>
          <w:p>
            <w:pPr>
              <w:pStyle w:val="TableParagraph"/>
              <w:rPr>
                <w:sz w:val="14"/>
              </w:rPr>
            </w:pPr>
          </w:p>
          <w:p>
            <w:pPr>
              <w:pStyle w:val="TableParagraph"/>
              <w:spacing w:before="7"/>
              <w:rPr>
                <w:sz w:val="13"/>
              </w:rPr>
            </w:pPr>
          </w:p>
          <w:p>
            <w:pPr>
              <w:pStyle w:val="TableParagraph"/>
              <w:ind w:right="27"/>
              <w:jc w:val="right"/>
              <w:rPr>
                <w:sz w:val="14"/>
              </w:rPr>
            </w:pPr>
            <w:r>
              <w:rPr>
                <w:w w:val="102"/>
                <w:sz w:val="14"/>
              </w:rPr>
              <w:t>1</w:t>
            </w:r>
          </w:p>
        </w:tc>
        <w:tc>
          <w:tcPr>
            <w:tcW w:w="932" w:type="dxa"/>
          </w:tcPr>
          <w:p>
            <w:pPr>
              <w:pStyle w:val="TableParagraph"/>
              <w:rPr>
                <w:sz w:val="14"/>
              </w:rPr>
            </w:pPr>
          </w:p>
          <w:p>
            <w:pPr>
              <w:pStyle w:val="TableParagraph"/>
              <w:rPr>
                <w:sz w:val="14"/>
              </w:rPr>
            </w:pPr>
          </w:p>
          <w:p>
            <w:pPr>
              <w:pStyle w:val="TableParagraph"/>
              <w:spacing w:before="7"/>
              <w:rPr>
                <w:sz w:val="13"/>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567" w:hRule="exact"/>
        </w:trPr>
        <w:tc>
          <w:tcPr>
            <w:tcW w:w="881" w:type="dxa"/>
          </w:tcPr>
          <w:p>
            <w:pPr>
              <w:pStyle w:val="TableParagraph"/>
              <w:rPr>
                <w:sz w:val="14"/>
              </w:rPr>
            </w:pPr>
          </w:p>
          <w:p>
            <w:pPr>
              <w:pStyle w:val="TableParagraph"/>
              <w:spacing w:before="9"/>
              <w:rPr>
                <w:sz w:val="18"/>
              </w:rPr>
            </w:pPr>
          </w:p>
          <w:p>
            <w:pPr>
              <w:pStyle w:val="TableParagraph"/>
              <w:ind w:right="30"/>
              <w:jc w:val="right"/>
              <w:rPr>
                <w:sz w:val="14"/>
              </w:rPr>
            </w:pPr>
            <w:r>
              <w:rPr>
                <w:sz w:val="14"/>
              </w:rPr>
              <w:t>27/09/2013</w:t>
            </w:r>
          </w:p>
        </w:tc>
        <w:tc>
          <w:tcPr>
            <w:tcW w:w="881" w:type="dxa"/>
          </w:tcPr>
          <w:p>
            <w:pPr>
              <w:pStyle w:val="TableParagraph"/>
              <w:spacing w:line="278" w:lineRule="auto" w:before="4"/>
              <w:ind w:left="25" w:right="31"/>
              <w:rPr>
                <w:sz w:val="14"/>
              </w:rPr>
            </w:pPr>
            <w:r>
              <w:rPr>
                <w:w w:val="105"/>
                <w:sz w:val="14"/>
              </w:rPr>
              <w:t>Av. </w:t>
            </w:r>
            <w:r>
              <w:rPr>
                <w:sz w:val="14"/>
              </w:rPr>
              <w:t>Prolongación </w:t>
            </w:r>
            <w:r>
              <w:rPr>
                <w:w w:val="105"/>
                <w:sz w:val="14"/>
              </w:rPr>
              <w:t>Juárez</w:t>
            </w:r>
          </w:p>
        </w:tc>
        <w:tc>
          <w:tcPr>
            <w:tcW w:w="881" w:type="dxa"/>
          </w:tcPr>
          <w:p>
            <w:pPr>
              <w:pStyle w:val="TableParagraph"/>
              <w:rPr>
                <w:sz w:val="14"/>
              </w:rPr>
            </w:pPr>
          </w:p>
          <w:p>
            <w:pPr>
              <w:pStyle w:val="TableParagraph"/>
              <w:spacing w:before="9"/>
              <w:rPr>
                <w:sz w:val="18"/>
              </w:rPr>
            </w:pPr>
          </w:p>
          <w:p>
            <w:pPr>
              <w:pStyle w:val="TableParagraph"/>
              <w:ind w:left="25"/>
              <w:rPr>
                <w:sz w:val="14"/>
              </w:rPr>
            </w:pPr>
            <w:r>
              <w:rPr>
                <w:sz w:val="14"/>
              </w:rPr>
              <w:t>La Jornada</w:t>
            </w:r>
          </w:p>
        </w:tc>
        <w:tc>
          <w:tcPr>
            <w:tcW w:w="3999" w:type="dxa"/>
          </w:tcPr>
          <w:p>
            <w:pPr>
              <w:pStyle w:val="TableParagraph"/>
              <w:spacing w:line="278" w:lineRule="auto" w:before="4"/>
              <w:ind w:left="25" w:right="211"/>
              <w:jc w:val="both"/>
              <w:rPr>
                <w:sz w:val="14"/>
              </w:rPr>
            </w:pPr>
            <w:r>
              <w:rPr>
                <w:w w:val="105"/>
                <w:sz w:val="14"/>
              </w:rPr>
              <w:t>Bloqueo</w:t>
            </w:r>
            <w:r>
              <w:rPr>
                <w:spacing w:val="-9"/>
                <w:w w:val="105"/>
                <w:sz w:val="14"/>
              </w:rPr>
              <w:t> </w:t>
            </w:r>
            <w:r>
              <w:rPr>
                <w:w w:val="105"/>
                <w:sz w:val="14"/>
              </w:rPr>
              <w:t>parcial</w:t>
            </w:r>
            <w:r>
              <w:rPr>
                <w:spacing w:val="-10"/>
                <w:w w:val="105"/>
                <w:sz w:val="14"/>
              </w:rPr>
              <w:t> </w:t>
            </w:r>
            <w:r>
              <w:rPr>
                <w:w w:val="105"/>
                <w:sz w:val="14"/>
              </w:rPr>
              <w:t>a</w:t>
            </w:r>
            <w:r>
              <w:rPr>
                <w:spacing w:val="-15"/>
                <w:w w:val="105"/>
                <w:sz w:val="14"/>
              </w:rPr>
              <w:t> </w:t>
            </w:r>
            <w:r>
              <w:rPr>
                <w:w w:val="105"/>
                <w:sz w:val="14"/>
              </w:rPr>
              <w:t>la</w:t>
            </w:r>
            <w:r>
              <w:rPr>
                <w:spacing w:val="-15"/>
                <w:w w:val="105"/>
                <w:sz w:val="14"/>
              </w:rPr>
              <w:t> </w:t>
            </w:r>
            <w:r>
              <w:rPr>
                <w:w w:val="105"/>
                <w:sz w:val="14"/>
              </w:rPr>
              <w:t>circulación.</w:t>
            </w:r>
            <w:r>
              <w:rPr>
                <w:spacing w:val="-14"/>
                <w:w w:val="105"/>
                <w:sz w:val="14"/>
              </w:rPr>
              <w:t> </w:t>
            </w:r>
            <w:r>
              <w:rPr>
                <w:w w:val="105"/>
                <w:sz w:val="14"/>
              </w:rPr>
              <w:t>1</w:t>
            </w:r>
            <w:r>
              <w:rPr>
                <w:spacing w:val="-9"/>
                <w:w w:val="105"/>
                <w:sz w:val="14"/>
              </w:rPr>
              <w:t> </w:t>
            </w:r>
            <w:r>
              <w:rPr>
                <w:spacing w:val="-4"/>
                <w:w w:val="105"/>
                <w:sz w:val="14"/>
              </w:rPr>
              <w:t>vivienda</w:t>
            </w:r>
            <w:r>
              <w:rPr>
                <w:spacing w:val="-15"/>
                <w:w w:val="105"/>
                <w:sz w:val="14"/>
              </w:rPr>
              <w:t> </w:t>
            </w:r>
            <w:r>
              <w:rPr>
                <w:spacing w:val="-3"/>
                <w:w w:val="105"/>
                <w:sz w:val="14"/>
              </w:rPr>
              <w:t>de</w:t>
            </w:r>
            <w:r>
              <w:rPr>
                <w:spacing w:val="-9"/>
                <w:w w:val="105"/>
                <w:sz w:val="14"/>
              </w:rPr>
              <w:t> </w:t>
            </w:r>
            <w:r>
              <w:rPr>
                <w:w w:val="105"/>
                <w:sz w:val="14"/>
              </w:rPr>
              <w:t>madera</w:t>
            </w:r>
            <w:r>
              <w:rPr>
                <w:spacing w:val="-15"/>
                <w:w w:val="105"/>
                <w:sz w:val="14"/>
              </w:rPr>
              <w:t> </w:t>
            </w:r>
            <w:r>
              <w:rPr>
                <w:w w:val="105"/>
                <w:sz w:val="14"/>
              </w:rPr>
              <w:t>destruida</w:t>
            </w:r>
            <w:r>
              <w:rPr>
                <w:spacing w:val="-15"/>
                <w:w w:val="105"/>
                <w:sz w:val="14"/>
              </w:rPr>
              <w:t> </w:t>
            </w:r>
            <w:r>
              <w:rPr>
                <w:w w:val="105"/>
                <w:sz w:val="14"/>
              </w:rPr>
              <w:t>y varios</w:t>
            </w:r>
            <w:r>
              <w:rPr>
                <w:spacing w:val="-9"/>
                <w:w w:val="105"/>
                <w:sz w:val="14"/>
              </w:rPr>
              <w:t> </w:t>
            </w:r>
            <w:r>
              <w:rPr>
                <w:w w:val="105"/>
                <w:sz w:val="14"/>
              </w:rPr>
              <w:t>autos</w:t>
            </w:r>
            <w:r>
              <w:rPr>
                <w:spacing w:val="-9"/>
                <w:w w:val="105"/>
                <w:sz w:val="14"/>
              </w:rPr>
              <w:t> </w:t>
            </w:r>
            <w:r>
              <w:rPr>
                <w:w w:val="105"/>
                <w:sz w:val="14"/>
              </w:rPr>
              <w:t>arrastrados,</w:t>
            </w:r>
            <w:r>
              <w:rPr>
                <w:spacing w:val="-14"/>
                <w:w w:val="105"/>
                <w:sz w:val="14"/>
              </w:rPr>
              <w:t> </w:t>
            </w:r>
            <w:r>
              <w:rPr>
                <w:w w:val="105"/>
                <w:sz w:val="14"/>
              </w:rPr>
              <w:t>2</w:t>
            </w:r>
            <w:r>
              <w:rPr>
                <w:spacing w:val="-9"/>
                <w:w w:val="105"/>
                <w:sz w:val="14"/>
              </w:rPr>
              <w:t> </w:t>
            </w:r>
            <w:r>
              <w:rPr>
                <w:spacing w:val="2"/>
                <w:w w:val="105"/>
                <w:sz w:val="14"/>
              </w:rPr>
              <w:t>son</w:t>
            </w:r>
            <w:r>
              <w:rPr>
                <w:spacing w:val="-15"/>
                <w:w w:val="105"/>
                <w:sz w:val="14"/>
              </w:rPr>
              <w:t> </w:t>
            </w:r>
            <w:r>
              <w:rPr>
                <w:w w:val="105"/>
                <w:sz w:val="14"/>
              </w:rPr>
              <w:t>pérdida</w:t>
            </w:r>
            <w:r>
              <w:rPr>
                <w:spacing w:val="-15"/>
                <w:w w:val="105"/>
                <w:sz w:val="14"/>
              </w:rPr>
              <w:t> </w:t>
            </w:r>
            <w:r>
              <w:rPr>
                <w:w w:val="105"/>
                <w:sz w:val="14"/>
              </w:rPr>
              <w:t>total.</w:t>
            </w:r>
            <w:r>
              <w:rPr>
                <w:spacing w:val="-14"/>
                <w:w w:val="105"/>
                <w:sz w:val="14"/>
              </w:rPr>
              <w:t> </w:t>
            </w:r>
            <w:r>
              <w:rPr>
                <w:w w:val="105"/>
                <w:sz w:val="14"/>
              </w:rPr>
              <w:t>Afectó</w:t>
            </w:r>
            <w:r>
              <w:rPr>
                <w:spacing w:val="-9"/>
                <w:w w:val="105"/>
                <w:sz w:val="14"/>
              </w:rPr>
              <w:t> </w:t>
            </w:r>
            <w:r>
              <w:rPr>
                <w:w w:val="105"/>
                <w:sz w:val="14"/>
              </w:rPr>
              <w:t>cables</w:t>
            </w:r>
            <w:r>
              <w:rPr>
                <w:spacing w:val="-9"/>
                <w:w w:val="105"/>
                <w:sz w:val="14"/>
              </w:rPr>
              <w:t> </w:t>
            </w:r>
            <w:r>
              <w:rPr>
                <w:spacing w:val="-3"/>
                <w:w w:val="105"/>
                <w:sz w:val="14"/>
              </w:rPr>
              <w:t>de</w:t>
            </w:r>
            <w:r>
              <w:rPr>
                <w:spacing w:val="-9"/>
                <w:w w:val="105"/>
                <w:sz w:val="14"/>
              </w:rPr>
              <w:t> </w:t>
            </w:r>
            <w:r>
              <w:rPr>
                <w:w w:val="105"/>
                <w:sz w:val="14"/>
              </w:rPr>
              <w:t>luz </w:t>
            </w:r>
            <w:r>
              <w:rPr>
                <w:spacing w:val="-3"/>
                <w:w w:val="105"/>
                <w:sz w:val="14"/>
              </w:rPr>
              <w:t>dejando</w:t>
            </w:r>
            <w:r>
              <w:rPr>
                <w:spacing w:val="-8"/>
                <w:w w:val="105"/>
                <w:sz w:val="14"/>
              </w:rPr>
              <w:t> </w:t>
            </w:r>
            <w:r>
              <w:rPr>
                <w:w w:val="105"/>
                <w:sz w:val="14"/>
              </w:rPr>
              <w:t>sin</w:t>
            </w:r>
            <w:r>
              <w:rPr>
                <w:spacing w:val="-14"/>
                <w:w w:val="105"/>
                <w:sz w:val="14"/>
              </w:rPr>
              <w:t> </w:t>
            </w:r>
            <w:r>
              <w:rPr>
                <w:w w:val="105"/>
                <w:sz w:val="14"/>
              </w:rPr>
              <w:t>servicio</w:t>
            </w:r>
            <w:r>
              <w:rPr>
                <w:spacing w:val="-8"/>
                <w:w w:val="105"/>
                <w:sz w:val="14"/>
              </w:rPr>
              <w:t> </w:t>
            </w:r>
            <w:r>
              <w:rPr>
                <w:w w:val="105"/>
                <w:sz w:val="14"/>
              </w:rPr>
              <w:t>a</w:t>
            </w:r>
            <w:r>
              <w:rPr>
                <w:spacing w:val="-14"/>
                <w:w w:val="105"/>
                <w:sz w:val="14"/>
              </w:rPr>
              <w:t> </w:t>
            </w:r>
            <w:r>
              <w:rPr>
                <w:w w:val="105"/>
                <w:sz w:val="14"/>
              </w:rPr>
              <w:t>decenas</w:t>
            </w:r>
            <w:r>
              <w:rPr>
                <w:spacing w:val="-8"/>
                <w:w w:val="105"/>
                <w:sz w:val="14"/>
              </w:rPr>
              <w:t> </w:t>
            </w:r>
            <w:r>
              <w:rPr>
                <w:spacing w:val="-3"/>
                <w:w w:val="105"/>
                <w:sz w:val="14"/>
              </w:rPr>
              <w:t>de</w:t>
            </w:r>
            <w:r>
              <w:rPr>
                <w:spacing w:val="-8"/>
                <w:w w:val="105"/>
                <w:sz w:val="14"/>
              </w:rPr>
              <w:t> </w:t>
            </w:r>
            <w:r>
              <w:rPr>
                <w:w w:val="105"/>
                <w:sz w:val="14"/>
              </w:rPr>
              <w:t>usuarios.</w:t>
            </w:r>
          </w:p>
        </w:tc>
        <w:tc>
          <w:tcPr>
            <w:tcW w:w="898" w:type="dxa"/>
          </w:tcPr>
          <w:p>
            <w:pPr>
              <w:pStyle w:val="TableParagraph"/>
              <w:rPr>
                <w:sz w:val="14"/>
              </w:rPr>
            </w:pPr>
          </w:p>
          <w:p>
            <w:pPr>
              <w:pStyle w:val="TableParagraph"/>
              <w:spacing w:before="9"/>
              <w:rPr>
                <w:sz w:val="18"/>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spacing w:before="9"/>
              <w:rPr>
                <w:sz w:val="18"/>
              </w:rPr>
            </w:pPr>
          </w:p>
          <w:p>
            <w:pPr>
              <w:pStyle w:val="TableParagraph"/>
              <w:ind w:right="28"/>
              <w:jc w:val="right"/>
              <w:rPr>
                <w:sz w:val="14"/>
              </w:rPr>
            </w:pPr>
            <w:r>
              <w:rPr>
                <w:w w:val="102"/>
                <w:sz w:val="14"/>
              </w:rPr>
              <w:t>1</w:t>
            </w:r>
          </w:p>
        </w:tc>
        <w:tc>
          <w:tcPr>
            <w:tcW w:w="906"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32" w:type="dxa"/>
          </w:tcPr>
          <w:p>
            <w:pPr>
              <w:pStyle w:val="TableParagraph"/>
              <w:rPr>
                <w:sz w:val="14"/>
              </w:rPr>
            </w:pPr>
          </w:p>
          <w:p>
            <w:pPr>
              <w:pStyle w:val="TableParagraph"/>
              <w:spacing w:before="9"/>
              <w:rPr>
                <w:sz w:val="18"/>
              </w:rPr>
            </w:pPr>
          </w:p>
          <w:p>
            <w:pPr>
              <w:pStyle w:val="TableParagraph"/>
              <w:ind w:left="25" w:right="204"/>
              <w:rPr>
                <w:sz w:val="14"/>
              </w:rPr>
            </w:pPr>
            <w:r>
              <w:rPr>
                <w:w w:val="105"/>
                <w:sz w:val="14"/>
              </w:rPr>
              <w:t>Lluvias</w:t>
            </w:r>
          </w:p>
        </w:tc>
        <w:tc>
          <w:tcPr>
            <w:tcW w:w="1254" w:type="dxa"/>
            <w:tcBorders>
              <w:right w:val="single" w:sz="3" w:space="0" w:color="000000"/>
            </w:tcBorders>
          </w:tcPr>
          <w:p>
            <w:pPr/>
          </w:p>
        </w:tc>
      </w:tr>
      <w:tr>
        <w:trPr>
          <w:trHeight w:val="567" w:hRule="exact"/>
        </w:trPr>
        <w:tc>
          <w:tcPr>
            <w:tcW w:w="881" w:type="dxa"/>
          </w:tcPr>
          <w:p>
            <w:pPr>
              <w:pStyle w:val="TableParagraph"/>
              <w:rPr>
                <w:sz w:val="14"/>
              </w:rPr>
            </w:pPr>
          </w:p>
          <w:p>
            <w:pPr>
              <w:pStyle w:val="TableParagraph"/>
              <w:spacing w:before="9"/>
              <w:rPr>
                <w:sz w:val="18"/>
              </w:rPr>
            </w:pPr>
          </w:p>
          <w:p>
            <w:pPr>
              <w:pStyle w:val="TableParagraph"/>
              <w:ind w:right="30"/>
              <w:jc w:val="right"/>
              <w:rPr>
                <w:sz w:val="14"/>
              </w:rPr>
            </w:pPr>
            <w:r>
              <w:rPr>
                <w:sz w:val="14"/>
              </w:rPr>
              <w:t>27/09/2013</w:t>
            </w:r>
          </w:p>
        </w:tc>
        <w:tc>
          <w:tcPr>
            <w:tcW w:w="881" w:type="dxa"/>
          </w:tcPr>
          <w:p>
            <w:pPr>
              <w:pStyle w:val="TableParagraph"/>
              <w:spacing w:line="278" w:lineRule="auto" w:before="5"/>
              <w:ind w:left="25" w:right="31"/>
              <w:rPr>
                <w:sz w:val="14"/>
              </w:rPr>
            </w:pPr>
            <w:r>
              <w:rPr>
                <w:w w:val="105"/>
                <w:sz w:val="14"/>
              </w:rPr>
              <w:t>Antiguo Camino a </w:t>
            </w:r>
            <w:r>
              <w:rPr>
                <w:sz w:val="14"/>
              </w:rPr>
              <w:t>Chimalpa</w:t>
            </w:r>
          </w:p>
        </w:tc>
        <w:tc>
          <w:tcPr>
            <w:tcW w:w="881" w:type="dxa"/>
          </w:tcPr>
          <w:p>
            <w:pPr>
              <w:pStyle w:val="TableParagraph"/>
              <w:rPr>
                <w:sz w:val="14"/>
              </w:rPr>
            </w:pPr>
          </w:p>
          <w:p>
            <w:pPr>
              <w:pStyle w:val="TableParagraph"/>
              <w:spacing w:before="9"/>
              <w:rPr>
                <w:sz w:val="18"/>
              </w:rPr>
            </w:pPr>
          </w:p>
          <w:p>
            <w:pPr>
              <w:pStyle w:val="TableParagraph"/>
              <w:ind w:left="25"/>
              <w:rPr>
                <w:sz w:val="14"/>
              </w:rPr>
            </w:pPr>
            <w:r>
              <w:rPr>
                <w:sz w:val="14"/>
              </w:rPr>
              <w:t>La Jornada</w:t>
            </w:r>
          </w:p>
        </w:tc>
        <w:tc>
          <w:tcPr>
            <w:tcW w:w="3999" w:type="dxa"/>
          </w:tcPr>
          <w:p>
            <w:pPr>
              <w:pStyle w:val="TableParagraph"/>
              <w:rPr>
                <w:sz w:val="14"/>
              </w:rPr>
            </w:pPr>
          </w:p>
          <w:p>
            <w:pPr>
              <w:pStyle w:val="TableParagraph"/>
              <w:spacing w:before="9"/>
              <w:rPr>
                <w:sz w:val="18"/>
              </w:rPr>
            </w:pPr>
          </w:p>
          <w:p>
            <w:pPr>
              <w:pStyle w:val="TableParagraph"/>
              <w:ind w:left="25" w:right="24"/>
              <w:rPr>
                <w:sz w:val="14"/>
              </w:rPr>
            </w:pPr>
            <w:r>
              <w:rPr>
                <w:w w:val="105"/>
                <w:sz w:val="14"/>
              </w:rPr>
              <w:t>Bloqueo parcial a la circulación.</w:t>
            </w:r>
          </w:p>
        </w:tc>
        <w:tc>
          <w:tcPr>
            <w:tcW w:w="898" w:type="dxa"/>
          </w:tcPr>
          <w:p>
            <w:pPr>
              <w:pStyle w:val="TableParagraph"/>
              <w:rPr>
                <w:sz w:val="14"/>
              </w:rPr>
            </w:pPr>
          </w:p>
          <w:p>
            <w:pPr>
              <w:pStyle w:val="TableParagraph"/>
              <w:spacing w:before="9"/>
              <w:rPr>
                <w:sz w:val="18"/>
              </w:rPr>
            </w:pPr>
          </w:p>
          <w:p>
            <w:pPr>
              <w:pStyle w:val="TableParagraph"/>
              <w:ind w:right="29"/>
              <w:jc w:val="right"/>
              <w:rPr>
                <w:sz w:val="14"/>
              </w:rPr>
            </w:pPr>
            <w:r>
              <w:rPr>
                <w:w w:val="102"/>
                <w:sz w:val="14"/>
              </w:rPr>
              <w:t>0</w:t>
            </w:r>
          </w:p>
        </w:tc>
        <w:tc>
          <w:tcPr>
            <w:tcW w:w="1178"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49" w:type="dxa"/>
          </w:tcPr>
          <w:p>
            <w:pPr>
              <w:pStyle w:val="TableParagraph"/>
              <w:rPr>
                <w:sz w:val="14"/>
              </w:rPr>
            </w:pPr>
          </w:p>
          <w:p>
            <w:pPr>
              <w:pStyle w:val="TableParagraph"/>
              <w:spacing w:before="9"/>
              <w:rPr>
                <w:sz w:val="18"/>
              </w:rPr>
            </w:pPr>
          </w:p>
          <w:p>
            <w:pPr>
              <w:pStyle w:val="TableParagraph"/>
              <w:ind w:right="28"/>
              <w:jc w:val="right"/>
              <w:rPr>
                <w:sz w:val="14"/>
              </w:rPr>
            </w:pPr>
            <w:r>
              <w:rPr>
                <w:w w:val="102"/>
                <w:sz w:val="14"/>
              </w:rPr>
              <w:t>0</w:t>
            </w:r>
          </w:p>
        </w:tc>
        <w:tc>
          <w:tcPr>
            <w:tcW w:w="906" w:type="dxa"/>
          </w:tcPr>
          <w:p>
            <w:pPr>
              <w:pStyle w:val="TableParagraph"/>
              <w:rPr>
                <w:sz w:val="14"/>
              </w:rPr>
            </w:pPr>
          </w:p>
          <w:p>
            <w:pPr>
              <w:pStyle w:val="TableParagraph"/>
              <w:spacing w:before="9"/>
              <w:rPr>
                <w:sz w:val="18"/>
              </w:rPr>
            </w:pPr>
          </w:p>
          <w:p>
            <w:pPr>
              <w:pStyle w:val="TableParagraph"/>
              <w:ind w:right="27"/>
              <w:jc w:val="right"/>
              <w:rPr>
                <w:sz w:val="14"/>
              </w:rPr>
            </w:pPr>
            <w:r>
              <w:rPr>
                <w:w w:val="102"/>
                <w:sz w:val="14"/>
              </w:rPr>
              <w:t>0</w:t>
            </w:r>
          </w:p>
        </w:tc>
        <w:tc>
          <w:tcPr>
            <w:tcW w:w="932" w:type="dxa"/>
          </w:tcPr>
          <w:p>
            <w:pPr>
              <w:pStyle w:val="TableParagraph"/>
              <w:rPr>
                <w:sz w:val="14"/>
              </w:rPr>
            </w:pPr>
          </w:p>
          <w:p>
            <w:pPr>
              <w:pStyle w:val="TableParagraph"/>
              <w:spacing w:before="9"/>
              <w:rPr>
                <w:sz w:val="18"/>
              </w:rPr>
            </w:pPr>
          </w:p>
          <w:p>
            <w:pPr>
              <w:pStyle w:val="TableParagraph"/>
              <w:ind w:left="25" w:right="204"/>
              <w:rPr>
                <w:sz w:val="14"/>
              </w:rPr>
            </w:pPr>
            <w:r>
              <w:rPr>
                <w:w w:val="105"/>
                <w:sz w:val="14"/>
              </w:rPr>
              <w:t>Lluvias</w:t>
            </w:r>
          </w:p>
        </w:tc>
        <w:tc>
          <w:tcPr>
            <w:tcW w:w="1254" w:type="dxa"/>
            <w:tcBorders>
              <w:right w:val="single" w:sz="3" w:space="0" w:color="000000"/>
            </w:tcBorders>
          </w:tcPr>
          <w:p>
            <w:pPr/>
          </w:p>
        </w:tc>
      </w:tr>
    </w:tbl>
    <w:p>
      <w:pPr>
        <w:spacing w:after="0"/>
        <w:sectPr>
          <w:pgSz w:w="15840" w:h="12240" w:orient="landscape"/>
          <w:pgMar w:top="1140" w:bottom="280" w:left="1300" w:right="1540"/>
        </w:sectPr>
      </w:pPr>
    </w:p>
    <w:p>
      <w:pPr>
        <w:pStyle w:val="BodyText"/>
        <w:rPr>
          <w:sz w:val="20"/>
        </w:rPr>
      </w:pPr>
    </w:p>
    <w:p>
      <w:pPr>
        <w:pStyle w:val="BodyText"/>
        <w:spacing w:before="9"/>
        <w:rPr>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98"/>
        <w:gridCol w:w="897"/>
        <w:gridCol w:w="898"/>
        <w:gridCol w:w="4074"/>
        <w:gridCol w:w="915"/>
        <w:gridCol w:w="1200"/>
        <w:gridCol w:w="967"/>
        <w:gridCol w:w="923"/>
        <w:gridCol w:w="950"/>
        <w:gridCol w:w="1278"/>
      </w:tblGrid>
      <w:tr>
        <w:trPr>
          <w:trHeight w:val="397" w:hRule="exact"/>
        </w:trPr>
        <w:tc>
          <w:tcPr>
            <w:tcW w:w="898" w:type="dxa"/>
            <w:shd w:val="clear" w:color="auto" w:fill="212B35"/>
          </w:tcPr>
          <w:p>
            <w:pPr>
              <w:pStyle w:val="TableParagraph"/>
              <w:spacing w:before="110"/>
              <w:ind w:right="41"/>
              <w:jc w:val="right"/>
              <w:rPr>
                <w:b/>
                <w:sz w:val="15"/>
              </w:rPr>
            </w:pPr>
            <w:r>
              <w:rPr>
                <w:b/>
                <w:color w:val="FFFFFF"/>
                <w:w w:val="105"/>
                <w:sz w:val="15"/>
              </w:rPr>
              <w:t>Fecha Inicio</w:t>
            </w:r>
          </w:p>
        </w:tc>
        <w:tc>
          <w:tcPr>
            <w:tcW w:w="897" w:type="dxa"/>
            <w:shd w:val="clear" w:color="auto" w:fill="212B35"/>
          </w:tcPr>
          <w:p>
            <w:pPr>
              <w:pStyle w:val="TableParagraph"/>
              <w:spacing w:before="110"/>
              <w:ind w:left="284" w:right="15"/>
              <w:rPr>
                <w:b/>
                <w:sz w:val="15"/>
              </w:rPr>
            </w:pPr>
            <w:r>
              <w:rPr>
                <w:b/>
                <w:color w:val="FFFFFF"/>
                <w:w w:val="105"/>
                <w:sz w:val="15"/>
              </w:rPr>
              <w:t>Sitio</w:t>
            </w:r>
          </w:p>
        </w:tc>
        <w:tc>
          <w:tcPr>
            <w:tcW w:w="898" w:type="dxa"/>
            <w:shd w:val="clear" w:color="auto" w:fill="212B35"/>
          </w:tcPr>
          <w:p>
            <w:pPr>
              <w:pStyle w:val="TableParagraph"/>
              <w:spacing w:before="110"/>
              <w:ind w:right="187"/>
              <w:jc w:val="right"/>
              <w:rPr>
                <w:b/>
                <w:sz w:val="15"/>
              </w:rPr>
            </w:pPr>
            <w:r>
              <w:rPr>
                <w:b/>
                <w:color w:val="FFFFFF"/>
                <w:sz w:val="15"/>
              </w:rPr>
              <w:t>Fuentes</w:t>
            </w:r>
          </w:p>
        </w:tc>
        <w:tc>
          <w:tcPr>
            <w:tcW w:w="4074" w:type="dxa"/>
            <w:shd w:val="clear" w:color="auto" w:fill="212B35"/>
          </w:tcPr>
          <w:p>
            <w:pPr>
              <w:pStyle w:val="TableParagraph"/>
              <w:spacing w:before="110"/>
              <w:ind w:left="1199" w:right="44"/>
              <w:rPr>
                <w:b/>
                <w:sz w:val="15"/>
              </w:rPr>
            </w:pPr>
            <w:r>
              <w:rPr>
                <w:b/>
                <w:color w:val="FFFFFF"/>
                <w:w w:val="105"/>
                <w:sz w:val="15"/>
              </w:rPr>
              <w:t>Observaciones de efectos</w:t>
            </w:r>
          </w:p>
        </w:tc>
        <w:tc>
          <w:tcPr>
            <w:tcW w:w="915" w:type="dxa"/>
            <w:shd w:val="clear" w:color="auto" w:fill="212B35"/>
          </w:tcPr>
          <w:p>
            <w:pPr>
              <w:pStyle w:val="TableParagraph"/>
              <w:spacing w:before="110"/>
              <w:ind w:left="172"/>
              <w:rPr>
                <w:b/>
                <w:sz w:val="15"/>
              </w:rPr>
            </w:pPr>
            <w:r>
              <w:rPr>
                <w:b/>
                <w:color w:val="FFFFFF"/>
                <w:w w:val="105"/>
                <w:sz w:val="15"/>
              </w:rPr>
              <w:t>Muertos</w:t>
            </w:r>
          </w:p>
        </w:tc>
        <w:tc>
          <w:tcPr>
            <w:tcW w:w="1200" w:type="dxa"/>
            <w:shd w:val="clear" w:color="auto" w:fill="212B35"/>
          </w:tcPr>
          <w:p>
            <w:pPr>
              <w:pStyle w:val="TableParagraph"/>
              <w:spacing w:before="110"/>
              <w:ind w:left="129"/>
              <w:rPr>
                <w:b/>
                <w:sz w:val="15"/>
              </w:rPr>
            </w:pPr>
            <w:r>
              <w:rPr>
                <w:b/>
                <w:color w:val="FFFFFF"/>
                <w:w w:val="105"/>
                <w:sz w:val="15"/>
              </w:rPr>
              <w:t>Damnificados</w:t>
            </w:r>
          </w:p>
        </w:tc>
        <w:tc>
          <w:tcPr>
            <w:tcW w:w="967" w:type="dxa"/>
            <w:shd w:val="clear" w:color="auto" w:fill="212B35"/>
          </w:tcPr>
          <w:p>
            <w:pPr>
              <w:pStyle w:val="TableParagraph"/>
              <w:spacing w:line="276" w:lineRule="auto" w:before="15"/>
              <w:ind w:left="138" w:right="133" w:firstLine="17"/>
              <w:rPr>
                <w:b/>
                <w:sz w:val="15"/>
              </w:rPr>
            </w:pPr>
            <w:r>
              <w:rPr>
                <w:b/>
                <w:color w:val="FFFFFF"/>
                <w:sz w:val="15"/>
              </w:rPr>
              <w:t>Viviendas destruidas</w:t>
            </w:r>
          </w:p>
        </w:tc>
        <w:tc>
          <w:tcPr>
            <w:tcW w:w="923" w:type="dxa"/>
            <w:shd w:val="clear" w:color="auto" w:fill="212B35"/>
          </w:tcPr>
          <w:p>
            <w:pPr>
              <w:pStyle w:val="TableParagraph"/>
              <w:spacing w:line="276" w:lineRule="auto" w:before="15"/>
              <w:ind w:left="146" w:right="118" w:hanging="18"/>
              <w:rPr>
                <w:b/>
                <w:sz w:val="15"/>
              </w:rPr>
            </w:pPr>
            <w:r>
              <w:rPr>
                <w:b/>
                <w:color w:val="FFFFFF"/>
                <w:sz w:val="15"/>
              </w:rPr>
              <w:t>Viviendas </w:t>
            </w:r>
            <w:r>
              <w:rPr>
                <w:b/>
                <w:color w:val="FFFFFF"/>
                <w:w w:val="105"/>
                <w:sz w:val="15"/>
              </w:rPr>
              <w:t>afectadas</w:t>
            </w:r>
          </w:p>
        </w:tc>
        <w:tc>
          <w:tcPr>
            <w:tcW w:w="950" w:type="dxa"/>
            <w:shd w:val="clear" w:color="auto" w:fill="212B35"/>
          </w:tcPr>
          <w:p>
            <w:pPr>
              <w:pStyle w:val="TableParagraph"/>
              <w:spacing w:line="276" w:lineRule="auto" w:before="15"/>
              <w:ind w:left="284" w:hanging="69"/>
              <w:rPr>
                <w:b/>
                <w:sz w:val="15"/>
              </w:rPr>
            </w:pPr>
            <w:r>
              <w:rPr>
                <w:b/>
                <w:color w:val="FFFFFF"/>
                <w:w w:val="105"/>
                <w:sz w:val="15"/>
              </w:rPr>
              <w:t>Tipo de causa</w:t>
            </w:r>
          </w:p>
        </w:tc>
        <w:tc>
          <w:tcPr>
            <w:tcW w:w="1278" w:type="dxa"/>
            <w:tcBorders>
              <w:right w:val="single" w:sz="3" w:space="0" w:color="000000"/>
            </w:tcBorders>
            <w:shd w:val="clear" w:color="auto" w:fill="212B35"/>
          </w:tcPr>
          <w:p>
            <w:pPr>
              <w:pStyle w:val="TableParagraph"/>
              <w:spacing w:line="276" w:lineRule="auto" w:before="15"/>
              <w:ind w:left="448" w:right="15" w:hanging="398"/>
              <w:rPr>
                <w:b/>
                <w:sz w:val="15"/>
              </w:rPr>
            </w:pPr>
            <w:r>
              <w:rPr>
                <w:b/>
                <w:color w:val="FFFFFF"/>
                <w:w w:val="105"/>
                <w:sz w:val="15"/>
              </w:rPr>
              <w:t>Observaciones de causa</w:t>
            </w:r>
          </w:p>
        </w:tc>
      </w:tr>
      <w:tr>
        <w:trPr>
          <w:trHeight w:val="768"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30"/>
              <w:jc w:val="right"/>
              <w:rPr>
                <w:sz w:val="14"/>
              </w:rPr>
            </w:pPr>
            <w:r>
              <w:rPr>
                <w:w w:val="105"/>
                <w:sz w:val="14"/>
              </w:rPr>
              <w:t>27/09/2013</w:t>
            </w:r>
          </w:p>
        </w:tc>
        <w:tc>
          <w:tcPr>
            <w:tcW w:w="897" w:type="dxa"/>
          </w:tcPr>
          <w:p>
            <w:pPr>
              <w:pStyle w:val="TableParagraph"/>
              <w:spacing w:line="283" w:lineRule="auto" w:before="7"/>
              <w:ind w:left="25" w:right="15"/>
              <w:rPr>
                <w:sz w:val="14"/>
              </w:rPr>
            </w:pPr>
            <w:r>
              <w:rPr>
                <w:w w:val="105"/>
                <w:sz w:val="14"/>
              </w:rPr>
              <w:t>Calle San Mateo, San Lorenzo Acopilco</w:t>
            </w:r>
          </w:p>
        </w:tc>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227"/>
              <w:jc w:val="right"/>
              <w:rPr>
                <w:sz w:val="14"/>
              </w:rPr>
            </w:pPr>
            <w:r>
              <w:rPr>
                <w:w w:val="105"/>
                <w:sz w:val="14"/>
              </w:rPr>
              <w:t>La Jornada</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94"/>
              <w:ind w:left="25" w:right="44"/>
              <w:rPr>
                <w:sz w:val="14"/>
              </w:rPr>
            </w:pPr>
            <w:r>
              <w:rPr>
                <w:w w:val="105"/>
                <w:sz w:val="14"/>
              </w:rPr>
              <w:t>Bloqueo parcial a la circulación.</w:t>
            </w:r>
          </w:p>
        </w:tc>
        <w:tc>
          <w:tcPr>
            <w:tcW w:w="915"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spacing w:before="94"/>
              <w:ind w:left="25"/>
              <w:rPr>
                <w:sz w:val="14"/>
              </w:rPr>
            </w:pPr>
            <w:r>
              <w:rPr>
                <w:w w:val="105"/>
                <w:sz w:val="14"/>
              </w:rPr>
              <w:t>Lluvias</w:t>
            </w:r>
          </w:p>
        </w:tc>
        <w:tc>
          <w:tcPr>
            <w:tcW w:w="1278" w:type="dxa"/>
            <w:tcBorders>
              <w:right w:val="single" w:sz="3" w:space="0" w:color="000000"/>
            </w:tcBorders>
          </w:tcPr>
          <w:p>
            <w:pPr/>
          </w:p>
        </w:tc>
      </w:tr>
      <w:tr>
        <w:trPr>
          <w:trHeight w:val="768"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30"/>
              <w:jc w:val="right"/>
              <w:rPr>
                <w:sz w:val="14"/>
              </w:rPr>
            </w:pPr>
            <w:r>
              <w:rPr>
                <w:w w:val="105"/>
                <w:sz w:val="14"/>
              </w:rPr>
              <w:t>27/09/2013</w:t>
            </w:r>
          </w:p>
        </w:tc>
        <w:tc>
          <w:tcPr>
            <w:tcW w:w="897" w:type="dxa"/>
          </w:tcPr>
          <w:p>
            <w:pPr>
              <w:pStyle w:val="TableParagraph"/>
              <w:spacing w:line="283" w:lineRule="auto" w:before="7"/>
              <w:ind w:left="25" w:right="15"/>
              <w:rPr>
                <w:sz w:val="14"/>
              </w:rPr>
            </w:pPr>
            <w:r>
              <w:rPr>
                <w:w w:val="105"/>
                <w:sz w:val="14"/>
              </w:rPr>
              <w:t>Calle Tlatenango, San Lorenzo Acopilco</w:t>
            </w:r>
          </w:p>
        </w:tc>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227"/>
              <w:jc w:val="right"/>
              <w:rPr>
                <w:sz w:val="14"/>
              </w:rPr>
            </w:pPr>
            <w:r>
              <w:rPr>
                <w:w w:val="105"/>
                <w:sz w:val="14"/>
              </w:rPr>
              <w:t>La Jornada</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94"/>
              <w:ind w:left="25" w:right="44"/>
              <w:rPr>
                <w:sz w:val="14"/>
              </w:rPr>
            </w:pPr>
            <w:r>
              <w:rPr>
                <w:w w:val="105"/>
                <w:sz w:val="14"/>
              </w:rPr>
              <w:t>Bloqueo parcial a la circulación.</w:t>
            </w:r>
          </w:p>
        </w:tc>
        <w:tc>
          <w:tcPr>
            <w:tcW w:w="915"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spacing w:before="94"/>
              <w:ind w:left="25"/>
              <w:rPr>
                <w:sz w:val="14"/>
              </w:rPr>
            </w:pPr>
            <w:r>
              <w:rPr>
                <w:w w:val="105"/>
                <w:sz w:val="14"/>
              </w:rPr>
              <w:t>Lluvias</w:t>
            </w:r>
          </w:p>
        </w:tc>
        <w:tc>
          <w:tcPr>
            <w:tcW w:w="1278" w:type="dxa"/>
            <w:tcBorders>
              <w:right w:val="single" w:sz="3" w:space="0" w:color="000000"/>
            </w:tcBorders>
          </w:tcPr>
          <w:p>
            <w:pPr/>
          </w:p>
        </w:tc>
      </w:tr>
      <w:tr>
        <w:trPr>
          <w:trHeight w:val="768"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30"/>
              <w:jc w:val="right"/>
              <w:rPr>
                <w:sz w:val="14"/>
              </w:rPr>
            </w:pPr>
            <w:r>
              <w:rPr>
                <w:w w:val="105"/>
                <w:sz w:val="14"/>
              </w:rPr>
              <w:t>27/09/2013</w:t>
            </w:r>
          </w:p>
        </w:tc>
        <w:tc>
          <w:tcPr>
            <w:tcW w:w="897" w:type="dxa"/>
          </w:tcPr>
          <w:p>
            <w:pPr>
              <w:pStyle w:val="TableParagraph"/>
              <w:spacing w:line="283" w:lineRule="auto" w:before="7"/>
              <w:ind w:left="25" w:right="15"/>
              <w:rPr>
                <w:sz w:val="14"/>
              </w:rPr>
            </w:pPr>
            <w:r>
              <w:rPr>
                <w:w w:val="105"/>
                <w:sz w:val="14"/>
              </w:rPr>
              <w:t>Colonia Las Galicias, San Lorenzo Acopilco</w:t>
            </w:r>
          </w:p>
        </w:tc>
        <w:tc>
          <w:tcPr>
            <w:tcW w:w="898" w:type="dxa"/>
          </w:tcPr>
          <w:p>
            <w:pPr>
              <w:pStyle w:val="TableParagraph"/>
              <w:rPr>
                <w:sz w:val="14"/>
              </w:rPr>
            </w:pPr>
          </w:p>
          <w:p>
            <w:pPr>
              <w:pStyle w:val="TableParagraph"/>
              <w:rPr>
                <w:sz w:val="14"/>
              </w:rPr>
            </w:pPr>
          </w:p>
          <w:p>
            <w:pPr>
              <w:pStyle w:val="TableParagraph"/>
              <w:rPr>
                <w:sz w:val="14"/>
              </w:rPr>
            </w:pPr>
          </w:p>
          <w:p>
            <w:pPr>
              <w:pStyle w:val="TableParagraph"/>
              <w:spacing w:before="94"/>
              <w:ind w:right="227"/>
              <w:jc w:val="right"/>
              <w:rPr>
                <w:sz w:val="14"/>
              </w:rPr>
            </w:pPr>
            <w:r>
              <w:rPr>
                <w:w w:val="105"/>
                <w:sz w:val="14"/>
              </w:rPr>
              <w:t>La Jornada</w:t>
            </w:r>
          </w:p>
        </w:tc>
        <w:tc>
          <w:tcPr>
            <w:tcW w:w="4074" w:type="dxa"/>
          </w:tcPr>
          <w:p>
            <w:pPr>
              <w:pStyle w:val="TableParagraph"/>
              <w:rPr>
                <w:sz w:val="14"/>
              </w:rPr>
            </w:pPr>
          </w:p>
          <w:p>
            <w:pPr>
              <w:pStyle w:val="TableParagraph"/>
              <w:rPr>
                <w:sz w:val="14"/>
              </w:rPr>
            </w:pPr>
          </w:p>
          <w:p>
            <w:pPr>
              <w:pStyle w:val="TableParagraph"/>
              <w:rPr>
                <w:sz w:val="14"/>
              </w:rPr>
            </w:pPr>
          </w:p>
          <w:p>
            <w:pPr>
              <w:pStyle w:val="TableParagraph"/>
              <w:spacing w:before="94"/>
              <w:ind w:left="25" w:right="44"/>
              <w:rPr>
                <w:sz w:val="14"/>
              </w:rPr>
            </w:pPr>
            <w:r>
              <w:rPr>
                <w:w w:val="105"/>
                <w:sz w:val="14"/>
              </w:rPr>
              <w:t>Bloqueo parcial a la circulación.</w:t>
            </w:r>
          </w:p>
        </w:tc>
        <w:tc>
          <w:tcPr>
            <w:tcW w:w="915"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spacing w:before="94"/>
              <w:ind w:right="28"/>
              <w:jc w:val="right"/>
              <w:rPr>
                <w:sz w:val="14"/>
              </w:rPr>
            </w:pPr>
            <w:r>
              <w:rPr>
                <w:w w:val="105"/>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spacing w:before="94"/>
              <w:ind w:left="25"/>
              <w:rPr>
                <w:sz w:val="14"/>
              </w:rPr>
            </w:pPr>
            <w:r>
              <w:rPr>
                <w:w w:val="105"/>
                <w:sz w:val="14"/>
              </w:rPr>
              <w:t>Lluvias</w:t>
            </w:r>
          </w:p>
        </w:tc>
        <w:tc>
          <w:tcPr>
            <w:tcW w:w="1278" w:type="dxa"/>
            <w:tcBorders>
              <w:right w:val="single" w:sz="3" w:space="0" w:color="000000"/>
            </w:tcBorders>
          </w:tcPr>
          <w:p>
            <w:pPr/>
          </w:p>
        </w:tc>
      </w:tr>
      <w:tr>
        <w:trPr>
          <w:trHeight w:val="578" w:hRule="exact"/>
        </w:trPr>
        <w:tc>
          <w:tcPr>
            <w:tcW w:w="898" w:type="dxa"/>
          </w:tcPr>
          <w:p>
            <w:pPr>
              <w:pStyle w:val="TableParagraph"/>
              <w:rPr>
                <w:sz w:val="14"/>
              </w:rPr>
            </w:pPr>
          </w:p>
          <w:p>
            <w:pPr>
              <w:pStyle w:val="TableParagraph"/>
              <w:spacing w:before="7"/>
              <w:rPr>
                <w:sz w:val="19"/>
              </w:rPr>
            </w:pPr>
          </w:p>
          <w:p>
            <w:pPr>
              <w:pStyle w:val="TableParagraph"/>
              <w:ind w:right="30"/>
              <w:jc w:val="right"/>
              <w:rPr>
                <w:sz w:val="14"/>
              </w:rPr>
            </w:pPr>
            <w:r>
              <w:rPr>
                <w:w w:val="105"/>
                <w:sz w:val="14"/>
              </w:rPr>
              <w:t>27/09/2013</w:t>
            </w:r>
          </w:p>
        </w:tc>
        <w:tc>
          <w:tcPr>
            <w:tcW w:w="897" w:type="dxa"/>
          </w:tcPr>
          <w:p>
            <w:pPr>
              <w:pStyle w:val="TableParagraph"/>
              <w:spacing w:line="283" w:lineRule="auto" w:before="7"/>
              <w:ind w:left="25" w:right="297"/>
              <w:rPr>
                <w:sz w:val="14"/>
              </w:rPr>
            </w:pPr>
            <w:r>
              <w:rPr>
                <w:w w:val="105"/>
                <w:sz w:val="14"/>
              </w:rPr>
              <w:t>Carretera México- Toluca</w:t>
            </w:r>
          </w:p>
        </w:tc>
        <w:tc>
          <w:tcPr>
            <w:tcW w:w="898" w:type="dxa"/>
          </w:tcPr>
          <w:p>
            <w:pPr>
              <w:pStyle w:val="TableParagraph"/>
              <w:rPr>
                <w:sz w:val="14"/>
              </w:rPr>
            </w:pPr>
          </w:p>
          <w:p>
            <w:pPr>
              <w:pStyle w:val="TableParagraph"/>
              <w:spacing w:before="7"/>
              <w:rPr>
                <w:sz w:val="19"/>
              </w:rPr>
            </w:pPr>
          </w:p>
          <w:p>
            <w:pPr>
              <w:pStyle w:val="TableParagraph"/>
              <w:ind w:right="140"/>
              <w:jc w:val="right"/>
              <w:rPr>
                <w:sz w:val="14"/>
              </w:rPr>
            </w:pPr>
            <w:r>
              <w:rPr>
                <w:w w:val="105"/>
                <w:sz w:val="14"/>
              </w:rPr>
              <w:t>El Universal</w:t>
            </w:r>
          </w:p>
        </w:tc>
        <w:tc>
          <w:tcPr>
            <w:tcW w:w="4074" w:type="dxa"/>
          </w:tcPr>
          <w:p>
            <w:pPr>
              <w:pStyle w:val="TableParagraph"/>
              <w:rPr>
                <w:sz w:val="14"/>
              </w:rPr>
            </w:pPr>
          </w:p>
          <w:p>
            <w:pPr>
              <w:pStyle w:val="TableParagraph"/>
              <w:spacing w:before="7"/>
              <w:rPr>
                <w:sz w:val="19"/>
              </w:rPr>
            </w:pPr>
          </w:p>
          <w:p>
            <w:pPr>
              <w:pStyle w:val="TableParagraph"/>
              <w:ind w:left="25" w:right="44"/>
              <w:rPr>
                <w:sz w:val="14"/>
              </w:rPr>
            </w:pPr>
            <w:r>
              <w:rPr>
                <w:w w:val="105"/>
                <w:sz w:val="14"/>
              </w:rPr>
              <w:t>Bloqueo parcial a la circulación y daños a 1 auto.</w:t>
            </w:r>
          </w:p>
        </w:tc>
        <w:tc>
          <w:tcPr>
            <w:tcW w:w="915" w:type="dxa"/>
          </w:tcPr>
          <w:p>
            <w:pPr>
              <w:pStyle w:val="TableParagraph"/>
              <w:rPr>
                <w:sz w:val="14"/>
              </w:rPr>
            </w:pPr>
          </w:p>
          <w:p>
            <w:pPr>
              <w:pStyle w:val="TableParagraph"/>
              <w:spacing w:before="7"/>
              <w:rPr>
                <w:sz w:val="19"/>
              </w:rPr>
            </w:pPr>
          </w:p>
          <w:p>
            <w:pPr>
              <w:pStyle w:val="TableParagraph"/>
              <w:ind w:right="28"/>
              <w:jc w:val="right"/>
              <w:rPr>
                <w:sz w:val="14"/>
              </w:rPr>
            </w:pPr>
            <w:r>
              <w:rPr>
                <w:w w:val="105"/>
                <w:sz w:val="14"/>
              </w:rPr>
              <w:t>0</w:t>
            </w:r>
          </w:p>
        </w:tc>
        <w:tc>
          <w:tcPr>
            <w:tcW w:w="1200" w:type="dxa"/>
          </w:tcPr>
          <w:p>
            <w:pPr>
              <w:pStyle w:val="TableParagraph"/>
              <w:rPr>
                <w:sz w:val="14"/>
              </w:rPr>
            </w:pPr>
          </w:p>
          <w:p>
            <w:pPr>
              <w:pStyle w:val="TableParagraph"/>
              <w:spacing w:before="7"/>
              <w:rPr>
                <w:sz w:val="19"/>
              </w:rPr>
            </w:pPr>
          </w:p>
          <w:p>
            <w:pPr>
              <w:pStyle w:val="TableParagraph"/>
              <w:ind w:right="28"/>
              <w:jc w:val="right"/>
              <w:rPr>
                <w:sz w:val="14"/>
              </w:rPr>
            </w:pPr>
            <w:r>
              <w:rPr>
                <w:w w:val="105"/>
                <w:sz w:val="14"/>
              </w:rPr>
              <w:t>0</w:t>
            </w:r>
          </w:p>
        </w:tc>
        <w:tc>
          <w:tcPr>
            <w:tcW w:w="967" w:type="dxa"/>
          </w:tcPr>
          <w:p>
            <w:pPr>
              <w:pStyle w:val="TableParagraph"/>
              <w:rPr>
                <w:sz w:val="14"/>
              </w:rPr>
            </w:pPr>
          </w:p>
          <w:p>
            <w:pPr>
              <w:pStyle w:val="TableParagraph"/>
              <w:spacing w:before="7"/>
              <w:rPr>
                <w:sz w:val="19"/>
              </w:rPr>
            </w:pPr>
          </w:p>
          <w:p>
            <w:pPr>
              <w:pStyle w:val="TableParagraph"/>
              <w:ind w:right="28"/>
              <w:jc w:val="right"/>
              <w:rPr>
                <w:sz w:val="14"/>
              </w:rPr>
            </w:pPr>
            <w:r>
              <w:rPr>
                <w:w w:val="105"/>
                <w:sz w:val="14"/>
              </w:rPr>
              <w:t>0</w:t>
            </w:r>
          </w:p>
        </w:tc>
        <w:tc>
          <w:tcPr>
            <w:tcW w:w="923" w:type="dxa"/>
          </w:tcPr>
          <w:p>
            <w:pPr>
              <w:pStyle w:val="TableParagraph"/>
              <w:rPr>
                <w:sz w:val="14"/>
              </w:rPr>
            </w:pPr>
          </w:p>
          <w:p>
            <w:pPr>
              <w:pStyle w:val="TableParagraph"/>
              <w:spacing w:before="7"/>
              <w:rPr>
                <w:sz w:val="19"/>
              </w:rPr>
            </w:pPr>
          </w:p>
          <w:p>
            <w:pPr>
              <w:pStyle w:val="TableParagraph"/>
              <w:ind w:right="28"/>
              <w:jc w:val="right"/>
              <w:rPr>
                <w:sz w:val="14"/>
              </w:rPr>
            </w:pPr>
            <w:r>
              <w:rPr>
                <w:w w:val="105"/>
                <w:sz w:val="14"/>
              </w:rPr>
              <w:t>0</w:t>
            </w:r>
          </w:p>
        </w:tc>
        <w:tc>
          <w:tcPr>
            <w:tcW w:w="950" w:type="dxa"/>
          </w:tcPr>
          <w:p>
            <w:pPr>
              <w:pStyle w:val="TableParagraph"/>
              <w:rPr>
                <w:sz w:val="14"/>
              </w:rPr>
            </w:pPr>
          </w:p>
          <w:p>
            <w:pPr>
              <w:pStyle w:val="TableParagraph"/>
              <w:spacing w:before="7"/>
              <w:rPr>
                <w:sz w:val="19"/>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389" w:hRule="exact"/>
        </w:trPr>
        <w:tc>
          <w:tcPr>
            <w:tcW w:w="898" w:type="dxa"/>
          </w:tcPr>
          <w:p>
            <w:pPr>
              <w:pStyle w:val="TableParagraph"/>
              <w:spacing w:before="1"/>
              <w:rPr>
                <w:sz w:val="17"/>
              </w:rPr>
            </w:pPr>
          </w:p>
          <w:p>
            <w:pPr>
              <w:pStyle w:val="TableParagraph"/>
              <w:ind w:right="30"/>
              <w:jc w:val="right"/>
              <w:rPr>
                <w:sz w:val="14"/>
              </w:rPr>
            </w:pPr>
            <w:r>
              <w:rPr>
                <w:w w:val="105"/>
                <w:sz w:val="14"/>
              </w:rPr>
              <w:t>27/09/2013</w:t>
            </w:r>
          </w:p>
        </w:tc>
        <w:tc>
          <w:tcPr>
            <w:tcW w:w="897" w:type="dxa"/>
          </w:tcPr>
          <w:p>
            <w:pPr>
              <w:pStyle w:val="TableParagraph"/>
              <w:spacing w:line="283" w:lineRule="auto" w:before="7"/>
              <w:ind w:left="25" w:right="15"/>
              <w:rPr>
                <w:sz w:val="14"/>
              </w:rPr>
            </w:pPr>
            <w:r>
              <w:rPr>
                <w:w w:val="105"/>
                <w:sz w:val="14"/>
              </w:rPr>
              <w:t>Colonia San Antonio</w:t>
            </w:r>
          </w:p>
        </w:tc>
        <w:tc>
          <w:tcPr>
            <w:tcW w:w="898" w:type="dxa"/>
          </w:tcPr>
          <w:p>
            <w:pPr>
              <w:pStyle w:val="TableParagraph"/>
              <w:spacing w:before="1"/>
              <w:rPr>
                <w:sz w:val="17"/>
              </w:rPr>
            </w:pPr>
          </w:p>
          <w:p>
            <w:pPr>
              <w:pStyle w:val="TableParagraph"/>
              <w:ind w:right="140"/>
              <w:jc w:val="right"/>
              <w:rPr>
                <w:sz w:val="14"/>
              </w:rPr>
            </w:pPr>
            <w:r>
              <w:rPr>
                <w:w w:val="105"/>
                <w:sz w:val="14"/>
              </w:rPr>
              <w:t>El Universal</w:t>
            </w:r>
          </w:p>
        </w:tc>
        <w:tc>
          <w:tcPr>
            <w:tcW w:w="4074" w:type="dxa"/>
          </w:tcPr>
          <w:p>
            <w:pPr>
              <w:pStyle w:val="TableParagraph"/>
              <w:spacing w:before="1"/>
              <w:rPr>
                <w:sz w:val="17"/>
              </w:rPr>
            </w:pPr>
          </w:p>
          <w:p>
            <w:pPr>
              <w:pStyle w:val="TableParagraph"/>
              <w:ind w:left="25" w:right="44"/>
              <w:rPr>
                <w:sz w:val="14"/>
              </w:rPr>
            </w:pPr>
            <w:r>
              <w:rPr>
                <w:w w:val="105"/>
                <w:sz w:val="14"/>
              </w:rPr>
              <w:t>Bloqueo parcial a la circulación.</w:t>
            </w:r>
          </w:p>
        </w:tc>
        <w:tc>
          <w:tcPr>
            <w:tcW w:w="915" w:type="dxa"/>
          </w:tcPr>
          <w:p>
            <w:pPr>
              <w:pStyle w:val="TableParagraph"/>
              <w:spacing w:before="1"/>
              <w:rPr>
                <w:sz w:val="17"/>
              </w:rPr>
            </w:pPr>
          </w:p>
          <w:p>
            <w:pPr>
              <w:pStyle w:val="TableParagraph"/>
              <w:ind w:right="28"/>
              <w:jc w:val="right"/>
              <w:rPr>
                <w:sz w:val="14"/>
              </w:rPr>
            </w:pPr>
            <w:r>
              <w:rPr>
                <w:w w:val="105"/>
                <w:sz w:val="14"/>
              </w:rPr>
              <w:t>0</w:t>
            </w:r>
          </w:p>
        </w:tc>
        <w:tc>
          <w:tcPr>
            <w:tcW w:w="1200" w:type="dxa"/>
          </w:tcPr>
          <w:p>
            <w:pPr>
              <w:pStyle w:val="TableParagraph"/>
              <w:spacing w:before="1"/>
              <w:rPr>
                <w:sz w:val="17"/>
              </w:rPr>
            </w:pPr>
          </w:p>
          <w:p>
            <w:pPr>
              <w:pStyle w:val="TableParagraph"/>
              <w:ind w:right="28"/>
              <w:jc w:val="right"/>
              <w:rPr>
                <w:sz w:val="14"/>
              </w:rPr>
            </w:pPr>
            <w:r>
              <w:rPr>
                <w:w w:val="105"/>
                <w:sz w:val="14"/>
              </w:rPr>
              <w:t>0</w:t>
            </w:r>
          </w:p>
        </w:tc>
        <w:tc>
          <w:tcPr>
            <w:tcW w:w="967" w:type="dxa"/>
          </w:tcPr>
          <w:p>
            <w:pPr>
              <w:pStyle w:val="TableParagraph"/>
              <w:spacing w:before="1"/>
              <w:rPr>
                <w:sz w:val="17"/>
              </w:rPr>
            </w:pPr>
          </w:p>
          <w:p>
            <w:pPr>
              <w:pStyle w:val="TableParagraph"/>
              <w:ind w:right="28"/>
              <w:jc w:val="right"/>
              <w:rPr>
                <w:sz w:val="14"/>
              </w:rPr>
            </w:pPr>
            <w:r>
              <w:rPr>
                <w:w w:val="105"/>
                <w:sz w:val="14"/>
              </w:rPr>
              <w:t>0</w:t>
            </w:r>
          </w:p>
        </w:tc>
        <w:tc>
          <w:tcPr>
            <w:tcW w:w="923" w:type="dxa"/>
          </w:tcPr>
          <w:p>
            <w:pPr>
              <w:pStyle w:val="TableParagraph"/>
              <w:spacing w:before="1"/>
              <w:rPr>
                <w:sz w:val="17"/>
              </w:rPr>
            </w:pPr>
          </w:p>
          <w:p>
            <w:pPr>
              <w:pStyle w:val="TableParagraph"/>
              <w:ind w:right="28"/>
              <w:jc w:val="right"/>
              <w:rPr>
                <w:sz w:val="14"/>
              </w:rPr>
            </w:pPr>
            <w:r>
              <w:rPr>
                <w:w w:val="105"/>
                <w:sz w:val="14"/>
              </w:rPr>
              <w:t>0</w:t>
            </w:r>
          </w:p>
        </w:tc>
        <w:tc>
          <w:tcPr>
            <w:tcW w:w="950" w:type="dxa"/>
          </w:tcPr>
          <w:p>
            <w:pPr>
              <w:pStyle w:val="TableParagraph"/>
              <w:spacing w:before="1"/>
              <w:rPr>
                <w:sz w:val="17"/>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1234"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30"/>
              <w:jc w:val="right"/>
              <w:rPr>
                <w:sz w:val="14"/>
              </w:rPr>
            </w:pPr>
            <w:r>
              <w:rPr>
                <w:w w:val="105"/>
                <w:sz w:val="14"/>
              </w:rPr>
              <w:t>27/09/2013</w:t>
            </w:r>
          </w:p>
        </w:tc>
        <w:tc>
          <w:tcPr>
            <w:tcW w:w="89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8"/>
              </w:rPr>
            </w:pPr>
          </w:p>
          <w:p>
            <w:pPr>
              <w:pStyle w:val="TableParagraph"/>
              <w:spacing w:line="283" w:lineRule="auto"/>
              <w:ind w:left="25" w:right="15"/>
              <w:rPr>
                <w:sz w:val="14"/>
              </w:rPr>
            </w:pPr>
            <w:r>
              <w:rPr>
                <w:w w:val="105"/>
                <w:sz w:val="14"/>
              </w:rPr>
              <w:t>Colonia Ahuatenco</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140"/>
              <w:jc w:val="right"/>
              <w:rPr>
                <w:sz w:val="14"/>
              </w:rPr>
            </w:pPr>
            <w:r>
              <w:rPr>
                <w:w w:val="105"/>
                <w:sz w:val="14"/>
              </w:rPr>
              <w:t>El Universal</w:t>
            </w:r>
          </w:p>
        </w:tc>
        <w:tc>
          <w:tcPr>
            <w:tcW w:w="4074"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left="25" w:right="44"/>
              <w:rPr>
                <w:sz w:val="14"/>
              </w:rPr>
            </w:pPr>
            <w:r>
              <w:rPr>
                <w:w w:val="105"/>
                <w:sz w:val="14"/>
              </w:rPr>
              <w:t>Bloqueo parcial a la circulación.</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28"/>
              <w:jc w:val="right"/>
              <w:rPr>
                <w:sz w:val="14"/>
              </w:rPr>
            </w:pPr>
            <w:r>
              <w:rPr>
                <w:w w:val="105"/>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28"/>
              <w:jc w:val="right"/>
              <w:rPr>
                <w:sz w:val="14"/>
              </w:rPr>
            </w:pPr>
            <w:r>
              <w:rPr>
                <w:w w:val="105"/>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28"/>
              <w:jc w:val="right"/>
              <w:rPr>
                <w:sz w:val="14"/>
              </w:rPr>
            </w:pPr>
            <w:r>
              <w:rPr>
                <w:w w:val="105"/>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right="28"/>
              <w:jc w:val="right"/>
              <w:rPr>
                <w:sz w:val="14"/>
              </w:rPr>
            </w:pPr>
            <w:r>
              <w:rPr>
                <w:w w:val="105"/>
                <w:sz w:val="14"/>
              </w:rPr>
              <w:t>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20"/>
              </w:rPr>
            </w:pPr>
          </w:p>
          <w:p>
            <w:pPr>
              <w:pStyle w:val="TableParagraph"/>
              <w:ind w:left="25"/>
              <w:rPr>
                <w:sz w:val="14"/>
              </w:rPr>
            </w:pPr>
            <w:r>
              <w:rPr>
                <w:w w:val="105"/>
                <w:sz w:val="14"/>
              </w:rPr>
              <w:t>Lluvias</w:t>
            </w:r>
          </w:p>
        </w:tc>
        <w:tc>
          <w:tcPr>
            <w:tcW w:w="1278" w:type="dxa"/>
            <w:tcBorders>
              <w:right w:val="single" w:sz="3" w:space="0" w:color="000000"/>
            </w:tcBorders>
          </w:tcPr>
          <w:p>
            <w:pPr/>
          </w:p>
        </w:tc>
      </w:tr>
      <w:tr>
        <w:trPr>
          <w:trHeight w:val="1148" w:hRule="exact"/>
        </w:trPr>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30"/>
              <w:jc w:val="right"/>
              <w:rPr>
                <w:sz w:val="14"/>
              </w:rPr>
            </w:pPr>
            <w:r>
              <w:rPr>
                <w:w w:val="105"/>
                <w:sz w:val="14"/>
              </w:rPr>
              <w:t>30/10/2013</w:t>
            </w:r>
          </w:p>
        </w:tc>
        <w:tc>
          <w:tcPr>
            <w:tcW w:w="89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line="283" w:lineRule="auto" w:before="123"/>
              <w:ind w:left="25" w:right="15"/>
              <w:rPr>
                <w:sz w:val="14"/>
              </w:rPr>
            </w:pPr>
            <w:r>
              <w:rPr>
                <w:w w:val="105"/>
                <w:sz w:val="14"/>
              </w:rPr>
              <w:t>Colonia Manzanastitla</w:t>
            </w:r>
          </w:p>
        </w:tc>
        <w:tc>
          <w:tcPr>
            <w:tcW w:w="898"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140"/>
              <w:jc w:val="right"/>
              <w:rPr>
                <w:sz w:val="14"/>
              </w:rPr>
            </w:pPr>
            <w:r>
              <w:rPr>
                <w:w w:val="105"/>
                <w:sz w:val="14"/>
              </w:rPr>
              <w:t>El Universal</w:t>
            </w:r>
          </w:p>
        </w:tc>
        <w:tc>
          <w:tcPr>
            <w:tcW w:w="4074" w:type="dxa"/>
          </w:tcPr>
          <w:p>
            <w:pPr>
              <w:pStyle w:val="TableParagraph"/>
              <w:spacing w:line="283" w:lineRule="auto" w:before="7"/>
              <w:ind w:left="25" w:right="44"/>
              <w:rPr>
                <w:sz w:val="14"/>
              </w:rPr>
            </w:pPr>
            <w:r>
              <w:rPr>
                <w:w w:val="105"/>
                <w:sz w:val="14"/>
              </w:rPr>
              <w:t>Derrumbe provoca </w:t>
            </w:r>
            <w:r>
              <w:rPr>
                <w:spacing w:val="-3"/>
                <w:w w:val="105"/>
                <w:sz w:val="14"/>
              </w:rPr>
              <w:t>daños </w:t>
            </w:r>
            <w:r>
              <w:rPr>
                <w:w w:val="105"/>
                <w:sz w:val="14"/>
              </w:rPr>
              <w:t>en </w:t>
            </w:r>
            <w:r>
              <w:rPr>
                <w:spacing w:val="-3"/>
                <w:w w:val="105"/>
                <w:sz w:val="14"/>
              </w:rPr>
              <w:t>al </w:t>
            </w:r>
            <w:r>
              <w:rPr>
                <w:w w:val="105"/>
                <w:sz w:val="14"/>
              </w:rPr>
              <w:t>menos 30 </w:t>
            </w:r>
            <w:r>
              <w:rPr>
                <w:spacing w:val="-4"/>
                <w:w w:val="105"/>
                <w:sz w:val="14"/>
              </w:rPr>
              <w:t>viviendas </w:t>
            </w:r>
            <w:r>
              <w:rPr>
                <w:spacing w:val="-3"/>
                <w:w w:val="105"/>
                <w:sz w:val="14"/>
              </w:rPr>
              <w:t>de </w:t>
            </w:r>
            <w:r>
              <w:rPr>
                <w:w w:val="105"/>
                <w:sz w:val="14"/>
              </w:rPr>
              <w:t>la parte alta y destrucción parcial </w:t>
            </w:r>
            <w:r>
              <w:rPr>
                <w:spacing w:val="-3"/>
                <w:w w:val="105"/>
                <w:sz w:val="14"/>
              </w:rPr>
              <w:t>de </w:t>
            </w:r>
            <w:r>
              <w:rPr>
                <w:w w:val="105"/>
                <w:sz w:val="14"/>
              </w:rPr>
              <w:t>la calle. Parte </w:t>
            </w:r>
            <w:r>
              <w:rPr>
                <w:spacing w:val="-3"/>
                <w:w w:val="105"/>
                <w:sz w:val="14"/>
              </w:rPr>
              <w:t>de </w:t>
            </w:r>
            <w:r>
              <w:rPr>
                <w:w w:val="105"/>
                <w:sz w:val="14"/>
              </w:rPr>
              <w:t>la carretera </w:t>
            </w:r>
            <w:r>
              <w:rPr>
                <w:spacing w:val="-4"/>
                <w:w w:val="105"/>
                <w:sz w:val="14"/>
              </w:rPr>
              <w:t>Chamapa-La </w:t>
            </w:r>
            <w:r>
              <w:rPr>
                <w:spacing w:val="-3"/>
                <w:w w:val="105"/>
                <w:sz w:val="14"/>
              </w:rPr>
              <w:t>Venta quedó bloqueada. También </w:t>
            </w:r>
            <w:r>
              <w:rPr>
                <w:spacing w:val="-4"/>
                <w:w w:val="105"/>
                <w:sz w:val="14"/>
              </w:rPr>
              <w:t>hubo </w:t>
            </w:r>
            <w:r>
              <w:rPr>
                <w:spacing w:val="-3"/>
                <w:w w:val="105"/>
                <w:sz w:val="14"/>
              </w:rPr>
              <w:t>daños </w:t>
            </w:r>
            <w:r>
              <w:rPr>
                <w:w w:val="105"/>
                <w:sz w:val="14"/>
              </w:rPr>
              <w:t>en la red telefónica, </w:t>
            </w:r>
            <w:r>
              <w:rPr>
                <w:spacing w:val="-3"/>
                <w:w w:val="105"/>
                <w:sz w:val="14"/>
              </w:rPr>
              <w:t>de </w:t>
            </w:r>
            <w:r>
              <w:rPr>
                <w:w w:val="105"/>
                <w:sz w:val="14"/>
              </w:rPr>
              <w:t>suministro </w:t>
            </w:r>
            <w:r>
              <w:rPr>
                <w:spacing w:val="-3"/>
                <w:w w:val="105"/>
                <w:sz w:val="14"/>
              </w:rPr>
              <w:t>de </w:t>
            </w:r>
            <w:r>
              <w:rPr>
                <w:spacing w:val="-4"/>
                <w:w w:val="105"/>
                <w:sz w:val="14"/>
              </w:rPr>
              <w:t>agua </w:t>
            </w:r>
            <w:r>
              <w:rPr>
                <w:w w:val="105"/>
                <w:sz w:val="14"/>
              </w:rPr>
              <w:t>potable y electricidad </w:t>
            </w:r>
            <w:r>
              <w:rPr>
                <w:spacing w:val="-4"/>
                <w:w w:val="105"/>
                <w:sz w:val="14"/>
              </w:rPr>
              <w:t>que </w:t>
            </w:r>
            <w:r>
              <w:rPr>
                <w:w w:val="105"/>
                <w:sz w:val="14"/>
              </w:rPr>
              <w:t>dejó a los vecinos sin servicio. </w:t>
            </w:r>
            <w:r>
              <w:rPr>
                <w:spacing w:val="-3"/>
                <w:w w:val="105"/>
                <w:sz w:val="14"/>
              </w:rPr>
              <w:t>Las </w:t>
            </w:r>
            <w:r>
              <w:rPr>
                <w:w w:val="105"/>
                <w:sz w:val="14"/>
              </w:rPr>
              <w:t>autoridades dijeron </w:t>
            </w:r>
            <w:r>
              <w:rPr>
                <w:spacing w:val="-4"/>
                <w:w w:val="105"/>
                <w:sz w:val="14"/>
              </w:rPr>
              <w:t>que </w:t>
            </w:r>
            <w:r>
              <w:rPr>
                <w:w w:val="105"/>
                <w:sz w:val="14"/>
              </w:rPr>
              <w:t>tardarán 3 meses en reparar todo.</w:t>
            </w:r>
          </w:p>
        </w:tc>
        <w:tc>
          <w:tcPr>
            <w:tcW w:w="915"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28"/>
              <w:jc w:val="right"/>
              <w:rPr>
                <w:sz w:val="14"/>
              </w:rPr>
            </w:pPr>
            <w:r>
              <w:rPr>
                <w:w w:val="105"/>
                <w:sz w:val="14"/>
              </w:rPr>
              <w:t>0</w:t>
            </w:r>
          </w:p>
        </w:tc>
        <w:tc>
          <w:tcPr>
            <w:tcW w:w="120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28"/>
              <w:jc w:val="right"/>
              <w:rPr>
                <w:sz w:val="14"/>
              </w:rPr>
            </w:pPr>
            <w:r>
              <w:rPr>
                <w:w w:val="105"/>
                <w:sz w:val="14"/>
              </w:rPr>
              <w:t>0</w:t>
            </w:r>
          </w:p>
        </w:tc>
        <w:tc>
          <w:tcPr>
            <w:tcW w:w="96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28"/>
              <w:jc w:val="right"/>
              <w:rPr>
                <w:sz w:val="14"/>
              </w:rPr>
            </w:pPr>
            <w:r>
              <w:rPr>
                <w:w w:val="105"/>
                <w:sz w:val="14"/>
              </w:rPr>
              <w:t>0</w:t>
            </w:r>
          </w:p>
        </w:tc>
        <w:tc>
          <w:tcPr>
            <w:tcW w:w="923"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right="23"/>
              <w:jc w:val="right"/>
              <w:rPr>
                <w:sz w:val="14"/>
              </w:rPr>
            </w:pPr>
            <w:r>
              <w:rPr>
                <w:w w:val="105"/>
                <w:sz w:val="14"/>
              </w:rPr>
              <w:t>30</w:t>
            </w:r>
          </w:p>
        </w:tc>
        <w:tc>
          <w:tcPr>
            <w:tcW w:w="950"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3"/>
              </w:rPr>
            </w:pPr>
          </w:p>
          <w:p>
            <w:pPr>
              <w:pStyle w:val="TableParagraph"/>
              <w:spacing w:before="1"/>
              <w:ind w:left="25"/>
              <w:rPr>
                <w:sz w:val="14"/>
              </w:rPr>
            </w:pPr>
            <w:r>
              <w:rPr>
                <w:w w:val="105"/>
                <w:sz w:val="14"/>
              </w:rPr>
              <w:t>Lluvias</w:t>
            </w:r>
          </w:p>
        </w:tc>
        <w:tc>
          <w:tcPr>
            <w:tcW w:w="1278" w:type="dxa"/>
            <w:tcBorders>
              <w:right w:val="single" w:sz="3" w:space="0" w:color="000000"/>
            </w:tcBorders>
          </w:tcPr>
          <w:p>
            <w:pPr/>
          </w:p>
        </w:tc>
      </w:tr>
    </w:tbl>
    <w:p>
      <w:pPr>
        <w:pStyle w:val="BodyText"/>
        <w:spacing w:before="10"/>
        <w:rPr>
          <w:sz w:val="8"/>
        </w:rPr>
      </w:pPr>
    </w:p>
    <w:p>
      <w:pPr>
        <w:spacing w:before="79"/>
        <w:ind w:left="3818" w:right="0" w:firstLine="0"/>
        <w:jc w:val="left"/>
        <w:rPr>
          <w:sz w:val="16"/>
        </w:rPr>
      </w:pPr>
      <w:r>
        <w:rPr>
          <w:sz w:val="16"/>
        </w:rPr>
        <w:t>Fuente: Elaboración propia con base en el Sistema de inventario de efectos de desastres</w:t>
      </w:r>
    </w:p>
    <w:p>
      <w:pPr>
        <w:spacing w:after="0"/>
        <w:jc w:val="left"/>
        <w:rPr>
          <w:sz w:val="16"/>
        </w:rPr>
        <w:sectPr>
          <w:pgSz w:w="15840" w:h="12240" w:orient="landscape"/>
          <w:pgMar w:top="1140" w:bottom="280" w:left="1300" w:right="1300"/>
        </w:sectPr>
      </w:pPr>
    </w:p>
    <w:p>
      <w:pPr>
        <w:pStyle w:val="BodyText"/>
        <w:rPr>
          <w:sz w:val="20"/>
        </w:rPr>
      </w:pPr>
    </w:p>
    <w:p>
      <w:pPr>
        <w:pStyle w:val="BodyText"/>
        <w:spacing w:before="2"/>
      </w:pPr>
    </w:p>
    <w:p>
      <w:pPr>
        <w:spacing w:before="75"/>
        <w:ind w:left="2901" w:right="0" w:firstLine="0"/>
        <w:jc w:val="left"/>
        <w:rPr>
          <w:b/>
          <w:sz w:val="20"/>
        </w:rPr>
      </w:pPr>
      <w:r>
        <w:rPr>
          <w:b/>
          <w:sz w:val="20"/>
        </w:rPr>
        <w:t>Tabla 13. Registros históricos de deslizamientos en la Delegación Magdalena Contreras</w:t>
      </w:r>
    </w:p>
    <w:p>
      <w:pPr>
        <w:pStyle w:val="BodyText"/>
        <w:spacing w:before="5" w:after="1"/>
        <w:rPr>
          <w:b/>
          <w:sz w:val="15"/>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88"/>
        <w:gridCol w:w="1272"/>
        <w:gridCol w:w="1136"/>
        <w:gridCol w:w="3895"/>
        <w:gridCol w:w="888"/>
        <w:gridCol w:w="1213"/>
        <w:gridCol w:w="888"/>
        <w:gridCol w:w="888"/>
        <w:gridCol w:w="914"/>
        <w:gridCol w:w="1016"/>
      </w:tblGrid>
      <w:tr>
        <w:trPr>
          <w:trHeight w:val="358" w:hRule="exact"/>
        </w:trPr>
        <w:tc>
          <w:tcPr>
            <w:tcW w:w="888" w:type="dxa"/>
            <w:shd w:val="clear" w:color="auto" w:fill="212B35"/>
          </w:tcPr>
          <w:p>
            <w:pPr>
              <w:pStyle w:val="TableParagraph"/>
              <w:spacing w:before="90"/>
              <w:ind w:right="41"/>
              <w:jc w:val="right"/>
              <w:rPr>
                <w:b/>
                <w:sz w:val="15"/>
              </w:rPr>
            </w:pPr>
            <w:r>
              <w:rPr>
                <w:b/>
                <w:color w:val="FFFFFF"/>
                <w:sz w:val="15"/>
              </w:rPr>
              <w:t>Fecha Inicio</w:t>
            </w:r>
          </w:p>
        </w:tc>
        <w:tc>
          <w:tcPr>
            <w:tcW w:w="1272" w:type="dxa"/>
            <w:shd w:val="clear" w:color="auto" w:fill="212B35"/>
          </w:tcPr>
          <w:p>
            <w:pPr>
              <w:pStyle w:val="TableParagraph"/>
              <w:spacing w:before="90"/>
              <w:ind w:left="455" w:right="461"/>
              <w:jc w:val="center"/>
              <w:rPr>
                <w:b/>
                <w:sz w:val="15"/>
              </w:rPr>
            </w:pPr>
            <w:r>
              <w:rPr>
                <w:b/>
                <w:color w:val="FFFFFF"/>
                <w:sz w:val="15"/>
              </w:rPr>
              <w:t>Sitio</w:t>
            </w:r>
          </w:p>
        </w:tc>
        <w:tc>
          <w:tcPr>
            <w:tcW w:w="1136" w:type="dxa"/>
            <w:shd w:val="clear" w:color="auto" w:fill="212B35"/>
          </w:tcPr>
          <w:p>
            <w:pPr>
              <w:pStyle w:val="TableParagraph"/>
              <w:spacing w:before="90"/>
              <w:ind w:left="307"/>
              <w:rPr>
                <w:b/>
                <w:sz w:val="15"/>
              </w:rPr>
            </w:pPr>
            <w:r>
              <w:rPr>
                <w:b/>
                <w:color w:val="FFFFFF"/>
                <w:sz w:val="15"/>
              </w:rPr>
              <w:t>Fuentes</w:t>
            </w:r>
          </w:p>
        </w:tc>
        <w:tc>
          <w:tcPr>
            <w:tcW w:w="3895" w:type="dxa"/>
            <w:shd w:val="clear" w:color="auto" w:fill="212B35"/>
          </w:tcPr>
          <w:p>
            <w:pPr>
              <w:pStyle w:val="TableParagraph"/>
              <w:spacing w:before="90"/>
              <w:ind w:left="1118" w:right="8"/>
              <w:rPr>
                <w:b/>
                <w:sz w:val="15"/>
              </w:rPr>
            </w:pPr>
            <w:r>
              <w:rPr>
                <w:b/>
                <w:color w:val="FFFFFF"/>
                <w:sz w:val="15"/>
              </w:rPr>
              <w:t>Observaciones  de efectos</w:t>
            </w:r>
          </w:p>
        </w:tc>
        <w:tc>
          <w:tcPr>
            <w:tcW w:w="888" w:type="dxa"/>
            <w:shd w:val="clear" w:color="auto" w:fill="212B35"/>
          </w:tcPr>
          <w:p>
            <w:pPr>
              <w:pStyle w:val="TableParagraph"/>
              <w:spacing w:before="90"/>
              <w:ind w:left="162"/>
              <w:rPr>
                <w:b/>
                <w:sz w:val="15"/>
              </w:rPr>
            </w:pPr>
            <w:r>
              <w:rPr>
                <w:b/>
                <w:color w:val="FFFFFF"/>
                <w:sz w:val="15"/>
              </w:rPr>
              <w:t>Muertos</w:t>
            </w:r>
          </w:p>
        </w:tc>
        <w:tc>
          <w:tcPr>
            <w:tcW w:w="1213" w:type="dxa"/>
            <w:shd w:val="clear" w:color="auto" w:fill="212B35"/>
          </w:tcPr>
          <w:p>
            <w:pPr>
              <w:pStyle w:val="TableParagraph"/>
              <w:spacing w:before="90"/>
              <w:ind w:left="145"/>
              <w:rPr>
                <w:b/>
                <w:sz w:val="15"/>
              </w:rPr>
            </w:pPr>
            <w:r>
              <w:rPr>
                <w:b/>
                <w:color w:val="FFFFFF"/>
                <w:sz w:val="15"/>
              </w:rPr>
              <w:t>Damnificados</w:t>
            </w:r>
          </w:p>
        </w:tc>
        <w:tc>
          <w:tcPr>
            <w:tcW w:w="888" w:type="dxa"/>
            <w:shd w:val="clear" w:color="auto" w:fill="212B35"/>
          </w:tcPr>
          <w:p>
            <w:pPr>
              <w:pStyle w:val="TableParagraph"/>
              <w:spacing w:line="273" w:lineRule="auto"/>
              <w:ind w:left="102" w:right="91" w:firstLine="16"/>
              <w:rPr>
                <w:b/>
                <w:sz w:val="15"/>
              </w:rPr>
            </w:pPr>
            <w:r>
              <w:rPr>
                <w:b/>
                <w:color w:val="FFFFFF"/>
                <w:sz w:val="15"/>
              </w:rPr>
              <w:t>Viviendas destruidas</w:t>
            </w:r>
          </w:p>
        </w:tc>
        <w:tc>
          <w:tcPr>
            <w:tcW w:w="888" w:type="dxa"/>
            <w:shd w:val="clear" w:color="auto" w:fill="212B35"/>
          </w:tcPr>
          <w:p>
            <w:pPr>
              <w:pStyle w:val="TableParagraph"/>
              <w:spacing w:line="273" w:lineRule="auto"/>
              <w:ind w:left="128" w:right="116" w:hanging="18"/>
              <w:rPr>
                <w:b/>
                <w:sz w:val="15"/>
              </w:rPr>
            </w:pPr>
            <w:r>
              <w:rPr>
                <w:b/>
                <w:color w:val="FFFFFF"/>
                <w:sz w:val="15"/>
              </w:rPr>
              <w:t>Viviendas afectadas</w:t>
            </w:r>
          </w:p>
        </w:tc>
        <w:tc>
          <w:tcPr>
            <w:tcW w:w="914" w:type="dxa"/>
            <w:shd w:val="clear" w:color="auto" w:fill="212B35"/>
          </w:tcPr>
          <w:p>
            <w:pPr>
              <w:pStyle w:val="TableParagraph"/>
              <w:spacing w:line="273" w:lineRule="auto"/>
              <w:ind w:left="264" w:right="202" w:hanging="69"/>
              <w:rPr>
                <w:b/>
                <w:sz w:val="15"/>
              </w:rPr>
            </w:pPr>
            <w:r>
              <w:rPr>
                <w:b/>
                <w:color w:val="FFFFFF"/>
                <w:sz w:val="15"/>
              </w:rPr>
              <w:t>Tipo de causa</w:t>
            </w:r>
          </w:p>
        </w:tc>
        <w:tc>
          <w:tcPr>
            <w:tcW w:w="1016" w:type="dxa"/>
            <w:shd w:val="clear" w:color="auto" w:fill="212B35"/>
          </w:tcPr>
          <w:p>
            <w:pPr>
              <w:pStyle w:val="TableParagraph"/>
              <w:spacing w:line="273" w:lineRule="auto"/>
              <w:ind w:left="222" w:right="-5" w:hanging="197"/>
              <w:rPr>
                <w:b/>
                <w:sz w:val="15"/>
              </w:rPr>
            </w:pPr>
            <w:r>
              <w:rPr>
                <w:b/>
                <w:color w:val="FFFFFF"/>
                <w:sz w:val="15"/>
              </w:rPr>
              <w:t>Observaciones de causa</w:t>
            </w:r>
          </w:p>
        </w:tc>
      </w:tr>
      <w:tr>
        <w:trPr>
          <w:trHeight w:val="802"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right="30"/>
              <w:jc w:val="right"/>
              <w:rPr>
                <w:sz w:val="14"/>
              </w:rPr>
            </w:pPr>
            <w:r>
              <w:rPr>
                <w:sz w:val="14"/>
              </w:rPr>
              <w:t>21/09/1979</w:t>
            </w:r>
          </w:p>
        </w:tc>
        <w:tc>
          <w:tcPr>
            <w:tcW w:w="1272" w:type="dxa"/>
          </w:tcPr>
          <w:p>
            <w:pPr>
              <w:pStyle w:val="TableParagraph"/>
              <w:spacing w:line="280" w:lineRule="auto" w:before="48"/>
              <w:ind w:left="25" w:right="13"/>
              <w:rPr>
                <w:sz w:val="14"/>
              </w:rPr>
            </w:pPr>
            <w:r>
              <w:rPr>
                <w:w w:val="105"/>
                <w:sz w:val="14"/>
              </w:rPr>
              <w:t>Calles Magnolia y Torres de Potrero col. Torres de Potrero</w:t>
            </w:r>
          </w:p>
        </w:tc>
        <w:tc>
          <w:tcPr>
            <w:tcW w:w="1136" w:type="dxa"/>
          </w:tcPr>
          <w:p>
            <w:pPr>
              <w:pStyle w:val="TableParagraph"/>
              <w:rPr>
                <w:b/>
                <w:sz w:val="14"/>
              </w:rPr>
            </w:pPr>
          </w:p>
          <w:p>
            <w:pPr>
              <w:pStyle w:val="TableParagraph"/>
              <w:rPr>
                <w:b/>
                <w:sz w:val="14"/>
              </w:rPr>
            </w:pPr>
          </w:p>
          <w:p>
            <w:pPr>
              <w:pStyle w:val="TableParagraph"/>
              <w:spacing w:line="278" w:lineRule="auto" w:before="102"/>
              <w:ind w:left="25"/>
              <w:rPr>
                <w:sz w:val="14"/>
              </w:rPr>
            </w:pPr>
            <w:r>
              <w:rPr>
                <w:w w:val="105"/>
                <w:sz w:val="14"/>
              </w:rPr>
              <w:t>El Universal </w:t>
            </w:r>
            <w:r>
              <w:rPr>
                <w:sz w:val="14"/>
              </w:rPr>
              <w:t>22/09/1979:22a</w:t>
            </w:r>
          </w:p>
        </w:tc>
        <w:tc>
          <w:tcPr>
            <w:tcW w:w="3895"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left="25" w:right="8"/>
              <w:rPr>
                <w:sz w:val="14"/>
              </w:rPr>
            </w:pPr>
            <w:r>
              <w:rPr>
                <w:w w:val="105"/>
                <w:sz w:val="14"/>
              </w:rPr>
              <w:t>Quedó sepultada una familia.</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right="27"/>
              <w:jc w:val="right"/>
              <w:rPr>
                <w:sz w:val="14"/>
              </w:rPr>
            </w:pPr>
            <w:r>
              <w:rPr>
                <w:w w:val="103"/>
                <w:sz w:val="14"/>
              </w:rPr>
              <w:t>3</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right="27"/>
              <w:jc w:val="right"/>
              <w:rPr>
                <w:sz w:val="14"/>
              </w:rPr>
            </w:pPr>
            <w:r>
              <w:rPr>
                <w:w w:val="103"/>
                <w:sz w:val="14"/>
              </w:rPr>
              <w:t>1</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right="28"/>
              <w:jc w:val="right"/>
              <w:rPr>
                <w:sz w:val="14"/>
              </w:rPr>
            </w:pPr>
            <w:r>
              <w:rPr>
                <w:w w:val="103"/>
                <w:sz w:val="14"/>
              </w:rPr>
              <w:t>0</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spacing w:before="2"/>
              <w:rPr>
                <w:b/>
                <w:sz w:val="11"/>
              </w:rPr>
            </w:pPr>
          </w:p>
          <w:p>
            <w:pPr>
              <w:pStyle w:val="TableParagraph"/>
              <w:ind w:left="25" w:right="202"/>
              <w:rPr>
                <w:sz w:val="14"/>
              </w:rPr>
            </w:pPr>
            <w:r>
              <w:rPr>
                <w:w w:val="105"/>
                <w:sz w:val="14"/>
              </w:rPr>
              <w:t>Lluvias</w:t>
            </w:r>
          </w:p>
        </w:tc>
        <w:tc>
          <w:tcPr>
            <w:tcW w:w="1016" w:type="dxa"/>
          </w:tcPr>
          <w:p>
            <w:pPr/>
          </w:p>
        </w:tc>
      </w:tr>
      <w:tr>
        <w:trPr>
          <w:trHeight w:val="401" w:hRule="exact"/>
        </w:trPr>
        <w:tc>
          <w:tcPr>
            <w:tcW w:w="888" w:type="dxa"/>
          </w:tcPr>
          <w:p>
            <w:pPr>
              <w:pStyle w:val="TableParagraph"/>
              <w:spacing w:before="3"/>
              <w:rPr>
                <w:b/>
                <w:sz w:val="18"/>
              </w:rPr>
            </w:pPr>
          </w:p>
          <w:p>
            <w:pPr>
              <w:pStyle w:val="TableParagraph"/>
              <w:ind w:right="30"/>
              <w:jc w:val="right"/>
              <w:rPr>
                <w:sz w:val="14"/>
              </w:rPr>
            </w:pPr>
            <w:r>
              <w:rPr>
                <w:sz w:val="14"/>
              </w:rPr>
              <w:t>06/09/1984</w:t>
            </w:r>
          </w:p>
        </w:tc>
        <w:tc>
          <w:tcPr>
            <w:tcW w:w="1272" w:type="dxa"/>
          </w:tcPr>
          <w:p>
            <w:pPr>
              <w:pStyle w:val="TableParagraph"/>
              <w:spacing w:line="280" w:lineRule="auto" w:before="22"/>
              <w:ind w:left="25" w:right="13"/>
              <w:rPr>
                <w:sz w:val="14"/>
              </w:rPr>
            </w:pPr>
            <w:r>
              <w:rPr>
                <w:w w:val="105"/>
                <w:sz w:val="14"/>
              </w:rPr>
              <w:t>Calle Escondida 4; Cerro del Judio</w:t>
            </w:r>
          </w:p>
        </w:tc>
        <w:tc>
          <w:tcPr>
            <w:tcW w:w="1136" w:type="dxa"/>
          </w:tcPr>
          <w:p>
            <w:pPr>
              <w:pStyle w:val="TableParagraph"/>
              <w:spacing w:line="280" w:lineRule="auto" w:before="22"/>
              <w:ind w:left="25"/>
              <w:rPr>
                <w:sz w:val="14"/>
              </w:rPr>
            </w:pPr>
            <w:r>
              <w:rPr>
                <w:w w:val="105"/>
                <w:sz w:val="14"/>
              </w:rPr>
              <w:t>Excélsior </w:t>
            </w:r>
            <w:r>
              <w:rPr>
                <w:sz w:val="14"/>
              </w:rPr>
              <w:t>07/09/84:14a</w:t>
            </w:r>
          </w:p>
        </w:tc>
        <w:tc>
          <w:tcPr>
            <w:tcW w:w="3895" w:type="dxa"/>
          </w:tcPr>
          <w:p>
            <w:pPr>
              <w:pStyle w:val="TableParagraph"/>
              <w:spacing w:before="3"/>
              <w:rPr>
                <w:b/>
                <w:sz w:val="18"/>
              </w:rPr>
            </w:pPr>
          </w:p>
          <w:p>
            <w:pPr>
              <w:pStyle w:val="TableParagraph"/>
              <w:ind w:left="25" w:right="8"/>
              <w:rPr>
                <w:sz w:val="14"/>
              </w:rPr>
            </w:pPr>
            <w:r>
              <w:rPr>
                <w:w w:val="105"/>
                <w:sz w:val="14"/>
              </w:rPr>
              <w:t>Asentamiento a las faldas del cerro. Hay 1 fotografía</w:t>
            </w:r>
          </w:p>
        </w:tc>
        <w:tc>
          <w:tcPr>
            <w:tcW w:w="888" w:type="dxa"/>
          </w:tcPr>
          <w:p>
            <w:pPr>
              <w:pStyle w:val="TableParagraph"/>
              <w:spacing w:before="3"/>
              <w:rPr>
                <w:b/>
                <w:sz w:val="18"/>
              </w:rPr>
            </w:pPr>
          </w:p>
          <w:p>
            <w:pPr>
              <w:pStyle w:val="TableParagraph"/>
              <w:ind w:right="27"/>
              <w:jc w:val="right"/>
              <w:rPr>
                <w:sz w:val="14"/>
              </w:rPr>
            </w:pPr>
            <w:r>
              <w:rPr>
                <w:w w:val="103"/>
                <w:sz w:val="14"/>
              </w:rPr>
              <w:t>2</w:t>
            </w:r>
          </w:p>
        </w:tc>
        <w:tc>
          <w:tcPr>
            <w:tcW w:w="1213" w:type="dxa"/>
          </w:tcPr>
          <w:p>
            <w:pPr>
              <w:pStyle w:val="TableParagraph"/>
              <w:spacing w:before="3"/>
              <w:rPr>
                <w:b/>
                <w:sz w:val="18"/>
              </w:rPr>
            </w:pPr>
          </w:p>
          <w:p>
            <w:pPr>
              <w:pStyle w:val="TableParagraph"/>
              <w:ind w:right="27"/>
              <w:jc w:val="right"/>
              <w:rPr>
                <w:sz w:val="14"/>
              </w:rPr>
            </w:pPr>
            <w:r>
              <w:rPr>
                <w:w w:val="103"/>
                <w:sz w:val="14"/>
              </w:rPr>
              <w:t>0</w:t>
            </w:r>
          </w:p>
        </w:tc>
        <w:tc>
          <w:tcPr>
            <w:tcW w:w="888" w:type="dxa"/>
          </w:tcPr>
          <w:p>
            <w:pPr>
              <w:pStyle w:val="TableParagraph"/>
              <w:spacing w:before="3"/>
              <w:rPr>
                <w:b/>
                <w:sz w:val="18"/>
              </w:rPr>
            </w:pPr>
          </w:p>
          <w:p>
            <w:pPr>
              <w:pStyle w:val="TableParagraph"/>
              <w:ind w:right="27"/>
              <w:jc w:val="right"/>
              <w:rPr>
                <w:sz w:val="14"/>
              </w:rPr>
            </w:pPr>
            <w:r>
              <w:rPr>
                <w:w w:val="103"/>
                <w:sz w:val="14"/>
              </w:rPr>
              <w:t>0</w:t>
            </w:r>
          </w:p>
        </w:tc>
        <w:tc>
          <w:tcPr>
            <w:tcW w:w="888" w:type="dxa"/>
          </w:tcPr>
          <w:p>
            <w:pPr>
              <w:pStyle w:val="TableParagraph"/>
              <w:spacing w:before="3"/>
              <w:rPr>
                <w:b/>
                <w:sz w:val="18"/>
              </w:rPr>
            </w:pPr>
          </w:p>
          <w:p>
            <w:pPr>
              <w:pStyle w:val="TableParagraph"/>
              <w:ind w:right="28"/>
              <w:jc w:val="right"/>
              <w:rPr>
                <w:sz w:val="14"/>
              </w:rPr>
            </w:pPr>
            <w:r>
              <w:rPr>
                <w:w w:val="103"/>
                <w:sz w:val="14"/>
              </w:rPr>
              <w:t>0</w:t>
            </w:r>
          </w:p>
        </w:tc>
        <w:tc>
          <w:tcPr>
            <w:tcW w:w="914" w:type="dxa"/>
          </w:tcPr>
          <w:p>
            <w:pPr>
              <w:pStyle w:val="TableParagraph"/>
              <w:spacing w:before="3"/>
              <w:rPr>
                <w:b/>
                <w:sz w:val="18"/>
              </w:rPr>
            </w:pPr>
          </w:p>
          <w:p>
            <w:pPr>
              <w:pStyle w:val="TableParagraph"/>
              <w:ind w:left="25" w:right="202"/>
              <w:rPr>
                <w:sz w:val="14"/>
              </w:rPr>
            </w:pPr>
            <w:r>
              <w:rPr>
                <w:w w:val="105"/>
                <w:sz w:val="14"/>
              </w:rPr>
              <w:t>Lluvias</w:t>
            </w:r>
          </w:p>
        </w:tc>
        <w:tc>
          <w:tcPr>
            <w:tcW w:w="1016" w:type="dxa"/>
          </w:tcPr>
          <w:p>
            <w:pPr/>
          </w:p>
        </w:tc>
      </w:tr>
      <w:tr>
        <w:trPr>
          <w:trHeight w:val="205" w:hRule="exact"/>
        </w:trPr>
        <w:tc>
          <w:tcPr>
            <w:tcW w:w="888" w:type="dxa"/>
          </w:tcPr>
          <w:p>
            <w:pPr>
              <w:pStyle w:val="TableParagraph"/>
              <w:spacing w:before="14"/>
              <w:ind w:right="30"/>
              <w:jc w:val="right"/>
              <w:rPr>
                <w:sz w:val="14"/>
              </w:rPr>
            </w:pPr>
            <w:r>
              <w:rPr>
                <w:sz w:val="14"/>
              </w:rPr>
              <w:t>26/08/1989</w:t>
            </w:r>
          </w:p>
        </w:tc>
        <w:tc>
          <w:tcPr>
            <w:tcW w:w="1272" w:type="dxa"/>
          </w:tcPr>
          <w:p>
            <w:pPr/>
          </w:p>
        </w:tc>
        <w:tc>
          <w:tcPr>
            <w:tcW w:w="1136" w:type="dxa"/>
          </w:tcPr>
          <w:p>
            <w:pPr>
              <w:pStyle w:val="TableParagraph"/>
              <w:spacing w:before="14"/>
              <w:ind w:left="25"/>
              <w:rPr>
                <w:sz w:val="14"/>
              </w:rPr>
            </w:pPr>
            <w:r>
              <w:rPr>
                <w:sz w:val="14"/>
              </w:rPr>
              <w:t>El Universal</w:t>
            </w:r>
          </w:p>
        </w:tc>
        <w:tc>
          <w:tcPr>
            <w:tcW w:w="3895" w:type="dxa"/>
          </w:tcPr>
          <w:p>
            <w:pPr/>
          </w:p>
        </w:tc>
        <w:tc>
          <w:tcPr>
            <w:tcW w:w="888" w:type="dxa"/>
          </w:tcPr>
          <w:p>
            <w:pPr>
              <w:pStyle w:val="TableParagraph"/>
              <w:spacing w:before="14"/>
              <w:ind w:right="27"/>
              <w:jc w:val="right"/>
              <w:rPr>
                <w:sz w:val="14"/>
              </w:rPr>
            </w:pPr>
            <w:r>
              <w:rPr>
                <w:w w:val="103"/>
                <w:sz w:val="14"/>
              </w:rPr>
              <w:t>0</w:t>
            </w:r>
          </w:p>
        </w:tc>
        <w:tc>
          <w:tcPr>
            <w:tcW w:w="1213" w:type="dxa"/>
          </w:tcPr>
          <w:p>
            <w:pPr>
              <w:pStyle w:val="TableParagraph"/>
              <w:spacing w:before="14"/>
              <w:ind w:right="27"/>
              <w:jc w:val="right"/>
              <w:rPr>
                <w:sz w:val="14"/>
              </w:rPr>
            </w:pPr>
            <w:r>
              <w:rPr>
                <w:w w:val="103"/>
                <w:sz w:val="14"/>
              </w:rPr>
              <w:t>0</w:t>
            </w:r>
          </w:p>
        </w:tc>
        <w:tc>
          <w:tcPr>
            <w:tcW w:w="888" w:type="dxa"/>
          </w:tcPr>
          <w:p>
            <w:pPr>
              <w:pStyle w:val="TableParagraph"/>
              <w:spacing w:before="14"/>
              <w:ind w:right="27"/>
              <w:jc w:val="right"/>
              <w:rPr>
                <w:sz w:val="14"/>
              </w:rPr>
            </w:pPr>
            <w:r>
              <w:rPr>
                <w:w w:val="103"/>
                <w:sz w:val="14"/>
              </w:rPr>
              <w:t>0</w:t>
            </w:r>
          </w:p>
        </w:tc>
        <w:tc>
          <w:tcPr>
            <w:tcW w:w="888" w:type="dxa"/>
          </w:tcPr>
          <w:p>
            <w:pPr>
              <w:pStyle w:val="TableParagraph"/>
              <w:spacing w:before="14"/>
              <w:ind w:left="25" w:right="116"/>
              <w:rPr>
                <w:sz w:val="14"/>
              </w:rPr>
            </w:pPr>
            <w:r>
              <w:rPr>
                <w:w w:val="105"/>
                <w:sz w:val="14"/>
              </w:rPr>
              <w:t>Si</w:t>
            </w:r>
          </w:p>
        </w:tc>
        <w:tc>
          <w:tcPr>
            <w:tcW w:w="914" w:type="dxa"/>
          </w:tcPr>
          <w:p>
            <w:pPr>
              <w:pStyle w:val="TableParagraph"/>
              <w:spacing w:before="14"/>
              <w:ind w:left="25" w:right="202"/>
              <w:rPr>
                <w:sz w:val="14"/>
              </w:rPr>
            </w:pPr>
            <w:r>
              <w:rPr>
                <w:w w:val="105"/>
                <w:sz w:val="14"/>
              </w:rPr>
              <w:t>Lluvias</w:t>
            </w:r>
          </w:p>
        </w:tc>
        <w:tc>
          <w:tcPr>
            <w:tcW w:w="1016" w:type="dxa"/>
          </w:tcPr>
          <w:p>
            <w:pPr/>
          </w:p>
        </w:tc>
      </w:tr>
      <w:tr>
        <w:trPr>
          <w:trHeight w:val="572" w:hRule="exact"/>
        </w:trPr>
        <w:tc>
          <w:tcPr>
            <w:tcW w:w="888" w:type="dxa"/>
          </w:tcPr>
          <w:p>
            <w:pPr>
              <w:pStyle w:val="TableParagraph"/>
              <w:rPr>
                <w:b/>
                <w:sz w:val="14"/>
              </w:rPr>
            </w:pPr>
          </w:p>
          <w:p>
            <w:pPr>
              <w:pStyle w:val="TableParagraph"/>
              <w:spacing w:before="1"/>
              <w:rPr>
                <w:b/>
                <w:sz w:val="19"/>
              </w:rPr>
            </w:pPr>
          </w:p>
          <w:p>
            <w:pPr>
              <w:pStyle w:val="TableParagraph"/>
              <w:spacing w:before="1"/>
              <w:ind w:right="30"/>
              <w:jc w:val="right"/>
              <w:rPr>
                <w:sz w:val="14"/>
              </w:rPr>
            </w:pPr>
            <w:r>
              <w:rPr>
                <w:sz w:val="14"/>
              </w:rPr>
              <w:t>22/06/1993</w:t>
            </w:r>
          </w:p>
        </w:tc>
        <w:tc>
          <w:tcPr>
            <w:tcW w:w="1272" w:type="dxa"/>
          </w:tcPr>
          <w:p>
            <w:pPr>
              <w:pStyle w:val="TableParagraph"/>
              <w:spacing w:before="9"/>
              <w:rPr>
                <w:b/>
                <w:sz w:val="16"/>
              </w:rPr>
            </w:pPr>
          </w:p>
          <w:p>
            <w:pPr>
              <w:pStyle w:val="TableParagraph"/>
              <w:spacing w:line="280" w:lineRule="auto"/>
              <w:ind w:left="25" w:right="13"/>
              <w:rPr>
                <w:sz w:val="14"/>
              </w:rPr>
            </w:pPr>
            <w:r>
              <w:rPr>
                <w:w w:val="105"/>
                <w:sz w:val="14"/>
              </w:rPr>
              <w:t>Colonia Pedregal de Chichicaspa</w:t>
            </w:r>
          </w:p>
        </w:tc>
        <w:tc>
          <w:tcPr>
            <w:tcW w:w="1136" w:type="dxa"/>
          </w:tcPr>
          <w:p>
            <w:pPr>
              <w:pStyle w:val="TableParagraph"/>
              <w:spacing w:before="9"/>
              <w:rPr>
                <w:b/>
                <w:sz w:val="16"/>
              </w:rPr>
            </w:pPr>
          </w:p>
          <w:p>
            <w:pPr>
              <w:pStyle w:val="TableParagraph"/>
              <w:spacing w:line="280" w:lineRule="auto"/>
              <w:ind w:left="25"/>
              <w:rPr>
                <w:sz w:val="14"/>
              </w:rPr>
            </w:pPr>
            <w:r>
              <w:rPr>
                <w:w w:val="105"/>
                <w:sz w:val="14"/>
              </w:rPr>
              <w:t>La Jornada </w:t>
            </w:r>
            <w:r>
              <w:rPr>
                <w:sz w:val="14"/>
              </w:rPr>
              <w:t>22/06/1993:33</w:t>
            </w:r>
          </w:p>
        </w:tc>
        <w:tc>
          <w:tcPr>
            <w:tcW w:w="3895" w:type="dxa"/>
          </w:tcPr>
          <w:p>
            <w:pPr/>
          </w:p>
        </w:tc>
        <w:tc>
          <w:tcPr>
            <w:tcW w:w="888" w:type="dxa"/>
          </w:tcPr>
          <w:p>
            <w:pPr>
              <w:pStyle w:val="TableParagraph"/>
              <w:rPr>
                <w:b/>
                <w:sz w:val="14"/>
              </w:rPr>
            </w:pPr>
          </w:p>
          <w:p>
            <w:pPr>
              <w:pStyle w:val="TableParagraph"/>
              <w:spacing w:before="1"/>
              <w:rPr>
                <w:b/>
                <w:sz w:val="19"/>
              </w:rPr>
            </w:pPr>
          </w:p>
          <w:p>
            <w:pPr>
              <w:pStyle w:val="TableParagraph"/>
              <w:spacing w:before="1"/>
              <w:ind w:right="27"/>
              <w:jc w:val="right"/>
              <w:rPr>
                <w:sz w:val="14"/>
              </w:rPr>
            </w:pPr>
            <w:r>
              <w:rPr>
                <w:w w:val="103"/>
                <w:sz w:val="14"/>
              </w:rPr>
              <w:t>1</w:t>
            </w:r>
          </w:p>
        </w:tc>
        <w:tc>
          <w:tcPr>
            <w:tcW w:w="1213" w:type="dxa"/>
          </w:tcPr>
          <w:p>
            <w:pPr>
              <w:pStyle w:val="TableParagraph"/>
              <w:rPr>
                <w:b/>
                <w:sz w:val="14"/>
              </w:rPr>
            </w:pPr>
          </w:p>
          <w:p>
            <w:pPr>
              <w:pStyle w:val="TableParagraph"/>
              <w:spacing w:before="1"/>
              <w:rPr>
                <w:b/>
                <w:sz w:val="19"/>
              </w:rPr>
            </w:pPr>
          </w:p>
          <w:p>
            <w:pPr>
              <w:pStyle w:val="TableParagraph"/>
              <w:spacing w:before="1"/>
              <w:ind w:right="27"/>
              <w:jc w:val="right"/>
              <w:rPr>
                <w:sz w:val="14"/>
              </w:rPr>
            </w:pPr>
            <w:r>
              <w:rPr>
                <w:w w:val="103"/>
                <w:sz w:val="14"/>
              </w:rPr>
              <w:t>0</w:t>
            </w:r>
          </w:p>
        </w:tc>
        <w:tc>
          <w:tcPr>
            <w:tcW w:w="888" w:type="dxa"/>
          </w:tcPr>
          <w:p>
            <w:pPr>
              <w:pStyle w:val="TableParagraph"/>
              <w:rPr>
                <w:b/>
                <w:sz w:val="14"/>
              </w:rPr>
            </w:pPr>
          </w:p>
          <w:p>
            <w:pPr>
              <w:pStyle w:val="TableParagraph"/>
              <w:spacing w:before="1"/>
              <w:rPr>
                <w:b/>
                <w:sz w:val="19"/>
              </w:rPr>
            </w:pPr>
          </w:p>
          <w:p>
            <w:pPr>
              <w:pStyle w:val="TableParagraph"/>
              <w:spacing w:before="1"/>
              <w:ind w:right="27"/>
              <w:jc w:val="right"/>
              <w:rPr>
                <w:sz w:val="14"/>
              </w:rPr>
            </w:pPr>
            <w:r>
              <w:rPr>
                <w:w w:val="103"/>
                <w:sz w:val="14"/>
              </w:rPr>
              <w:t>0</w:t>
            </w:r>
          </w:p>
        </w:tc>
        <w:tc>
          <w:tcPr>
            <w:tcW w:w="888" w:type="dxa"/>
          </w:tcPr>
          <w:p>
            <w:pPr>
              <w:pStyle w:val="TableParagraph"/>
              <w:rPr>
                <w:b/>
                <w:sz w:val="14"/>
              </w:rPr>
            </w:pPr>
          </w:p>
          <w:p>
            <w:pPr>
              <w:pStyle w:val="TableParagraph"/>
              <w:spacing w:before="1"/>
              <w:rPr>
                <w:b/>
                <w:sz w:val="19"/>
              </w:rPr>
            </w:pPr>
          </w:p>
          <w:p>
            <w:pPr>
              <w:pStyle w:val="TableParagraph"/>
              <w:spacing w:before="1"/>
              <w:ind w:left="25" w:right="116"/>
              <w:rPr>
                <w:sz w:val="14"/>
              </w:rPr>
            </w:pPr>
            <w:r>
              <w:rPr>
                <w:w w:val="105"/>
                <w:sz w:val="14"/>
              </w:rPr>
              <w:t>Si</w:t>
            </w:r>
          </w:p>
        </w:tc>
        <w:tc>
          <w:tcPr>
            <w:tcW w:w="914" w:type="dxa"/>
          </w:tcPr>
          <w:p>
            <w:pPr>
              <w:pStyle w:val="TableParagraph"/>
              <w:rPr>
                <w:b/>
                <w:sz w:val="14"/>
              </w:rPr>
            </w:pPr>
          </w:p>
          <w:p>
            <w:pPr>
              <w:pStyle w:val="TableParagraph"/>
              <w:spacing w:before="1"/>
              <w:rPr>
                <w:b/>
                <w:sz w:val="19"/>
              </w:rPr>
            </w:pPr>
          </w:p>
          <w:p>
            <w:pPr>
              <w:pStyle w:val="TableParagraph"/>
              <w:spacing w:before="1"/>
              <w:ind w:left="25" w:right="202"/>
              <w:rPr>
                <w:sz w:val="14"/>
              </w:rPr>
            </w:pPr>
            <w:r>
              <w:rPr>
                <w:w w:val="105"/>
                <w:sz w:val="14"/>
              </w:rPr>
              <w:t>Lluvias</w:t>
            </w:r>
          </w:p>
        </w:tc>
        <w:tc>
          <w:tcPr>
            <w:tcW w:w="1016" w:type="dxa"/>
          </w:tcPr>
          <w:p>
            <w:pPr/>
          </w:p>
        </w:tc>
      </w:tr>
      <w:tr>
        <w:trPr>
          <w:trHeight w:val="384" w:hRule="exact"/>
        </w:trPr>
        <w:tc>
          <w:tcPr>
            <w:tcW w:w="888" w:type="dxa"/>
          </w:tcPr>
          <w:p>
            <w:pPr>
              <w:pStyle w:val="TableParagraph"/>
              <w:spacing w:before="9"/>
              <w:rPr>
                <w:b/>
                <w:sz w:val="16"/>
              </w:rPr>
            </w:pPr>
          </w:p>
          <w:p>
            <w:pPr>
              <w:pStyle w:val="TableParagraph"/>
              <w:ind w:right="30"/>
              <w:jc w:val="right"/>
              <w:rPr>
                <w:sz w:val="14"/>
              </w:rPr>
            </w:pPr>
            <w:r>
              <w:rPr>
                <w:sz w:val="14"/>
              </w:rPr>
              <w:t>28/09/1998</w:t>
            </w:r>
          </w:p>
        </w:tc>
        <w:tc>
          <w:tcPr>
            <w:tcW w:w="1272" w:type="dxa"/>
          </w:tcPr>
          <w:p>
            <w:pPr/>
          </w:p>
        </w:tc>
        <w:tc>
          <w:tcPr>
            <w:tcW w:w="1136" w:type="dxa"/>
          </w:tcPr>
          <w:p>
            <w:pPr>
              <w:pStyle w:val="TableParagraph"/>
              <w:spacing w:line="278" w:lineRule="auto" w:before="6"/>
              <w:ind w:left="25"/>
              <w:rPr>
                <w:sz w:val="14"/>
              </w:rPr>
            </w:pPr>
            <w:r>
              <w:rPr>
                <w:w w:val="105"/>
                <w:sz w:val="14"/>
              </w:rPr>
              <w:t>La Jornada </w:t>
            </w:r>
            <w:r>
              <w:rPr>
                <w:sz w:val="14"/>
              </w:rPr>
              <w:t>29/09/1998</w:t>
            </w:r>
          </w:p>
        </w:tc>
        <w:tc>
          <w:tcPr>
            <w:tcW w:w="3895" w:type="dxa"/>
          </w:tcPr>
          <w:p>
            <w:pPr/>
          </w:p>
        </w:tc>
        <w:tc>
          <w:tcPr>
            <w:tcW w:w="888" w:type="dxa"/>
          </w:tcPr>
          <w:p>
            <w:pPr>
              <w:pStyle w:val="TableParagraph"/>
              <w:spacing w:before="9"/>
              <w:rPr>
                <w:b/>
                <w:sz w:val="16"/>
              </w:rPr>
            </w:pPr>
          </w:p>
          <w:p>
            <w:pPr>
              <w:pStyle w:val="TableParagraph"/>
              <w:ind w:right="27"/>
              <w:jc w:val="right"/>
              <w:rPr>
                <w:sz w:val="14"/>
              </w:rPr>
            </w:pPr>
            <w:r>
              <w:rPr>
                <w:w w:val="103"/>
                <w:sz w:val="14"/>
              </w:rPr>
              <w:t>2</w:t>
            </w:r>
          </w:p>
        </w:tc>
        <w:tc>
          <w:tcPr>
            <w:tcW w:w="1213" w:type="dxa"/>
          </w:tcPr>
          <w:p>
            <w:pPr>
              <w:pStyle w:val="TableParagraph"/>
              <w:spacing w:before="9"/>
              <w:rPr>
                <w:b/>
                <w:sz w:val="16"/>
              </w:rPr>
            </w:pPr>
          </w:p>
          <w:p>
            <w:pPr>
              <w:pStyle w:val="TableParagraph"/>
              <w:ind w:right="27"/>
              <w:jc w:val="right"/>
              <w:rPr>
                <w:sz w:val="14"/>
              </w:rPr>
            </w:pPr>
            <w:r>
              <w:rPr>
                <w:w w:val="103"/>
                <w:sz w:val="14"/>
              </w:rPr>
              <w:t>0</w:t>
            </w:r>
          </w:p>
        </w:tc>
        <w:tc>
          <w:tcPr>
            <w:tcW w:w="888" w:type="dxa"/>
          </w:tcPr>
          <w:p>
            <w:pPr>
              <w:pStyle w:val="TableParagraph"/>
              <w:spacing w:before="9"/>
              <w:rPr>
                <w:b/>
                <w:sz w:val="16"/>
              </w:rPr>
            </w:pPr>
          </w:p>
          <w:p>
            <w:pPr>
              <w:pStyle w:val="TableParagraph"/>
              <w:ind w:right="27"/>
              <w:jc w:val="right"/>
              <w:rPr>
                <w:sz w:val="14"/>
              </w:rPr>
            </w:pPr>
            <w:r>
              <w:rPr>
                <w:w w:val="103"/>
                <w:sz w:val="14"/>
              </w:rPr>
              <w:t>1</w:t>
            </w:r>
          </w:p>
        </w:tc>
        <w:tc>
          <w:tcPr>
            <w:tcW w:w="888" w:type="dxa"/>
          </w:tcPr>
          <w:p>
            <w:pPr>
              <w:pStyle w:val="TableParagraph"/>
              <w:spacing w:before="9"/>
              <w:rPr>
                <w:b/>
                <w:sz w:val="16"/>
              </w:rPr>
            </w:pPr>
          </w:p>
          <w:p>
            <w:pPr>
              <w:pStyle w:val="TableParagraph"/>
              <w:ind w:right="28"/>
              <w:jc w:val="right"/>
              <w:rPr>
                <w:sz w:val="14"/>
              </w:rPr>
            </w:pPr>
            <w:r>
              <w:rPr>
                <w:w w:val="103"/>
                <w:sz w:val="14"/>
              </w:rPr>
              <w:t>0</w:t>
            </w:r>
          </w:p>
        </w:tc>
        <w:tc>
          <w:tcPr>
            <w:tcW w:w="914" w:type="dxa"/>
          </w:tcPr>
          <w:p>
            <w:pPr>
              <w:pStyle w:val="TableParagraph"/>
              <w:spacing w:before="9"/>
              <w:rPr>
                <w:b/>
                <w:sz w:val="16"/>
              </w:rPr>
            </w:pPr>
          </w:p>
          <w:p>
            <w:pPr>
              <w:pStyle w:val="TableParagraph"/>
              <w:ind w:left="25" w:right="202"/>
              <w:rPr>
                <w:sz w:val="14"/>
              </w:rPr>
            </w:pPr>
            <w:r>
              <w:rPr>
                <w:w w:val="105"/>
                <w:sz w:val="14"/>
              </w:rPr>
              <w:t>Lluvias</w:t>
            </w:r>
          </w:p>
        </w:tc>
        <w:tc>
          <w:tcPr>
            <w:tcW w:w="1016" w:type="dxa"/>
          </w:tcPr>
          <w:p>
            <w:pPr/>
          </w:p>
        </w:tc>
      </w:tr>
      <w:tr>
        <w:trPr>
          <w:trHeight w:val="1007"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30"/>
              <w:jc w:val="right"/>
              <w:rPr>
                <w:sz w:val="14"/>
              </w:rPr>
            </w:pPr>
            <w:r>
              <w:rPr>
                <w:sz w:val="14"/>
              </w:rPr>
              <w:t>11/07/2004</w:t>
            </w:r>
          </w:p>
        </w:tc>
        <w:tc>
          <w:tcPr>
            <w:tcW w:w="1272" w:type="dxa"/>
          </w:tcPr>
          <w:p>
            <w:pPr>
              <w:pStyle w:val="TableParagraph"/>
              <w:rPr>
                <w:b/>
                <w:sz w:val="14"/>
              </w:rPr>
            </w:pPr>
          </w:p>
          <w:p>
            <w:pPr>
              <w:pStyle w:val="TableParagraph"/>
              <w:rPr>
                <w:b/>
                <w:sz w:val="14"/>
              </w:rPr>
            </w:pPr>
          </w:p>
          <w:p>
            <w:pPr>
              <w:pStyle w:val="TableParagraph"/>
              <w:rPr>
                <w:b/>
                <w:sz w:val="14"/>
              </w:rPr>
            </w:pPr>
          </w:p>
          <w:p>
            <w:pPr>
              <w:pStyle w:val="TableParagraph"/>
              <w:spacing w:before="8"/>
              <w:rPr>
                <w:b/>
                <w:sz w:val="12"/>
              </w:rPr>
            </w:pPr>
          </w:p>
          <w:p>
            <w:pPr>
              <w:pStyle w:val="TableParagraph"/>
              <w:spacing w:line="278" w:lineRule="auto"/>
              <w:ind w:left="25" w:right="13"/>
              <w:rPr>
                <w:sz w:val="14"/>
              </w:rPr>
            </w:pPr>
            <w:r>
              <w:rPr>
                <w:w w:val="105"/>
                <w:sz w:val="14"/>
              </w:rPr>
              <w:t>Colonia Tierra Colorada</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spacing w:before="8"/>
              <w:rPr>
                <w:b/>
                <w:sz w:val="12"/>
              </w:rPr>
            </w:pPr>
          </w:p>
          <w:p>
            <w:pPr>
              <w:pStyle w:val="TableParagraph"/>
              <w:spacing w:line="278" w:lineRule="auto"/>
              <w:ind w:left="25"/>
              <w:rPr>
                <w:sz w:val="14"/>
              </w:rPr>
            </w:pPr>
            <w:r>
              <w:rPr>
                <w:w w:val="105"/>
                <w:sz w:val="14"/>
              </w:rPr>
              <w:t>La Jornada 13/07/2004: 40a</w:t>
            </w:r>
          </w:p>
        </w:tc>
        <w:tc>
          <w:tcPr>
            <w:tcW w:w="3895" w:type="dxa"/>
          </w:tcPr>
          <w:p>
            <w:pPr>
              <w:pStyle w:val="TableParagraph"/>
              <w:spacing w:line="280" w:lineRule="auto" w:before="65"/>
              <w:ind w:left="25" w:right="8"/>
              <w:rPr>
                <w:sz w:val="14"/>
              </w:rPr>
            </w:pPr>
            <w:r>
              <w:rPr>
                <w:w w:val="105"/>
                <w:sz w:val="14"/>
              </w:rPr>
              <w:t>La</w:t>
            </w:r>
            <w:r>
              <w:rPr>
                <w:spacing w:val="-14"/>
                <w:w w:val="105"/>
                <w:sz w:val="14"/>
              </w:rPr>
              <w:t> </w:t>
            </w:r>
            <w:r>
              <w:rPr>
                <w:w w:val="105"/>
                <w:sz w:val="14"/>
              </w:rPr>
              <w:t>incesante</w:t>
            </w:r>
            <w:r>
              <w:rPr>
                <w:spacing w:val="-7"/>
                <w:w w:val="105"/>
                <w:sz w:val="14"/>
              </w:rPr>
              <w:t> </w:t>
            </w:r>
            <w:r>
              <w:rPr>
                <w:w w:val="105"/>
                <w:sz w:val="14"/>
              </w:rPr>
              <w:t>lluvia</w:t>
            </w:r>
            <w:r>
              <w:rPr>
                <w:spacing w:val="-14"/>
                <w:w w:val="105"/>
                <w:sz w:val="14"/>
              </w:rPr>
              <w:t> </w:t>
            </w:r>
            <w:r>
              <w:rPr>
                <w:spacing w:val="-4"/>
                <w:w w:val="105"/>
                <w:sz w:val="14"/>
              </w:rPr>
              <w:t>que</w:t>
            </w:r>
            <w:r>
              <w:rPr>
                <w:spacing w:val="-7"/>
                <w:w w:val="105"/>
                <w:sz w:val="14"/>
              </w:rPr>
              <w:t> </w:t>
            </w:r>
            <w:r>
              <w:rPr>
                <w:w w:val="105"/>
                <w:sz w:val="14"/>
              </w:rPr>
              <w:t>cayó</w:t>
            </w:r>
            <w:r>
              <w:rPr>
                <w:spacing w:val="-6"/>
                <w:w w:val="105"/>
                <w:sz w:val="14"/>
              </w:rPr>
              <w:t> </w:t>
            </w:r>
            <w:r>
              <w:rPr>
                <w:w w:val="105"/>
                <w:sz w:val="14"/>
              </w:rPr>
              <w:t>la</w:t>
            </w:r>
            <w:r>
              <w:rPr>
                <w:spacing w:val="-14"/>
                <w:w w:val="105"/>
                <w:sz w:val="14"/>
              </w:rPr>
              <w:t> </w:t>
            </w:r>
            <w:r>
              <w:rPr>
                <w:w w:val="105"/>
                <w:sz w:val="14"/>
              </w:rPr>
              <w:t>noche</w:t>
            </w:r>
            <w:r>
              <w:rPr>
                <w:spacing w:val="-7"/>
                <w:w w:val="105"/>
                <w:sz w:val="14"/>
              </w:rPr>
              <w:t> </w:t>
            </w:r>
            <w:r>
              <w:rPr>
                <w:w w:val="105"/>
                <w:sz w:val="14"/>
              </w:rPr>
              <w:t>del</w:t>
            </w:r>
            <w:r>
              <w:rPr>
                <w:spacing w:val="-8"/>
                <w:w w:val="105"/>
                <w:sz w:val="14"/>
              </w:rPr>
              <w:t> </w:t>
            </w:r>
            <w:r>
              <w:rPr>
                <w:w w:val="105"/>
                <w:sz w:val="14"/>
              </w:rPr>
              <w:t>domingo</w:t>
            </w:r>
            <w:r>
              <w:rPr>
                <w:spacing w:val="-6"/>
                <w:w w:val="105"/>
                <w:sz w:val="14"/>
              </w:rPr>
              <w:t> </w:t>
            </w:r>
            <w:r>
              <w:rPr>
                <w:w w:val="105"/>
                <w:sz w:val="14"/>
              </w:rPr>
              <w:t>y</w:t>
            </w:r>
            <w:r>
              <w:rPr>
                <w:spacing w:val="-14"/>
                <w:w w:val="105"/>
                <w:sz w:val="14"/>
              </w:rPr>
              <w:t> </w:t>
            </w:r>
            <w:r>
              <w:rPr>
                <w:w w:val="105"/>
                <w:sz w:val="14"/>
              </w:rPr>
              <w:t>la</w:t>
            </w:r>
            <w:r>
              <w:rPr>
                <w:spacing w:val="-14"/>
                <w:w w:val="105"/>
                <w:sz w:val="14"/>
              </w:rPr>
              <w:t> </w:t>
            </w:r>
            <w:r>
              <w:rPr>
                <w:spacing w:val="-4"/>
                <w:w w:val="105"/>
                <w:sz w:val="14"/>
              </w:rPr>
              <w:t>madrugada </w:t>
            </w:r>
            <w:r>
              <w:rPr>
                <w:w w:val="105"/>
                <w:sz w:val="14"/>
              </w:rPr>
              <w:t>del lunes provocó </w:t>
            </w:r>
            <w:r>
              <w:rPr>
                <w:spacing w:val="-4"/>
                <w:w w:val="105"/>
                <w:sz w:val="14"/>
              </w:rPr>
              <w:t>que </w:t>
            </w:r>
            <w:r>
              <w:rPr>
                <w:w w:val="105"/>
                <w:sz w:val="14"/>
              </w:rPr>
              <w:t>unos </w:t>
            </w:r>
            <w:r>
              <w:rPr>
                <w:spacing w:val="2"/>
                <w:w w:val="105"/>
                <w:sz w:val="14"/>
              </w:rPr>
              <w:t>500 </w:t>
            </w:r>
            <w:r>
              <w:rPr>
                <w:w w:val="105"/>
                <w:sz w:val="14"/>
              </w:rPr>
              <w:t>metros cúbicos </w:t>
            </w:r>
            <w:r>
              <w:rPr>
                <w:spacing w:val="-3"/>
                <w:w w:val="105"/>
                <w:sz w:val="14"/>
              </w:rPr>
              <w:t>de </w:t>
            </w:r>
            <w:r>
              <w:rPr>
                <w:w w:val="105"/>
                <w:sz w:val="14"/>
              </w:rPr>
              <w:t>tierra y lodo cayeran sobre las </w:t>
            </w:r>
            <w:r>
              <w:rPr>
                <w:spacing w:val="-4"/>
                <w:w w:val="105"/>
                <w:sz w:val="14"/>
              </w:rPr>
              <w:t>avenidas </w:t>
            </w:r>
            <w:r>
              <w:rPr>
                <w:w w:val="105"/>
                <w:sz w:val="14"/>
              </w:rPr>
              <w:t>Metropolitana y Acros en la colonia Tierra Colorada </w:t>
            </w:r>
            <w:r>
              <w:rPr>
                <w:spacing w:val="-3"/>
                <w:w w:val="105"/>
                <w:sz w:val="14"/>
              </w:rPr>
              <w:t>al </w:t>
            </w:r>
            <w:r>
              <w:rPr>
                <w:w w:val="105"/>
                <w:sz w:val="14"/>
              </w:rPr>
              <w:t>deslavarse </w:t>
            </w:r>
            <w:r>
              <w:rPr>
                <w:spacing w:val="-3"/>
                <w:w w:val="105"/>
                <w:sz w:val="14"/>
              </w:rPr>
              <w:t>un </w:t>
            </w:r>
            <w:r>
              <w:rPr>
                <w:spacing w:val="2"/>
                <w:w w:val="105"/>
                <w:sz w:val="14"/>
              </w:rPr>
              <w:t>cerro. </w:t>
            </w:r>
            <w:r>
              <w:rPr>
                <w:w w:val="105"/>
                <w:sz w:val="14"/>
              </w:rPr>
              <w:t>El alud destruyó </w:t>
            </w:r>
            <w:r>
              <w:rPr>
                <w:spacing w:val="-4"/>
                <w:w w:val="105"/>
                <w:sz w:val="14"/>
              </w:rPr>
              <w:t>una </w:t>
            </w:r>
            <w:r>
              <w:rPr>
                <w:spacing w:val="-7"/>
                <w:w w:val="105"/>
                <w:sz w:val="14"/>
              </w:rPr>
              <w:t>vi </w:t>
            </w:r>
            <w:r>
              <w:rPr>
                <w:spacing w:val="-3"/>
                <w:w w:val="105"/>
                <w:sz w:val="14"/>
              </w:rPr>
              <w:t>vienda</w:t>
            </w:r>
            <w:r>
              <w:rPr>
                <w:spacing w:val="-15"/>
                <w:w w:val="105"/>
                <w:sz w:val="14"/>
              </w:rPr>
              <w:t> </w:t>
            </w:r>
            <w:r>
              <w:rPr>
                <w:w w:val="105"/>
                <w:sz w:val="14"/>
              </w:rPr>
              <w:t>construida</w:t>
            </w:r>
            <w:r>
              <w:rPr>
                <w:spacing w:val="-15"/>
                <w:w w:val="105"/>
                <w:sz w:val="14"/>
              </w:rPr>
              <w:t> </w:t>
            </w:r>
            <w:r>
              <w:rPr>
                <w:spacing w:val="2"/>
                <w:w w:val="105"/>
                <w:sz w:val="14"/>
              </w:rPr>
              <w:t>con</w:t>
            </w:r>
            <w:r>
              <w:rPr>
                <w:spacing w:val="-15"/>
                <w:w w:val="105"/>
                <w:sz w:val="14"/>
              </w:rPr>
              <w:t> </w:t>
            </w:r>
            <w:r>
              <w:rPr>
                <w:w w:val="105"/>
                <w:sz w:val="14"/>
              </w:rPr>
              <w:t>cartón</w:t>
            </w:r>
            <w:r>
              <w:rPr>
                <w:spacing w:val="-15"/>
                <w:w w:val="105"/>
                <w:sz w:val="14"/>
              </w:rPr>
              <w:t> </w:t>
            </w:r>
            <w:r>
              <w:rPr>
                <w:w w:val="105"/>
                <w:sz w:val="14"/>
              </w:rPr>
              <w:t>y</w:t>
            </w:r>
            <w:r>
              <w:rPr>
                <w:spacing w:val="-15"/>
                <w:w w:val="105"/>
                <w:sz w:val="14"/>
              </w:rPr>
              <w:t> </w:t>
            </w:r>
            <w:r>
              <w:rPr>
                <w:w w:val="105"/>
                <w:sz w:val="14"/>
              </w:rPr>
              <w:t>lámina.</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1</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left="25" w:right="116"/>
              <w:rPr>
                <w:sz w:val="14"/>
              </w:rPr>
            </w:pPr>
            <w:r>
              <w:rPr>
                <w:w w:val="105"/>
                <w:sz w:val="14"/>
              </w:rPr>
              <w:t>Si</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left="25" w:right="202"/>
              <w:rPr>
                <w:sz w:val="14"/>
              </w:rPr>
            </w:pPr>
            <w:r>
              <w:rPr>
                <w:w w:val="105"/>
                <w:sz w:val="14"/>
              </w:rPr>
              <w:t>Lluvias</w:t>
            </w:r>
          </w:p>
        </w:tc>
        <w:tc>
          <w:tcPr>
            <w:tcW w:w="1016" w:type="dxa"/>
          </w:tcPr>
          <w:p>
            <w:pPr>
              <w:pStyle w:val="TableParagraph"/>
              <w:rPr>
                <w:b/>
                <w:sz w:val="14"/>
              </w:rPr>
            </w:pPr>
          </w:p>
          <w:p>
            <w:pPr>
              <w:pStyle w:val="TableParagraph"/>
              <w:rPr>
                <w:b/>
                <w:sz w:val="14"/>
              </w:rPr>
            </w:pPr>
          </w:p>
          <w:p>
            <w:pPr>
              <w:pStyle w:val="TableParagraph"/>
              <w:rPr>
                <w:b/>
                <w:sz w:val="14"/>
              </w:rPr>
            </w:pPr>
          </w:p>
          <w:p>
            <w:pPr>
              <w:pStyle w:val="TableParagraph"/>
              <w:spacing w:before="8"/>
              <w:rPr>
                <w:b/>
                <w:sz w:val="12"/>
              </w:rPr>
            </w:pPr>
          </w:p>
          <w:p>
            <w:pPr>
              <w:pStyle w:val="TableParagraph"/>
              <w:spacing w:line="278" w:lineRule="auto"/>
              <w:ind w:left="25" w:right="72"/>
              <w:rPr>
                <w:sz w:val="14"/>
              </w:rPr>
            </w:pPr>
            <w:r>
              <w:rPr>
                <w:w w:val="105"/>
                <w:sz w:val="14"/>
              </w:rPr>
              <w:t>500 m3 de tierra y lodo</w:t>
            </w:r>
          </w:p>
        </w:tc>
      </w:tr>
      <w:tr>
        <w:trPr>
          <w:trHeight w:val="205" w:hRule="exact"/>
        </w:trPr>
        <w:tc>
          <w:tcPr>
            <w:tcW w:w="888" w:type="dxa"/>
          </w:tcPr>
          <w:p>
            <w:pPr>
              <w:pStyle w:val="TableParagraph"/>
              <w:spacing w:before="14"/>
              <w:ind w:right="30"/>
              <w:jc w:val="right"/>
              <w:rPr>
                <w:sz w:val="14"/>
              </w:rPr>
            </w:pPr>
            <w:r>
              <w:rPr>
                <w:sz w:val="14"/>
              </w:rPr>
              <w:t>04/10/2006</w:t>
            </w:r>
          </w:p>
        </w:tc>
        <w:tc>
          <w:tcPr>
            <w:tcW w:w="1272" w:type="dxa"/>
          </w:tcPr>
          <w:p>
            <w:pPr/>
          </w:p>
        </w:tc>
        <w:tc>
          <w:tcPr>
            <w:tcW w:w="1136" w:type="dxa"/>
          </w:tcPr>
          <w:p>
            <w:pPr>
              <w:pStyle w:val="TableParagraph"/>
              <w:spacing w:before="14"/>
              <w:ind w:left="25"/>
              <w:rPr>
                <w:sz w:val="14"/>
              </w:rPr>
            </w:pPr>
            <w:r>
              <w:rPr>
                <w:w w:val="105"/>
                <w:sz w:val="14"/>
              </w:rPr>
              <w:t>La Jornada</w:t>
            </w:r>
          </w:p>
        </w:tc>
        <w:tc>
          <w:tcPr>
            <w:tcW w:w="3895" w:type="dxa"/>
          </w:tcPr>
          <w:p>
            <w:pPr/>
          </w:p>
        </w:tc>
        <w:tc>
          <w:tcPr>
            <w:tcW w:w="888" w:type="dxa"/>
          </w:tcPr>
          <w:p>
            <w:pPr>
              <w:pStyle w:val="TableParagraph"/>
              <w:spacing w:before="14"/>
              <w:ind w:right="27"/>
              <w:jc w:val="right"/>
              <w:rPr>
                <w:sz w:val="14"/>
              </w:rPr>
            </w:pPr>
            <w:r>
              <w:rPr>
                <w:w w:val="103"/>
                <w:sz w:val="14"/>
              </w:rPr>
              <w:t>0</w:t>
            </w:r>
          </w:p>
        </w:tc>
        <w:tc>
          <w:tcPr>
            <w:tcW w:w="1213" w:type="dxa"/>
          </w:tcPr>
          <w:p>
            <w:pPr>
              <w:pStyle w:val="TableParagraph"/>
              <w:spacing w:before="14"/>
              <w:ind w:right="27"/>
              <w:jc w:val="right"/>
              <w:rPr>
                <w:sz w:val="14"/>
              </w:rPr>
            </w:pPr>
            <w:r>
              <w:rPr>
                <w:w w:val="103"/>
                <w:sz w:val="14"/>
              </w:rPr>
              <w:t>0</w:t>
            </w:r>
          </w:p>
        </w:tc>
        <w:tc>
          <w:tcPr>
            <w:tcW w:w="888" w:type="dxa"/>
          </w:tcPr>
          <w:p>
            <w:pPr>
              <w:pStyle w:val="TableParagraph"/>
              <w:spacing w:before="14"/>
              <w:ind w:right="27"/>
              <w:jc w:val="right"/>
              <w:rPr>
                <w:sz w:val="14"/>
              </w:rPr>
            </w:pPr>
            <w:r>
              <w:rPr>
                <w:w w:val="103"/>
                <w:sz w:val="14"/>
              </w:rPr>
              <w:t>0</w:t>
            </w:r>
          </w:p>
        </w:tc>
        <w:tc>
          <w:tcPr>
            <w:tcW w:w="888" w:type="dxa"/>
          </w:tcPr>
          <w:p>
            <w:pPr>
              <w:pStyle w:val="TableParagraph"/>
              <w:spacing w:before="14"/>
              <w:ind w:right="28"/>
              <w:jc w:val="right"/>
              <w:rPr>
                <w:sz w:val="14"/>
              </w:rPr>
            </w:pPr>
            <w:r>
              <w:rPr>
                <w:w w:val="103"/>
                <w:sz w:val="14"/>
              </w:rPr>
              <w:t>7</w:t>
            </w:r>
          </w:p>
        </w:tc>
        <w:tc>
          <w:tcPr>
            <w:tcW w:w="914" w:type="dxa"/>
          </w:tcPr>
          <w:p>
            <w:pPr>
              <w:pStyle w:val="TableParagraph"/>
              <w:spacing w:before="14"/>
              <w:ind w:left="25" w:right="202"/>
              <w:rPr>
                <w:sz w:val="14"/>
              </w:rPr>
            </w:pPr>
            <w:r>
              <w:rPr>
                <w:w w:val="105"/>
                <w:sz w:val="14"/>
              </w:rPr>
              <w:t>Lluvias</w:t>
            </w:r>
          </w:p>
        </w:tc>
        <w:tc>
          <w:tcPr>
            <w:tcW w:w="1016" w:type="dxa"/>
          </w:tcPr>
          <w:p>
            <w:pPr/>
          </w:p>
        </w:tc>
      </w:tr>
      <w:tr>
        <w:trPr>
          <w:trHeight w:val="444" w:hRule="exact"/>
        </w:trPr>
        <w:tc>
          <w:tcPr>
            <w:tcW w:w="888" w:type="dxa"/>
          </w:tcPr>
          <w:p>
            <w:pPr>
              <w:pStyle w:val="TableParagraph"/>
              <w:rPr>
                <w:b/>
                <w:sz w:val="14"/>
              </w:rPr>
            </w:pPr>
          </w:p>
          <w:p>
            <w:pPr>
              <w:pStyle w:val="TableParagraph"/>
              <w:spacing w:before="92"/>
              <w:ind w:right="30"/>
              <w:jc w:val="right"/>
              <w:rPr>
                <w:sz w:val="14"/>
              </w:rPr>
            </w:pPr>
            <w:r>
              <w:rPr>
                <w:sz w:val="14"/>
              </w:rPr>
              <w:t>24/07/2007</w:t>
            </w:r>
          </w:p>
        </w:tc>
        <w:tc>
          <w:tcPr>
            <w:tcW w:w="1272" w:type="dxa"/>
          </w:tcPr>
          <w:p>
            <w:pPr>
              <w:pStyle w:val="TableParagraph"/>
              <w:spacing w:line="278" w:lineRule="auto" w:before="65"/>
              <w:ind w:left="25" w:right="10"/>
              <w:rPr>
                <w:sz w:val="14"/>
              </w:rPr>
            </w:pPr>
            <w:r>
              <w:rPr>
                <w:w w:val="105"/>
                <w:sz w:val="14"/>
              </w:rPr>
              <w:t>Col. Lomas de Vista Hermosa.</w:t>
            </w:r>
          </w:p>
        </w:tc>
        <w:tc>
          <w:tcPr>
            <w:tcW w:w="1136" w:type="dxa"/>
          </w:tcPr>
          <w:p>
            <w:pPr>
              <w:pStyle w:val="TableParagraph"/>
              <w:rPr>
                <w:b/>
                <w:sz w:val="14"/>
              </w:rPr>
            </w:pPr>
          </w:p>
          <w:p>
            <w:pPr>
              <w:pStyle w:val="TableParagraph"/>
              <w:spacing w:before="92"/>
              <w:ind w:left="25"/>
              <w:rPr>
                <w:sz w:val="14"/>
              </w:rPr>
            </w:pPr>
            <w:r>
              <w:rPr>
                <w:w w:val="105"/>
                <w:sz w:val="14"/>
              </w:rPr>
              <w:t>La Jornada</w:t>
            </w:r>
          </w:p>
        </w:tc>
        <w:tc>
          <w:tcPr>
            <w:tcW w:w="3895" w:type="dxa"/>
          </w:tcPr>
          <w:p>
            <w:pPr>
              <w:pStyle w:val="TableParagraph"/>
              <w:spacing w:line="278" w:lineRule="auto" w:before="65"/>
              <w:ind w:left="25" w:right="8"/>
              <w:rPr>
                <w:sz w:val="14"/>
              </w:rPr>
            </w:pPr>
            <w:r>
              <w:rPr>
                <w:w w:val="105"/>
                <w:sz w:val="14"/>
              </w:rPr>
              <w:t>3 familias fueron desalojadas por riesgo de colapso de sus viviendas.</w:t>
            </w:r>
          </w:p>
        </w:tc>
        <w:tc>
          <w:tcPr>
            <w:tcW w:w="888" w:type="dxa"/>
          </w:tcPr>
          <w:p>
            <w:pPr>
              <w:pStyle w:val="TableParagraph"/>
              <w:rPr>
                <w:b/>
                <w:sz w:val="14"/>
              </w:rPr>
            </w:pPr>
          </w:p>
          <w:p>
            <w:pPr>
              <w:pStyle w:val="TableParagraph"/>
              <w:spacing w:before="92"/>
              <w:ind w:right="27"/>
              <w:jc w:val="right"/>
              <w:rPr>
                <w:sz w:val="14"/>
              </w:rPr>
            </w:pPr>
            <w:r>
              <w:rPr>
                <w:w w:val="103"/>
                <w:sz w:val="14"/>
              </w:rPr>
              <w:t>0</w:t>
            </w:r>
          </w:p>
        </w:tc>
        <w:tc>
          <w:tcPr>
            <w:tcW w:w="1213" w:type="dxa"/>
          </w:tcPr>
          <w:p>
            <w:pPr>
              <w:pStyle w:val="TableParagraph"/>
              <w:rPr>
                <w:b/>
                <w:sz w:val="14"/>
              </w:rPr>
            </w:pPr>
          </w:p>
          <w:p>
            <w:pPr>
              <w:pStyle w:val="TableParagraph"/>
              <w:spacing w:before="92"/>
              <w:ind w:right="27"/>
              <w:jc w:val="right"/>
              <w:rPr>
                <w:sz w:val="14"/>
              </w:rPr>
            </w:pPr>
            <w:r>
              <w:rPr>
                <w:w w:val="103"/>
                <w:sz w:val="14"/>
              </w:rPr>
              <w:t>0</w:t>
            </w:r>
          </w:p>
        </w:tc>
        <w:tc>
          <w:tcPr>
            <w:tcW w:w="888" w:type="dxa"/>
          </w:tcPr>
          <w:p>
            <w:pPr>
              <w:pStyle w:val="TableParagraph"/>
              <w:rPr>
                <w:b/>
                <w:sz w:val="14"/>
              </w:rPr>
            </w:pPr>
          </w:p>
          <w:p>
            <w:pPr>
              <w:pStyle w:val="TableParagraph"/>
              <w:spacing w:before="92"/>
              <w:ind w:right="27"/>
              <w:jc w:val="right"/>
              <w:rPr>
                <w:sz w:val="14"/>
              </w:rPr>
            </w:pPr>
            <w:r>
              <w:rPr>
                <w:w w:val="103"/>
                <w:sz w:val="14"/>
              </w:rPr>
              <w:t>0</w:t>
            </w:r>
          </w:p>
        </w:tc>
        <w:tc>
          <w:tcPr>
            <w:tcW w:w="888" w:type="dxa"/>
          </w:tcPr>
          <w:p>
            <w:pPr>
              <w:pStyle w:val="TableParagraph"/>
              <w:rPr>
                <w:b/>
                <w:sz w:val="14"/>
              </w:rPr>
            </w:pPr>
          </w:p>
          <w:p>
            <w:pPr>
              <w:pStyle w:val="TableParagraph"/>
              <w:spacing w:before="92"/>
              <w:ind w:right="28"/>
              <w:jc w:val="right"/>
              <w:rPr>
                <w:sz w:val="14"/>
              </w:rPr>
            </w:pPr>
            <w:r>
              <w:rPr>
                <w:w w:val="103"/>
                <w:sz w:val="14"/>
              </w:rPr>
              <w:t>3</w:t>
            </w:r>
          </w:p>
        </w:tc>
        <w:tc>
          <w:tcPr>
            <w:tcW w:w="914" w:type="dxa"/>
          </w:tcPr>
          <w:p>
            <w:pPr>
              <w:pStyle w:val="TableParagraph"/>
              <w:rPr>
                <w:b/>
                <w:sz w:val="14"/>
              </w:rPr>
            </w:pPr>
          </w:p>
          <w:p>
            <w:pPr>
              <w:pStyle w:val="TableParagraph"/>
              <w:spacing w:before="92"/>
              <w:ind w:left="25" w:right="202"/>
              <w:rPr>
                <w:sz w:val="14"/>
              </w:rPr>
            </w:pPr>
            <w:r>
              <w:rPr>
                <w:w w:val="105"/>
                <w:sz w:val="14"/>
              </w:rPr>
              <w:t>Lluvias</w:t>
            </w:r>
          </w:p>
        </w:tc>
        <w:tc>
          <w:tcPr>
            <w:tcW w:w="1016" w:type="dxa"/>
          </w:tcPr>
          <w:p>
            <w:pPr/>
          </w:p>
        </w:tc>
      </w:tr>
      <w:tr>
        <w:trPr>
          <w:trHeight w:val="470" w:hRule="exact"/>
        </w:trPr>
        <w:tc>
          <w:tcPr>
            <w:tcW w:w="888" w:type="dxa"/>
          </w:tcPr>
          <w:p>
            <w:pPr>
              <w:pStyle w:val="TableParagraph"/>
              <w:rPr>
                <w:b/>
                <w:sz w:val="14"/>
              </w:rPr>
            </w:pPr>
          </w:p>
          <w:p>
            <w:pPr>
              <w:pStyle w:val="TableParagraph"/>
              <w:spacing w:before="118"/>
              <w:ind w:right="30"/>
              <w:jc w:val="right"/>
              <w:rPr>
                <w:sz w:val="14"/>
              </w:rPr>
            </w:pPr>
            <w:r>
              <w:rPr>
                <w:sz w:val="14"/>
              </w:rPr>
              <w:t>25/08/2007</w:t>
            </w:r>
          </w:p>
        </w:tc>
        <w:tc>
          <w:tcPr>
            <w:tcW w:w="1272" w:type="dxa"/>
          </w:tcPr>
          <w:p>
            <w:pPr>
              <w:pStyle w:val="TableParagraph"/>
              <w:rPr>
                <w:b/>
                <w:sz w:val="14"/>
              </w:rPr>
            </w:pPr>
          </w:p>
          <w:p>
            <w:pPr>
              <w:pStyle w:val="TableParagraph"/>
              <w:spacing w:before="118"/>
              <w:ind w:left="25"/>
              <w:rPr>
                <w:sz w:val="14"/>
              </w:rPr>
            </w:pPr>
            <w:r>
              <w:rPr>
                <w:w w:val="105"/>
                <w:sz w:val="14"/>
              </w:rPr>
              <w:t>Paraje </w:t>
            </w:r>
            <w:r>
              <w:rPr>
                <w:spacing w:val="-3"/>
                <w:w w:val="105"/>
                <w:sz w:val="14"/>
              </w:rPr>
              <w:t>Ixtlahualtango</w:t>
            </w:r>
          </w:p>
        </w:tc>
        <w:tc>
          <w:tcPr>
            <w:tcW w:w="1136" w:type="dxa"/>
          </w:tcPr>
          <w:p>
            <w:pPr>
              <w:pStyle w:val="TableParagraph"/>
              <w:rPr>
                <w:b/>
                <w:sz w:val="14"/>
              </w:rPr>
            </w:pPr>
          </w:p>
          <w:p>
            <w:pPr>
              <w:pStyle w:val="TableParagraph"/>
              <w:spacing w:before="118"/>
              <w:ind w:left="25"/>
              <w:rPr>
                <w:sz w:val="14"/>
              </w:rPr>
            </w:pPr>
            <w:r>
              <w:rPr>
                <w:w w:val="105"/>
                <w:sz w:val="14"/>
              </w:rPr>
              <w:t>La Jornada</w:t>
            </w:r>
          </w:p>
        </w:tc>
        <w:tc>
          <w:tcPr>
            <w:tcW w:w="3895" w:type="dxa"/>
          </w:tcPr>
          <w:p>
            <w:pPr>
              <w:pStyle w:val="TableParagraph"/>
              <w:spacing w:line="280" w:lineRule="auto" w:before="91"/>
              <w:ind w:left="25" w:right="216"/>
              <w:rPr>
                <w:sz w:val="14"/>
              </w:rPr>
            </w:pPr>
            <w:r>
              <w:rPr>
                <w:w w:val="105"/>
                <w:sz w:val="14"/>
              </w:rPr>
              <w:t>450 viviendas precarias en riesgo de colapso. La poblaciòn se rehùsa a evacuar.</w:t>
            </w:r>
          </w:p>
        </w:tc>
        <w:tc>
          <w:tcPr>
            <w:tcW w:w="888" w:type="dxa"/>
          </w:tcPr>
          <w:p>
            <w:pPr>
              <w:pStyle w:val="TableParagraph"/>
              <w:rPr>
                <w:b/>
                <w:sz w:val="14"/>
              </w:rPr>
            </w:pPr>
          </w:p>
          <w:p>
            <w:pPr>
              <w:pStyle w:val="TableParagraph"/>
              <w:spacing w:before="118"/>
              <w:ind w:right="27"/>
              <w:jc w:val="right"/>
              <w:rPr>
                <w:sz w:val="14"/>
              </w:rPr>
            </w:pPr>
            <w:r>
              <w:rPr>
                <w:w w:val="103"/>
                <w:sz w:val="14"/>
              </w:rPr>
              <w:t>0</w:t>
            </w:r>
          </w:p>
        </w:tc>
        <w:tc>
          <w:tcPr>
            <w:tcW w:w="1213" w:type="dxa"/>
          </w:tcPr>
          <w:p>
            <w:pPr>
              <w:pStyle w:val="TableParagraph"/>
              <w:rPr>
                <w:b/>
                <w:sz w:val="14"/>
              </w:rPr>
            </w:pPr>
          </w:p>
          <w:p>
            <w:pPr>
              <w:pStyle w:val="TableParagraph"/>
              <w:spacing w:before="118"/>
              <w:ind w:right="27"/>
              <w:jc w:val="right"/>
              <w:rPr>
                <w:sz w:val="14"/>
              </w:rPr>
            </w:pPr>
            <w:r>
              <w:rPr>
                <w:w w:val="103"/>
                <w:sz w:val="14"/>
              </w:rPr>
              <w:t>0</w:t>
            </w:r>
          </w:p>
        </w:tc>
        <w:tc>
          <w:tcPr>
            <w:tcW w:w="888" w:type="dxa"/>
          </w:tcPr>
          <w:p>
            <w:pPr>
              <w:pStyle w:val="TableParagraph"/>
              <w:rPr>
                <w:b/>
                <w:sz w:val="14"/>
              </w:rPr>
            </w:pPr>
          </w:p>
          <w:p>
            <w:pPr>
              <w:pStyle w:val="TableParagraph"/>
              <w:spacing w:before="118"/>
              <w:ind w:right="27"/>
              <w:jc w:val="right"/>
              <w:rPr>
                <w:sz w:val="14"/>
              </w:rPr>
            </w:pPr>
            <w:r>
              <w:rPr>
                <w:w w:val="103"/>
                <w:sz w:val="14"/>
              </w:rPr>
              <w:t>0</w:t>
            </w:r>
          </w:p>
        </w:tc>
        <w:tc>
          <w:tcPr>
            <w:tcW w:w="888" w:type="dxa"/>
          </w:tcPr>
          <w:p>
            <w:pPr>
              <w:pStyle w:val="TableParagraph"/>
              <w:rPr>
                <w:b/>
                <w:sz w:val="14"/>
              </w:rPr>
            </w:pPr>
          </w:p>
          <w:p>
            <w:pPr>
              <w:pStyle w:val="TableParagraph"/>
              <w:spacing w:before="118"/>
              <w:ind w:right="23"/>
              <w:jc w:val="right"/>
              <w:rPr>
                <w:sz w:val="14"/>
              </w:rPr>
            </w:pPr>
            <w:r>
              <w:rPr>
                <w:w w:val="105"/>
                <w:sz w:val="14"/>
              </w:rPr>
              <w:t>450</w:t>
            </w:r>
          </w:p>
        </w:tc>
        <w:tc>
          <w:tcPr>
            <w:tcW w:w="914" w:type="dxa"/>
          </w:tcPr>
          <w:p>
            <w:pPr>
              <w:pStyle w:val="TableParagraph"/>
              <w:rPr>
                <w:b/>
                <w:sz w:val="14"/>
              </w:rPr>
            </w:pPr>
          </w:p>
          <w:p>
            <w:pPr>
              <w:pStyle w:val="TableParagraph"/>
              <w:spacing w:before="118"/>
              <w:ind w:left="25" w:right="202"/>
              <w:rPr>
                <w:sz w:val="14"/>
              </w:rPr>
            </w:pPr>
            <w:r>
              <w:rPr>
                <w:w w:val="105"/>
                <w:sz w:val="14"/>
              </w:rPr>
              <w:t>Huracán</w:t>
            </w:r>
          </w:p>
        </w:tc>
        <w:tc>
          <w:tcPr>
            <w:tcW w:w="1016" w:type="dxa"/>
          </w:tcPr>
          <w:p>
            <w:pPr/>
          </w:p>
        </w:tc>
      </w:tr>
      <w:tr>
        <w:trPr>
          <w:trHeight w:val="828"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right="30"/>
              <w:jc w:val="right"/>
              <w:rPr>
                <w:sz w:val="14"/>
              </w:rPr>
            </w:pPr>
            <w:r>
              <w:rPr>
                <w:sz w:val="14"/>
              </w:rPr>
              <w:t>08/06/2008</w:t>
            </w:r>
          </w:p>
        </w:tc>
        <w:tc>
          <w:tcPr>
            <w:tcW w:w="1272" w:type="dxa"/>
          </w:tcPr>
          <w:p>
            <w:pPr>
              <w:pStyle w:val="TableParagraph"/>
              <w:spacing w:line="280" w:lineRule="auto" w:before="74"/>
              <w:ind w:left="25" w:right="13"/>
              <w:rPr>
                <w:sz w:val="14"/>
              </w:rPr>
            </w:pPr>
            <w:r>
              <w:rPr>
                <w:w w:val="105"/>
                <w:sz w:val="14"/>
              </w:rPr>
              <w:t>Barranca Tlaxcalatlaco, colonia Tierra Colorada.</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left="25"/>
              <w:rPr>
                <w:sz w:val="14"/>
              </w:rPr>
            </w:pPr>
            <w:r>
              <w:rPr>
                <w:w w:val="105"/>
                <w:sz w:val="14"/>
              </w:rPr>
              <w:t>La Jornada</w:t>
            </w:r>
          </w:p>
        </w:tc>
        <w:tc>
          <w:tcPr>
            <w:tcW w:w="3895" w:type="dxa"/>
          </w:tcPr>
          <w:p>
            <w:pP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right="27"/>
              <w:jc w:val="right"/>
              <w:rPr>
                <w:sz w:val="14"/>
              </w:rPr>
            </w:pPr>
            <w:r>
              <w:rPr>
                <w:w w:val="103"/>
                <w:sz w:val="14"/>
              </w:rPr>
              <w:t>1</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right="23"/>
              <w:jc w:val="right"/>
              <w:rPr>
                <w:sz w:val="14"/>
              </w:rPr>
            </w:pPr>
            <w:r>
              <w:rPr>
                <w:w w:val="105"/>
                <w:sz w:val="14"/>
              </w:rPr>
              <w:t>70</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spacing w:before="4"/>
              <w:rPr>
                <w:b/>
                <w:sz w:val="13"/>
              </w:rPr>
            </w:pPr>
          </w:p>
          <w:p>
            <w:pPr>
              <w:pStyle w:val="TableParagraph"/>
              <w:ind w:left="25" w:right="202"/>
              <w:rPr>
                <w:sz w:val="14"/>
              </w:rPr>
            </w:pPr>
            <w:r>
              <w:rPr>
                <w:w w:val="105"/>
                <w:sz w:val="14"/>
              </w:rPr>
              <w:t>Lluvias</w:t>
            </w:r>
          </w:p>
        </w:tc>
        <w:tc>
          <w:tcPr>
            <w:tcW w:w="1016" w:type="dxa"/>
          </w:tcPr>
          <w:p>
            <w:pPr/>
          </w:p>
        </w:tc>
      </w:tr>
      <w:tr>
        <w:trPr>
          <w:trHeight w:val="205" w:hRule="exact"/>
        </w:trPr>
        <w:tc>
          <w:tcPr>
            <w:tcW w:w="888" w:type="dxa"/>
          </w:tcPr>
          <w:p>
            <w:pPr>
              <w:pStyle w:val="TableParagraph"/>
              <w:spacing w:before="14"/>
              <w:ind w:right="30"/>
              <w:jc w:val="right"/>
              <w:rPr>
                <w:sz w:val="14"/>
              </w:rPr>
            </w:pPr>
            <w:r>
              <w:rPr>
                <w:sz w:val="14"/>
              </w:rPr>
              <w:t>16/09/2009</w:t>
            </w:r>
          </w:p>
        </w:tc>
        <w:tc>
          <w:tcPr>
            <w:tcW w:w="1272" w:type="dxa"/>
          </w:tcPr>
          <w:p>
            <w:pPr>
              <w:pStyle w:val="TableParagraph"/>
              <w:spacing w:before="14"/>
              <w:ind w:left="25" w:right="13"/>
              <w:rPr>
                <w:sz w:val="14"/>
              </w:rPr>
            </w:pPr>
            <w:r>
              <w:rPr>
                <w:w w:val="105"/>
                <w:sz w:val="14"/>
              </w:rPr>
              <w:t>El Ojito</w:t>
            </w:r>
          </w:p>
        </w:tc>
        <w:tc>
          <w:tcPr>
            <w:tcW w:w="1136" w:type="dxa"/>
          </w:tcPr>
          <w:p>
            <w:pPr>
              <w:pStyle w:val="TableParagraph"/>
              <w:spacing w:before="14"/>
              <w:ind w:left="25"/>
              <w:rPr>
                <w:sz w:val="14"/>
              </w:rPr>
            </w:pPr>
            <w:r>
              <w:rPr>
                <w:sz w:val="14"/>
              </w:rPr>
              <w:t>El Universal</w:t>
            </w:r>
          </w:p>
        </w:tc>
        <w:tc>
          <w:tcPr>
            <w:tcW w:w="3895" w:type="dxa"/>
          </w:tcPr>
          <w:p>
            <w:pPr/>
          </w:p>
        </w:tc>
        <w:tc>
          <w:tcPr>
            <w:tcW w:w="888" w:type="dxa"/>
          </w:tcPr>
          <w:p>
            <w:pPr>
              <w:pStyle w:val="TableParagraph"/>
              <w:spacing w:before="14"/>
              <w:ind w:right="27"/>
              <w:jc w:val="right"/>
              <w:rPr>
                <w:sz w:val="14"/>
              </w:rPr>
            </w:pPr>
            <w:r>
              <w:rPr>
                <w:w w:val="103"/>
                <w:sz w:val="14"/>
              </w:rPr>
              <w:t>2</w:t>
            </w:r>
          </w:p>
        </w:tc>
        <w:tc>
          <w:tcPr>
            <w:tcW w:w="1213" w:type="dxa"/>
          </w:tcPr>
          <w:p>
            <w:pPr>
              <w:pStyle w:val="TableParagraph"/>
              <w:spacing w:before="14"/>
              <w:ind w:right="27"/>
              <w:jc w:val="right"/>
              <w:rPr>
                <w:sz w:val="14"/>
              </w:rPr>
            </w:pPr>
            <w:r>
              <w:rPr>
                <w:w w:val="103"/>
                <w:sz w:val="14"/>
              </w:rPr>
              <w:t>0</w:t>
            </w:r>
          </w:p>
        </w:tc>
        <w:tc>
          <w:tcPr>
            <w:tcW w:w="888" w:type="dxa"/>
          </w:tcPr>
          <w:p>
            <w:pPr>
              <w:pStyle w:val="TableParagraph"/>
              <w:spacing w:before="14"/>
              <w:ind w:right="27"/>
              <w:jc w:val="right"/>
              <w:rPr>
                <w:sz w:val="14"/>
              </w:rPr>
            </w:pPr>
            <w:r>
              <w:rPr>
                <w:w w:val="103"/>
                <w:sz w:val="14"/>
              </w:rPr>
              <w:t>1</w:t>
            </w:r>
          </w:p>
        </w:tc>
        <w:tc>
          <w:tcPr>
            <w:tcW w:w="888" w:type="dxa"/>
          </w:tcPr>
          <w:p>
            <w:pPr>
              <w:pStyle w:val="TableParagraph"/>
              <w:spacing w:before="14"/>
              <w:ind w:right="28"/>
              <w:jc w:val="right"/>
              <w:rPr>
                <w:sz w:val="14"/>
              </w:rPr>
            </w:pPr>
            <w:r>
              <w:rPr>
                <w:w w:val="103"/>
                <w:sz w:val="14"/>
              </w:rPr>
              <w:t>0</w:t>
            </w:r>
          </w:p>
        </w:tc>
        <w:tc>
          <w:tcPr>
            <w:tcW w:w="914" w:type="dxa"/>
          </w:tcPr>
          <w:p>
            <w:pPr>
              <w:pStyle w:val="TableParagraph"/>
              <w:spacing w:before="14"/>
              <w:ind w:left="25" w:right="202"/>
              <w:rPr>
                <w:sz w:val="14"/>
              </w:rPr>
            </w:pPr>
            <w:r>
              <w:rPr>
                <w:w w:val="105"/>
                <w:sz w:val="14"/>
              </w:rPr>
              <w:t>Lluvias</w:t>
            </w:r>
          </w:p>
        </w:tc>
        <w:tc>
          <w:tcPr>
            <w:tcW w:w="1016" w:type="dxa"/>
          </w:tcPr>
          <w:p>
            <w:pPr/>
          </w:p>
        </w:tc>
      </w:tr>
      <w:tr>
        <w:trPr>
          <w:trHeight w:val="478" w:hRule="exact"/>
        </w:trPr>
        <w:tc>
          <w:tcPr>
            <w:tcW w:w="888" w:type="dxa"/>
          </w:tcPr>
          <w:p>
            <w:pPr>
              <w:pStyle w:val="TableParagraph"/>
              <w:rPr>
                <w:b/>
                <w:sz w:val="14"/>
              </w:rPr>
            </w:pPr>
          </w:p>
          <w:p>
            <w:pPr>
              <w:pStyle w:val="TableParagraph"/>
              <w:spacing w:before="11"/>
              <w:rPr>
                <w:b/>
                <w:sz w:val="10"/>
              </w:rPr>
            </w:pPr>
          </w:p>
          <w:p>
            <w:pPr>
              <w:pStyle w:val="TableParagraph"/>
              <w:ind w:right="30"/>
              <w:jc w:val="right"/>
              <w:rPr>
                <w:sz w:val="14"/>
              </w:rPr>
            </w:pPr>
            <w:r>
              <w:rPr>
                <w:sz w:val="14"/>
              </w:rPr>
              <w:t>17/09/2009</w:t>
            </w:r>
          </w:p>
        </w:tc>
        <w:tc>
          <w:tcPr>
            <w:tcW w:w="1272" w:type="dxa"/>
          </w:tcPr>
          <w:p>
            <w:pPr>
              <w:pStyle w:val="TableParagraph"/>
              <w:spacing w:line="278" w:lineRule="auto" w:before="100"/>
              <w:ind w:left="25" w:right="92"/>
              <w:rPr>
                <w:sz w:val="14"/>
              </w:rPr>
            </w:pPr>
            <w:r>
              <w:rPr>
                <w:w w:val="105"/>
                <w:sz w:val="14"/>
              </w:rPr>
              <w:t>Barrio Ixtlahualtongo</w:t>
            </w:r>
          </w:p>
        </w:tc>
        <w:tc>
          <w:tcPr>
            <w:tcW w:w="1136" w:type="dxa"/>
          </w:tcPr>
          <w:p>
            <w:pPr>
              <w:pStyle w:val="TableParagraph"/>
              <w:rPr>
                <w:b/>
                <w:sz w:val="14"/>
              </w:rPr>
            </w:pPr>
          </w:p>
          <w:p>
            <w:pPr>
              <w:pStyle w:val="TableParagraph"/>
              <w:spacing w:before="11"/>
              <w:rPr>
                <w:b/>
                <w:sz w:val="10"/>
              </w:rPr>
            </w:pPr>
          </w:p>
          <w:p>
            <w:pPr>
              <w:pStyle w:val="TableParagraph"/>
              <w:ind w:left="25"/>
              <w:rPr>
                <w:sz w:val="14"/>
              </w:rPr>
            </w:pPr>
            <w:r>
              <w:rPr>
                <w:w w:val="105"/>
                <w:sz w:val="14"/>
              </w:rPr>
              <w:t>La Jornada</w:t>
            </w:r>
          </w:p>
        </w:tc>
        <w:tc>
          <w:tcPr>
            <w:tcW w:w="3895" w:type="dxa"/>
          </w:tcPr>
          <w:p>
            <w:pPr>
              <w:pStyle w:val="TableParagraph"/>
              <w:rPr>
                <w:b/>
                <w:sz w:val="14"/>
              </w:rPr>
            </w:pPr>
          </w:p>
          <w:p>
            <w:pPr>
              <w:pStyle w:val="TableParagraph"/>
              <w:spacing w:before="11"/>
              <w:rPr>
                <w:b/>
                <w:sz w:val="10"/>
              </w:rPr>
            </w:pPr>
          </w:p>
          <w:p>
            <w:pPr>
              <w:pStyle w:val="TableParagraph"/>
              <w:ind w:left="25" w:right="8"/>
              <w:rPr>
                <w:sz w:val="14"/>
              </w:rPr>
            </w:pPr>
            <w:r>
              <w:rPr>
                <w:w w:val="105"/>
                <w:sz w:val="14"/>
              </w:rPr>
              <w:t>54 familias evacuadas por daños en sus viviendas</w:t>
            </w:r>
          </w:p>
        </w:tc>
        <w:tc>
          <w:tcPr>
            <w:tcW w:w="888" w:type="dxa"/>
          </w:tcPr>
          <w:p>
            <w:pPr>
              <w:pStyle w:val="TableParagraph"/>
              <w:rPr>
                <w:b/>
                <w:sz w:val="14"/>
              </w:rPr>
            </w:pPr>
          </w:p>
          <w:p>
            <w:pPr>
              <w:pStyle w:val="TableParagraph"/>
              <w:spacing w:before="11"/>
              <w:rPr>
                <w:b/>
                <w:sz w:val="10"/>
              </w:rPr>
            </w:pPr>
          </w:p>
          <w:p>
            <w:pPr>
              <w:pStyle w:val="TableParagraph"/>
              <w:ind w:right="27"/>
              <w:jc w:val="right"/>
              <w:rPr>
                <w:sz w:val="14"/>
              </w:rPr>
            </w:pPr>
            <w:r>
              <w:rPr>
                <w:w w:val="103"/>
                <w:sz w:val="14"/>
              </w:rPr>
              <w:t>3</w:t>
            </w:r>
          </w:p>
        </w:tc>
        <w:tc>
          <w:tcPr>
            <w:tcW w:w="1213" w:type="dxa"/>
          </w:tcPr>
          <w:p>
            <w:pPr>
              <w:pStyle w:val="TableParagraph"/>
              <w:rPr>
                <w:b/>
                <w:sz w:val="14"/>
              </w:rPr>
            </w:pPr>
          </w:p>
          <w:p>
            <w:pPr>
              <w:pStyle w:val="TableParagraph"/>
              <w:spacing w:before="11"/>
              <w:rPr>
                <w:b/>
                <w:sz w:val="10"/>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spacing w:before="11"/>
              <w:rPr>
                <w:b/>
                <w:sz w:val="10"/>
              </w:rPr>
            </w:pPr>
          </w:p>
          <w:p>
            <w:pPr>
              <w:pStyle w:val="TableParagraph"/>
              <w:ind w:right="27"/>
              <w:jc w:val="right"/>
              <w:rPr>
                <w:sz w:val="14"/>
              </w:rPr>
            </w:pPr>
            <w:r>
              <w:rPr>
                <w:w w:val="103"/>
                <w:sz w:val="14"/>
              </w:rPr>
              <w:t>1</w:t>
            </w:r>
          </w:p>
        </w:tc>
        <w:tc>
          <w:tcPr>
            <w:tcW w:w="888" w:type="dxa"/>
          </w:tcPr>
          <w:p>
            <w:pPr>
              <w:pStyle w:val="TableParagraph"/>
              <w:rPr>
                <w:b/>
                <w:sz w:val="14"/>
              </w:rPr>
            </w:pPr>
          </w:p>
          <w:p>
            <w:pPr>
              <w:pStyle w:val="TableParagraph"/>
              <w:spacing w:before="11"/>
              <w:rPr>
                <w:b/>
                <w:sz w:val="10"/>
              </w:rPr>
            </w:pPr>
          </w:p>
          <w:p>
            <w:pPr>
              <w:pStyle w:val="TableParagraph"/>
              <w:ind w:right="23"/>
              <w:jc w:val="right"/>
              <w:rPr>
                <w:sz w:val="14"/>
              </w:rPr>
            </w:pPr>
            <w:r>
              <w:rPr>
                <w:w w:val="105"/>
                <w:sz w:val="14"/>
              </w:rPr>
              <w:t>54</w:t>
            </w:r>
          </w:p>
        </w:tc>
        <w:tc>
          <w:tcPr>
            <w:tcW w:w="914" w:type="dxa"/>
          </w:tcPr>
          <w:p>
            <w:pPr>
              <w:pStyle w:val="TableParagraph"/>
              <w:rPr>
                <w:b/>
                <w:sz w:val="14"/>
              </w:rPr>
            </w:pPr>
          </w:p>
          <w:p>
            <w:pPr>
              <w:pStyle w:val="TableParagraph"/>
              <w:spacing w:before="11"/>
              <w:rPr>
                <w:b/>
                <w:sz w:val="10"/>
              </w:rPr>
            </w:pPr>
          </w:p>
          <w:p>
            <w:pPr>
              <w:pStyle w:val="TableParagraph"/>
              <w:ind w:left="25" w:right="202"/>
              <w:rPr>
                <w:sz w:val="14"/>
              </w:rPr>
            </w:pPr>
            <w:r>
              <w:rPr>
                <w:w w:val="105"/>
                <w:sz w:val="14"/>
              </w:rPr>
              <w:t>Lluvias</w:t>
            </w:r>
          </w:p>
        </w:tc>
        <w:tc>
          <w:tcPr>
            <w:tcW w:w="1016" w:type="dxa"/>
          </w:tcPr>
          <w:p>
            <w:pPr/>
          </w:p>
        </w:tc>
      </w:tr>
      <w:tr>
        <w:trPr>
          <w:trHeight w:val="691" w:hRule="exact"/>
        </w:trPr>
        <w:tc>
          <w:tcPr>
            <w:tcW w:w="888" w:type="dxa"/>
          </w:tcPr>
          <w:p>
            <w:pPr>
              <w:pStyle w:val="TableParagraph"/>
              <w:rPr>
                <w:b/>
                <w:sz w:val="14"/>
              </w:rPr>
            </w:pPr>
          </w:p>
          <w:p>
            <w:pPr>
              <w:pStyle w:val="TableParagraph"/>
              <w:rPr>
                <w:b/>
                <w:sz w:val="14"/>
              </w:rPr>
            </w:pPr>
          </w:p>
          <w:p>
            <w:pPr>
              <w:pStyle w:val="TableParagraph"/>
              <w:spacing w:before="6"/>
              <w:rPr>
                <w:b/>
                <w:sz w:val="15"/>
              </w:rPr>
            </w:pPr>
          </w:p>
          <w:p>
            <w:pPr>
              <w:pStyle w:val="TableParagraph"/>
              <w:ind w:right="30"/>
              <w:jc w:val="right"/>
              <w:rPr>
                <w:sz w:val="14"/>
              </w:rPr>
            </w:pPr>
            <w:r>
              <w:rPr>
                <w:sz w:val="14"/>
              </w:rPr>
              <w:t>18/09/2009</w:t>
            </w:r>
          </w:p>
        </w:tc>
        <w:tc>
          <w:tcPr>
            <w:tcW w:w="1272" w:type="dxa"/>
          </w:tcPr>
          <w:p>
            <w:pPr>
              <w:pStyle w:val="TableParagraph"/>
              <w:rPr>
                <w:b/>
                <w:sz w:val="14"/>
              </w:rPr>
            </w:pPr>
          </w:p>
          <w:p>
            <w:pPr>
              <w:pStyle w:val="TableParagraph"/>
              <w:spacing w:before="2"/>
              <w:rPr>
                <w:b/>
                <w:sz w:val="13"/>
              </w:rPr>
            </w:pPr>
          </w:p>
          <w:p>
            <w:pPr>
              <w:pStyle w:val="TableParagraph"/>
              <w:spacing w:line="280" w:lineRule="auto"/>
              <w:ind w:left="25" w:right="92"/>
              <w:rPr>
                <w:sz w:val="14"/>
              </w:rPr>
            </w:pPr>
            <w:r>
              <w:rPr>
                <w:w w:val="105"/>
                <w:sz w:val="14"/>
              </w:rPr>
              <w:t>Barrio Ixtlahualtongo</w:t>
            </w:r>
          </w:p>
        </w:tc>
        <w:tc>
          <w:tcPr>
            <w:tcW w:w="1136" w:type="dxa"/>
          </w:tcPr>
          <w:p>
            <w:pPr>
              <w:pStyle w:val="TableParagraph"/>
              <w:rPr>
                <w:b/>
                <w:sz w:val="14"/>
              </w:rPr>
            </w:pPr>
          </w:p>
          <w:p>
            <w:pPr>
              <w:pStyle w:val="TableParagraph"/>
              <w:rPr>
                <w:b/>
                <w:sz w:val="14"/>
              </w:rPr>
            </w:pPr>
          </w:p>
          <w:p>
            <w:pPr>
              <w:pStyle w:val="TableParagraph"/>
              <w:spacing w:before="6"/>
              <w:rPr>
                <w:b/>
                <w:sz w:val="15"/>
              </w:rPr>
            </w:pPr>
          </w:p>
          <w:p>
            <w:pPr>
              <w:pStyle w:val="TableParagraph"/>
              <w:ind w:left="25"/>
              <w:rPr>
                <w:sz w:val="14"/>
              </w:rPr>
            </w:pPr>
            <w:r>
              <w:rPr>
                <w:sz w:val="14"/>
              </w:rPr>
              <w:t>El Universal</w:t>
            </w:r>
          </w:p>
        </w:tc>
        <w:tc>
          <w:tcPr>
            <w:tcW w:w="3895" w:type="dxa"/>
          </w:tcPr>
          <w:p>
            <w:pPr>
              <w:pStyle w:val="TableParagraph"/>
              <w:spacing w:line="280" w:lineRule="auto" w:before="125"/>
              <w:ind w:left="25" w:right="388"/>
              <w:rPr>
                <w:sz w:val="14"/>
              </w:rPr>
            </w:pPr>
            <w:r>
              <w:rPr>
                <w:w w:val="105"/>
                <w:sz w:val="14"/>
              </w:rPr>
              <w:t>Un segundo deslizamiento en menos </w:t>
            </w:r>
            <w:r>
              <w:rPr>
                <w:spacing w:val="-3"/>
                <w:w w:val="105"/>
                <w:sz w:val="14"/>
              </w:rPr>
              <w:t>de </w:t>
            </w:r>
            <w:r>
              <w:rPr>
                <w:spacing w:val="-4"/>
                <w:w w:val="105"/>
                <w:sz w:val="14"/>
              </w:rPr>
              <w:t>una </w:t>
            </w:r>
            <w:r>
              <w:rPr>
                <w:w w:val="105"/>
                <w:sz w:val="14"/>
              </w:rPr>
              <w:t>semana. </w:t>
            </w:r>
            <w:r>
              <w:rPr>
                <w:spacing w:val="-3"/>
                <w:w w:val="105"/>
                <w:sz w:val="14"/>
              </w:rPr>
              <w:t>Las </w:t>
            </w:r>
            <w:r>
              <w:rPr>
                <w:w w:val="105"/>
                <w:sz w:val="14"/>
              </w:rPr>
              <w:t>autoridades dicen </w:t>
            </w:r>
            <w:r>
              <w:rPr>
                <w:spacing w:val="-4"/>
                <w:w w:val="105"/>
                <w:sz w:val="14"/>
              </w:rPr>
              <w:t>que </w:t>
            </w:r>
            <w:r>
              <w:rPr>
                <w:spacing w:val="-3"/>
                <w:w w:val="105"/>
                <w:sz w:val="14"/>
              </w:rPr>
              <w:t>no </w:t>
            </w:r>
            <w:r>
              <w:rPr>
                <w:w w:val="105"/>
                <w:sz w:val="14"/>
              </w:rPr>
              <w:t>pueden reforzar el talud hasta </w:t>
            </w:r>
            <w:r>
              <w:rPr>
                <w:spacing w:val="-4"/>
                <w:w w:val="105"/>
                <w:sz w:val="14"/>
              </w:rPr>
              <w:t>que </w:t>
            </w:r>
            <w:r>
              <w:rPr>
                <w:w w:val="105"/>
                <w:sz w:val="14"/>
              </w:rPr>
              <w:t>termine la temporada </w:t>
            </w:r>
            <w:r>
              <w:rPr>
                <w:spacing w:val="-3"/>
                <w:w w:val="105"/>
                <w:sz w:val="14"/>
              </w:rPr>
              <w:t>de </w:t>
            </w:r>
            <w:r>
              <w:rPr>
                <w:w w:val="105"/>
                <w:sz w:val="14"/>
              </w:rPr>
              <w:t>lluvias.</w:t>
            </w:r>
          </w:p>
        </w:tc>
        <w:tc>
          <w:tcPr>
            <w:tcW w:w="888" w:type="dxa"/>
          </w:tcPr>
          <w:p>
            <w:pPr>
              <w:pStyle w:val="TableParagraph"/>
              <w:rPr>
                <w:b/>
                <w:sz w:val="14"/>
              </w:rPr>
            </w:pPr>
          </w:p>
          <w:p>
            <w:pPr>
              <w:pStyle w:val="TableParagraph"/>
              <w:rPr>
                <w:b/>
                <w:sz w:val="14"/>
              </w:rPr>
            </w:pPr>
          </w:p>
          <w:p>
            <w:pPr>
              <w:pStyle w:val="TableParagraph"/>
              <w:spacing w:before="6"/>
              <w:rPr>
                <w:b/>
                <w:sz w:val="15"/>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spacing w:before="6"/>
              <w:rPr>
                <w:b/>
                <w:sz w:val="15"/>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spacing w:before="6"/>
              <w:rPr>
                <w:b/>
                <w:sz w:val="15"/>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spacing w:before="6"/>
              <w:rPr>
                <w:b/>
                <w:sz w:val="15"/>
              </w:rPr>
            </w:pPr>
          </w:p>
          <w:p>
            <w:pPr>
              <w:pStyle w:val="TableParagraph"/>
              <w:ind w:right="23"/>
              <w:jc w:val="right"/>
              <w:rPr>
                <w:sz w:val="14"/>
              </w:rPr>
            </w:pPr>
            <w:r>
              <w:rPr>
                <w:w w:val="105"/>
                <w:sz w:val="14"/>
              </w:rPr>
              <w:t>300</w:t>
            </w:r>
          </w:p>
        </w:tc>
        <w:tc>
          <w:tcPr>
            <w:tcW w:w="914" w:type="dxa"/>
          </w:tcPr>
          <w:p>
            <w:pPr>
              <w:pStyle w:val="TableParagraph"/>
              <w:rPr>
                <w:b/>
                <w:sz w:val="14"/>
              </w:rPr>
            </w:pPr>
          </w:p>
          <w:p>
            <w:pPr>
              <w:pStyle w:val="TableParagraph"/>
              <w:rPr>
                <w:b/>
                <w:sz w:val="14"/>
              </w:rPr>
            </w:pPr>
          </w:p>
          <w:p>
            <w:pPr>
              <w:pStyle w:val="TableParagraph"/>
              <w:spacing w:before="6"/>
              <w:rPr>
                <w:b/>
                <w:sz w:val="15"/>
              </w:rPr>
            </w:pPr>
          </w:p>
          <w:p>
            <w:pPr>
              <w:pStyle w:val="TableParagraph"/>
              <w:ind w:left="25" w:right="202"/>
              <w:rPr>
                <w:sz w:val="14"/>
              </w:rPr>
            </w:pPr>
            <w:r>
              <w:rPr>
                <w:w w:val="105"/>
                <w:sz w:val="14"/>
              </w:rPr>
              <w:t>Lluvias</w:t>
            </w:r>
          </w:p>
        </w:tc>
        <w:tc>
          <w:tcPr>
            <w:tcW w:w="1016" w:type="dxa"/>
          </w:tcPr>
          <w:p>
            <w:pPr/>
          </w:p>
        </w:tc>
      </w:tr>
      <w:tr>
        <w:trPr>
          <w:trHeight w:val="887"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right="30"/>
              <w:jc w:val="right"/>
              <w:rPr>
                <w:sz w:val="14"/>
              </w:rPr>
            </w:pPr>
            <w:r>
              <w:rPr>
                <w:sz w:val="14"/>
              </w:rPr>
              <w:t>20/12/2009</w:t>
            </w:r>
          </w:p>
        </w:tc>
        <w:tc>
          <w:tcPr>
            <w:tcW w:w="1272"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left="25" w:right="13"/>
              <w:rPr>
                <w:sz w:val="14"/>
              </w:rPr>
            </w:pPr>
            <w:r>
              <w:rPr>
                <w:w w:val="105"/>
                <w:sz w:val="14"/>
              </w:rPr>
              <w:t>Colonia El Ocotal</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left="25"/>
              <w:rPr>
                <w:sz w:val="14"/>
              </w:rPr>
            </w:pPr>
            <w:r>
              <w:rPr>
                <w:w w:val="105"/>
                <w:sz w:val="14"/>
              </w:rPr>
              <w:t>La Jornada</w:t>
            </w:r>
          </w:p>
        </w:tc>
        <w:tc>
          <w:tcPr>
            <w:tcW w:w="3895" w:type="dxa"/>
          </w:tcPr>
          <w:p>
            <w:pPr>
              <w:pStyle w:val="TableParagraph"/>
              <w:spacing w:before="7"/>
              <w:rPr>
                <w:b/>
                <w:sz w:val="11"/>
              </w:rPr>
            </w:pPr>
          </w:p>
          <w:p>
            <w:pPr>
              <w:pStyle w:val="TableParagraph"/>
              <w:spacing w:line="280" w:lineRule="auto"/>
              <w:ind w:left="25" w:right="8"/>
              <w:rPr>
                <w:sz w:val="14"/>
              </w:rPr>
            </w:pPr>
            <w:r>
              <w:rPr>
                <w:w w:val="105"/>
                <w:sz w:val="14"/>
              </w:rPr>
              <w:t>El incidente se produjo cuando vecinos, que tendrían que ser supervisados por la delegación, excavaban una zanja para introducir drenaje. Los trabajos se realizaban de manera conjunta entre las autoridades y colonos.</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right="27"/>
              <w:jc w:val="right"/>
              <w:rPr>
                <w:sz w:val="14"/>
              </w:rPr>
            </w:pPr>
            <w:r>
              <w:rPr>
                <w:w w:val="103"/>
                <w:sz w:val="14"/>
              </w:rPr>
              <w:t>2</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right="27"/>
              <w:jc w:val="right"/>
              <w:rPr>
                <w:sz w:val="14"/>
              </w:rPr>
            </w:pPr>
            <w:r>
              <w:rPr>
                <w:w w:val="103"/>
                <w:sz w:val="14"/>
              </w:rPr>
              <w:t>1</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right="28"/>
              <w:jc w:val="right"/>
              <w:rPr>
                <w:sz w:val="14"/>
              </w:rPr>
            </w:pPr>
            <w:r>
              <w:rPr>
                <w:w w:val="103"/>
                <w:sz w:val="14"/>
              </w:rPr>
              <w:t>0</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spacing w:before="6"/>
              <w:rPr>
                <w:b/>
                <w:sz w:val="18"/>
              </w:rPr>
            </w:pPr>
          </w:p>
          <w:p>
            <w:pPr>
              <w:pStyle w:val="TableParagraph"/>
              <w:spacing w:before="1"/>
              <w:ind w:left="25"/>
              <w:rPr>
                <w:sz w:val="14"/>
              </w:rPr>
            </w:pPr>
            <w:r>
              <w:rPr>
                <w:w w:val="105"/>
                <w:sz w:val="14"/>
              </w:rPr>
              <w:t>Error humano</w:t>
            </w:r>
          </w:p>
        </w:tc>
        <w:tc>
          <w:tcPr>
            <w:tcW w:w="1016" w:type="dxa"/>
          </w:tcPr>
          <w:p>
            <w:pPr>
              <w:pStyle w:val="TableParagraph"/>
              <w:spacing w:before="7"/>
              <w:rPr>
                <w:b/>
                <w:sz w:val="11"/>
              </w:rPr>
            </w:pPr>
          </w:p>
          <w:p>
            <w:pPr>
              <w:pStyle w:val="TableParagraph"/>
              <w:spacing w:line="280" w:lineRule="auto"/>
              <w:ind w:left="25" w:right="-5"/>
              <w:rPr>
                <w:sz w:val="14"/>
              </w:rPr>
            </w:pPr>
            <w:r>
              <w:rPr>
                <w:w w:val="105"/>
                <w:sz w:val="14"/>
              </w:rPr>
              <w:t>Excavación de zanja para introducir drenaje</w:t>
            </w:r>
          </w:p>
        </w:tc>
      </w:tr>
    </w:tbl>
    <w:p>
      <w:pPr>
        <w:spacing w:after="0" w:line="280" w:lineRule="auto"/>
        <w:rPr>
          <w:sz w:val="14"/>
        </w:rPr>
        <w:sectPr>
          <w:pgSz w:w="15840" w:h="12240" w:orient="landscape"/>
          <w:pgMar w:top="1140" w:bottom="280" w:left="1300" w:right="1300"/>
        </w:sectPr>
      </w:pPr>
    </w:p>
    <w:p>
      <w:pPr>
        <w:pStyle w:val="BodyText"/>
        <w:rPr>
          <w:b/>
          <w:sz w:val="20"/>
        </w:rPr>
      </w:pPr>
    </w:p>
    <w:p>
      <w:pPr>
        <w:pStyle w:val="BodyText"/>
        <w:spacing w:before="9"/>
        <w:rPr>
          <w:b/>
          <w:sz w:val="28"/>
        </w:rPr>
      </w:pPr>
    </w:p>
    <w:tbl>
      <w:tblPr>
        <w:tblW w:w="0" w:type="auto"/>
        <w:jc w:val="left"/>
        <w:tblInd w:w="11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888"/>
        <w:gridCol w:w="1272"/>
        <w:gridCol w:w="1136"/>
        <w:gridCol w:w="3895"/>
        <w:gridCol w:w="888"/>
        <w:gridCol w:w="1213"/>
        <w:gridCol w:w="888"/>
        <w:gridCol w:w="888"/>
        <w:gridCol w:w="914"/>
        <w:gridCol w:w="1016"/>
      </w:tblGrid>
      <w:tr>
        <w:trPr>
          <w:trHeight w:val="521" w:hRule="exact"/>
        </w:trPr>
        <w:tc>
          <w:tcPr>
            <w:tcW w:w="888" w:type="dxa"/>
            <w:shd w:val="clear" w:color="auto" w:fill="212B35"/>
          </w:tcPr>
          <w:p>
            <w:pPr>
              <w:pStyle w:val="TableParagraph"/>
              <w:spacing w:before="3"/>
              <w:rPr>
                <w:b/>
                <w:sz w:val="15"/>
              </w:rPr>
            </w:pPr>
          </w:p>
          <w:p>
            <w:pPr>
              <w:pStyle w:val="TableParagraph"/>
              <w:ind w:right="41"/>
              <w:jc w:val="right"/>
              <w:rPr>
                <w:b/>
                <w:sz w:val="15"/>
              </w:rPr>
            </w:pPr>
            <w:r>
              <w:rPr>
                <w:b/>
                <w:color w:val="FFFFFF"/>
                <w:w w:val="105"/>
                <w:sz w:val="15"/>
              </w:rPr>
              <w:t>Fecha Inicio</w:t>
            </w:r>
          </w:p>
        </w:tc>
        <w:tc>
          <w:tcPr>
            <w:tcW w:w="1272" w:type="dxa"/>
            <w:shd w:val="clear" w:color="auto" w:fill="212B35"/>
          </w:tcPr>
          <w:p>
            <w:pPr>
              <w:pStyle w:val="TableParagraph"/>
              <w:spacing w:before="3"/>
              <w:rPr>
                <w:b/>
                <w:sz w:val="15"/>
              </w:rPr>
            </w:pPr>
          </w:p>
          <w:p>
            <w:pPr>
              <w:pStyle w:val="TableParagraph"/>
              <w:ind w:left="455" w:right="461"/>
              <w:jc w:val="center"/>
              <w:rPr>
                <w:b/>
                <w:sz w:val="15"/>
              </w:rPr>
            </w:pPr>
            <w:r>
              <w:rPr>
                <w:b/>
                <w:color w:val="FFFFFF"/>
                <w:w w:val="105"/>
                <w:sz w:val="15"/>
              </w:rPr>
              <w:t>Sitio</w:t>
            </w:r>
          </w:p>
        </w:tc>
        <w:tc>
          <w:tcPr>
            <w:tcW w:w="1136" w:type="dxa"/>
            <w:shd w:val="clear" w:color="auto" w:fill="212B35"/>
          </w:tcPr>
          <w:p>
            <w:pPr>
              <w:pStyle w:val="TableParagraph"/>
              <w:spacing w:before="3"/>
              <w:rPr>
                <w:b/>
                <w:sz w:val="15"/>
              </w:rPr>
            </w:pPr>
          </w:p>
          <w:p>
            <w:pPr>
              <w:pStyle w:val="TableParagraph"/>
              <w:ind w:left="307"/>
              <w:rPr>
                <w:b/>
                <w:sz w:val="15"/>
              </w:rPr>
            </w:pPr>
            <w:r>
              <w:rPr>
                <w:b/>
                <w:color w:val="FFFFFF"/>
                <w:w w:val="105"/>
                <w:sz w:val="15"/>
              </w:rPr>
              <w:t>Fuentes</w:t>
            </w:r>
          </w:p>
        </w:tc>
        <w:tc>
          <w:tcPr>
            <w:tcW w:w="3895" w:type="dxa"/>
            <w:shd w:val="clear" w:color="auto" w:fill="212B35"/>
          </w:tcPr>
          <w:p>
            <w:pPr>
              <w:pStyle w:val="TableParagraph"/>
              <w:spacing w:before="3"/>
              <w:rPr>
                <w:b/>
                <w:sz w:val="15"/>
              </w:rPr>
            </w:pPr>
          </w:p>
          <w:p>
            <w:pPr>
              <w:pStyle w:val="TableParagraph"/>
              <w:ind w:left="1118" w:right="8"/>
              <w:rPr>
                <w:b/>
                <w:sz w:val="15"/>
              </w:rPr>
            </w:pPr>
            <w:r>
              <w:rPr>
                <w:b/>
                <w:color w:val="FFFFFF"/>
                <w:w w:val="105"/>
                <w:sz w:val="15"/>
              </w:rPr>
              <w:t>Observaciones de efectos</w:t>
            </w:r>
          </w:p>
        </w:tc>
        <w:tc>
          <w:tcPr>
            <w:tcW w:w="888" w:type="dxa"/>
            <w:shd w:val="clear" w:color="auto" w:fill="212B35"/>
          </w:tcPr>
          <w:p>
            <w:pPr>
              <w:pStyle w:val="TableParagraph"/>
              <w:spacing w:before="3"/>
              <w:rPr>
                <w:b/>
                <w:sz w:val="15"/>
              </w:rPr>
            </w:pPr>
          </w:p>
          <w:p>
            <w:pPr>
              <w:pStyle w:val="TableParagraph"/>
              <w:ind w:left="162"/>
              <w:rPr>
                <w:b/>
                <w:sz w:val="15"/>
              </w:rPr>
            </w:pPr>
            <w:r>
              <w:rPr>
                <w:b/>
                <w:color w:val="FFFFFF"/>
                <w:w w:val="105"/>
                <w:sz w:val="15"/>
              </w:rPr>
              <w:t>Muertos</w:t>
            </w:r>
          </w:p>
        </w:tc>
        <w:tc>
          <w:tcPr>
            <w:tcW w:w="1213" w:type="dxa"/>
            <w:shd w:val="clear" w:color="auto" w:fill="212B35"/>
          </w:tcPr>
          <w:p>
            <w:pPr>
              <w:pStyle w:val="TableParagraph"/>
              <w:spacing w:before="3"/>
              <w:rPr>
                <w:b/>
                <w:sz w:val="15"/>
              </w:rPr>
            </w:pPr>
          </w:p>
          <w:p>
            <w:pPr>
              <w:pStyle w:val="TableParagraph"/>
              <w:ind w:left="145"/>
              <w:rPr>
                <w:b/>
                <w:sz w:val="15"/>
              </w:rPr>
            </w:pPr>
            <w:r>
              <w:rPr>
                <w:b/>
                <w:color w:val="FFFFFF"/>
                <w:w w:val="105"/>
                <w:sz w:val="15"/>
              </w:rPr>
              <w:t>Damnificados</w:t>
            </w:r>
          </w:p>
        </w:tc>
        <w:tc>
          <w:tcPr>
            <w:tcW w:w="888" w:type="dxa"/>
            <w:shd w:val="clear" w:color="auto" w:fill="212B35"/>
          </w:tcPr>
          <w:p>
            <w:pPr>
              <w:pStyle w:val="TableParagraph"/>
              <w:spacing w:line="273" w:lineRule="auto" w:before="73"/>
              <w:ind w:left="102" w:right="91" w:firstLine="16"/>
              <w:rPr>
                <w:b/>
                <w:sz w:val="15"/>
              </w:rPr>
            </w:pPr>
            <w:r>
              <w:rPr>
                <w:b/>
                <w:color w:val="FFFFFF"/>
                <w:sz w:val="15"/>
              </w:rPr>
              <w:t>Viviendas destruidas</w:t>
            </w:r>
          </w:p>
        </w:tc>
        <w:tc>
          <w:tcPr>
            <w:tcW w:w="888" w:type="dxa"/>
            <w:shd w:val="clear" w:color="auto" w:fill="212B35"/>
          </w:tcPr>
          <w:p>
            <w:pPr>
              <w:pStyle w:val="TableParagraph"/>
              <w:spacing w:line="273" w:lineRule="auto" w:before="73"/>
              <w:ind w:left="128" w:right="116" w:hanging="18"/>
              <w:rPr>
                <w:b/>
                <w:sz w:val="15"/>
              </w:rPr>
            </w:pPr>
            <w:r>
              <w:rPr>
                <w:b/>
                <w:color w:val="FFFFFF"/>
                <w:sz w:val="15"/>
              </w:rPr>
              <w:t>Viviendas afectadas</w:t>
            </w:r>
          </w:p>
        </w:tc>
        <w:tc>
          <w:tcPr>
            <w:tcW w:w="914" w:type="dxa"/>
            <w:shd w:val="clear" w:color="auto" w:fill="212B35"/>
          </w:tcPr>
          <w:p>
            <w:pPr>
              <w:pStyle w:val="TableParagraph"/>
              <w:spacing w:line="273" w:lineRule="auto" w:before="73"/>
              <w:ind w:left="264" w:hanging="69"/>
              <w:rPr>
                <w:b/>
                <w:sz w:val="15"/>
              </w:rPr>
            </w:pPr>
            <w:r>
              <w:rPr>
                <w:b/>
                <w:color w:val="FFFFFF"/>
                <w:w w:val="105"/>
                <w:sz w:val="15"/>
              </w:rPr>
              <w:t>Tipo de causa</w:t>
            </w:r>
          </w:p>
        </w:tc>
        <w:tc>
          <w:tcPr>
            <w:tcW w:w="1016" w:type="dxa"/>
            <w:shd w:val="clear" w:color="auto" w:fill="212B35"/>
          </w:tcPr>
          <w:p>
            <w:pPr>
              <w:pStyle w:val="TableParagraph"/>
              <w:spacing w:line="273" w:lineRule="auto" w:before="73"/>
              <w:ind w:left="222" w:right="-5" w:hanging="197"/>
              <w:rPr>
                <w:b/>
                <w:sz w:val="15"/>
              </w:rPr>
            </w:pPr>
            <w:r>
              <w:rPr>
                <w:b/>
                <w:color w:val="FFFFFF"/>
                <w:sz w:val="15"/>
              </w:rPr>
              <w:t>Observaciones </w:t>
            </w:r>
            <w:r>
              <w:rPr>
                <w:b/>
                <w:color w:val="FFFFFF"/>
                <w:w w:val="105"/>
                <w:sz w:val="15"/>
              </w:rPr>
              <w:t>de causa</w:t>
            </w:r>
          </w:p>
        </w:tc>
      </w:tr>
      <w:tr>
        <w:trPr>
          <w:trHeight w:val="846"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9"/>
              <w:jc w:val="right"/>
              <w:rPr>
                <w:sz w:val="14"/>
              </w:rPr>
            </w:pPr>
            <w:r>
              <w:rPr>
                <w:sz w:val="14"/>
              </w:rPr>
              <w:t>08/03/2012</w:t>
            </w:r>
          </w:p>
        </w:tc>
        <w:tc>
          <w:tcPr>
            <w:tcW w:w="1272" w:type="dxa"/>
          </w:tcPr>
          <w:p>
            <w:pPr>
              <w:pStyle w:val="TableParagraph"/>
              <w:rPr>
                <w:b/>
                <w:sz w:val="14"/>
              </w:rPr>
            </w:pPr>
          </w:p>
          <w:p>
            <w:pPr>
              <w:pStyle w:val="TableParagraph"/>
              <w:rPr>
                <w:b/>
                <w:sz w:val="14"/>
              </w:rPr>
            </w:pPr>
          </w:p>
          <w:p>
            <w:pPr>
              <w:pStyle w:val="TableParagraph"/>
              <w:spacing w:before="7"/>
              <w:rPr>
                <w:b/>
                <w:sz w:val="12"/>
              </w:rPr>
            </w:pPr>
          </w:p>
          <w:p>
            <w:pPr>
              <w:pStyle w:val="TableParagraph"/>
              <w:spacing w:line="280" w:lineRule="auto"/>
              <w:ind w:left="25" w:right="92"/>
              <w:rPr>
                <w:sz w:val="14"/>
              </w:rPr>
            </w:pPr>
            <w:r>
              <w:rPr>
                <w:w w:val="105"/>
                <w:sz w:val="14"/>
              </w:rPr>
              <w:t>Av. Luis Cabrera y San Jerónimo</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left="25"/>
              <w:rPr>
                <w:sz w:val="14"/>
              </w:rPr>
            </w:pPr>
            <w:r>
              <w:rPr>
                <w:sz w:val="14"/>
              </w:rPr>
              <w:t>El Universal</w:t>
            </w:r>
          </w:p>
        </w:tc>
        <w:tc>
          <w:tcPr>
            <w:tcW w:w="3895" w:type="dxa"/>
          </w:tcPr>
          <w:p>
            <w:pPr>
              <w:pStyle w:val="TableParagraph"/>
              <w:spacing w:line="280" w:lineRule="auto" w:before="91"/>
              <w:ind w:left="25" w:right="20"/>
              <w:rPr>
                <w:sz w:val="14"/>
              </w:rPr>
            </w:pPr>
            <w:r>
              <w:rPr>
                <w:w w:val="105"/>
                <w:sz w:val="14"/>
              </w:rPr>
              <w:t>4 trabajadores lesionados tras derrumbe de parte de uno de los túneles que se construyen como en la Supervía Poniente, concesionada a a la empresa española OHL. Policías y bomberos maniobraron para rescatar a los 4 obreros.</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right="28"/>
              <w:jc w:val="right"/>
              <w:rPr>
                <w:sz w:val="14"/>
              </w:rPr>
            </w:pPr>
            <w:r>
              <w:rPr>
                <w:w w:val="103"/>
                <w:sz w:val="14"/>
              </w:rPr>
              <w:t>0</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rPr>
                <w:b/>
                <w:sz w:val="15"/>
              </w:rPr>
            </w:pPr>
          </w:p>
          <w:p>
            <w:pPr>
              <w:pStyle w:val="TableParagraph"/>
              <w:ind w:left="25" w:right="202"/>
              <w:rPr>
                <w:sz w:val="14"/>
              </w:rPr>
            </w:pPr>
            <w:r>
              <w:rPr>
                <w:w w:val="105"/>
                <w:sz w:val="14"/>
              </w:rPr>
              <w:t>Otra causa</w:t>
            </w:r>
          </w:p>
        </w:tc>
        <w:tc>
          <w:tcPr>
            <w:tcW w:w="1016" w:type="dxa"/>
          </w:tcPr>
          <w:p>
            <w:pPr>
              <w:pStyle w:val="TableParagraph"/>
              <w:spacing w:line="280" w:lineRule="auto" w:before="91"/>
              <w:ind w:left="25" w:right="-5"/>
              <w:rPr>
                <w:sz w:val="14"/>
              </w:rPr>
            </w:pPr>
            <w:r>
              <w:rPr>
                <w:w w:val="105"/>
                <w:sz w:val="14"/>
              </w:rPr>
              <w:t>Derrumbe en túnel durante la construcción de autopista urbana</w:t>
            </w:r>
          </w:p>
        </w:tc>
      </w:tr>
      <w:tr>
        <w:trPr>
          <w:trHeight w:val="1000"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right="29"/>
              <w:jc w:val="right"/>
              <w:rPr>
                <w:sz w:val="14"/>
              </w:rPr>
            </w:pPr>
            <w:r>
              <w:rPr>
                <w:sz w:val="14"/>
              </w:rPr>
              <w:t>21/06/2012</w:t>
            </w:r>
          </w:p>
        </w:tc>
        <w:tc>
          <w:tcPr>
            <w:tcW w:w="1272" w:type="dxa"/>
          </w:tcPr>
          <w:p>
            <w:pPr>
              <w:pStyle w:val="TableParagraph"/>
              <w:rPr>
                <w:b/>
                <w:sz w:val="14"/>
              </w:rPr>
            </w:pPr>
          </w:p>
          <w:p>
            <w:pPr>
              <w:pStyle w:val="TableParagraph"/>
              <w:rPr>
                <w:b/>
                <w:sz w:val="14"/>
              </w:rPr>
            </w:pPr>
          </w:p>
          <w:p>
            <w:pPr>
              <w:pStyle w:val="TableParagraph"/>
              <w:spacing w:line="280" w:lineRule="auto" w:before="111"/>
              <w:ind w:left="25" w:right="13"/>
              <w:rPr>
                <w:sz w:val="14"/>
              </w:rPr>
            </w:pPr>
            <w:r>
              <w:rPr>
                <w:w w:val="105"/>
                <w:sz w:val="14"/>
              </w:rPr>
              <w:t>Asentamiento irregular Tierra Colorada</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left="25"/>
              <w:rPr>
                <w:sz w:val="14"/>
              </w:rPr>
            </w:pPr>
            <w:r>
              <w:rPr>
                <w:w w:val="105"/>
                <w:sz w:val="14"/>
              </w:rPr>
              <w:t>La Jornada</w:t>
            </w:r>
          </w:p>
        </w:tc>
        <w:tc>
          <w:tcPr>
            <w:tcW w:w="3895" w:type="dxa"/>
          </w:tcPr>
          <w:p>
            <w:pPr>
              <w:pStyle w:val="TableParagraph"/>
              <w:spacing w:line="280" w:lineRule="auto" w:before="57"/>
              <w:ind w:left="25" w:right="8"/>
              <w:rPr>
                <w:sz w:val="14"/>
              </w:rPr>
            </w:pPr>
            <w:r>
              <w:rPr>
                <w:w w:val="105"/>
                <w:sz w:val="14"/>
              </w:rPr>
              <w:t>Un derrumbe sepulta 6 </w:t>
            </w:r>
            <w:r>
              <w:rPr>
                <w:spacing w:val="-4"/>
                <w:w w:val="105"/>
                <w:sz w:val="14"/>
              </w:rPr>
              <w:t>viviendas </w:t>
            </w:r>
            <w:r>
              <w:rPr>
                <w:spacing w:val="-3"/>
                <w:w w:val="105"/>
                <w:sz w:val="14"/>
              </w:rPr>
              <w:t>de un </w:t>
            </w:r>
            <w:r>
              <w:rPr>
                <w:w w:val="105"/>
                <w:sz w:val="14"/>
              </w:rPr>
              <w:t>asentamiento irregular y afecta otras 24 </w:t>
            </w:r>
            <w:r>
              <w:rPr>
                <w:spacing w:val="-3"/>
                <w:w w:val="105"/>
                <w:sz w:val="14"/>
              </w:rPr>
              <w:t>donde </w:t>
            </w:r>
            <w:r>
              <w:rPr>
                <w:spacing w:val="-5"/>
                <w:w w:val="105"/>
                <w:sz w:val="14"/>
              </w:rPr>
              <w:t>viven </w:t>
            </w:r>
            <w:r>
              <w:rPr>
                <w:w w:val="105"/>
                <w:sz w:val="14"/>
              </w:rPr>
              <w:t>40 familias. </w:t>
            </w:r>
            <w:r>
              <w:rPr>
                <w:spacing w:val="-6"/>
                <w:w w:val="105"/>
                <w:sz w:val="14"/>
              </w:rPr>
              <w:t>Al </w:t>
            </w:r>
            <w:r>
              <w:rPr>
                <w:w w:val="105"/>
                <w:sz w:val="14"/>
              </w:rPr>
              <w:t>menos 100 vecinos fueron </w:t>
            </w:r>
            <w:r>
              <w:rPr>
                <w:spacing w:val="-3"/>
                <w:w w:val="105"/>
                <w:sz w:val="14"/>
              </w:rPr>
              <w:t>evacuados </w:t>
            </w:r>
            <w:r>
              <w:rPr>
                <w:w w:val="105"/>
                <w:sz w:val="14"/>
              </w:rPr>
              <w:t>y trasladados a </w:t>
            </w:r>
            <w:r>
              <w:rPr>
                <w:spacing w:val="-3"/>
                <w:w w:val="105"/>
                <w:sz w:val="14"/>
              </w:rPr>
              <w:t>un </w:t>
            </w:r>
            <w:r>
              <w:rPr>
                <w:w w:val="105"/>
                <w:sz w:val="14"/>
              </w:rPr>
              <w:t>albergue. Solo </w:t>
            </w:r>
            <w:r>
              <w:rPr>
                <w:spacing w:val="-4"/>
                <w:w w:val="105"/>
                <w:sz w:val="14"/>
              </w:rPr>
              <w:t>una </w:t>
            </w:r>
            <w:r>
              <w:rPr>
                <w:w w:val="105"/>
                <w:sz w:val="14"/>
              </w:rPr>
              <w:t>persona </w:t>
            </w:r>
            <w:r>
              <w:rPr>
                <w:spacing w:val="-4"/>
                <w:w w:val="105"/>
                <w:sz w:val="14"/>
              </w:rPr>
              <w:t>tuvo</w:t>
            </w:r>
            <w:r>
              <w:rPr>
                <w:spacing w:val="-6"/>
                <w:w w:val="105"/>
                <w:sz w:val="14"/>
              </w:rPr>
              <w:t> </w:t>
            </w:r>
            <w:r>
              <w:rPr>
                <w:spacing w:val="-4"/>
                <w:w w:val="105"/>
                <w:sz w:val="14"/>
              </w:rPr>
              <w:t>que</w:t>
            </w:r>
            <w:r>
              <w:rPr>
                <w:spacing w:val="-7"/>
                <w:w w:val="105"/>
                <w:sz w:val="14"/>
              </w:rPr>
              <w:t> </w:t>
            </w:r>
            <w:r>
              <w:rPr>
                <w:w w:val="105"/>
                <w:sz w:val="14"/>
              </w:rPr>
              <w:t>ser</w:t>
            </w:r>
            <w:r>
              <w:rPr>
                <w:spacing w:val="-8"/>
                <w:w w:val="105"/>
                <w:sz w:val="14"/>
              </w:rPr>
              <w:t> </w:t>
            </w:r>
            <w:r>
              <w:rPr>
                <w:w w:val="105"/>
                <w:sz w:val="14"/>
              </w:rPr>
              <w:t>hospitalizada.</w:t>
            </w:r>
            <w:r>
              <w:rPr>
                <w:spacing w:val="-11"/>
                <w:w w:val="105"/>
                <w:sz w:val="14"/>
              </w:rPr>
              <w:t> </w:t>
            </w:r>
            <w:r>
              <w:rPr>
                <w:w w:val="105"/>
                <w:sz w:val="14"/>
              </w:rPr>
              <w:t>El</w:t>
            </w:r>
            <w:r>
              <w:rPr>
                <w:spacing w:val="-8"/>
                <w:w w:val="105"/>
                <w:sz w:val="14"/>
              </w:rPr>
              <w:t> </w:t>
            </w:r>
            <w:r>
              <w:rPr>
                <w:w w:val="105"/>
                <w:sz w:val="14"/>
              </w:rPr>
              <w:t>derrumbe</w:t>
            </w:r>
            <w:r>
              <w:rPr>
                <w:spacing w:val="-7"/>
                <w:w w:val="105"/>
                <w:sz w:val="14"/>
              </w:rPr>
              <w:t> </w:t>
            </w:r>
            <w:r>
              <w:rPr>
                <w:w w:val="105"/>
                <w:sz w:val="14"/>
              </w:rPr>
              <w:t>se</w:t>
            </w:r>
            <w:r>
              <w:rPr>
                <w:spacing w:val="-7"/>
                <w:w w:val="105"/>
                <w:sz w:val="14"/>
              </w:rPr>
              <w:t> </w:t>
            </w:r>
            <w:r>
              <w:rPr>
                <w:w w:val="105"/>
                <w:sz w:val="14"/>
              </w:rPr>
              <w:t>produjo</w:t>
            </w:r>
            <w:r>
              <w:rPr>
                <w:spacing w:val="-6"/>
                <w:w w:val="105"/>
                <w:sz w:val="14"/>
              </w:rPr>
              <w:t> </w:t>
            </w:r>
            <w:r>
              <w:rPr>
                <w:w w:val="105"/>
                <w:sz w:val="14"/>
              </w:rPr>
              <w:t>por</w:t>
            </w:r>
            <w:r>
              <w:rPr>
                <w:spacing w:val="-8"/>
                <w:w w:val="105"/>
                <w:sz w:val="14"/>
              </w:rPr>
              <w:t> </w:t>
            </w:r>
            <w:r>
              <w:rPr>
                <w:spacing w:val="-4"/>
                <w:w w:val="105"/>
                <w:sz w:val="14"/>
              </w:rPr>
              <w:t>una</w:t>
            </w:r>
            <w:r>
              <w:rPr>
                <w:spacing w:val="-14"/>
                <w:w w:val="105"/>
                <w:sz w:val="14"/>
              </w:rPr>
              <w:t> </w:t>
            </w:r>
            <w:r>
              <w:rPr>
                <w:w w:val="105"/>
                <w:sz w:val="14"/>
              </w:rPr>
              <w:t>fuga</w:t>
            </w:r>
            <w:r>
              <w:rPr>
                <w:spacing w:val="-14"/>
                <w:w w:val="105"/>
                <w:sz w:val="14"/>
              </w:rPr>
              <w:t> </w:t>
            </w:r>
            <w:r>
              <w:rPr>
                <w:spacing w:val="-3"/>
                <w:w w:val="105"/>
                <w:sz w:val="14"/>
              </w:rPr>
              <w:t>de </w:t>
            </w:r>
            <w:r>
              <w:rPr>
                <w:spacing w:val="-4"/>
                <w:w w:val="105"/>
                <w:sz w:val="14"/>
              </w:rPr>
              <w:t>agua </w:t>
            </w:r>
            <w:r>
              <w:rPr>
                <w:w w:val="105"/>
                <w:sz w:val="14"/>
              </w:rPr>
              <w:t>en</w:t>
            </w:r>
            <w:r>
              <w:rPr>
                <w:spacing w:val="-27"/>
                <w:w w:val="105"/>
                <w:sz w:val="14"/>
              </w:rPr>
              <w:t> </w:t>
            </w:r>
            <w:r>
              <w:rPr>
                <w:spacing w:val="-4"/>
                <w:w w:val="105"/>
                <w:sz w:val="14"/>
              </w:rPr>
              <w:t>una </w:t>
            </w:r>
            <w:r>
              <w:rPr>
                <w:w w:val="105"/>
                <w:sz w:val="14"/>
              </w:rPr>
              <w:t>tubería.</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left="25"/>
              <w:rPr>
                <w:sz w:val="14"/>
              </w:rPr>
            </w:pPr>
            <w:r>
              <w:rPr>
                <w:w w:val="105"/>
                <w:sz w:val="14"/>
              </w:rPr>
              <w:t>Si</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right="27"/>
              <w:jc w:val="right"/>
              <w:rPr>
                <w:sz w:val="14"/>
              </w:rPr>
            </w:pPr>
            <w:r>
              <w:rPr>
                <w:w w:val="103"/>
                <w:sz w:val="14"/>
              </w:rPr>
              <w:t>6</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right="23"/>
              <w:jc w:val="right"/>
              <w:rPr>
                <w:sz w:val="14"/>
              </w:rPr>
            </w:pPr>
            <w:r>
              <w:rPr>
                <w:w w:val="105"/>
                <w:sz w:val="14"/>
              </w:rPr>
              <w:t>24</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4"/>
              <w:rPr>
                <w:b/>
                <w:sz w:val="14"/>
              </w:rPr>
            </w:pPr>
          </w:p>
          <w:p>
            <w:pPr>
              <w:pStyle w:val="TableParagraph"/>
              <w:ind w:left="25" w:right="202"/>
              <w:rPr>
                <w:sz w:val="14"/>
              </w:rPr>
            </w:pPr>
            <w:r>
              <w:rPr>
                <w:w w:val="105"/>
                <w:sz w:val="14"/>
              </w:rPr>
              <w:t>Escape</w:t>
            </w:r>
          </w:p>
        </w:tc>
        <w:tc>
          <w:tcPr>
            <w:tcW w:w="1016" w:type="dxa"/>
          </w:tcPr>
          <w:p>
            <w:pPr>
              <w:pStyle w:val="TableParagraph"/>
              <w:rPr>
                <w:b/>
                <w:sz w:val="14"/>
              </w:rPr>
            </w:pPr>
          </w:p>
          <w:p>
            <w:pPr>
              <w:pStyle w:val="TableParagraph"/>
              <w:spacing w:line="280" w:lineRule="auto" w:before="84"/>
              <w:ind w:left="25" w:right="-5"/>
              <w:rPr>
                <w:sz w:val="14"/>
              </w:rPr>
            </w:pPr>
            <w:r>
              <w:rPr>
                <w:w w:val="105"/>
                <w:sz w:val="14"/>
              </w:rPr>
              <w:t>Derrumbe de talud de tierra provocado por fuga de agua</w:t>
            </w:r>
          </w:p>
        </w:tc>
      </w:tr>
      <w:tr>
        <w:trPr>
          <w:trHeight w:val="1137" w:hRule="exact"/>
        </w:trPr>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right="29"/>
              <w:jc w:val="right"/>
              <w:rPr>
                <w:sz w:val="14"/>
              </w:rPr>
            </w:pPr>
            <w:r>
              <w:rPr>
                <w:sz w:val="14"/>
              </w:rPr>
              <w:t>24/08/2012</w:t>
            </w:r>
          </w:p>
        </w:tc>
        <w:tc>
          <w:tcPr>
            <w:tcW w:w="1272"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line="280" w:lineRule="auto" w:before="113"/>
              <w:ind w:left="25" w:right="13"/>
              <w:rPr>
                <w:sz w:val="14"/>
              </w:rPr>
            </w:pPr>
            <w:r>
              <w:rPr>
                <w:w w:val="105"/>
                <w:sz w:val="14"/>
              </w:rPr>
              <w:t>Colonia Tierra Colorada</w:t>
            </w:r>
          </w:p>
        </w:tc>
        <w:tc>
          <w:tcPr>
            <w:tcW w:w="113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left="25"/>
              <w:rPr>
                <w:sz w:val="14"/>
              </w:rPr>
            </w:pPr>
            <w:r>
              <w:rPr>
                <w:w w:val="105"/>
                <w:sz w:val="14"/>
              </w:rPr>
              <w:t>La Jornada</w:t>
            </w:r>
          </w:p>
        </w:tc>
        <w:tc>
          <w:tcPr>
            <w:tcW w:w="3895" w:type="dxa"/>
          </w:tcPr>
          <w:p>
            <w:pPr>
              <w:pStyle w:val="TableParagraph"/>
              <w:spacing w:line="280" w:lineRule="auto" w:before="5"/>
              <w:ind w:left="25" w:right="30"/>
              <w:rPr>
                <w:sz w:val="14"/>
              </w:rPr>
            </w:pPr>
            <w:r>
              <w:rPr>
                <w:spacing w:val="-3"/>
                <w:w w:val="105"/>
                <w:sz w:val="14"/>
              </w:rPr>
              <w:t>Una </w:t>
            </w:r>
            <w:r>
              <w:rPr>
                <w:spacing w:val="-4"/>
                <w:w w:val="105"/>
                <w:sz w:val="14"/>
              </w:rPr>
              <w:t>vivienda </w:t>
            </w:r>
            <w:r>
              <w:rPr>
                <w:spacing w:val="-3"/>
                <w:w w:val="105"/>
                <w:sz w:val="14"/>
              </w:rPr>
              <w:t>de </w:t>
            </w:r>
            <w:r>
              <w:rPr>
                <w:w w:val="105"/>
                <w:sz w:val="14"/>
              </w:rPr>
              <w:t>cartón y lámina destruida por </w:t>
            </w:r>
            <w:r>
              <w:rPr>
                <w:spacing w:val="-3"/>
                <w:w w:val="105"/>
                <w:sz w:val="14"/>
              </w:rPr>
              <w:t>un </w:t>
            </w:r>
            <w:r>
              <w:rPr>
                <w:w w:val="105"/>
                <w:sz w:val="14"/>
              </w:rPr>
              <w:t>deslave, así como 17 </w:t>
            </w:r>
            <w:r>
              <w:rPr>
                <w:spacing w:val="-4"/>
                <w:w w:val="105"/>
                <w:sz w:val="14"/>
              </w:rPr>
              <w:t>viviendas </w:t>
            </w:r>
            <w:r>
              <w:rPr>
                <w:spacing w:val="-3"/>
                <w:w w:val="105"/>
                <w:sz w:val="14"/>
              </w:rPr>
              <w:t>más </w:t>
            </w:r>
            <w:r>
              <w:rPr>
                <w:w w:val="105"/>
                <w:sz w:val="14"/>
              </w:rPr>
              <w:t>afectadas. No </w:t>
            </w:r>
            <w:r>
              <w:rPr>
                <w:spacing w:val="-4"/>
                <w:w w:val="105"/>
                <w:sz w:val="14"/>
              </w:rPr>
              <w:t>hubo </w:t>
            </w:r>
            <w:r>
              <w:rPr>
                <w:w w:val="105"/>
                <w:sz w:val="14"/>
              </w:rPr>
              <w:t>lesionados. 17 familias fueron desalojadas en tanto se reubican, pero 4 meses después 16 familias regresaron a la </w:t>
            </w:r>
            <w:r>
              <w:rPr>
                <w:spacing w:val="-3"/>
                <w:w w:val="105"/>
                <w:sz w:val="14"/>
              </w:rPr>
              <w:t>zona, ya </w:t>
            </w:r>
            <w:r>
              <w:rPr>
                <w:spacing w:val="-4"/>
                <w:w w:val="105"/>
                <w:sz w:val="14"/>
              </w:rPr>
              <w:t>que </w:t>
            </w:r>
            <w:r>
              <w:rPr>
                <w:w w:val="105"/>
                <w:sz w:val="14"/>
              </w:rPr>
              <w:t>en la Delegación les dijeron </w:t>
            </w:r>
            <w:r>
              <w:rPr>
                <w:spacing w:val="-4"/>
                <w:w w:val="105"/>
                <w:sz w:val="14"/>
              </w:rPr>
              <w:t>que </w:t>
            </w:r>
            <w:r>
              <w:rPr>
                <w:spacing w:val="-3"/>
                <w:w w:val="105"/>
                <w:sz w:val="14"/>
              </w:rPr>
              <w:t>no </w:t>
            </w:r>
            <w:r>
              <w:rPr>
                <w:spacing w:val="-4"/>
                <w:w w:val="105"/>
                <w:sz w:val="14"/>
              </w:rPr>
              <w:t>hay </w:t>
            </w:r>
            <w:r>
              <w:rPr>
                <w:w w:val="105"/>
                <w:sz w:val="14"/>
              </w:rPr>
              <w:t>presupuesto para comprarles </w:t>
            </w:r>
            <w:r>
              <w:rPr>
                <w:spacing w:val="-3"/>
                <w:w w:val="105"/>
                <w:sz w:val="14"/>
              </w:rPr>
              <w:t>un </w:t>
            </w:r>
            <w:r>
              <w:rPr>
                <w:w w:val="105"/>
                <w:sz w:val="14"/>
              </w:rPr>
              <w:t>predio, pero también les advirtieron del riesgo </w:t>
            </w:r>
            <w:r>
              <w:rPr>
                <w:spacing w:val="-3"/>
                <w:w w:val="105"/>
                <w:sz w:val="14"/>
              </w:rPr>
              <w:t>de </w:t>
            </w:r>
            <w:r>
              <w:rPr>
                <w:w w:val="105"/>
                <w:sz w:val="14"/>
              </w:rPr>
              <w:t>quedarse allí.</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right="27"/>
              <w:jc w:val="right"/>
              <w:rPr>
                <w:sz w:val="14"/>
              </w:rPr>
            </w:pPr>
            <w:r>
              <w:rPr>
                <w:w w:val="103"/>
                <w:sz w:val="14"/>
              </w:rPr>
              <w:t>0</w:t>
            </w:r>
          </w:p>
        </w:tc>
        <w:tc>
          <w:tcPr>
            <w:tcW w:w="121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right="27"/>
              <w:jc w:val="right"/>
              <w:rPr>
                <w:sz w:val="14"/>
              </w:rPr>
            </w:pPr>
            <w:r>
              <w:rPr>
                <w:w w:val="103"/>
                <w:sz w:val="14"/>
              </w:rPr>
              <w:t>0</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right="27"/>
              <w:jc w:val="right"/>
              <w:rPr>
                <w:sz w:val="14"/>
              </w:rPr>
            </w:pPr>
            <w:r>
              <w:rPr>
                <w:w w:val="103"/>
                <w:sz w:val="14"/>
              </w:rPr>
              <w:t>1</w:t>
            </w:r>
          </w:p>
        </w:tc>
        <w:tc>
          <w:tcPr>
            <w:tcW w:w="88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right="23"/>
              <w:jc w:val="right"/>
              <w:rPr>
                <w:sz w:val="14"/>
              </w:rPr>
            </w:pPr>
            <w:r>
              <w:rPr>
                <w:w w:val="105"/>
                <w:sz w:val="14"/>
              </w:rPr>
              <w:t>17</w:t>
            </w:r>
          </w:p>
        </w:tc>
        <w:tc>
          <w:tcPr>
            <w:tcW w:w="914"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2"/>
              <w:rPr>
                <w:b/>
                <w:sz w:val="12"/>
              </w:rPr>
            </w:pPr>
          </w:p>
          <w:p>
            <w:pPr>
              <w:pStyle w:val="TableParagraph"/>
              <w:ind w:left="25" w:right="202"/>
              <w:rPr>
                <w:sz w:val="14"/>
              </w:rPr>
            </w:pPr>
            <w:r>
              <w:rPr>
                <w:w w:val="105"/>
                <w:sz w:val="14"/>
              </w:rPr>
              <w:t>Escape</w:t>
            </w:r>
          </w:p>
        </w:tc>
        <w:tc>
          <w:tcPr>
            <w:tcW w:w="1016" w:type="dxa"/>
          </w:tcPr>
          <w:p>
            <w:pPr>
              <w:pStyle w:val="TableParagraph"/>
              <w:rPr>
                <w:b/>
                <w:sz w:val="14"/>
              </w:rPr>
            </w:pPr>
          </w:p>
          <w:p>
            <w:pPr>
              <w:pStyle w:val="TableParagraph"/>
              <w:rPr>
                <w:b/>
                <w:sz w:val="14"/>
              </w:rPr>
            </w:pPr>
          </w:p>
          <w:p>
            <w:pPr>
              <w:pStyle w:val="TableParagraph"/>
              <w:rPr>
                <w:b/>
                <w:sz w:val="14"/>
              </w:rPr>
            </w:pPr>
          </w:p>
          <w:p>
            <w:pPr>
              <w:pStyle w:val="TableParagraph"/>
              <w:spacing w:line="280" w:lineRule="auto" w:before="87"/>
              <w:ind w:left="25" w:right="10"/>
              <w:rPr>
                <w:sz w:val="14"/>
              </w:rPr>
            </w:pPr>
            <w:r>
              <w:rPr>
                <w:spacing w:val="-3"/>
                <w:w w:val="105"/>
                <w:sz w:val="14"/>
              </w:rPr>
              <w:t>Causado </w:t>
            </w:r>
            <w:r>
              <w:rPr>
                <w:w w:val="105"/>
                <w:sz w:val="14"/>
              </w:rPr>
              <w:t>por </w:t>
            </w:r>
            <w:r>
              <w:rPr>
                <w:spacing w:val="-4"/>
                <w:w w:val="105"/>
                <w:sz w:val="14"/>
              </w:rPr>
              <w:t>una </w:t>
            </w:r>
            <w:r>
              <w:rPr>
                <w:w w:val="105"/>
                <w:sz w:val="14"/>
              </w:rPr>
              <w:t>fuga </w:t>
            </w:r>
            <w:r>
              <w:rPr>
                <w:spacing w:val="-3"/>
                <w:w w:val="105"/>
                <w:sz w:val="14"/>
              </w:rPr>
              <w:t>de </w:t>
            </w:r>
            <w:r>
              <w:rPr>
                <w:spacing w:val="-4"/>
                <w:w w:val="105"/>
                <w:sz w:val="14"/>
              </w:rPr>
              <w:t>agua </w:t>
            </w:r>
            <w:r>
              <w:rPr>
                <w:w w:val="105"/>
                <w:sz w:val="14"/>
              </w:rPr>
              <w:t>en tubería</w:t>
            </w:r>
          </w:p>
        </w:tc>
      </w:tr>
      <w:tr>
        <w:trPr>
          <w:trHeight w:val="205" w:hRule="exact"/>
        </w:trPr>
        <w:tc>
          <w:tcPr>
            <w:tcW w:w="888" w:type="dxa"/>
          </w:tcPr>
          <w:p>
            <w:pPr>
              <w:pStyle w:val="TableParagraph"/>
              <w:spacing w:before="14"/>
              <w:ind w:right="29"/>
              <w:jc w:val="right"/>
              <w:rPr>
                <w:sz w:val="14"/>
              </w:rPr>
            </w:pPr>
            <w:r>
              <w:rPr>
                <w:sz w:val="14"/>
              </w:rPr>
              <w:t>22/09/2013</w:t>
            </w:r>
          </w:p>
        </w:tc>
        <w:tc>
          <w:tcPr>
            <w:tcW w:w="1272" w:type="dxa"/>
          </w:tcPr>
          <w:p>
            <w:pPr>
              <w:pStyle w:val="TableParagraph"/>
              <w:spacing w:before="14"/>
              <w:ind w:left="25" w:right="13"/>
              <w:rPr>
                <w:sz w:val="14"/>
              </w:rPr>
            </w:pPr>
            <w:r>
              <w:rPr>
                <w:sz w:val="14"/>
              </w:rPr>
              <w:t>La Carbonera</w:t>
            </w:r>
          </w:p>
        </w:tc>
        <w:tc>
          <w:tcPr>
            <w:tcW w:w="1136" w:type="dxa"/>
          </w:tcPr>
          <w:p>
            <w:pPr>
              <w:pStyle w:val="TableParagraph"/>
              <w:spacing w:before="14"/>
              <w:ind w:left="25"/>
              <w:rPr>
                <w:sz w:val="14"/>
              </w:rPr>
            </w:pPr>
            <w:r>
              <w:rPr>
                <w:w w:val="105"/>
                <w:sz w:val="14"/>
              </w:rPr>
              <w:t>La Jornada</w:t>
            </w:r>
          </w:p>
        </w:tc>
        <w:tc>
          <w:tcPr>
            <w:tcW w:w="3895" w:type="dxa"/>
          </w:tcPr>
          <w:p>
            <w:pPr>
              <w:pStyle w:val="TableParagraph"/>
              <w:spacing w:before="14"/>
              <w:ind w:left="25" w:right="8"/>
              <w:rPr>
                <w:sz w:val="14"/>
              </w:rPr>
            </w:pPr>
            <w:r>
              <w:rPr>
                <w:w w:val="105"/>
                <w:sz w:val="14"/>
              </w:rPr>
              <w:t>Una mujer muere al derrumbarse un talud sobre su vivienda.</w:t>
            </w:r>
          </w:p>
        </w:tc>
        <w:tc>
          <w:tcPr>
            <w:tcW w:w="888" w:type="dxa"/>
          </w:tcPr>
          <w:p>
            <w:pPr>
              <w:pStyle w:val="TableParagraph"/>
              <w:spacing w:before="14"/>
              <w:ind w:right="27"/>
              <w:jc w:val="right"/>
              <w:rPr>
                <w:sz w:val="14"/>
              </w:rPr>
            </w:pPr>
            <w:r>
              <w:rPr>
                <w:w w:val="103"/>
                <w:sz w:val="14"/>
              </w:rPr>
              <w:t>1</w:t>
            </w:r>
          </w:p>
        </w:tc>
        <w:tc>
          <w:tcPr>
            <w:tcW w:w="1213" w:type="dxa"/>
          </w:tcPr>
          <w:p>
            <w:pPr>
              <w:pStyle w:val="TableParagraph"/>
              <w:spacing w:before="14"/>
              <w:ind w:right="27"/>
              <w:jc w:val="right"/>
              <w:rPr>
                <w:sz w:val="14"/>
              </w:rPr>
            </w:pPr>
            <w:r>
              <w:rPr>
                <w:w w:val="103"/>
                <w:sz w:val="14"/>
              </w:rPr>
              <w:t>0</w:t>
            </w:r>
          </w:p>
        </w:tc>
        <w:tc>
          <w:tcPr>
            <w:tcW w:w="888" w:type="dxa"/>
          </w:tcPr>
          <w:p>
            <w:pPr>
              <w:pStyle w:val="TableParagraph"/>
              <w:spacing w:before="14"/>
              <w:ind w:right="27"/>
              <w:jc w:val="right"/>
              <w:rPr>
                <w:sz w:val="14"/>
              </w:rPr>
            </w:pPr>
            <w:r>
              <w:rPr>
                <w:w w:val="103"/>
                <w:sz w:val="14"/>
              </w:rPr>
              <w:t>1</w:t>
            </w:r>
          </w:p>
        </w:tc>
        <w:tc>
          <w:tcPr>
            <w:tcW w:w="888" w:type="dxa"/>
          </w:tcPr>
          <w:p>
            <w:pPr>
              <w:pStyle w:val="TableParagraph"/>
              <w:spacing w:before="14"/>
              <w:ind w:right="28"/>
              <w:jc w:val="right"/>
              <w:rPr>
                <w:sz w:val="14"/>
              </w:rPr>
            </w:pPr>
            <w:r>
              <w:rPr>
                <w:w w:val="103"/>
                <w:sz w:val="14"/>
              </w:rPr>
              <w:t>0</w:t>
            </w:r>
          </w:p>
        </w:tc>
        <w:tc>
          <w:tcPr>
            <w:tcW w:w="914" w:type="dxa"/>
          </w:tcPr>
          <w:p>
            <w:pPr>
              <w:pStyle w:val="TableParagraph"/>
              <w:spacing w:before="14"/>
              <w:ind w:left="25" w:right="202"/>
              <w:rPr>
                <w:sz w:val="14"/>
              </w:rPr>
            </w:pPr>
            <w:r>
              <w:rPr>
                <w:w w:val="105"/>
                <w:sz w:val="14"/>
              </w:rPr>
              <w:t>Lluvias</w:t>
            </w:r>
          </w:p>
        </w:tc>
        <w:tc>
          <w:tcPr>
            <w:tcW w:w="1016" w:type="dxa"/>
          </w:tcPr>
          <w:p>
            <w:pPr/>
          </w:p>
        </w:tc>
      </w:tr>
      <w:tr>
        <w:trPr>
          <w:trHeight w:val="385" w:hRule="exact"/>
        </w:trPr>
        <w:tc>
          <w:tcPr>
            <w:tcW w:w="888" w:type="dxa"/>
          </w:tcPr>
          <w:p>
            <w:pPr>
              <w:pStyle w:val="TableParagraph"/>
              <w:spacing w:before="10"/>
              <w:rPr>
                <w:b/>
                <w:sz w:val="16"/>
              </w:rPr>
            </w:pPr>
          </w:p>
          <w:p>
            <w:pPr>
              <w:pStyle w:val="TableParagraph"/>
              <w:ind w:right="29"/>
              <w:jc w:val="right"/>
              <w:rPr>
                <w:sz w:val="14"/>
              </w:rPr>
            </w:pPr>
            <w:r>
              <w:rPr>
                <w:sz w:val="14"/>
              </w:rPr>
              <w:t>22/09/2013</w:t>
            </w:r>
          </w:p>
        </w:tc>
        <w:tc>
          <w:tcPr>
            <w:tcW w:w="1272" w:type="dxa"/>
          </w:tcPr>
          <w:p>
            <w:pPr>
              <w:pStyle w:val="TableParagraph"/>
              <w:spacing w:before="10"/>
              <w:rPr>
                <w:b/>
                <w:sz w:val="16"/>
              </w:rPr>
            </w:pPr>
          </w:p>
          <w:p>
            <w:pPr>
              <w:pStyle w:val="TableParagraph"/>
              <w:ind w:left="25" w:right="13"/>
              <w:rPr>
                <w:sz w:val="14"/>
              </w:rPr>
            </w:pPr>
            <w:r>
              <w:rPr>
                <w:w w:val="105"/>
                <w:sz w:val="14"/>
              </w:rPr>
              <w:t>Tochihuehue</w:t>
            </w:r>
          </w:p>
        </w:tc>
        <w:tc>
          <w:tcPr>
            <w:tcW w:w="1136" w:type="dxa"/>
          </w:tcPr>
          <w:p>
            <w:pPr>
              <w:pStyle w:val="TableParagraph"/>
              <w:spacing w:before="10"/>
              <w:rPr>
                <w:b/>
                <w:sz w:val="16"/>
              </w:rPr>
            </w:pPr>
          </w:p>
          <w:p>
            <w:pPr>
              <w:pStyle w:val="TableParagraph"/>
              <w:ind w:left="25"/>
              <w:rPr>
                <w:sz w:val="14"/>
              </w:rPr>
            </w:pPr>
            <w:r>
              <w:rPr>
                <w:w w:val="105"/>
                <w:sz w:val="14"/>
              </w:rPr>
              <w:t>La Jornada</w:t>
            </w:r>
          </w:p>
        </w:tc>
        <w:tc>
          <w:tcPr>
            <w:tcW w:w="3895" w:type="dxa"/>
          </w:tcPr>
          <w:p>
            <w:pPr>
              <w:pStyle w:val="TableParagraph"/>
              <w:spacing w:line="280" w:lineRule="auto" w:before="6"/>
              <w:ind w:left="25" w:right="151"/>
              <w:rPr>
                <w:sz w:val="14"/>
              </w:rPr>
            </w:pPr>
            <w:r>
              <w:rPr>
                <w:w w:val="105"/>
                <w:sz w:val="14"/>
              </w:rPr>
              <w:t>Varios deslaves originaron socavones que dejaron inaccesibles algunas zonas.</w:t>
            </w:r>
          </w:p>
        </w:tc>
        <w:tc>
          <w:tcPr>
            <w:tcW w:w="888" w:type="dxa"/>
          </w:tcPr>
          <w:p>
            <w:pPr>
              <w:pStyle w:val="TableParagraph"/>
              <w:spacing w:before="10"/>
              <w:rPr>
                <w:b/>
                <w:sz w:val="16"/>
              </w:rPr>
            </w:pPr>
          </w:p>
          <w:p>
            <w:pPr>
              <w:pStyle w:val="TableParagraph"/>
              <w:ind w:right="27"/>
              <w:jc w:val="right"/>
              <w:rPr>
                <w:sz w:val="14"/>
              </w:rPr>
            </w:pPr>
            <w:r>
              <w:rPr>
                <w:w w:val="103"/>
                <w:sz w:val="14"/>
              </w:rPr>
              <w:t>0</w:t>
            </w:r>
          </w:p>
        </w:tc>
        <w:tc>
          <w:tcPr>
            <w:tcW w:w="1213" w:type="dxa"/>
          </w:tcPr>
          <w:p>
            <w:pPr>
              <w:pStyle w:val="TableParagraph"/>
              <w:spacing w:before="10"/>
              <w:rPr>
                <w:b/>
                <w:sz w:val="16"/>
              </w:rPr>
            </w:pPr>
          </w:p>
          <w:p>
            <w:pPr>
              <w:pStyle w:val="TableParagraph"/>
              <w:ind w:right="27"/>
              <w:jc w:val="right"/>
              <w:rPr>
                <w:sz w:val="14"/>
              </w:rPr>
            </w:pPr>
            <w:r>
              <w:rPr>
                <w:w w:val="103"/>
                <w:sz w:val="14"/>
              </w:rPr>
              <w:t>0</w:t>
            </w:r>
          </w:p>
        </w:tc>
        <w:tc>
          <w:tcPr>
            <w:tcW w:w="888" w:type="dxa"/>
          </w:tcPr>
          <w:p>
            <w:pPr>
              <w:pStyle w:val="TableParagraph"/>
              <w:spacing w:before="10"/>
              <w:rPr>
                <w:b/>
                <w:sz w:val="16"/>
              </w:rPr>
            </w:pPr>
          </w:p>
          <w:p>
            <w:pPr>
              <w:pStyle w:val="TableParagraph"/>
              <w:ind w:right="27"/>
              <w:jc w:val="right"/>
              <w:rPr>
                <w:sz w:val="14"/>
              </w:rPr>
            </w:pPr>
            <w:r>
              <w:rPr>
                <w:w w:val="103"/>
                <w:sz w:val="14"/>
              </w:rPr>
              <w:t>0</w:t>
            </w:r>
          </w:p>
        </w:tc>
        <w:tc>
          <w:tcPr>
            <w:tcW w:w="888" w:type="dxa"/>
          </w:tcPr>
          <w:p>
            <w:pPr>
              <w:pStyle w:val="TableParagraph"/>
              <w:spacing w:before="10"/>
              <w:rPr>
                <w:b/>
                <w:sz w:val="16"/>
              </w:rPr>
            </w:pPr>
          </w:p>
          <w:p>
            <w:pPr>
              <w:pStyle w:val="TableParagraph"/>
              <w:ind w:right="28"/>
              <w:jc w:val="right"/>
              <w:rPr>
                <w:sz w:val="14"/>
              </w:rPr>
            </w:pPr>
            <w:r>
              <w:rPr>
                <w:w w:val="103"/>
                <w:sz w:val="14"/>
              </w:rPr>
              <w:t>0</w:t>
            </w:r>
          </w:p>
        </w:tc>
        <w:tc>
          <w:tcPr>
            <w:tcW w:w="914" w:type="dxa"/>
          </w:tcPr>
          <w:p>
            <w:pPr>
              <w:pStyle w:val="TableParagraph"/>
              <w:spacing w:before="10"/>
              <w:rPr>
                <w:b/>
                <w:sz w:val="16"/>
              </w:rPr>
            </w:pPr>
          </w:p>
          <w:p>
            <w:pPr>
              <w:pStyle w:val="TableParagraph"/>
              <w:ind w:left="25" w:right="202"/>
              <w:rPr>
                <w:sz w:val="14"/>
              </w:rPr>
            </w:pPr>
            <w:r>
              <w:rPr>
                <w:w w:val="105"/>
                <w:sz w:val="14"/>
              </w:rPr>
              <w:t>Lluvias</w:t>
            </w:r>
          </w:p>
        </w:tc>
        <w:tc>
          <w:tcPr>
            <w:tcW w:w="1016" w:type="dxa"/>
          </w:tcPr>
          <w:p>
            <w:pPr/>
          </w:p>
        </w:tc>
      </w:tr>
      <w:tr>
        <w:trPr>
          <w:trHeight w:val="385" w:hRule="exact"/>
        </w:trPr>
        <w:tc>
          <w:tcPr>
            <w:tcW w:w="888" w:type="dxa"/>
          </w:tcPr>
          <w:p>
            <w:pPr>
              <w:pStyle w:val="TableParagraph"/>
              <w:spacing w:before="10"/>
              <w:rPr>
                <w:b/>
                <w:sz w:val="16"/>
              </w:rPr>
            </w:pPr>
          </w:p>
          <w:p>
            <w:pPr>
              <w:pStyle w:val="TableParagraph"/>
              <w:ind w:right="29"/>
              <w:jc w:val="right"/>
              <w:rPr>
                <w:sz w:val="14"/>
              </w:rPr>
            </w:pPr>
            <w:r>
              <w:rPr>
                <w:sz w:val="14"/>
              </w:rPr>
              <w:t>22/09/2013</w:t>
            </w:r>
          </w:p>
        </w:tc>
        <w:tc>
          <w:tcPr>
            <w:tcW w:w="1272" w:type="dxa"/>
          </w:tcPr>
          <w:p>
            <w:pPr>
              <w:pStyle w:val="TableParagraph"/>
              <w:spacing w:before="10"/>
              <w:rPr>
                <w:b/>
                <w:sz w:val="16"/>
              </w:rPr>
            </w:pPr>
          </w:p>
          <w:p>
            <w:pPr>
              <w:pStyle w:val="TableParagraph"/>
              <w:ind w:left="25" w:right="13"/>
              <w:rPr>
                <w:sz w:val="14"/>
              </w:rPr>
            </w:pPr>
            <w:r>
              <w:rPr>
                <w:w w:val="105"/>
                <w:sz w:val="14"/>
              </w:rPr>
              <w:t>El Acotal</w:t>
            </w:r>
          </w:p>
        </w:tc>
        <w:tc>
          <w:tcPr>
            <w:tcW w:w="1136" w:type="dxa"/>
          </w:tcPr>
          <w:p>
            <w:pPr>
              <w:pStyle w:val="TableParagraph"/>
              <w:spacing w:before="10"/>
              <w:rPr>
                <w:b/>
                <w:sz w:val="16"/>
              </w:rPr>
            </w:pPr>
          </w:p>
          <w:p>
            <w:pPr>
              <w:pStyle w:val="TableParagraph"/>
              <w:ind w:left="25"/>
              <w:rPr>
                <w:sz w:val="14"/>
              </w:rPr>
            </w:pPr>
            <w:r>
              <w:rPr>
                <w:w w:val="105"/>
                <w:sz w:val="14"/>
              </w:rPr>
              <w:t>La Jornada</w:t>
            </w:r>
          </w:p>
        </w:tc>
        <w:tc>
          <w:tcPr>
            <w:tcW w:w="3895" w:type="dxa"/>
          </w:tcPr>
          <w:p>
            <w:pPr>
              <w:pStyle w:val="TableParagraph"/>
              <w:spacing w:line="280" w:lineRule="auto" w:before="6"/>
              <w:ind w:left="25" w:right="151"/>
              <w:rPr>
                <w:sz w:val="14"/>
              </w:rPr>
            </w:pPr>
            <w:r>
              <w:rPr>
                <w:w w:val="105"/>
                <w:sz w:val="14"/>
              </w:rPr>
              <w:t>Varios deslaves originaron socavones que dejaron inaccesibles algunas zonas.</w:t>
            </w:r>
          </w:p>
        </w:tc>
        <w:tc>
          <w:tcPr>
            <w:tcW w:w="888" w:type="dxa"/>
          </w:tcPr>
          <w:p>
            <w:pPr>
              <w:pStyle w:val="TableParagraph"/>
              <w:spacing w:before="10"/>
              <w:rPr>
                <w:b/>
                <w:sz w:val="16"/>
              </w:rPr>
            </w:pPr>
          </w:p>
          <w:p>
            <w:pPr>
              <w:pStyle w:val="TableParagraph"/>
              <w:ind w:right="27"/>
              <w:jc w:val="right"/>
              <w:rPr>
                <w:sz w:val="14"/>
              </w:rPr>
            </w:pPr>
            <w:r>
              <w:rPr>
                <w:w w:val="103"/>
                <w:sz w:val="14"/>
              </w:rPr>
              <w:t>0</w:t>
            </w:r>
          </w:p>
        </w:tc>
        <w:tc>
          <w:tcPr>
            <w:tcW w:w="1213" w:type="dxa"/>
          </w:tcPr>
          <w:p>
            <w:pPr>
              <w:pStyle w:val="TableParagraph"/>
              <w:spacing w:before="10"/>
              <w:rPr>
                <w:b/>
                <w:sz w:val="16"/>
              </w:rPr>
            </w:pPr>
          </w:p>
          <w:p>
            <w:pPr>
              <w:pStyle w:val="TableParagraph"/>
              <w:ind w:right="27"/>
              <w:jc w:val="right"/>
              <w:rPr>
                <w:sz w:val="14"/>
              </w:rPr>
            </w:pPr>
            <w:r>
              <w:rPr>
                <w:w w:val="103"/>
                <w:sz w:val="14"/>
              </w:rPr>
              <w:t>0</w:t>
            </w:r>
          </w:p>
        </w:tc>
        <w:tc>
          <w:tcPr>
            <w:tcW w:w="888" w:type="dxa"/>
          </w:tcPr>
          <w:p>
            <w:pPr>
              <w:pStyle w:val="TableParagraph"/>
              <w:spacing w:before="10"/>
              <w:rPr>
                <w:b/>
                <w:sz w:val="16"/>
              </w:rPr>
            </w:pPr>
          </w:p>
          <w:p>
            <w:pPr>
              <w:pStyle w:val="TableParagraph"/>
              <w:ind w:right="27"/>
              <w:jc w:val="right"/>
              <w:rPr>
                <w:sz w:val="14"/>
              </w:rPr>
            </w:pPr>
            <w:r>
              <w:rPr>
                <w:w w:val="103"/>
                <w:sz w:val="14"/>
              </w:rPr>
              <w:t>0</w:t>
            </w:r>
          </w:p>
        </w:tc>
        <w:tc>
          <w:tcPr>
            <w:tcW w:w="888" w:type="dxa"/>
          </w:tcPr>
          <w:p>
            <w:pPr>
              <w:pStyle w:val="TableParagraph"/>
              <w:spacing w:before="10"/>
              <w:rPr>
                <w:b/>
                <w:sz w:val="16"/>
              </w:rPr>
            </w:pPr>
          </w:p>
          <w:p>
            <w:pPr>
              <w:pStyle w:val="TableParagraph"/>
              <w:ind w:right="28"/>
              <w:jc w:val="right"/>
              <w:rPr>
                <w:sz w:val="14"/>
              </w:rPr>
            </w:pPr>
            <w:r>
              <w:rPr>
                <w:w w:val="103"/>
                <w:sz w:val="14"/>
              </w:rPr>
              <w:t>0</w:t>
            </w:r>
          </w:p>
        </w:tc>
        <w:tc>
          <w:tcPr>
            <w:tcW w:w="914" w:type="dxa"/>
          </w:tcPr>
          <w:p>
            <w:pPr>
              <w:pStyle w:val="TableParagraph"/>
              <w:spacing w:before="10"/>
              <w:rPr>
                <w:b/>
                <w:sz w:val="16"/>
              </w:rPr>
            </w:pPr>
          </w:p>
          <w:p>
            <w:pPr>
              <w:pStyle w:val="TableParagraph"/>
              <w:ind w:left="25" w:right="202"/>
              <w:rPr>
                <w:sz w:val="14"/>
              </w:rPr>
            </w:pPr>
            <w:r>
              <w:rPr>
                <w:w w:val="105"/>
                <w:sz w:val="14"/>
              </w:rPr>
              <w:t>Lluvias</w:t>
            </w:r>
          </w:p>
        </w:tc>
        <w:tc>
          <w:tcPr>
            <w:tcW w:w="1016" w:type="dxa"/>
          </w:tcPr>
          <w:p>
            <w:pPr/>
          </w:p>
        </w:tc>
      </w:tr>
      <w:tr>
        <w:trPr>
          <w:trHeight w:val="205" w:hRule="exact"/>
        </w:trPr>
        <w:tc>
          <w:tcPr>
            <w:tcW w:w="888" w:type="dxa"/>
          </w:tcPr>
          <w:p>
            <w:pPr>
              <w:pStyle w:val="TableParagraph"/>
              <w:spacing w:before="14"/>
              <w:ind w:right="29"/>
              <w:jc w:val="right"/>
              <w:rPr>
                <w:sz w:val="14"/>
              </w:rPr>
            </w:pPr>
            <w:r>
              <w:rPr>
                <w:sz w:val="14"/>
              </w:rPr>
              <w:t>22/09/2013</w:t>
            </w:r>
          </w:p>
        </w:tc>
        <w:tc>
          <w:tcPr>
            <w:tcW w:w="1272" w:type="dxa"/>
          </w:tcPr>
          <w:p>
            <w:pPr>
              <w:pStyle w:val="TableParagraph"/>
              <w:spacing w:before="14"/>
              <w:ind w:left="25" w:right="13"/>
              <w:rPr>
                <w:sz w:val="14"/>
              </w:rPr>
            </w:pPr>
            <w:r>
              <w:rPr>
                <w:w w:val="105"/>
                <w:sz w:val="14"/>
              </w:rPr>
              <w:t>Tierra Colorada</w:t>
            </w:r>
          </w:p>
        </w:tc>
        <w:tc>
          <w:tcPr>
            <w:tcW w:w="1136" w:type="dxa"/>
          </w:tcPr>
          <w:p>
            <w:pPr>
              <w:pStyle w:val="TableParagraph"/>
              <w:spacing w:before="14"/>
              <w:ind w:left="25"/>
              <w:rPr>
                <w:sz w:val="14"/>
              </w:rPr>
            </w:pPr>
            <w:r>
              <w:rPr>
                <w:sz w:val="14"/>
              </w:rPr>
              <w:t>El Universal</w:t>
            </w:r>
          </w:p>
        </w:tc>
        <w:tc>
          <w:tcPr>
            <w:tcW w:w="3895" w:type="dxa"/>
          </w:tcPr>
          <w:p>
            <w:pPr/>
          </w:p>
        </w:tc>
        <w:tc>
          <w:tcPr>
            <w:tcW w:w="888" w:type="dxa"/>
          </w:tcPr>
          <w:p>
            <w:pPr>
              <w:pStyle w:val="TableParagraph"/>
              <w:spacing w:before="14"/>
              <w:ind w:right="27"/>
              <w:jc w:val="right"/>
              <w:rPr>
                <w:sz w:val="14"/>
              </w:rPr>
            </w:pPr>
            <w:r>
              <w:rPr>
                <w:w w:val="103"/>
                <w:sz w:val="14"/>
              </w:rPr>
              <w:t>0</w:t>
            </w:r>
          </w:p>
        </w:tc>
        <w:tc>
          <w:tcPr>
            <w:tcW w:w="1213" w:type="dxa"/>
          </w:tcPr>
          <w:p>
            <w:pPr>
              <w:pStyle w:val="TableParagraph"/>
              <w:spacing w:before="14"/>
              <w:ind w:right="27"/>
              <w:jc w:val="right"/>
              <w:rPr>
                <w:sz w:val="14"/>
              </w:rPr>
            </w:pPr>
            <w:r>
              <w:rPr>
                <w:w w:val="103"/>
                <w:sz w:val="14"/>
              </w:rPr>
              <w:t>0</w:t>
            </w:r>
          </w:p>
        </w:tc>
        <w:tc>
          <w:tcPr>
            <w:tcW w:w="888" w:type="dxa"/>
          </w:tcPr>
          <w:p>
            <w:pPr>
              <w:pStyle w:val="TableParagraph"/>
              <w:spacing w:before="14"/>
              <w:ind w:right="27"/>
              <w:jc w:val="right"/>
              <w:rPr>
                <w:sz w:val="14"/>
              </w:rPr>
            </w:pPr>
            <w:r>
              <w:rPr>
                <w:w w:val="103"/>
                <w:sz w:val="14"/>
              </w:rPr>
              <w:t>0</w:t>
            </w:r>
          </w:p>
        </w:tc>
        <w:tc>
          <w:tcPr>
            <w:tcW w:w="888" w:type="dxa"/>
          </w:tcPr>
          <w:p>
            <w:pPr>
              <w:pStyle w:val="TableParagraph"/>
              <w:spacing w:before="14"/>
              <w:ind w:left="25" w:right="116"/>
              <w:rPr>
                <w:sz w:val="14"/>
              </w:rPr>
            </w:pPr>
            <w:r>
              <w:rPr>
                <w:w w:val="105"/>
                <w:sz w:val="14"/>
              </w:rPr>
              <w:t>Si</w:t>
            </w:r>
          </w:p>
        </w:tc>
        <w:tc>
          <w:tcPr>
            <w:tcW w:w="914" w:type="dxa"/>
          </w:tcPr>
          <w:p>
            <w:pPr>
              <w:pStyle w:val="TableParagraph"/>
              <w:spacing w:before="14"/>
              <w:ind w:left="25" w:right="202"/>
              <w:rPr>
                <w:sz w:val="14"/>
              </w:rPr>
            </w:pPr>
            <w:r>
              <w:rPr>
                <w:w w:val="105"/>
                <w:sz w:val="14"/>
              </w:rPr>
              <w:t>Lluvias</w:t>
            </w:r>
          </w:p>
        </w:tc>
        <w:tc>
          <w:tcPr>
            <w:tcW w:w="1016" w:type="dxa"/>
          </w:tcPr>
          <w:p>
            <w:pPr/>
          </w:p>
        </w:tc>
      </w:tr>
      <w:tr>
        <w:trPr>
          <w:trHeight w:val="384" w:hRule="exact"/>
        </w:trPr>
        <w:tc>
          <w:tcPr>
            <w:tcW w:w="888" w:type="dxa"/>
            <w:tcBorders>
              <w:bottom w:val="single" w:sz="4" w:space="0" w:color="000000"/>
            </w:tcBorders>
          </w:tcPr>
          <w:p>
            <w:pPr>
              <w:pStyle w:val="TableParagraph"/>
              <w:spacing w:before="9"/>
              <w:rPr>
                <w:b/>
                <w:sz w:val="16"/>
              </w:rPr>
            </w:pPr>
          </w:p>
          <w:p>
            <w:pPr>
              <w:pStyle w:val="TableParagraph"/>
              <w:spacing w:before="1"/>
              <w:ind w:right="29"/>
              <w:jc w:val="right"/>
              <w:rPr>
                <w:sz w:val="14"/>
              </w:rPr>
            </w:pPr>
            <w:r>
              <w:rPr>
                <w:sz w:val="14"/>
              </w:rPr>
              <w:t>22/09/2013</w:t>
            </w:r>
          </w:p>
        </w:tc>
        <w:tc>
          <w:tcPr>
            <w:tcW w:w="1272" w:type="dxa"/>
            <w:tcBorders>
              <w:bottom w:val="single" w:sz="4" w:space="0" w:color="000000"/>
            </w:tcBorders>
          </w:tcPr>
          <w:p>
            <w:pPr>
              <w:pStyle w:val="TableParagraph"/>
              <w:spacing w:line="280" w:lineRule="auto" w:before="5"/>
              <w:ind w:left="25" w:right="13"/>
              <w:rPr>
                <w:sz w:val="14"/>
              </w:rPr>
            </w:pPr>
            <w:r>
              <w:rPr>
                <w:w w:val="105"/>
                <w:sz w:val="14"/>
              </w:rPr>
              <w:t>Barranca La Coyotera</w:t>
            </w:r>
          </w:p>
        </w:tc>
        <w:tc>
          <w:tcPr>
            <w:tcW w:w="1136" w:type="dxa"/>
            <w:tcBorders>
              <w:bottom w:val="single" w:sz="4" w:space="0" w:color="000000"/>
            </w:tcBorders>
          </w:tcPr>
          <w:p>
            <w:pPr>
              <w:pStyle w:val="TableParagraph"/>
              <w:spacing w:before="9"/>
              <w:rPr>
                <w:b/>
                <w:sz w:val="16"/>
              </w:rPr>
            </w:pPr>
          </w:p>
          <w:p>
            <w:pPr>
              <w:pStyle w:val="TableParagraph"/>
              <w:spacing w:before="1"/>
              <w:ind w:left="25"/>
              <w:rPr>
                <w:sz w:val="14"/>
              </w:rPr>
            </w:pPr>
            <w:r>
              <w:rPr>
                <w:sz w:val="14"/>
              </w:rPr>
              <w:t>El Universal</w:t>
            </w:r>
          </w:p>
        </w:tc>
        <w:tc>
          <w:tcPr>
            <w:tcW w:w="3895" w:type="dxa"/>
            <w:tcBorders>
              <w:bottom w:val="single" w:sz="4" w:space="0" w:color="000000"/>
            </w:tcBorders>
          </w:tcPr>
          <w:p>
            <w:pPr>
              <w:pStyle w:val="TableParagraph"/>
              <w:spacing w:line="280" w:lineRule="auto" w:before="5"/>
              <w:ind w:left="25" w:right="8"/>
              <w:rPr>
                <w:sz w:val="14"/>
              </w:rPr>
            </w:pPr>
            <w:r>
              <w:rPr>
                <w:w w:val="105"/>
                <w:sz w:val="14"/>
              </w:rPr>
              <w:t>Varios derrumbes </w:t>
            </w:r>
            <w:r>
              <w:rPr>
                <w:spacing w:val="-3"/>
                <w:w w:val="105"/>
                <w:sz w:val="14"/>
              </w:rPr>
              <w:t>donde un </w:t>
            </w:r>
            <w:r>
              <w:rPr>
                <w:w w:val="105"/>
                <w:sz w:val="14"/>
              </w:rPr>
              <w:t>cuarto deshabitado se </w:t>
            </w:r>
            <w:r>
              <w:rPr>
                <w:spacing w:val="-4"/>
                <w:w w:val="105"/>
                <w:sz w:val="14"/>
              </w:rPr>
              <w:t>vino </w:t>
            </w:r>
            <w:r>
              <w:rPr>
                <w:spacing w:val="-3"/>
                <w:w w:val="105"/>
                <w:sz w:val="14"/>
              </w:rPr>
              <w:t>abajo </w:t>
            </w:r>
            <w:r>
              <w:rPr>
                <w:w w:val="105"/>
                <w:sz w:val="14"/>
              </w:rPr>
              <w:t>y </w:t>
            </w:r>
            <w:r>
              <w:rPr>
                <w:spacing w:val="-4"/>
                <w:w w:val="105"/>
                <w:sz w:val="14"/>
              </w:rPr>
              <w:t>varias viviendas </w:t>
            </w:r>
            <w:r>
              <w:rPr>
                <w:w w:val="105"/>
                <w:sz w:val="14"/>
              </w:rPr>
              <w:t>resultaron afectadas.</w:t>
            </w:r>
          </w:p>
        </w:tc>
        <w:tc>
          <w:tcPr>
            <w:tcW w:w="888" w:type="dxa"/>
            <w:tcBorders>
              <w:bottom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0</w:t>
            </w:r>
          </w:p>
        </w:tc>
        <w:tc>
          <w:tcPr>
            <w:tcW w:w="1213" w:type="dxa"/>
            <w:tcBorders>
              <w:bottom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0</w:t>
            </w:r>
          </w:p>
        </w:tc>
        <w:tc>
          <w:tcPr>
            <w:tcW w:w="888" w:type="dxa"/>
            <w:tcBorders>
              <w:bottom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1</w:t>
            </w:r>
          </w:p>
        </w:tc>
        <w:tc>
          <w:tcPr>
            <w:tcW w:w="888" w:type="dxa"/>
            <w:tcBorders>
              <w:bottom w:val="single" w:sz="4" w:space="0" w:color="000000"/>
            </w:tcBorders>
          </w:tcPr>
          <w:p>
            <w:pPr>
              <w:pStyle w:val="TableParagraph"/>
              <w:spacing w:before="9"/>
              <w:rPr>
                <w:b/>
                <w:sz w:val="16"/>
              </w:rPr>
            </w:pPr>
          </w:p>
          <w:p>
            <w:pPr>
              <w:pStyle w:val="TableParagraph"/>
              <w:spacing w:before="1"/>
              <w:ind w:left="25" w:right="116"/>
              <w:rPr>
                <w:sz w:val="14"/>
              </w:rPr>
            </w:pPr>
            <w:r>
              <w:rPr>
                <w:w w:val="105"/>
                <w:sz w:val="14"/>
              </w:rPr>
              <w:t>Si</w:t>
            </w:r>
          </w:p>
        </w:tc>
        <w:tc>
          <w:tcPr>
            <w:tcW w:w="914" w:type="dxa"/>
            <w:tcBorders>
              <w:bottom w:val="single" w:sz="4" w:space="0" w:color="000000"/>
            </w:tcBorders>
          </w:tcPr>
          <w:p>
            <w:pPr>
              <w:pStyle w:val="TableParagraph"/>
              <w:spacing w:before="9"/>
              <w:rPr>
                <w:b/>
                <w:sz w:val="16"/>
              </w:rPr>
            </w:pPr>
          </w:p>
          <w:p>
            <w:pPr>
              <w:pStyle w:val="TableParagraph"/>
              <w:spacing w:before="1"/>
              <w:ind w:left="25" w:right="202"/>
              <w:rPr>
                <w:sz w:val="14"/>
              </w:rPr>
            </w:pPr>
            <w:r>
              <w:rPr>
                <w:w w:val="105"/>
                <w:sz w:val="14"/>
              </w:rPr>
              <w:t>Lluvias</w:t>
            </w:r>
          </w:p>
        </w:tc>
        <w:tc>
          <w:tcPr>
            <w:tcW w:w="1016" w:type="dxa"/>
            <w:tcBorders>
              <w:bottom w:val="single" w:sz="4" w:space="0" w:color="000000"/>
            </w:tcBorders>
          </w:tcPr>
          <w:p>
            <w:pPr/>
          </w:p>
        </w:tc>
      </w:tr>
      <w:tr>
        <w:trPr>
          <w:trHeight w:val="384" w:hRule="exact"/>
        </w:trPr>
        <w:tc>
          <w:tcPr>
            <w:tcW w:w="888" w:type="dxa"/>
            <w:tcBorders>
              <w:top w:val="single" w:sz="4" w:space="0" w:color="000000"/>
            </w:tcBorders>
          </w:tcPr>
          <w:p>
            <w:pPr>
              <w:pStyle w:val="TableParagraph"/>
              <w:spacing w:before="9"/>
              <w:rPr>
                <w:b/>
                <w:sz w:val="16"/>
              </w:rPr>
            </w:pPr>
          </w:p>
          <w:p>
            <w:pPr>
              <w:pStyle w:val="TableParagraph"/>
              <w:spacing w:before="1"/>
              <w:ind w:right="29"/>
              <w:jc w:val="right"/>
              <w:rPr>
                <w:sz w:val="14"/>
              </w:rPr>
            </w:pPr>
            <w:r>
              <w:rPr>
                <w:sz w:val="14"/>
              </w:rPr>
              <w:t>22/09/2013</w:t>
            </w:r>
          </w:p>
        </w:tc>
        <w:tc>
          <w:tcPr>
            <w:tcW w:w="1272" w:type="dxa"/>
            <w:tcBorders>
              <w:top w:val="single" w:sz="4" w:space="0" w:color="000000"/>
            </w:tcBorders>
          </w:tcPr>
          <w:p>
            <w:pPr>
              <w:pStyle w:val="TableParagraph"/>
              <w:spacing w:line="280" w:lineRule="auto" w:before="5"/>
              <w:ind w:left="25" w:right="13"/>
              <w:rPr>
                <w:sz w:val="14"/>
              </w:rPr>
            </w:pPr>
            <w:r>
              <w:rPr>
                <w:w w:val="105"/>
                <w:sz w:val="14"/>
              </w:rPr>
              <w:t>Pueblo de San </w:t>
            </w:r>
            <w:r>
              <w:rPr>
                <w:sz w:val="14"/>
              </w:rPr>
              <w:t>Nicolás Totolapan</w:t>
            </w:r>
          </w:p>
        </w:tc>
        <w:tc>
          <w:tcPr>
            <w:tcW w:w="1136" w:type="dxa"/>
            <w:tcBorders>
              <w:top w:val="single" w:sz="4" w:space="0" w:color="000000"/>
            </w:tcBorders>
          </w:tcPr>
          <w:p>
            <w:pPr>
              <w:pStyle w:val="TableParagraph"/>
              <w:spacing w:before="9"/>
              <w:rPr>
                <w:b/>
                <w:sz w:val="16"/>
              </w:rPr>
            </w:pPr>
          </w:p>
          <w:p>
            <w:pPr>
              <w:pStyle w:val="TableParagraph"/>
              <w:spacing w:before="1"/>
              <w:ind w:left="25"/>
              <w:rPr>
                <w:sz w:val="14"/>
              </w:rPr>
            </w:pPr>
            <w:r>
              <w:rPr>
                <w:sz w:val="14"/>
              </w:rPr>
              <w:t>El Universal</w:t>
            </w:r>
          </w:p>
        </w:tc>
        <w:tc>
          <w:tcPr>
            <w:tcW w:w="3895" w:type="dxa"/>
            <w:tcBorders>
              <w:top w:val="single" w:sz="4" w:space="0" w:color="000000"/>
            </w:tcBorders>
          </w:tcPr>
          <w:p>
            <w:pPr/>
          </w:p>
        </w:tc>
        <w:tc>
          <w:tcPr>
            <w:tcW w:w="888" w:type="dxa"/>
            <w:tcBorders>
              <w:top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0</w:t>
            </w:r>
          </w:p>
        </w:tc>
        <w:tc>
          <w:tcPr>
            <w:tcW w:w="1213" w:type="dxa"/>
            <w:tcBorders>
              <w:top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0</w:t>
            </w:r>
          </w:p>
        </w:tc>
        <w:tc>
          <w:tcPr>
            <w:tcW w:w="888" w:type="dxa"/>
            <w:tcBorders>
              <w:top w:val="single" w:sz="4" w:space="0" w:color="000000"/>
            </w:tcBorders>
          </w:tcPr>
          <w:p>
            <w:pPr>
              <w:pStyle w:val="TableParagraph"/>
              <w:spacing w:before="9"/>
              <w:rPr>
                <w:b/>
                <w:sz w:val="16"/>
              </w:rPr>
            </w:pPr>
          </w:p>
          <w:p>
            <w:pPr>
              <w:pStyle w:val="TableParagraph"/>
              <w:spacing w:before="1"/>
              <w:ind w:right="27"/>
              <w:jc w:val="right"/>
              <w:rPr>
                <w:sz w:val="14"/>
              </w:rPr>
            </w:pPr>
            <w:r>
              <w:rPr>
                <w:w w:val="103"/>
                <w:sz w:val="14"/>
              </w:rPr>
              <w:t>0</w:t>
            </w:r>
          </w:p>
        </w:tc>
        <w:tc>
          <w:tcPr>
            <w:tcW w:w="888" w:type="dxa"/>
            <w:tcBorders>
              <w:top w:val="single" w:sz="4" w:space="0" w:color="000000"/>
            </w:tcBorders>
          </w:tcPr>
          <w:p>
            <w:pPr>
              <w:pStyle w:val="TableParagraph"/>
              <w:spacing w:before="9"/>
              <w:rPr>
                <w:b/>
                <w:sz w:val="16"/>
              </w:rPr>
            </w:pPr>
          </w:p>
          <w:p>
            <w:pPr>
              <w:pStyle w:val="TableParagraph"/>
              <w:spacing w:before="1"/>
              <w:ind w:right="28"/>
              <w:jc w:val="right"/>
              <w:rPr>
                <w:sz w:val="14"/>
              </w:rPr>
            </w:pPr>
            <w:r>
              <w:rPr>
                <w:w w:val="103"/>
                <w:sz w:val="14"/>
              </w:rPr>
              <w:t>1</w:t>
            </w:r>
          </w:p>
        </w:tc>
        <w:tc>
          <w:tcPr>
            <w:tcW w:w="914" w:type="dxa"/>
            <w:tcBorders>
              <w:top w:val="single" w:sz="4" w:space="0" w:color="000000"/>
            </w:tcBorders>
          </w:tcPr>
          <w:p>
            <w:pPr>
              <w:pStyle w:val="TableParagraph"/>
              <w:spacing w:before="9"/>
              <w:rPr>
                <w:b/>
                <w:sz w:val="16"/>
              </w:rPr>
            </w:pPr>
          </w:p>
          <w:p>
            <w:pPr>
              <w:pStyle w:val="TableParagraph"/>
              <w:spacing w:before="1"/>
              <w:ind w:left="25" w:right="202"/>
              <w:rPr>
                <w:sz w:val="14"/>
              </w:rPr>
            </w:pPr>
            <w:r>
              <w:rPr>
                <w:w w:val="105"/>
                <w:sz w:val="14"/>
              </w:rPr>
              <w:t>Lluvias</w:t>
            </w:r>
          </w:p>
        </w:tc>
        <w:tc>
          <w:tcPr>
            <w:tcW w:w="1016" w:type="dxa"/>
            <w:tcBorders>
              <w:top w:val="single" w:sz="4" w:space="0" w:color="000000"/>
            </w:tcBorders>
          </w:tcPr>
          <w:p>
            <w:pPr/>
          </w:p>
        </w:tc>
      </w:tr>
    </w:tbl>
    <w:p>
      <w:pPr>
        <w:pStyle w:val="BodyText"/>
        <w:spacing w:before="10"/>
        <w:rPr>
          <w:b/>
          <w:sz w:val="8"/>
        </w:rPr>
      </w:pPr>
    </w:p>
    <w:p>
      <w:pPr>
        <w:spacing w:before="78"/>
        <w:ind w:left="3818" w:right="0" w:firstLine="0"/>
        <w:jc w:val="left"/>
        <w:rPr>
          <w:sz w:val="16"/>
        </w:rPr>
      </w:pPr>
      <w:r>
        <w:rPr>
          <w:sz w:val="16"/>
        </w:rPr>
        <w:t>Fuente: Elaboración propia con base en el Sistema de inventario de efectos de desastres</w:t>
      </w:r>
    </w:p>
    <w:sectPr>
      <w:pgSz w:w="15840" w:h="12240" w:orient="landscape"/>
      <w:pgMar w:top="114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Light">
    <w:altName w:val="Calibri Light"/>
    <w:charset w:val="0"/>
    <w:family w:val="swiss"/>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700" w:hanging="360"/>
      </w:pPr>
      <w:rPr>
        <w:rFonts w:hint="default" w:ascii="Times New Roman" w:hAnsi="Times New Roman" w:eastAsia="Times New Roman" w:cs="Times New Roman"/>
        <w:w w:val="100"/>
        <w:sz w:val="22"/>
        <w:szCs w:val="22"/>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20">
    <w:multiLevelType w:val="hybridMultilevel"/>
    <w:lvl w:ilvl="0">
      <w:start w:val="1"/>
      <w:numFmt w:val="bullet"/>
      <w:lvlText w:val="-"/>
      <w:lvlJc w:val="left"/>
      <w:pPr>
        <w:ind w:left="840" w:hanging="360"/>
      </w:pPr>
      <w:rPr>
        <w:rFonts w:hint="default" w:ascii="Times New Roman" w:hAnsi="Times New Roman" w:eastAsia="Times New Roman" w:cs="Times New Roman"/>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19">
    <w:multiLevelType w:val="hybridMultilevel"/>
    <w:lvl w:ilvl="0">
      <w:start w:val="4"/>
      <w:numFmt w:val="decimal"/>
      <w:lvlText w:val="%1"/>
      <w:lvlJc w:val="left"/>
      <w:pPr>
        <w:ind w:left="119" w:hanging="350"/>
        <w:jc w:val="left"/>
      </w:pPr>
      <w:rPr>
        <w:rFonts w:hint="default"/>
      </w:rPr>
    </w:lvl>
    <w:lvl w:ilvl="1">
      <w:start w:val="1"/>
      <w:numFmt w:val="decimal"/>
      <w:lvlText w:val="%1.%2"/>
      <w:lvlJc w:val="left"/>
      <w:pPr>
        <w:ind w:left="119" w:hanging="350"/>
        <w:jc w:val="left"/>
      </w:pPr>
      <w:rPr>
        <w:rFonts w:hint="default" w:ascii="Times New Roman" w:hAnsi="Times New Roman" w:eastAsia="Times New Roman" w:cs="Times New Roman"/>
        <w:b/>
        <w:bCs/>
        <w:w w:val="100"/>
        <w:sz w:val="22"/>
        <w:szCs w:val="22"/>
      </w:rPr>
    </w:lvl>
    <w:lvl w:ilvl="2">
      <w:start w:val="1"/>
      <w:numFmt w:val="decimal"/>
      <w:lvlText w:val="%3)"/>
      <w:lvlJc w:val="left"/>
      <w:pPr>
        <w:ind w:left="840" w:hanging="360"/>
        <w:jc w:val="left"/>
      </w:pPr>
      <w:rPr>
        <w:rFonts w:hint="default" w:ascii="Times New Roman" w:hAnsi="Times New Roman" w:eastAsia="Times New Roman" w:cs="Times New Roman"/>
        <w:w w:val="100"/>
        <w:sz w:val="22"/>
        <w:szCs w:val="22"/>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18">
    <w:multiLevelType w:val="hybridMultilevel"/>
    <w:lvl w:ilvl="0">
      <w:start w:val="1"/>
      <w:numFmt w:val="bullet"/>
      <w:lvlText w:val="-"/>
      <w:lvlJc w:val="left"/>
      <w:pPr>
        <w:ind w:left="1560" w:hanging="361"/>
      </w:pPr>
      <w:rPr>
        <w:rFonts w:hint="default" w:ascii="Times New Roman" w:hAnsi="Times New Roman" w:eastAsia="Times New Roman" w:cs="Times New Roman"/>
        <w:w w:val="100"/>
        <w:sz w:val="22"/>
        <w:szCs w:val="22"/>
      </w:rPr>
    </w:lvl>
    <w:lvl w:ilvl="1">
      <w:start w:val="1"/>
      <w:numFmt w:val="bullet"/>
      <w:lvlText w:val="•"/>
      <w:lvlJc w:val="left"/>
      <w:pPr>
        <w:ind w:left="2312" w:hanging="361"/>
      </w:pPr>
      <w:rPr>
        <w:rFonts w:hint="default"/>
      </w:rPr>
    </w:lvl>
    <w:lvl w:ilvl="2">
      <w:start w:val="1"/>
      <w:numFmt w:val="bullet"/>
      <w:lvlText w:val="•"/>
      <w:lvlJc w:val="left"/>
      <w:pPr>
        <w:ind w:left="3064" w:hanging="361"/>
      </w:pPr>
      <w:rPr>
        <w:rFonts w:hint="default"/>
      </w:rPr>
    </w:lvl>
    <w:lvl w:ilvl="3">
      <w:start w:val="1"/>
      <w:numFmt w:val="bullet"/>
      <w:lvlText w:val="•"/>
      <w:lvlJc w:val="left"/>
      <w:pPr>
        <w:ind w:left="3816" w:hanging="361"/>
      </w:pPr>
      <w:rPr>
        <w:rFonts w:hint="default"/>
      </w:rPr>
    </w:lvl>
    <w:lvl w:ilvl="4">
      <w:start w:val="1"/>
      <w:numFmt w:val="bullet"/>
      <w:lvlText w:val="•"/>
      <w:lvlJc w:val="left"/>
      <w:pPr>
        <w:ind w:left="4568" w:hanging="361"/>
      </w:pPr>
      <w:rPr>
        <w:rFonts w:hint="default"/>
      </w:rPr>
    </w:lvl>
    <w:lvl w:ilvl="5">
      <w:start w:val="1"/>
      <w:numFmt w:val="bullet"/>
      <w:lvlText w:val="•"/>
      <w:lvlJc w:val="left"/>
      <w:pPr>
        <w:ind w:left="5320" w:hanging="361"/>
      </w:pPr>
      <w:rPr>
        <w:rFonts w:hint="default"/>
      </w:rPr>
    </w:lvl>
    <w:lvl w:ilvl="6">
      <w:start w:val="1"/>
      <w:numFmt w:val="bullet"/>
      <w:lvlText w:val="•"/>
      <w:lvlJc w:val="left"/>
      <w:pPr>
        <w:ind w:left="6072" w:hanging="361"/>
      </w:pPr>
      <w:rPr>
        <w:rFonts w:hint="default"/>
      </w:rPr>
    </w:lvl>
    <w:lvl w:ilvl="7">
      <w:start w:val="1"/>
      <w:numFmt w:val="bullet"/>
      <w:lvlText w:val="•"/>
      <w:lvlJc w:val="left"/>
      <w:pPr>
        <w:ind w:left="6824" w:hanging="361"/>
      </w:pPr>
      <w:rPr>
        <w:rFonts w:hint="default"/>
      </w:rPr>
    </w:lvl>
    <w:lvl w:ilvl="8">
      <w:start w:val="1"/>
      <w:numFmt w:val="bullet"/>
      <w:lvlText w:val="•"/>
      <w:lvlJc w:val="left"/>
      <w:pPr>
        <w:ind w:left="7576" w:hanging="361"/>
      </w:pPr>
      <w:rPr>
        <w:rFonts w:hint="default"/>
      </w:rPr>
    </w:lvl>
  </w:abstractNum>
  <w:abstractNum w:abstractNumId="17">
    <w:multiLevelType w:val="hybridMultilevel"/>
    <w:lvl w:ilvl="0">
      <w:start w:val="3"/>
      <w:numFmt w:val="decimal"/>
      <w:lvlText w:val="%1"/>
      <w:lvlJc w:val="left"/>
      <w:pPr>
        <w:ind w:left="119" w:hanging="350"/>
        <w:jc w:val="left"/>
      </w:pPr>
      <w:rPr>
        <w:rFonts w:hint="default"/>
      </w:rPr>
    </w:lvl>
    <w:lvl w:ilvl="1">
      <w:start w:val="1"/>
      <w:numFmt w:val="decimal"/>
      <w:lvlText w:val="%1.%2"/>
      <w:lvlJc w:val="left"/>
      <w:pPr>
        <w:ind w:left="119" w:hanging="350"/>
        <w:jc w:val="left"/>
      </w:pPr>
      <w:rPr>
        <w:rFonts w:hint="default" w:ascii="Times New Roman" w:hAnsi="Times New Roman" w:eastAsia="Times New Roman" w:cs="Times New Roman"/>
        <w:b/>
        <w:bCs/>
        <w:w w:val="100"/>
        <w:sz w:val="22"/>
        <w:szCs w:val="22"/>
      </w:rPr>
    </w:lvl>
    <w:lvl w:ilvl="2">
      <w:start w:val="1"/>
      <w:numFmt w:val="bullet"/>
      <w:lvlText w:val="-"/>
      <w:lvlJc w:val="left"/>
      <w:pPr>
        <w:ind w:left="700" w:hanging="360"/>
      </w:pPr>
      <w:rPr>
        <w:rFonts w:hint="default" w:ascii="Times New Roman" w:hAnsi="Times New Roman" w:eastAsia="Times New Roman" w:cs="Times New Roman"/>
        <w:b/>
        <w:bCs/>
        <w:w w:val="100"/>
        <w:sz w:val="22"/>
        <w:szCs w:val="22"/>
      </w:rPr>
    </w:lvl>
    <w:lvl w:ilvl="3">
      <w:start w:val="1"/>
      <w:numFmt w:val="bullet"/>
      <w:lvlText w:val="•"/>
      <w:lvlJc w:val="left"/>
      <w:pPr>
        <w:ind w:left="2531" w:hanging="360"/>
      </w:pPr>
      <w:rPr>
        <w:rFonts w:hint="default"/>
      </w:rPr>
    </w:lvl>
    <w:lvl w:ilvl="4">
      <w:start w:val="1"/>
      <w:numFmt w:val="bullet"/>
      <w:lvlText w:val="•"/>
      <w:lvlJc w:val="left"/>
      <w:pPr>
        <w:ind w:left="3446" w:hanging="360"/>
      </w:pPr>
      <w:rPr>
        <w:rFonts w:hint="default"/>
      </w:rPr>
    </w:lvl>
    <w:lvl w:ilvl="5">
      <w:start w:val="1"/>
      <w:numFmt w:val="bullet"/>
      <w:lvlText w:val="•"/>
      <w:lvlJc w:val="left"/>
      <w:pPr>
        <w:ind w:left="4362" w:hanging="360"/>
      </w:pPr>
      <w:rPr>
        <w:rFonts w:hint="default"/>
      </w:rPr>
    </w:lvl>
    <w:lvl w:ilvl="6">
      <w:start w:val="1"/>
      <w:numFmt w:val="bullet"/>
      <w:lvlText w:val="•"/>
      <w:lvlJc w:val="left"/>
      <w:pPr>
        <w:ind w:left="5277" w:hanging="360"/>
      </w:pPr>
      <w:rPr>
        <w:rFonts w:hint="default"/>
      </w:rPr>
    </w:lvl>
    <w:lvl w:ilvl="7">
      <w:start w:val="1"/>
      <w:numFmt w:val="bullet"/>
      <w:lvlText w:val="•"/>
      <w:lvlJc w:val="left"/>
      <w:pPr>
        <w:ind w:left="6193" w:hanging="360"/>
      </w:pPr>
      <w:rPr>
        <w:rFonts w:hint="default"/>
      </w:rPr>
    </w:lvl>
    <w:lvl w:ilvl="8">
      <w:start w:val="1"/>
      <w:numFmt w:val="bullet"/>
      <w:lvlText w:val="•"/>
      <w:lvlJc w:val="left"/>
      <w:pPr>
        <w:ind w:left="7108" w:hanging="360"/>
      </w:pPr>
      <w:rPr>
        <w:rFonts w:hint="default"/>
      </w:rPr>
    </w:lvl>
  </w:abstractNum>
  <w:abstractNum w:abstractNumId="16">
    <w:multiLevelType w:val="hybridMultilevel"/>
    <w:lvl w:ilvl="0">
      <w:start w:val="1"/>
      <w:numFmt w:val="bullet"/>
      <w:lvlText w:val="-"/>
      <w:lvlJc w:val="left"/>
      <w:pPr>
        <w:ind w:left="840" w:hanging="360"/>
      </w:pPr>
      <w:rPr>
        <w:rFonts w:hint="default" w:ascii="Times New Roman" w:hAnsi="Times New Roman" w:eastAsia="Times New Roman" w:cs="Times New Roman"/>
        <w:b/>
        <w:bCs/>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15">
    <w:multiLevelType w:val="hybridMultilevel"/>
    <w:lvl w:ilvl="0">
      <w:start w:val="1"/>
      <w:numFmt w:val="bullet"/>
      <w:lvlText w:val="-"/>
      <w:lvlJc w:val="left"/>
      <w:pPr>
        <w:ind w:left="840" w:hanging="360"/>
      </w:pPr>
      <w:rPr>
        <w:rFonts w:hint="default" w:ascii="Times New Roman" w:hAnsi="Times New Roman" w:eastAsia="Times New Roman" w:cs="Times New Roman"/>
        <w:b/>
        <w:bCs/>
        <w:w w:val="100"/>
        <w:sz w:val="22"/>
        <w:szCs w:val="22"/>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4">
    <w:multiLevelType w:val="hybridMultilevel"/>
    <w:lvl w:ilvl="0">
      <w:start w:val="2"/>
      <w:numFmt w:val="decimal"/>
      <w:lvlText w:val="%1"/>
      <w:lvlJc w:val="left"/>
      <w:pPr>
        <w:ind w:left="455" w:hanging="336"/>
        <w:jc w:val="left"/>
      </w:pPr>
      <w:rPr>
        <w:rFonts w:hint="default"/>
      </w:rPr>
    </w:lvl>
    <w:lvl w:ilvl="1">
      <w:start w:val="1"/>
      <w:numFmt w:val="decimal"/>
      <w:lvlText w:val="%1.%2"/>
      <w:lvlJc w:val="left"/>
      <w:pPr>
        <w:ind w:left="455" w:hanging="336"/>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19" w:hanging="571"/>
        <w:jc w:val="left"/>
      </w:pPr>
      <w:rPr>
        <w:rFonts w:hint="default" w:ascii="Times New Roman" w:hAnsi="Times New Roman" w:eastAsia="Times New Roman" w:cs="Times New Roman"/>
        <w:b/>
        <w:bCs/>
        <w:w w:val="100"/>
        <w:sz w:val="22"/>
        <w:szCs w:val="22"/>
      </w:rPr>
    </w:lvl>
    <w:lvl w:ilvl="3">
      <w:start w:val="1"/>
      <w:numFmt w:val="bullet"/>
      <w:lvlText w:val="-"/>
      <w:lvlJc w:val="left"/>
      <w:pPr>
        <w:ind w:left="840" w:hanging="360"/>
      </w:pPr>
      <w:rPr>
        <w:rFonts w:hint="default" w:ascii="Times New Roman" w:hAnsi="Times New Roman" w:eastAsia="Times New Roman" w:cs="Times New Roman"/>
        <w:b/>
        <w:bCs/>
        <w:w w:val="100"/>
        <w:sz w:val="22"/>
        <w:szCs w:val="22"/>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13">
    <w:multiLevelType w:val="hybridMultilevel"/>
    <w:lvl w:ilvl="0">
      <w:start w:val="1"/>
      <w:numFmt w:val="bullet"/>
      <w:lvlText w:val="-"/>
      <w:lvlJc w:val="left"/>
      <w:pPr>
        <w:ind w:left="840" w:hanging="360"/>
      </w:pPr>
      <w:rPr>
        <w:rFonts w:hint="default" w:ascii="Times New Roman" w:hAnsi="Times New Roman" w:eastAsia="Times New Roman" w:cs="Times New Roman"/>
        <w:w w:val="100"/>
        <w:sz w:val="22"/>
        <w:szCs w:val="22"/>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2">
    <w:multiLevelType w:val="hybridMultilevel"/>
    <w:lvl w:ilvl="0">
      <w:start w:val="1"/>
      <w:numFmt w:val="bullet"/>
      <w:lvlText w:val="-"/>
      <w:lvlJc w:val="left"/>
      <w:pPr>
        <w:ind w:left="840" w:hanging="360"/>
      </w:pPr>
      <w:rPr>
        <w:rFonts w:hint="default" w:ascii="Times New Roman" w:hAnsi="Times New Roman" w:eastAsia="Times New Roman" w:cs="Times New Roman"/>
        <w:b/>
        <w:bCs/>
        <w:w w:val="100"/>
        <w:sz w:val="22"/>
        <w:szCs w:val="22"/>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11">
    <w:multiLevelType w:val="hybridMultilevel"/>
    <w:lvl w:ilvl="0">
      <w:start w:val="1"/>
      <w:numFmt w:val="bullet"/>
      <w:lvlText w:val="-"/>
      <w:lvlJc w:val="left"/>
      <w:pPr>
        <w:ind w:left="840" w:hanging="360"/>
      </w:pPr>
      <w:rPr>
        <w:rFonts w:hint="default" w:ascii="Times New Roman" w:hAnsi="Times New Roman" w:eastAsia="Times New Roman" w:cs="Times New Roman"/>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10">
    <w:multiLevelType w:val="hybridMultilevel"/>
    <w:lvl w:ilvl="0">
      <w:start w:val="1"/>
      <w:numFmt w:val="decimal"/>
      <w:lvlText w:val="%1"/>
      <w:lvlJc w:val="left"/>
      <w:pPr>
        <w:ind w:left="119" w:hanging="428"/>
        <w:jc w:val="left"/>
      </w:pPr>
      <w:rPr>
        <w:rFonts w:hint="default"/>
      </w:rPr>
    </w:lvl>
    <w:lvl w:ilvl="1">
      <w:start w:val="5"/>
      <w:numFmt w:val="decimal"/>
      <w:lvlText w:val="%1.%2"/>
      <w:lvlJc w:val="left"/>
      <w:pPr>
        <w:ind w:left="119" w:hanging="428"/>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19" w:hanging="500"/>
        <w:jc w:val="left"/>
      </w:pPr>
      <w:rPr>
        <w:rFonts w:hint="default" w:ascii="Times New Roman" w:hAnsi="Times New Roman" w:eastAsia="Times New Roman" w:cs="Times New Roman"/>
        <w:b/>
        <w:bCs/>
        <w:w w:val="100"/>
        <w:sz w:val="22"/>
        <w:szCs w:val="22"/>
      </w:rPr>
    </w:lvl>
    <w:lvl w:ilvl="3">
      <w:start w:val="1"/>
      <w:numFmt w:val="lowerLetter"/>
      <w:lvlText w:val="%4)"/>
      <w:lvlJc w:val="left"/>
      <w:pPr>
        <w:ind w:left="840" w:hanging="360"/>
        <w:jc w:val="left"/>
      </w:pPr>
      <w:rPr>
        <w:rFonts w:hint="default" w:ascii="Times New Roman" w:hAnsi="Times New Roman" w:eastAsia="Times New Roman" w:cs="Times New Roman"/>
        <w:spacing w:val="0"/>
        <w:w w:val="100"/>
        <w:sz w:val="22"/>
        <w:szCs w:val="22"/>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9">
    <w:multiLevelType w:val="hybridMultilevel"/>
    <w:lvl w:ilvl="0">
      <w:start w:val="1"/>
      <w:numFmt w:val="decimal"/>
      <w:lvlText w:val="%1"/>
      <w:lvlJc w:val="left"/>
      <w:pPr>
        <w:ind w:left="451" w:hanging="332"/>
        <w:jc w:val="left"/>
      </w:pPr>
      <w:rPr>
        <w:rFonts w:hint="default"/>
      </w:rPr>
    </w:lvl>
    <w:lvl w:ilvl="1">
      <w:start w:val="4"/>
      <w:numFmt w:val="decimal"/>
      <w:lvlText w:val="%1.%2"/>
      <w:lvlJc w:val="left"/>
      <w:pPr>
        <w:ind w:left="451" w:hanging="332"/>
        <w:jc w:val="left"/>
      </w:pPr>
      <w:rPr>
        <w:rFonts w:hint="default" w:ascii="Times New Roman" w:hAnsi="Times New Roman" w:eastAsia="Times New Roman" w:cs="Times New Roman"/>
        <w:b/>
        <w:bCs/>
        <w:w w:val="100"/>
        <w:sz w:val="22"/>
        <w:szCs w:val="22"/>
      </w:rPr>
    </w:lvl>
    <w:lvl w:ilvl="2">
      <w:start w:val="1"/>
      <w:numFmt w:val="lowerLetter"/>
      <w:lvlText w:val="%3)"/>
      <w:lvlJc w:val="left"/>
      <w:pPr>
        <w:ind w:left="700" w:hanging="360"/>
        <w:jc w:val="left"/>
      </w:pPr>
      <w:rPr>
        <w:rFonts w:hint="default" w:ascii="Times New Roman" w:hAnsi="Times New Roman" w:eastAsia="Times New Roman" w:cs="Times New Roman"/>
        <w:i/>
        <w:w w:val="100"/>
        <w:sz w:val="22"/>
        <w:szCs w:val="22"/>
      </w:rPr>
    </w:lvl>
    <w:lvl w:ilvl="3">
      <w:start w:val="1"/>
      <w:numFmt w:val="bullet"/>
      <w:lvlText w:val="•"/>
      <w:lvlJc w:val="left"/>
      <w:pPr>
        <w:ind w:left="2526" w:hanging="360"/>
      </w:pPr>
      <w:rPr>
        <w:rFonts w:hint="default"/>
      </w:rPr>
    </w:lvl>
    <w:lvl w:ilvl="4">
      <w:start w:val="1"/>
      <w:numFmt w:val="bullet"/>
      <w:lvlText w:val="•"/>
      <w:lvlJc w:val="left"/>
      <w:pPr>
        <w:ind w:left="3440" w:hanging="360"/>
      </w:pPr>
      <w:rPr>
        <w:rFonts w:hint="default"/>
      </w:rPr>
    </w:lvl>
    <w:lvl w:ilvl="5">
      <w:start w:val="1"/>
      <w:numFmt w:val="bullet"/>
      <w:lvlText w:val="•"/>
      <w:lvlJc w:val="left"/>
      <w:pPr>
        <w:ind w:left="4353" w:hanging="360"/>
      </w:pPr>
      <w:rPr>
        <w:rFonts w:hint="default"/>
      </w:rPr>
    </w:lvl>
    <w:lvl w:ilvl="6">
      <w:start w:val="1"/>
      <w:numFmt w:val="bullet"/>
      <w:lvlText w:val="•"/>
      <w:lvlJc w:val="left"/>
      <w:pPr>
        <w:ind w:left="5266" w:hanging="360"/>
      </w:pPr>
      <w:rPr>
        <w:rFonts w:hint="default"/>
      </w:rPr>
    </w:lvl>
    <w:lvl w:ilvl="7">
      <w:start w:val="1"/>
      <w:numFmt w:val="bullet"/>
      <w:lvlText w:val="•"/>
      <w:lvlJc w:val="left"/>
      <w:pPr>
        <w:ind w:left="6180" w:hanging="360"/>
      </w:pPr>
      <w:rPr>
        <w:rFonts w:hint="default"/>
      </w:rPr>
    </w:lvl>
    <w:lvl w:ilvl="8">
      <w:start w:val="1"/>
      <w:numFmt w:val="bullet"/>
      <w:lvlText w:val="•"/>
      <w:lvlJc w:val="left"/>
      <w:pPr>
        <w:ind w:left="7093" w:hanging="360"/>
      </w:pPr>
      <w:rPr>
        <w:rFonts w:hint="default"/>
      </w:rPr>
    </w:lvl>
  </w:abstractNum>
  <w:abstractNum w:abstractNumId="8">
    <w:multiLevelType w:val="hybridMultilevel"/>
    <w:lvl w:ilvl="0">
      <w:start w:val="1"/>
      <w:numFmt w:val="decimal"/>
      <w:lvlText w:val="%1"/>
      <w:lvlJc w:val="left"/>
      <w:pPr>
        <w:ind w:left="451" w:hanging="332"/>
        <w:jc w:val="left"/>
      </w:pPr>
      <w:rPr>
        <w:rFonts w:hint="default"/>
      </w:rPr>
    </w:lvl>
    <w:lvl w:ilvl="1">
      <w:start w:val="3"/>
      <w:numFmt w:val="decimal"/>
      <w:lvlText w:val="%1.%2"/>
      <w:lvlJc w:val="left"/>
      <w:pPr>
        <w:ind w:left="451" w:hanging="332"/>
        <w:jc w:val="left"/>
      </w:pPr>
      <w:rPr>
        <w:rFonts w:hint="default" w:ascii="Times New Roman" w:hAnsi="Times New Roman" w:eastAsia="Times New Roman" w:cs="Times New Roman"/>
        <w:b/>
        <w:bCs/>
        <w:w w:val="100"/>
        <w:sz w:val="22"/>
        <w:szCs w:val="22"/>
      </w:rPr>
    </w:lvl>
    <w:lvl w:ilvl="2">
      <w:start w:val="1"/>
      <w:numFmt w:val="decimal"/>
      <w:lvlText w:val="%1.%2.%3"/>
      <w:lvlJc w:val="left"/>
      <w:pPr>
        <w:ind w:left="619" w:hanging="500"/>
        <w:jc w:val="left"/>
      </w:pPr>
      <w:rPr>
        <w:rFonts w:hint="default" w:ascii="Times New Roman" w:hAnsi="Times New Roman" w:eastAsia="Times New Roman" w:cs="Times New Roman"/>
        <w:b/>
        <w:bCs/>
        <w:w w:val="100"/>
        <w:sz w:val="22"/>
        <w:szCs w:val="22"/>
      </w:rPr>
    </w:lvl>
    <w:lvl w:ilvl="3">
      <w:start w:val="1"/>
      <w:numFmt w:val="bullet"/>
      <w:lvlText w:val="•"/>
      <w:lvlJc w:val="left"/>
      <w:pPr>
        <w:ind w:left="2495" w:hanging="500"/>
      </w:pPr>
      <w:rPr>
        <w:rFonts w:hint="default"/>
      </w:rPr>
    </w:lvl>
    <w:lvl w:ilvl="4">
      <w:start w:val="1"/>
      <w:numFmt w:val="bullet"/>
      <w:lvlText w:val="•"/>
      <w:lvlJc w:val="left"/>
      <w:pPr>
        <w:ind w:left="3433" w:hanging="500"/>
      </w:pPr>
      <w:rPr>
        <w:rFonts w:hint="default"/>
      </w:rPr>
    </w:lvl>
    <w:lvl w:ilvl="5">
      <w:start w:val="1"/>
      <w:numFmt w:val="bullet"/>
      <w:lvlText w:val="•"/>
      <w:lvlJc w:val="left"/>
      <w:pPr>
        <w:ind w:left="4371" w:hanging="500"/>
      </w:pPr>
      <w:rPr>
        <w:rFonts w:hint="default"/>
      </w:rPr>
    </w:lvl>
    <w:lvl w:ilvl="6">
      <w:start w:val="1"/>
      <w:numFmt w:val="bullet"/>
      <w:lvlText w:val="•"/>
      <w:lvlJc w:val="left"/>
      <w:pPr>
        <w:ind w:left="5308" w:hanging="500"/>
      </w:pPr>
      <w:rPr>
        <w:rFonts w:hint="default"/>
      </w:rPr>
    </w:lvl>
    <w:lvl w:ilvl="7">
      <w:start w:val="1"/>
      <w:numFmt w:val="bullet"/>
      <w:lvlText w:val="•"/>
      <w:lvlJc w:val="left"/>
      <w:pPr>
        <w:ind w:left="6246" w:hanging="500"/>
      </w:pPr>
      <w:rPr>
        <w:rFonts w:hint="default"/>
      </w:rPr>
    </w:lvl>
    <w:lvl w:ilvl="8">
      <w:start w:val="1"/>
      <w:numFmt w:val="bullet"/>
      <w:lvlText w:val="•"/>
      <w:lvlJc w:val="left"/>
      <w:pPr>
        <w:ind w:left="7184" w:hanging="500"/>
      </w:pPr>
      <w:rPr>
        <w:rFonts w:hint="default"/>
      </w:rPr>
    </w:lvl>
  </w:abstractNum>
  <w:abstractNum w:abstractNumId="7">
    <w:multiLevelType w:val="hybridMultilevel"/>
    <w:lvl w:ilvl="0">
      <w:start w:val="1"/>
      <w:numFmt w:val="decimal"/>
      <w:lvlText w:val="%1"/>
      <w:lvlJc w:val="left"/>
      <w:pPr>
        <w:ind w:left="508" w:hanging="389"/>
        <w:jc w:val="left"/>
      </w:pPr>
      <w:rPr>
        <w:rFonts w:hint="default"/>
      </w:rPr>
    </w:lvl>
    <w:lvl w:ilvl="1">
      <w:start w:val="2"/>
      <w:numFmt w:val="decimal"/>
      <w:lvlText w:val="%1.%2."/>
      <w:lvlJc w:val="left"/>
      <w:pPr>
        <w:ind w:left="508" w:hanging="389"/>
        <w:jc w:val="left"/>
      </w:pPr>
      <w:rPr>
        <w:rFonts w:hint="default" w:ascii="Times New Roman" w:hAnsi="Times New Roman" w:eastAsia="Times New Roman" w:cs="Times New Roman"/>
        <w:b/>
        <w:bCs/>
        <w:w w:val="100"/>
        <w:sz w:val="22"/>
        <w:szCs w:val="22"/>
      </w:rPr>
    </w:lvl>
    <w:lvl w:ilvl="2">
      <w:start w:val="1"/>
      <w:numFmt w:val="decimal"/>
      <w:lvlText w:val="%1.%2.%3"/>
      <w:lvlJc w:val="left"/>
      <w:pPr>
        <w:ind w:left="619" w:hanging="500"/>
        <w:jc w:val="left"/>
      </w:pPr>
      <w:rPr>
        <w:rFonts w:hint="default" w:ascii="Times New Roman" w:hAnsi="Times New Roman" w:eastAsia="Times New Roman" w:cs="Times New Roman"/>
        <w:b/>
        <w:bCs/>
        <w:w w:val="100"/>
        <w:sz w:val="22"/>
        <w:szCs w:val="22"/>
      </w:rPr>
    </w:lvl>
    <w:lvl w:ilvl="3">
      <w:start w:val="1"/>
      <w:numFmt w:val="bullet"/>
      <w:lvlText w:val="•"/>
      <w:lvlJc w:val="left"/>
      <w:pPr>
        <w:ind w:left="2495" w:hanging="500"/>
      </w:pPr>
      <w:rPr>
        <w:rFonts w:hint="default"/>
      </w:rPr>
    </w:lvl>
    <w:lvl w:ilvl="4">
      <w:start w:val="1"/>
      <w:numFmt w:val="bullet"/>
      <w:lvlText w:val="•"/>
      <w:lvlJc w:val="left"/>
      <w:pPr>
        <w:ind w:left="3433" w:hanging="500"/>
      </w:pPr>
      <w:rPr>
        <w:rFonts w:hint="default"/>
      </w:rPr>
    </w:lvl>
    <w:lvl w:ilvl="5">
      <w:start w:val="1"/>
      <w:numFmt w:val="bullet"/>
      <w:lvlText w:val="•"/>
      <w:lvlJc w:val="left"/>
      <w:pPr>
        <w:ind w:left="4371" w:hanging="500"/>
      </w:pPr>
      <w:rPr>
        <w:rFonts w:hint="default"/>
      </w:rPr>
    </w:lvl>
    <w:lvl w:ilvl="6">
      <w:start w:val="1"/>
      <w:numFmt w:val="bullet"/>
      <w:lvlText w:val="•"/>
      <w:lvlJc w:val="left"/>
      <w:pPr>
        <w:ind w:left="5308" w:hanging="500"/>
      </w:pPr>
      <w:rPr>
        <w:rFonts w:hint="default"/>
      </w:rPr>
    </w:lvl>
    <w:lvl w:ilvl="7">
      <w:start w:val="1"/>
      <w:numFmt w:val="bullet"/>
      <w:lvlText w:val="•"/>
      <w:lvlJc w:val="left"/>
      <w:pPr>
        <w:ind w:left="6246" w:hanging="500"/>
      </w:pPr>
      <w:rPr>
        <w:rFonts w:hint="default"/>
      </w:rPr>
    </w:lvl>
    <w:lvl w:ilvl="8">
      <w:start w:val="1"/>
      <w:numFmt w:val="bullet"/>
      <w:lvlText w:val="•"/>
      <w:lvlJc w:val="left"/>
      <w:pPr>
        <w:ind w:left="7184" w:hanging="500"/>
      </w:pPr>
      <w:rPr>
        <w:rFonts w:hint="default"/>
      </w:rPr>
    </w:lvl>
  </w:abstractNum>
  <w:abstractNum w:abstractNumId="6">
    <w:multiLevelType w:val="hybridMultilevel"/>
    <w:lvl w:ilvl="0">
      <w:start w:val="1"/>
      <w:numFmt w:val="bullet"/>
      <w:lvlText w:val="-"/>
      <w:lvlJc w:val="left"/>
      <w:pPr>
        <w:ind w:left="840" w:hanging="360"/>
      </w:pPr>
      <w:rPr>
        <w:rFonts w:hint="default" w:ascii="Times New Roman" w:hAnsi="Times New Roman" w:eastAsia="Times New Roman" w:cs="Times New Roman"/>
        <w:w w:val="100"/>
        <w:sz w:val="22"/>
        <w:szCs w:val="22"/>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abstractNum w:abstractNumId="5">
    <w:multiLevelType w:val="hybridMultilevel"/>
    <w:lvl w:ilvl="0">
      <w:start w:val="4"/>
      <w:numFmt w:val="decimal"/>
      <w:lvlText w:val="%1"/>
      <w:lvlJc w:val="left"/>
      <w:pPr>
        <w:ind w:left="340" w:hanging="375"/>
        <w:jc w:val="left"/>
      </w:pPr>
      <w:rPr>
        <w:rFonts w:hint="default"/>
      </w:rPr>
    </w:lvl>
    <w:lvl w:ilvl="1">
      <w:start w:val="1"/>
      <w:numFmt w:val="decimal"/>
      <w:lvlText w:val="%1.%2"/>
      <w:lvlJc w:val="left"/>
      <w:pPr>
        <w:ind w:left="340" w:hanging="375"/>
        <w:jc w:val="left"/>
      </w:pPr>
      <w:rPr>
        <w:rFonts w:hint="default" w:ascii="Times New Roman" w:hAnsi="Times New Roman" w:eastAsia="Times New Roman" w:cs="Times New Roman"/>
        <w:w w:val="100"/>
        <w:sz w:val="22"/>
        <w:szCs w:val="22"/>
      </w:rPr>
    </w:lvl>
    <w:lvl w:ilvl="2">
      <w:start w:val="1"/>
      <w:numFmt w:val="upperLetter"/>
      <w:lvlText w:val="%3)"/>
      <w:lvlJc w:val="left"/>
      <w:pPr>
        <w:ind w:left="840" w:hanging="360"/>
        <w:jc w:val="right"/>
      </w:pPr>
      <w:rPr>
        <w:rFonts w:hint="default" w:ascii="Times New Roman" w:hAnsi="Times New Roman" w:eastAsia="Times New Roman" w:cs="Times New Roman"/>
        <w:spacing w:val="-6"/>
        <w:w w:val="100"/>
        <w:sz w:val="22"/>
        <w:szCs w:val="22"/>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4">
    <w:multiLevelType w:val="hybridMultilevel"/>
    <w:lvl w:ilvl="0">
      <w:start w:val="3"/>
      <w:numFmt w:val="decimal"/>
      <w:lvlText w:val="%1"/>
      <w:lvlJc w:val="left"/>
      <w:pPr>
        <w:ind w:left="340" w:hanging="375"/>
        <w:jc w:val="left"/>
      </w:pPr>
      <w:rPr>
        <w:rFonts w:hint="default"/>
      </w:rPr>
    </w:lvl>
    <w:lvl w:ilvl="1">
      <w:start w:val="1"/>
      <w:numFmt w:val="decimal"/>
      <w:lvlText w:val="%1.%2"/>
      <w:lvlJc w:val="left"/>
      <w:pPr>
        <w:ind w:left="340" w:hanging="375"/>
        <w:jc w:val="left"/>
      </w:pPr>
      <w:rPr>
        <w:rFonts w:hint="default" w:ascii="Times New Roman" w:hAnsi="Times New Roman" w:eastAsia="Times New Roman" w:cs="Times New Roman"/>
        <w:w w:val="100"/>
        <w:sz w:val="22"/>
        <w:szCs w:val="22"/>
      </w:rPr>
    </w:lvl>
    <w:lvl w:ilvl="2">
      <w:start w:val="1"/>
      <w:numFmt w:val="bullet"/>
      <w:lvlText w:val="•"/>
      <w:lvlJc w:val="left"/>
      <w:pPr>
        <w:ind w:left="2084" w:hanging="375"/>
      </w:pPr>
      <w:rPr>
        <w:rFonts w:hint="default"/>
      </w:rPr>
    </w:lvl>
    <w:lvl w:ilvl="3">
      <w:start w:val="1"/>
      <w:numFmt w:val="bullet"/>
      <w:lvlText w:val="•"/>
      <w:lvlJc w:val="left"/>
      <w:pPr>
        <w:ind w:left="2956" w:hanging="375"/>
      </w:pPr>
      <w:rPr>
        <w:rFonts w:hint="default"/>
      </w:rPr>
    </w:lvl>
    <w:lvl w:ilvl="4">
      <w:start w:val="1"/>
      <w:numFmt w:val="bullet"/>
      <w:lvlText w:val="•"/>
      <w:lvlJc w:val="left"/>
      <w:pPr>
        <w:ind w:left="3828" w:hanging="375"/>
      </w:pPr>
      <w:rPr>
        <w:rFonts w:hint="default"/>
      </w:rPr>
    </w:lvl>
    <w:lvl w:ilvl="5">
      <w:start w:val="1"/>
      <w:numFmt w:val="bullet"/>
      <w:lvlText w:val="•"/>
      <w:lvlJc w:val="left"/>
      <w:pPr>
        <w:ind w:left="4700" w:hanging="375"/>
      </w:pPr>
      <w:rPr>
        <w:rFonts w:hint="default"/>
      </w:rPr>
    </w:lvl>
    <w:lvl w:ilvl="6">
      <w:start w:val="1"/>
      <w:numFmt w:val="bullet"/>
      <w:lvlText w:val="•"/>
      <w:lvlJc w:val="left"/>
      <w:pPr>
        <w:ind w:left="5572" w:hanging="375"/>
      </w:pPr>
      <w:rPr>
        <w:rFonts w:hint="default"/>
      </w:rPr>
    </w:lvl>
    <w:lvl w:ilvl="7">
      <w:start w:val="1"/>
      <w:numFmt w:val="bullet"/>
      <w:lvlText w:val="•"/>
      <w:lvlJc w:val="left"/>
      <w:pPr>
        <w:ind w:left="6444" w:hanging="375"/>
      </w:pPr>
      <w:rPr>
        <w:rFonts w:hint="default"/>
      </w:rPr>
    </w:lvl>
    <w:lvl w:ilvl="8">
      <w:start w:val="1"/>
      <w:numFmt w:val="bullet"/>
      <w:lvlText w:val="•"/>
      <w:lvlJc w:val="left"/>
      <w:pPr>
        <w:ind w:left="7316" w:hanging="375"/>
      </w:pPr>
      <w:rPr>
        <w:rFonts w:hint="default"/>
      </w:rPr>
    </w:lvl>
  </w:abstractNum>
  <w:abstractNum w:abstractNumId="3">
    <w:multiLevelType w:val="hybridMultilevel"/>
    <w:lvl w:ilvl="0">
      <w:start w:val="2"/>
      <w:numFmt w:val="decimal"/>
      <w:lvlText w:val="%1"/>
      <w:lvlJc w:val="left"/>
      <w:pPr>
        <w:ind w:left="676" w:hanging="336"/>
        <w:jc w:val="left"/>
      </w:pPr>
      <w:rPr>
        <w:rFonts w:hint="default"/>
      </w:rPr>
    </w:lvl>
    <w:lvl w:ilvl="1">
      <w:start w:val="1"/>
      <w:numFmt w:val="decimal"/>
      <w:lvlText w:val="%1.%2"/>
      <w:lvlJc w:val="left"/>
      <w:pPr>
        <w:ind w:left="676" w:hanging="336"/>
        <w:jc w:val="left"/>
      </w:pPr>
      <w:rPr>
        <w:rFonts w:hint="default" w:ascii="Times New Roman" w:hAnsi="Times New Roman" w:eastAsia="Times New Roman" w:cs="Times New Roman"/>
        <w:w w:val="100"/>
        <w:sz w:val="22"/>
        <w:szCs w:val="22"/>
      </w:rPr>
    </w:lvl>
    <w:lvl w:ilvl="2">
      <w:start w:val="1"/>
      <w:numFmt w:val="decimal"/>
      <w:lvlText w:val="%1.%2.%3"/>
      <w:lvlJc w:val="left"/>
      <w:pPr>
        <w:ind w:left="561" w:hanging="566"/>
        <w:jc w:val="left"/>
      </w:pPr>
      <w:rPr>
        <w:rFonts w:hint="default" w:ascii="Times New Roman" w:hAnsi="Times New Roman" w:eastAsia="Times New Roman" w:cs="Times New Roman"/>
        <w:w w:val="100"/>
        <w:sz w:val="22"/>
        <w:szCs w:val="22"/>
      </w:rPr>
    </w:lvl>
    <w:lvl w:ilvl="3">
      <w:start w:val="1"/>
      <w:numFmt w:val="bullet"/>
      <w:lvlText w:val="•"/>
      <w:lvlJc w:val="left"/>
      <w:pPr>
        <w:ind w:left="2542" w:hanging="566"/>
      </w:pPr>
      <w:rPr>
        <w:rFonts w:hint="default"/>
      </w:rPr>
    </w:lvl>
    <w:lvl w:ilvl="4">
      <w:start w:val="1"/>
      <w:numFmt w:val="bullet"/>
      <w:lvlText w:val="•"/>
      <w:lvlJc w:val="left"/>
      <w:pPr>
        <w:ind w:left="3473" w:hanging="566"/>
      </w:pPr>
      <w:rPr>
        <w:rFonts w:hint="default"/>
      </w:rPr>
    </w:lvl>
    <w:lvl w:ilvl="5">
      <w:start w:val="1"/>
      <w:numFmt w:val="bullet"/>
      <w:lvlText w:val="•"/>
      <w:lvlJc w:val="left"/>
      <w:pPr>
        <w:ind w:left="4404" w:hanging="566"/>
      </w:pPr>
      <w:rPr>
        <w:rFonts w:hint="default"/>
      </w:rPr>
    </w:lvl>
    <w:lvl w:ilvl="6">
      <w:start w:val="1"/>
      <w:numFmt w:val="bullet"/>
      <w:lvlText w:val="•"/>
      <w:lvlJc w:val="left"/>
      <w:pPr>
        <w:ind w:left="5335" w:hanging="566"/>
      </w:pPr>
      <w:rPr>
        <w:rFonts w:hint="default"/>
      </w:rPr>
    </w:lvl>
    <w:lvl w:ilvl="7">
      <w:start w:val="1"/>
      <w:numFmt w:val="bullet"/>
      <w:lvlText w:val="•"/>
      <w:lvlJc w:val="left"/>
      <w:pPr>
        <w:ind w:left="6266" w:hanging="566"/>
      </w:pPr>
      <w:rPr>
        <w:rFonts w:hint="default"/>
      </w:rPr>
    </w:lvl>
    <w:lvl w:ilvl="8">
      <w:start w:val="1"/>
      <w:numFmt w:val="bullet"/>
      <w:lvlText w:val="•"/>
      <w:lvlJc w:val="left"/>
      <w:pPr>
        <w:ind w:left="7197" w:hanging="566"/>
      </w:pPr>
      <w:rPr>
        <w:rFonts w:hint="default"/>
      </w:rPr>
    </w:lvl>
  </w:abstractNum>
  <w:abstractNum w:abstractNumId="2">
    <w:multiLevelType w:val="hybridMultilevel"/>
    <w:lvl w:ilvl="0">
      <w:start w:val="1"/>
      <w:numFmt w:val="decimal"/>
      <w:lvlText w:val="%1"/>
      <w:lvlJc w:val="left"/>
      <w:pPr>
        <w:ind w:left="676" w:hanging="336"/>
        <w:jc w:val="left"/>
      </w:pPr>
      <w:rPr>
        <w:rFonts w:hint="default"/>
      </w:rPr>
    </w:lvl>
    <w:lvl w:ilvl="1">
      <w:start w:val="3"/>
      <w:numFmt w:val="decimal"/>
      <w:lvlText w:val="%1.%2"/>
      <w:lvlJc w:val="left"/>
      <w:pPr>
        <w:ind w:left="340" w:hanging="336"/>
        <w:jc w:val="left"/>
      </w:pPr>
      <w:rPr>
        <w:rFonts w:hint="default" w:ascii="Times New Roman" w:hAnsi="Times New Roman" w:eastAsia="Times New Roman" w:cs="Times New Roman"/>
        <w:w w:val="100"/>
        <w:sz w:val="22"/>
        <w:szCs w:val="22"/>
      </w:rPr>
    </w:lvl>
    <w:lvl w:ilvl="2">
      <w:start w:val="1"/>
      <w:numFmt w:val="decimal"/>
      <w:lvlText w:val="%1.%2.%3"/>
      <w:lvlJc w:val="left"/>
      <w:pPr>
        <w:ind w:left="1060" w:hanging="499"/>
        <w:jc w:val="left"/>
      </w:pPr>
      <w:rPr>
        <w:rFonts w:hint="default" w:ascii="Times New Roman" w:hAnsi="Times New Roman" w:eastAsia="Times New Roman" w:cs="Times New Roman"/>
        <w:w w:val="100"/>
        <w:sz w:val="22"/>
        <w:szCs w:val="22"/>
      </w:rPr>
    </w:lvl>
    <w:lvl w:ilvl="3">
      <w:start w:val="1"/>
      <w:numFmt w:val="bullet"/>
      <w:lvlText w:val="•"/>
      <w:lvlJc w:val="left"/>
      <w:pPr>
        <w:ind w:left="1060" w:hanging="499"/>
      </w:pPr>
      <w:rPr>
        <w:rFonts w:hint="default"/>
      </w:rPr>
    </w:lvl>
    <w:lvl w:ilvl="4">
      <w:start w:val="1"/>
      <w:numFmt w:val="bullet"/>
      <w:lvlText w:val="•"/>
      <w:lvlJc w:val="left"/>
      <w:pPr>
        <w:ind w:left="2202" w:hanging="499"/>
      </w:pPr>
      <w:rPr>
        <w:rFonts w:hint="default"/>
      </w:rPr>
    </w:lvl>
    <w:lvl w:ilvl="5">
      <w:start w:val="1"/>
      <w:numFmt w:val="bullet"/>
      <w:lvlText w:val="•"/>
      <w:lvlJc w:val="left"/>
      <w:pPr>
        <w:ind w:left="3345" w:hanging="499"/>
      </w:pPr>
      <w:rPr>
        <w:rFonts w:hint="default"/>
      </w:rPr>
    </w:lvl>
    <w:lvl w:ilvl="6">
      <w:start w:val="1"/>
      <w:numFmt w:val="bullet"/>
      <w:lvlText w:val="•"/>
      <w:lvlJc w:val="left"/>
      <w:pPr>
        <w:ind w:left="4488" w:hanging="499"/>
      </w:pPr>
      <w:rPr>
        <w:rFonts w:hint="default"/>
      </w:rPr>
    </w:lvl>
    <w:lvl w:ilvl="7">
      <w:start w:val="1"/>
      <w:numFmt w:val="bullet"/>
      <w:lvlText w:val="•"/>
      <w:lvlJc w:val="left"/>
      <w:pPr>
        <w:ind w:left="5631" w:hanging="499"/>
      </w:pPr>
      <w:rPr>
        <w:rFonts w:hint="default"/>
      </w:rPr>
    </w:lvl>
    <w:lvl w:ilvl="8">
      <w:start w:val="1"/>
      <w:numFmt w:val="bullet"/>
      <w:lvlText w:val="•"/>
      <w:lvlJc w:val="left"/>
      <w:pPr>
        <w:ind w:left="6774" w:hanging="499"/>
      </w:pPr>
      <w:rPr>
        <w:rFonts w:hint="default"/>
      </w:rPr>
    </w:lvl>
  </w:abstractNum>
  <w:abstractNum w:abstractNumId="1">
    <w:multiLevelType w:val="hybridMultilevel"/>
    <w:lvl w:ilvl="0">
      <w:start w:val="1"/>
      <w:numFmt w:val="decimal"/>
      <w:lvlText w:val="%1"/>
      <w:lvlJc w:val="left"/>
      <w:pPr>
        <w:ind w:left="729" w:hanging="389"/>
        <w:jc w:val="left"/>
      </w:pPr>
      <w:rPr>
        <w:rFonts w:hint="default"/>
      </w:rPr>
    </w:lvl>
    <w:lvl w:ilvl="1">
      <w:start w:val="2"/>
      <w:numFmt w:val="decimal"/>
      <w:lvlText w:val="%1.%2."/>
      <w:lvlJc w:val="left"/>
      <w:pPr>
        <w:ind w:left="729" w:hanging="389"/>
        <w:jc w:val="left"/>
      </w:pPr>
      <w:rPr>
        <w:rFonts w:hint="default" w:ascii="Times New Roman" w:hAnsi="Times New Roman" w:eastAsia="Times New Roman" w:cs="Times New Roman"/>
        <w:w w:val="100"/>
        <w:sz w:val="22"/>
        <w:szCs w:val="22"/>
      </w:rPr>
    </w:lvl>
    <w:lvl w:ilvl="2">
      <w:start w:val="1"/>
      <w:numFmt w:val="decimal"/>
      <w:lvlText w:val="%1.%2.%3"/>
      <w:lvlJc w:val="left"/>
      <w:pPr>
        <w:ind w:left="1060" w:hanging="499"/>
        <w:jc w:val="left"/>
      </w:pPr>
      <w:rPr>
        <w:rFonts w:hint="default" w:ascii="Times New Roman" w:hAnsi="Times New Roman" w:eastAsia="Times New Roman" w:cs="Times New Roman"/>
        <w:w w:val="100"/>
        <w:sz w:val="22"/>
        <w:szCs w:val="22"/>
      </w:rPr>
    </w:lvl>
    <w:lvl w:ilvl="3">
      <w:start w:val="1"/>
      <w:numFmt w:val="bullet"/>
      <w:lvlText w:val="•"/>
      <w:lvlJc w:val="left"/>
      <w:pPr>
        <w:ind w:left="2837" w:hanging="499"/>
      </w:pPr>
      <w:rPr>
        <w:rFonts w:hint="default"/>
      </w:rPr>
    </w:lvl>
    <w:lvl w:ilvl="4">
      <w:start w:val="1"/>
      <w:numFmt w:val="bullet"/>
      <w:lvlText w:val="•"/>
      <w:lvlJc w:val="left"/>
      <w:pPr>
        <w:ind w:left="3726" w:hanging="499"/>
      </w:pPr>
      <w:rPr>
        <w:rFonts w:hint="default"/>
      </w:rPr>
    </w:lvl>
    <w:lvl w:ilvl="5">
      <w:start w:val="1"/>
      <w:numFmt w:val="bullet"/>
      <w:lvlText w:val="•"/>
      <w:lvlJc w:val="left"/>
      <w:pPr>
        <w:ind w:left="4615" w:hanging="499"/>
      </w:pPr>
      <w:rPr>
        <w:rFonts w:hint="default"/>
      </w:rPr>
    </w:lvl>
    <w:lvl w:ilvl="6">
      <w:start w:val="1"/>
      <w:numFmt w:val="bullet"/>
      <w:lvlText w:val="•"/>
      <w:lvlJc w:val="left"/>
      <w:pPr>
        <w:ind w:left="5504" w:hanging="499"/>
      </w:pPr>
      <w:rPr>
        <w:rFonts w:hint="default"/>
      </w:rPr>
    </w:lvl>
    <w:lvl w:ilvl="7">
      <w:start w:val="1"/>
      <w:numFmt w:val="bullet"/>
      <w:lvlText w:val="•"/>
      <w:lvlJc w:val="left"/>
      <w:pPr>
        <w:ind w:left="6393" w:hanging="499"/>
      </w:pPr>
      <w:rPr>
        <w:rFonts w:hint="default"/>
      </w:rPr>
    </w:lvl>
    <w:lvl w:ilvl="8">
      <w:start w:val="1"/>
      <w:numFmt w:val="bullet"/>
      <w:lvlText w:val="•"/>
      <w:lvlJc w:val="left"/>
      <w:pPr>
        <w:ind w:left="7282" w:hanging="499"/>
      </w:pPr>
      <w:rPr>
        <w:rFonts w:hint="default"/>
      </w:rPr>
    </w:lvl>
  </w:abstractNum>
  <w:abstractNum w:abstractNumId="0">
    <w:multiLevelType w:val="hybridMultilevel"/>
    <w:lvl w:ilvl="0">
      <w:start w:val="1"/>
      <w:numFmt w:val="upperLetter"/>
      <w:lvlText w:val="%1)"/>
      <w:lvlJc w:val="left"/>
      <w:pPr>
        <w:ind w:left="998" w:hanging="437"/>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1806" w:hanging="437"/>
      </w:pPr>
      <w:rPr>
        <w:rFonts w:hint="default"/>
      </w:rPr>
    </w:lvl>
    <w:lvl w:ilvl="2">
      <w:start w:val="1"/>
      <w:numFmt w:val="bullet"/>
      <w:lvlText w:val="•"/>
      <w:lvlJc w:val="left"/>
      <w:pPr>
        <w:ind w:left="2612" w:hanging="437"/>
      </w:pPr>
      <w:rPr>
        <w:rFonts w:hint="default"/>
      </w:rPr>
    </w:lvl>
    <w:lvl w:ilvl="3">
      <w:start w:val="1"/>
      <w:numFmt w:val="bullet"/>
      <w:lvlText w:val="•"/>
      <w:lvlJc w:val="left"/>
      <w:pPr>
        <w:ind w:left="3418" w:hanging="437"/>
      </w:pPr>
      <w:rPr>
        <w:rFonts w:hint="default"/>
      </w:rPr>
    </w:lvl>
    <w:lvl w:ilvl="4">
      <w:start w:val="1"/>
      <w:numFmt w:val="bullet"/>
      <w:lvlText w:val="•"/>
      <w:lvlJc w:val="left"/>
      <w:pPr>
        <w:ind w:left="4224" w:hanging="437"/>
      </w:pPr>
      <w:rPr>
        <w:rFonts w:hint="default"/>
      </w:rPr>
    </w:lvl>
    <w:lvl w:ilvl="5">
      <w:start w:val="1"/>
      <w:numFmt w:val="bullet"/>
      <w:lvlText w:val="•"/>
      <w:lvlJc w:val="left"/>
      <w:pPr>
        <w:ind w:left="5030" w:hanging="437"/>
      </w:pPr>
      <w:rPr>
        <w:rFonts w:hint="default"/>
      </w:rPr>
    </w:lvl>
    <w:lvl w:ilvl="6">
      <w:start w:val="1"/>
      <w:numFmt w:val="bullet"/>
      <w:lvlText w:val="•"/>
      <w:lvlJc w:val="left"/>
      <w:pPr>
        <w:ind w:left="5836" w:hanging="437"/>
      </w:pPr>
      <w:rPr>
        <w:rFonts w:hint="default"/>
      </w:rPr>
    </w:lvl>
    <w:lvl w:ilvl="7">
      <w:start w:val="1"/>
      <w:numFmt w:val="bullet"/>
      <w:lvlText w:val="•"/>
      <w:lvlJc w:val="left"/>
      <w:pPr>
        <w:ind w:left="6642" w:hanging="437"/>
      </w:pPr>
      <w:rPr>
        <w:rFonts w:hint="default"/>
      </w:rPr>
    </w:lvl>
    <w:lvl w:ilvl="8">
      <w:start w:val="1"/>
      <w:numFmt w:val="bullet"/>
      <w:lvlText w:val="•"/>
      <w:lvlJc w:val="left"/>
      <w:pPr>
        <w:ind w:left="7448" w:hanging="437"/>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1"/>
      <w:ind w:left="119"/>
    </w:pPr>
    <w:rPr>
      <w:rFonts w:ascii="Times New Roman" w:hAnsi="Times New Roman" w:eastAsia="Times New Roman" w:cs="Times New Roman"/>
      <w:sz w:val="22"/>
      <w:szCs w:val="22"/>
    </w:rPr>
  </w:style>
  <w:style w:styleId="TOC2" w:type="paragraph">
    <w:name w:val="TOC 2"/>
    <w:basedOn w:val="Normal"/>
    <w:uiPriority w:val="1"/>
    <w:qFormat/>
    <w:pPr>
      <w:spacing w:before="121"/>
      <w:ind w:left="340"/>
    </w:pPr>
    <w:rPr>
      <w:rFonts w:ascii="Times New Roman" w:hAnsi="Times New Roman" w:eastAsia="Times New Roman" w:cs="Times New Roman"/>
      <w:sz w:val="22"/>
      <w:szCs w:val="22"/>
    </w:rPr>
  </w:style>
  <w:style w:styleId="TOC3" w:type="paragraph">
    <w:name w:val="TOC 3"/>
    <w:basedOn w:val="Normal"/>
    <w:uiPriority w:val="1"/>
    <w:qFormat/>
    <w:pPr>
      <w:spacing w:before="121"/>
      <w:ind w:left="1060" w:hanging="499"/>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2"/>
      <w:ind w:left="119"/>
      <w:jc w:val="both"/>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840"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jpeg"/><Relationship Id="rId20" Type="http://schemas.openxmlformats.org/officeDocument/2006/relationships/image" Target="media/image16.pn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jpeg"/><Relationship Id="rId59" Type="http://schemas.openxmlformats.org/officeDocument/2006/relationships/image" Target="media/image55.jpeg"/><Relationship Id="rId60" Type="http://schemas.openxmlformats.org/officeDocument/2006/relationships/image" Target="media/image56.jpeg"/><Relationship Id="rId61" Type="http://schemas.openxmlformats.org/officeDocument/2006/relationships/image" Target="media/image57.jpe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hyperlink" Target="http://www.desinventar.org/" TargetMode="External"/><Relationship Id="rId68" Type="http://schemas.openxmlformats.org/officeDocument/2006/relationships/image" Target="media/image63.jpe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jpeg"/><Relationship Id="rId72" Type="http://schemas.openxmlformats.org/officeDocument/2006/relationships/image" Target="media/image67.jpeg"/><Relationship Id="rId73" Type="http://schemas.openxmlformats.org/officeDocument/2006/relationships/image" Target="media/image68.jpeg"/><Relationship Id="rId74" Type="http://schemas.openxmlformats.org/officeDocument/2006/relationships/image" Target="media/image69.jpeg"/><Relationship Id="rId75" Type="http://schemas.openxmlformats.org/officeDocument/2006/relationships/image" Target="media/image70.jpeg"/><Relationship Id="rId76" Type="http://schemas.openxmlformats.org/officeDocument/2006/relationships/image" Target="media/image71.jpeg"/><Relationship Id="rId77" Type="http://schemas.openxmlformats.org/officeDocument/2006/relationships/image" Target="media/image72.jpeg"/><Relationship Id="rId78" Type="http://schemas.openxmlformats.org/officeDocument/2006/relationships/image" Target="media/image73.jpeg"/><Relationship Id="rId79" Type="http://schemas.openxmlformats.org/officeDocument/2006/relationships/image" Target="media/image74.jpeg"/><Relationship Id="rId80" Type="http://schemas.openxmlformats.org/officeDocument/2006/relationships/image" Target="media/image75.jpeg"/><Relationship Id="rId81" Type="http://schemas.openxmlformats.org/officeDocument/2006/relationships/image" Target="media/image76.jpeg"/><Relationship Id="rId82" Type="http://schemas.openxmlformats.org/officeDocument/2006/relationships/image" Target="media/image77.jpeg"/><Relationship Id="rId83" Type="http://schemas.openxmlformats.org/officeDocument/2006/relationships/image" Target="media/image78.jpeg"/><Relationship Id="rId84" Type="http://schemas.openxmlformats.org/officeDocument/2006/relationships/image" Target="media/image79.jpeg"/><Relationship Id="rId85" Type="http://schemas.openxmlformats.org/officeDocument/2006/relationships/image" Target="media/image80.jpeg"/><Relationship Id="rId86" Type="http://schemas.openxmlformats.org/officeDocument/2006/relationships/image" Target="media/image81.jpeg"/><Relationship Id="rId87" Type="http://schemas.openxmlformats.org/officeDocument/2006/relationships/image" Target="media/image82.jpeg"/><Relationship Id="rId88" Type="http://schemas.openxmlformats.org/officeDocument/2006/relationships/image" Target="media/image83.jpeg"/><Relationship Id="rId89" Type="http://schemas.openxmlformats.org/officeDocument/2006/relationships/image" Target="media/image84.jpeg"/><Relationship Id="rId90" Type="http://schemas.openxmlformats.org/officeDocument/2006/relationships/image" Target="media/image85.jpeg"/><Relationship Id="rId91" Type="http://schemas.openxmlformats.org/officeDocument/2006/relationships/image" Target="media/image86.jpeg"/><Relationship Id="rId92" Type="http://schemas.openxmlformats.org/officeDocument/2006/relationships/image" Target="media/image87.jpeg"/><Relationship Id="rId93" Type="http://schemas.openxmlformats.org/officeDocument/2006/relationships/image" Target="media/image88.jpeg"/><Relationship Id="rId94" Type="http://schemas.openxmlformats.org/officeDocument/2006/relationships/image" Target="media/image89.jpeg"/><Relationship Id="rId95" Type="http://schemas.openxmlformats.org/officeDocument/2006/relationships/image" Target="media/image90.jpeg"/><Relationship Id="rId96" Type="http://schemas.openxmlformats.org/officeDocument/2006/relationships/image" Target="media/image91.jpeg"/><Relationship Id="rId97" Type="http://schemas.openxmlformats.org/officeDocument/2006/relationships/image" Target="media/image92.jpeg"/><Relationship Id="rId98" Type="http://schemas.openxmlformats.org/officeDocument/2006/relationships/image" Target="media/image93.jpeg"/><Relationship Id="rId99" Type="http://schemas.openxmlformats.org/officeDocument/2006/relationships/image" Target="media/image94.jpeg"/><Relationship Id="rId100" Type="http://schemas.openxmlformats.org/officeDocument/2006/relationships/image" Target="media/image95.jpeg"/><Relationship Id="rId101" Type="http://schemas.openxmlformats.org/officeDocument/2006/relationships/image" Target="media/image96.jpeg"/><Relationship Id="rId102" Type="http://schemas.openxmlformats.org/officeDocument/2006/relationships/image" Target="media/image97.jpeg"/><Relationship Id="rId103" Type="http://schemas.openxmlformats.org/officeDocument/2006/relationships/image" Target="media/image98.jpeg"/><Relationship Id="rId104" Type="http://schemas.openxmlformats.org/officeDocument/2006/relationships/image" Target="media/image99.jpeg"/><Relationship Id="rId105" Type="http://schemas.openxmlformats.org/officeDocument/2006/relationships/image" Target="media/image100.jpeg"/><Relationship Id="rId106" Type="http://schemas.openxmlformats.org/officeDocument/2006/relationships/image" Target="media/image101.jpeg"/><Relationship Id="rId107" Type="http://schemas.openxmlformats.org/officeDocument/2006/relationships/image" Target="media/image102.jpeg"/><Relationship Id="rId108" Type="http://schemas.openxmlformats.org/officeDocument/2006/relationships/image" Target="media/image103.jpeg"/><Relationship Id="rId109" Type="http://schemas.openxmlformats.org/officeDocument/2006/relationships/image" Target="media/image104.jpeg"/><Relationship Id="rId110" Type="http://schemas.openxmlformats.org/officeDocument/2006/relationships/image" Target="media/image105.jpeg"/><Relationship Id="rId111" Type="http://schemas.openxmlformats.org/officeDocument/2006/relationships/image" Target="media/image106.jpeg"/><Relationship Id="rId112" Type="http://schemas.openxmlformats.org/officeDocument/2006/relationships/image" Target="media/image107.jpeg"/><Relationship Id="rId113" Type="http://schemas.openxmlformats.org/officeDocument/2006/relationships/image" Target="media/image108.jpeg"/><Relationship Id="rId114" Type="http://schemas.openxmlformats.org/officeDocument/2006/relationships/image" Target="media/image109.jpeg"/><Relationship Id="rId115" Type="http://schemas.openxmlformats.org/officeDocument/2006/relationships/image" Target="media/image110.jpeg"/><Relationship Id="rId116" Type="http://schemas.openxmlformats.org/officeDocument/2006/relationships/image" Target="media/image111.jpeg"/><Relationship Id="rId117" Type="http://schemas.openxmlformats.org/officeDocument/2006/relationships/image" Target="media/image112.jpeg"/><Relationship Id="rId118" Type="http://schemas.openxmlformats.org/officeDocument/2006/relationships/image" Target="media/image113.jpeg"/><Relationship Id="rId119" Type="http://schemas.openxmlformats.org/officeDocument/2006/relationships/image" Target="media/image114.jpeg"/><Relationship Id="rId120" Type="http://schemas.openxmlformats.org/officeDocument/2006/relationships/image" Target="media/image115.jpeg"/><Relationship Id="rId121" Type="http://schemas.openxmlformats.org/officeDocument/2006/relationships/image" Target="media/image116.jpeg"/><Relationship Id="rId122" Type="http://schemas.openxmlformats.org/officeDocument/2006/relationships/image" Target="media/image117.jpeg"/><Relationship Id="rId123" Type="http://schemas.openxmlformats.org/officeDocument/2006/relationships/image" Target="media/image118.jpeg"/><Relationship Id="rId124" Type="http://schemas.openxmlformats.org/officeDocument/2006/relationships/image" Target="media/image119.jpeg"/><Relationship Id="rId125" Type="http://schemas.openxmlformats.org/officeDocument/2006/relationships/image" Target="media/image120.jpeg"/><Relationship Id="rId126" Type="http://schemas.openxmlformats.org/officeDocument/2006/relationships/image" Target="media/image121.jpeg"/><Relationship Id="rId127" Type="http://schemas.openxmlformats.org/officeDocument/2006/relationships/image" Target="media/image122.jpeg"/><Relationship Id="rId128" Type="http://schemas.openxmlformats.org/officeDocument/2006/relationships/image" Target="media/image123.jpeg"/><Relationship Id="rId129" Type="http://schemas.openxmlformats.org/officeDocument/2006/relationships/image" Target="media/image124.jpeg"/><Relationship Id="rId130" Type="http://schemas.openxmlformats.org/officeDocument/2006/relationships/image" Target="media/image125.jpeg"/><Relationship Id="rId131" Type="http://schemas.openxmlformats.org/officeDocument/2006/relationships/image" Target="media/image126.jpeg"/><Relationship Id="rId132" Type="http://schemas.openxmlformats.org/officeDocument/2006/relationships/image" Target="media/image127.jpeg"/><Relationship Id="rId133" Type="http://schemas.openxmlformats.org/officeDocument/2006/relationships/image" Target="media/image128.jpeg"/><Relationship Id="rId134" Type="http://schemas.openxmlformats.org/officeDocument/2006/relationships/image" Target="media/image129.jpeg"/><Relationship Id="rId135" Type="http://schemas.openxmlformats.org/officeDocument/2006/relationships/image" Target="media/image130.jpeg"/><Relationship Id="rId136" Type="http://schemas.openxmlformats.org/officeDocument/2006/relationships/image" Target="media/image131.jpeg"/><Relationship Id="rId137" Type="http://schemas.openxmlformats.org/officeDocument/2006/relationships/image" Target="media/image132.jpeg"/><Relationship Id="rId138" Type="http://schemas.openxmlformats.org/officeDocument/2006/relationships/image" Target="media/image133.jpeg"/><Relationship Id="rId139" Type="http://schemas.openxmlformats.org/officeDocument/2006/relationships/image" Target="media/image134.jpeg"/><Relationship Id="rId140" Type="http://schemas.openxmlformats.org/officeDocument/2006/relationships/image" Target="media/image135.jpeg"/><Relationship Id="rId141" Type="http://schemas.openxmlformats.org/officeDocument/2006/relationships/image" Target="media/image136.jpeg"/><Relationship Id="rId142" Type="http://schemas.openxmlformats.org/officeDocument/2006/relationships/image" Target="media/image137.jpeg"/><Relationship Id="rId143" Type="http://schemas.openxmlformats.org/officeDocument/2006/relationships/image" Target="media/image138.jpeg"/><Relationship Id="rId144" Type="http://schemas.openxmlformats.org/officeDocument/2006/relationships/hyperlink" Target="http://www.redalyc.org/articulo.oa?id=10225596001" TargetMode="External"/><Relationship Id="rId145" Type="http://schemas.openxmlformats.org/officeDocument/2006/relationships/hyperlink" Target="http://www.planetario.gov.ar/images/Baxendale.pdf" TargetMode="External"/><Relationship Id="rId146" Type="http://schemas.openxmlformats.org/officeDocument/2006/relationships/hyperlink" Target="http://geogra.uah.es/1_cong_honduras/docs/ponencias_pdf/ponen3_pdf/ponencia_Buzai/Po" TargetMode="External"/><Relationship Id="rId147" Type="http://schemas.openxmlformats.org/officeDocument/2006/relationships/hyperlink" Target="http://revistas.ucm.es/index.php/AGUC/article/viewFile/AGUC0000110101A/31293" TargetMode="External"/><Relationship Id="rId148" Type="http://schemas.openxmlformats.org/officeDocument/2006/relationships/hyperlink" Target="http://ceelat.org/mapas/amenaza-por-remocion-en-masa-en-" TargetMode="External"/><Relationship Id="rId149" Type="http://schemas.openxmlformats.org/officeDocument/2006/relationships/hyperlink" Target="http://www.sideso.df.gob.mx/documentos/legislacion/leyes/14ldudf_r4612.pdf" TargetMode="External"/><Relationship Id="rId150" Type="http://schemas.openxmlformats.org/officeDocument/2006/relationships/hyperlink" Target="http://www.consejeria.df.gob.mx/" TargetMode="External"/><Relationship Id="rId151" Type="http://schemas.openxmlformats.org/officeDocument/2006/relationships/hyperlink" Target="http://www.redalyc.org/articulo.oa?id=40703607" TargetMode="External"/><Relationship Id="rId152" Type="http://schemas.openxmlformats.org/officeDocument/2006/relationships/hyperlink" Target="http://revista.ufrr.br/index.php/actageo/article/view/490/517" TargetMode="External"/><Relationship Id="rId153" Type="http://schemas.openxmlformats.org/officeDocument/2006/relationships/hyperlink" Target="http://www.paot.org.mx/" TargetMode="External"/><Relationship Id="rId154" Type="http://schemas.openxmlformats.org/officeDocument/2006/relationships/hyperlink" Target="http://www.scielo.cl/pdf/rgeong/n49/art06.pdf" TargetMode="External"/><Relationship Id="rId155" Type="http://schemas.openxmlformats.org/officeDocument/2006/relationships/hyperlink" Target="http://revistas.um.es/areas/article/view/117861/111441" TargetMode="External"/><Relationship Id="rId1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SATELLITE</dc:creator>
  <dcterms:created xsi:type="dcterms:W3CDTF">2017-05-23T20:01:49Z</dcterms:created>
  <dcterms:modified xsi:type="dcterms:W3CDTF">2017-05-23T20:01:49Z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2015-12-02T00:00:00Z</vt:filetime>
  </property>
  <property fmtid="{D5CDD505-2E9C-101B-9397-08002B2CF9AE}" pid="3" name="Creator">
    <vt:lpwstr>Microsoft® Word 2010</vt:lpwstr>
  </property>
  <property fmtid="{D5CDD505-2E9C-101B-9397-08002B2CF9AE}" pid="4" name="LastSaved">
    <vt:filetime>2017-05-23T00:00:00Z</vt:filetime>
  </property>
</Properties>
</file>