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8"/>
      </w:pPr>
      <w:r>
        <w:rPr/>
        <w:pict>
          <v:group style="position:absolute;margin-left:420.594696pt;margin-top:644.150818pt;width:101.4pt;height:103.95pt;mso-position-horizontal-relative:page;mso-position-vertical-relative:page;z-index:1072" coordorigin="8412,12883" coordsize="2028,2079">
            <v:shape style="position:absolute;left:8412;top:12883;width:2028;height:2078" type="#_x0000_t75" stroked="false">
              <v:imagedata r:id="rId5" o:title=""/>
            </v:shape>
            <v:shape style="position:absolute;left:8554;top:12888;width:1744;height:1950" type="#_x0000_t75" stroked="false">
              <v:imagedata r:id="rId6" o:title=""/>
            </v:shape>
            <w10:wrap type="none"/>
          </v:group>
        </w:pict>
      </w:r>
      <w:r>
        <w:rPr/>
        <w:pict>
          <v:group style="position:absolute;margin-left:96.723953pt;margin-top:687.40979pt;width:190.45pt;height:46.5pt;mso-position-horizontal-relative:page;mso-position-vertical-relative:page;z-index:1120" coordorigin="1934,13748" coordsize="3809,930">
            <v:shape style="position:absolute;left:1934;top:13748;width:3809;height:929" type="#_x0000_t75" stroked="false">
              <v:imagedata r:id="rId7" o:title=""/>
            </v:shape>
            <v:shapetype id="_x0000_t202" o:spt="202" coordsize="21600,21600" path="m,l,21600r21600,l21600,xe">
              <v:stroke joinstyle="miter"/>
              <v:path gradientshapeok="t" o:connecttype="rect"/>
            </v:shapetype>
            <v:shape style="position:absolute;left:1934;top:13748;width:3809;height:930" type="#_x0000_t202" filled="false" stroked="false">
              <v:textbox inset="0,0,0,0">
                <w:txbxContent>
                  <w:p>
                    <w:pPr>
                      <w:spacing w:line="247" w:lineRule="auto" w:before="3"/>
                      <w:ind w:left="604" w:right="10" w:hanging="339"/>
                      <w:jc w:val="left"/>
                      <w:rPr>
                        <w:rFonts w:ascii="Cambria" w:hAnsi="Cambria"/>
                        <w:sz w:val="30"/>
                      </w:rPr>
                    </w:pPr>
                    <w:r>
                      <w:rPr>
                        <w:rFonts w:ascii="Cambria" w:hAnsi="Cambria"/>
                        <w:sz w:val="30"/>
                      </w:rPr>
                      <w:t>Toluca, Estado de México 17 de Junio de 2015</w:t>
                    </w:r>
                  </w:p>
                </w:txbxContent>
              </v:textbox>
              <w10:wrap type="none"/>
            </v:shape>
            <w10:wrap type="none"/>
          </v:group>
        </w:pict>
      </w:r>
    </w:p>
    <w:p>
      <w:pPr>
        <w:tabs>
          <w:tab w:pos="4400" w:val="left" w:leader="none"/>
          <w:tab w:pos="7421" w:val="left" w:leader="none"/>
        </w:tabs>
        <w:spacing w:line="240" w:lineRule="auto"/>
        <w:ind w:left="1008" w:right="0" w:firstLine="0"/>
        <w:rPr>
          <w:sz w:val="20"/>
        </w:rPr>
      </w:pPr>
      <w:r>
        <w:rPr>
          <w:position w:val="9"/>
          <w:sz w:val="20"/>
        </w:rPr>
        <w:drawing>
          <wp:inline distT="0" distB="0" distL="0" distR="0">
            <wp:extent cx="1415193" cy="1257300"/>
            <wp:effectExtent l="0" t="0" r="0" b="0"/>
            <wp:docPr id="1" name="image4.jpeg" descr=""/>
            <wp:cNvGraphicFramePr>
              <a:graphicFrameLocks noChangeAspect="1"/>
            </wp:cNvGraphicFramePr>
            <a:graphic>
              <a:graphicData uri="http://schemas.openxmlformats.org/drawingml/2006/picture">
                <pic:pic>
                  <pic:nvPicPr>
                    <pic:cNvPr id="2" name="image4.jpeg"/>
                    <pic:cNvPicPr/>
                  </pic:nvPicPr>
                  <pic:blipFill>
                    <a:blip r:embed="rId8" cstate="print"/>
                    <a:stretch>
                      <a:fillRect/>
                    </a:stretch>
                  </pic:blipFill>
                  <pic:spPr>
                    <a:xfrm>
                      <a:off x="0" y="0"/>
                      <a:ext cx="1415193" cy="1257300"/>
                    </a:xfrm>
                    <a:prstGeom prst="rect">
                      <a:avLst/>
                    </a:prstGeom>
                  </pic:spPr>
                </pic:pic>
              </a:graphicData>
            </a:graphic>
          </wp:inline>
        </w:drawing>
      </w:r>
      <w:r>
        <w:rPr>
          <w:position w:val="9"/>
          <w:sz w:val="20"/>
        </w:rPr>
      </w:r>
      <w:r>
        <w:rPr>
          <w:position w:val="9"/>
          <w:sz w:val="20"/>
        </w:rPr>
        <w:tab/>
      </w:r>
      <w:r>
        <w:rPr>
          <w:sz w:val="20"/>
        </w:rPr>
        <w:drawing>
          <wp:inline distT="0" distB="0" distL="0" distR="0">
            <wp:extent cx="1352856" cy="1349882"/>
            <wp:effectExtent l="0" t="0" r="0" b="0"/>
            <wp:docPr id="3" name="image5.jpeg" descr=""/>
            <wp:cNvGraphicFramePr>
              <a:graphicFrameLocks noChangeAspect="1"/>
            </wp:cNvGraphicFramePr>
            <a:graphic>
              <a:graphicData uri="http://schemas.openxmlformats.org/drawingml/2006/picture">
                <pic:pic>
                  <pic:nvPicPr>
                    <pic:cNvPr id="4" name="image5.jpeg"/>
                    <pic:cNvPicPr/>
                  </pic:nvPicPr>
                  <pic:blipFill>
                    <a:blip r:embed="rId9" cstate="print"/>
                    <a:stretch>
                      <a:fillRect/>
                    </a:stretch>
                  </pic:blipFill>
                  <pic:spPr>
                    <a:xfrm>
                      <a:off x="0" y="0"/>
                      <a:ext cx="1352856" cy="1349882"/>
                    </a:xfrm>
                    <a:prstGeom prst="rect">
                      <a:avLst/>
                    </a:prstGeom>
                  </pic:spPr>
                </pic:pic>
              </a:graphicData>
            </a:graphic>
          </wp:inline>
        </w:drawing>
      </w:r>
      <w:r>
        <w:rPr>
          <w:sz w:val="20"/>
        </w:rPr>
      </w:r>
      <w:r>
        <w:rPr>
          <w:sz w:val="20"/>
        </w:rPr>
        <w:tab/>
      </w:r>
      <w:r>
        <w:rPr>
          <w:position w:val="23"/>
          <w:sz w:val="20"/>
        </w:rPr>
        <w:drawing>
          <wp:inline distT="0" distB="0" distL="0" distR="0">
            <wp:extent cx="1578170" cy="1068704"/>
            <wp:effectExtent l="0" t="0" r="0" b="0"/>
            <wp:docPr id="5" name="image6.jpeg" descr=""/>
            <wp:cNvGraphicFramePr>
              <a:graphicFrameLocks noChangeAspect="1"/>
            </wp:cNvGraphicFramePr>
            <a:graphic>
              <a:graphicData uri="http://schemas.openxmlformats.org/drawingml/2006/picture">
                <pic:pic>
                  <pic:nvPicPr>
                    <pic:cNvPr id="6" name="image6.jpeg"/>
                    <pic:cNvPicPr/>
                  </pic:nvPicPr>
                  <pic:blipFill>
                    <a:blip r:embed="rId10" cstate="print"/>
                    <a:stretch>
                      <a:fillRect/>
                    </a:stretch>
                  </pic:blipFill>
                  <pic:spPr>
                    <a:xfrm>
                      <a:off x="0" y="0"/>
                      <a:ext cx="1578170" cy="1068704"/>
                    </a:xfrm>
                    <a:prstGeom prst="rect">
                      <a:avLst/>
                    </a:prstGeom>
                  </pic:spPr>
                </pic:pic>
              </a:graphicData>
            </a:graphic>
          </wp:inline>
        </w:drawing>
      </w:r>
      <w:r>
        <w:rPr>
          <w:position w:val="23"/>
          <w:sz w:val="20"/>
        </w:rPr>
      </w:r>
    </w:p>
    <w:p>
      <w:pPr>
        <w:pStyle w:val="BodyText"/>
        <w:rPr>
          <w:sz w:val="20"/>
        </w:rPr>
      </w:pPr>
    </w:p>
    <w:p>
      <w:pPr>
        <w:pStyle w:val="BodyText"/>
        <w:spacing w:before="6"/>
        <w:rPr>
          <w:sz w:val="19"/>
        </w:rPr>
      </w:pPr>
    </w:p>
    <w:p>
      <w:pPr>
        <w:spacing w:line="242" w:lineRule="auto" w:before="52"/>
        <w:ind w:left="1362" w:right="1621" w:firstLine="31"/>
        <w:jc w:val="both"/>
        <w:rPr>
          <w:rFonts w:ascii="Arial" w:hAnsi="Arial"/>
          <w:sz w:val="38"/>
        </w:rPr>
      </w:pPr>
      <w:r>
        <w:rPr>
          <w:rFonts w:ascii="Arial" w:hAnsi="Arial"/>
          <w:sz w:val="38"/>
        </w:rPr>
        <w:t>Universidad Autónoma del Estado de México Facultad de Medicina Veterinaria y Zootecnia Hospital Veterinario para Pequeñas Especies</w:t>
      </w:r>
    </w:p>
    <w:p>
      <w:pPr>
        <w:pStyle w:val="BodyText"/>
        <w:rPr>
          <w:rFonts w:ascii="Arial"/>
          <w:sz w:val="31"/>
        </w:rPr>
      </w:pPr>
    </w:p>
    <w:p>
      <w:pPr>
        <w:pStyle w:val="Heading5"/>
        <w:ind w:left="1044" w:right="1302"/>
        <w:rPr>
          <w:rFonts w:ascii="Arial" w:hAnsi="Arial"/>
        </w:rPr>
      </w:pPr>
      <w:r>
        <w:rPr>
          <w:rFonts w:ascii="Arial" w:hAnsi="Arial"/>
        </w:rPr>
        <w:t>A través del</w:t>
      </w:r>
    </w:p>
    <w:p>
      <w:pPr>
        <w:pStyle w:val="BodyText"/>
        <w:spacing w:before="10"/>
        <w:rPr>
          <w:rFonts w:ascii="Arial"/>
          <w:sz w:val="37"/>
        </w:rPr>
      </w:pPr>
    </w:p>
    <w:p>
      <w:pPr>
        <w:spacing w:line="482" w:lineRule="auto" w:before="0"/>
        <w:ind w:left="1044" w:right="1303" w:firstLine="0"/>
        <w:jc w:val="center"/>
        <w:rPr>
          <w:rFonts w:ascii="Arial" w:hAnsi="Arial"/>
          <w:sz w:val="38"/>
        </w:rPr>
      </w:pPr>
      <w:r>
        <w:rPr>
          <w:rFonts w:ascii="Arial" w:hAnsi="Arial"/>
          <w:sz w:val="38"/>
        </w:rPr>
        <w:t>Cuerpo Académico en Medicina y Cirugía Animal Memorias del</w:t>
      </w:r>
    </w:p>
    <w:p>
      <w:pPr>
        <w:spacing w:before="108"/>
        <w:ind w:left="1044" w:right="1302" w:firstLine="0"/>
        <w:jc w:val="center"/>
        <w:rPr>
          <w:i/>
          <w:sz w:val="53"/>
        </w:rPr>
      </w:pPr>
      <w:r>
        <w:rPr>
          <w:i/>
          <w:sz w:val="53"/>
        </w:rPr>
        <w:t>“Seminario de Residentes</w:t>
      </w:r>
    </w:p>
    <w:p>
      <w:pPr>
        <w:spacing w:line="242" w:lineRule="auto" w:before="4"/>
        <w:ind w:left="498" w:right="757" w:hanging="6"/>
        <w:jc w:val="center"/>
        <w:rPr>
          <w:i/>
          <w:sz w:val="53"/>
        </w:rPr>
      </w:pPr>
      <w:r>
        <w:rPr>
          <w:i/>
          <w:sz w:val="53"/>
        </w:rPr>
        <w:t>de la Especialidad en Medicina y Cirugía </w:t>
      </w:r>
      <w:r>
        <w:rPr>
          <w:i/>
          <w:sz w:val="53"/>
        </w:rPr>
        <w:t>en Perros y Gatos, Generación</w:t>
      </w:r>
      <w:r>
        <w:rPr>
          <w:i/>
          <w:spacing w:val="57"/>
          <w:sz w:val="53"/>
        </w:rPr>
        <w:t> </w:t>
      </w:r>
      <w:r>
        <w:rPr>
          <w:i/>
          <w:sz w:val="53"/>
        </w:rPr>
        <w:t>2013-2015”</w:t>
      </w:r>
    </w:p>
    <w:p>
      <w:pPr>
        <w:pStyle w:val="BodyText"/>
        <w:spacing w:before="9"/>
        <w:rPr>
          <w:i/>
          <w:sz w:val="16"/>
        </w:rPr>
      </w:pPr>
      <w:r>
        <w:rPr/>
        <w:pict>
          <v:group style="position:absolute;margin-left:52.32048pt;margin-top:11.598458pt;width:263pt;height:140.550pt;mso-position-horizontal-relative:page;mso-position-vertical-relative:paragraph;z-index:0;mso-wrap-distance-left:0;mso-wrap-distance-right:0" coordorigin="1046,232" coordsize="5260,2811">
            <v:shape style="position:absolute;left:1046;top:232;width:5260;height:2811" type="#_x0000_t75" stroked="false">
              <v:imagedata r:id="rId11" o:title=""/>
            </v:shape>
            <v:shape style="position:absolute;left:1188;top:237;width:4921;height:2632" type="#_x0000_t75" stroked="false">
              <v:imagedata r:id="rId12" o:title=""/>
            </v:shape>
            <w10:wrap type="topAndBottom"/>
          </v:group>
        </w:pict>
      </w:r>
      <w:r>
        <w:rPr/>
        <w:drawing>
          <wp:anchor distT="0" distB="0" distL="0" distR="0" allowOverlap="1" layoutInCell="1" locked="0" behindDoc="0" simplePos="0" relativeHeight="1048">
            <wp:simplePos x="0" y="0"/>
            <wp:positionH relativeFrom="page">
              <wp:posOffset>4850298</wp:posOffset>
            </wp:positionH>
            <wp:positionV relativeFrom="paragraph">
              <wp:posOffset>394380</wp:posOffset>
            </wp:positionV>
            <wp:extent cx="2408871" cy="765809"/>
            <wp:effectExtent l="0" t="0" r="0" b="0"/>
            <wp:wrapTopAndBottom/>
            <wp:docPr id="7" name="image9.jpeg" descr=""/>
            <wp:cNvGraphicFramePr>
              <a:graphicFrameLocks noChangeAspect="1"/>
            </wp:cNvGraphicFramePr>
            <a:graphic>
              <a:graphicData uri="http://schemas.openxmlformats.org/drawingml/2006/picture">
                <pic:pic>
                  <pic:nvPicPr>
                    <pic:cNvPr id="8" name="image9.jpeg"/>
                    <pic:cNvPicPr/>
                  </pic:nvPicPr>
                  <pic:blipFill>
                    <a:blip r:embed="rId13" cstate="print"/>
                    <a:stretch>
                      <a:fillRect/>
                    </a:stretch>
                  </pic:blipFill>
                  <pic:spPr>
                    <a:xfrm>
                      <a:off x="0" y="0"/>
                      <a:ext cx="2408871" cy="765809"/>
                    </a:xfrm>
                    <a:prstGeom prst="rect">
                      <a:avLst/>
                    </a:prstGeom>
                  </pic:spPr>
                </pic:pic>
              </a:graphicData>
            </a:graphic>
          </wp:anchor>
        </w:drawing>
      </w:r>
    </w:p>
    <w:p>
      <w:pPr>
        <w:spacing w:after="0"/>
        <w:rPr>
          <w:sz w:val="16"/>
        </w:rPr>
        <w:sectPr>
          <w:type w:val="continuous"/>
          <w:pgSz w:w="12240" w:h="15840"/>
          <w:pgMar w:top="1500" w:bottom="280" w:left="940" w:right="640"/>
        </w:sectPr>
      </w:pPr>
    </w:p>
    <w:p>
      <w:pPr>
        <w:pStyle w:val="Heading3"/>
        <w:ind w:right="982"/>
      </w:pPr>
      <w:r>
        <w:rPr/>
        <w:t>Directorio</w:t>
      </w:r>
    </w:p>
    <w:p>
      <w:pPr>
        <w:pStyle w:val="Heading4"/>
        <w:spacing w:before="232"/>
      </w:pPr>
      <w:r>
        <w:rPr/>
        <w:t>Facultad de Medicina Veterinaria y</w:t>
      </w:r>
      <w:r>
        <w:rPr>
          <w:spacing w:val="60"/>
        </w:rPr>
        <w:t> </w:t>
      </w:r>
      <w:r>
        <w:rPr/>
        <w:t>Zootecnia</w:t>
      </w:r>
    </w:p>
    <w:p>
      <w:pPr>
        <w:pStyle w:val="Heading6"/>
        <w:spacing w:before="237"/>
        <w:ind w:left="1022" w:right="981"/>
        <w:rPr>
          <w:i/>
        </w:rPr>
      </w:pPr>
      <w:r>
        <w:rPr>
          <w:i/>
        </w:rPr>
        <w:t>Dr en C. José Mauro Victoria</w:t>
      </w:r>
      <w:r>
        <w:rPr>
          <w:i/>
          <w:spacing w:val="60"/>
        </w:rPr>
        <w:t> </w:t>
      </w:r>
      <w:r>
        <w:rPr>
          <w:i/>
        </w:rPr>
        <w:t>Mora.</w:t>
      </w:r>
    </w:p>
    <w:p>
      <w:pPr>
        <w:spacing w:before="118"/>
        <w:ind w:left="1022" w:right="982" w:firstLine="0"/>
        <w:jc w:val="center"/>
        <w:rPr>
          <w:b/>
          <w:sz w:val="23"/>
        </w:rPr>
      </w:pPr>
      <w:r>
        <w:rPr>
          <w:b/>
          <w:sz w:val="23"/>
        </w:rPr>
        <w:t>Director</w:t>
      </w:r>
    </w:p>
    <w:p>
      <w:pPr>
        <w:spacing w:before="114"/>
        <w:ind w:left="1021" w:right="982" w:firstLine="0"/>
        <w:jc w:val="center"/>
        <w:rPr>
          <w:i/>
          <w:sz w:val="30"/>
        </w:rPr>
      </w:pPr>
      <w:r>
        <w:rPr>
          <w:i/>
          <w:sz w:val="30"/>
        </w:rPr>
        <w:t>Dr en C. José Antonio Ibancovichi</w:t>
      </w:r>
      <w:r>
        <w:rPr>
          <w:i/>
          <w:spacing w:val="72"/>
          <w:sz w:val="30"/>
        </w:rPr>
        <w:t> </w:t>
      </w:r>
      <w:r>
        <w:rPr>
          <w:i/>
          <w:sz w:val="30"/>
        </w:rPr>
        <w:t>Camarillo.</w:t>
      </w:r>
    </w:p>
    <w:p>
      <w:pPr>
        <w:spacing w:before="118"/>
        <w:ind w:left="1022" w:right="982" w:firstLine="0"/>
        <w:jc w:val="center"/>
        <w:rPr>
          <w:b/>
          <w:sz w:val="23"/>
        </w:rPr>
      </w:pPr>
      <w:r>
        <w:rPr>
          <w:b/>
          <w:sz w:val="23"/>
        </w:rPr>
        <w:t>Subdirector Administrativo</w:t>
      </w:r>
    </w:p>
    <w:p>
      <w:pPr>
        <w:spacing w:before="118"/>
        <w:ind w:left="1022" w:right="982" w:firstLine="0"/>
        <w:jc w:val="center"/>
        <w:rPr>
          <w:i/>
          <w:sz w:val="30"/>
        </w:rPr>
      </w:pPr>
      <w:r>
        <w:rPr>
          <w:i/>
          <w:sz w:val="30"/>
        </w:rPr>
        <w:t>M en C. Arturo Luna Blasio.</w:t>
      </w:r>
    </w:p>
    <w:p>
      <w:pPr>
        <w:spacing w:before="118"/>
        <w:ind w:left="1022" w:right="982" w:firstLine="0"/>
        <w:jc w:val="center"/>
        <w:rPr>
          <w:b/>
          <w:sz w:val="23"/>
        </w:rPr>
      </w:pPr>
      <w:r>
        <w:rPr>
          <w:b/>
          <w:sz w:val="23"/>
        </w:rPr>
        <w:t>Subdirector Académico</w:t>
      </w:r>
    </w:p>
    <w:p>
      <w:pPr>
        <w:spacing w:before="118"/>
        <w:ind w:left="1021" w:right="982" w:firstLine="0"/>
        <w:jc w:val="center"/>
        <w:rPr>
          <w:i/>
          <w:sz w:val="30"/>
        </w:rPr>
      </w:pPr>
      <w:r>
        <w:rPr>
          <w:i/>
          <w:sz w:val="30"/>
        </w:rPr>
        <w:t>Dr en C. Octavo Alonso Castelán</w:t>
      </w:r>
      <w:r>
        <w:rPr>
          <w:i/>
          <w:spacing w:val="66"/>
          <w:sz w:val="30"/>
        </w:rPr>
        <w:t> </w:t>
      </w:r>
      <w:r>
        <w:rPr>
          <w:i/>
          <w:sz w:val="30"/>
        </w:rPr>
        <w:t>Ortega.</w:t>
      </w:r>
    </w:p>
    <w:p>
      <w:pPr>
        <w:spacing w:before="118"/>
        <w:ind w:left="1022" w:right="982" w:firstLine="0"/>
        <w:jc w:val="center"/>
        <w:rPr>
          <w:b/>
          <w:sz w:val="23"/>
        </w:rPr>
      </w:pPr>
      <w:r>
        <w:rPr>
          <w:b/>
          <w:sz w:val="23"/>
        </w:rPr>
        <w:t>Coordinador de Investigación</w:t>
      </w:r>
    </w:p>
    <w:p>
      <w:pPr>
        <w:spacing w:before="118"/>
        <w:ind w:left="1021" w:right="982" w:firstLine="0"/>
        <w:jc w:val="center"/>
        <w:rPr>
          <w:i/>
          <w:sz w:val="30"/>
        </w:rPr>
      </w:pPr>
      <w:r>
        <w:rPr>
          <w:i/>
          <w:sz w:val="30"/>
        </w:rPr>
        <w:t>M en C. Félix Salazar García.</w:t>
      </w:r>
    </w:p>
    <w:p>
      <w:pPr>
        <w:spacing w:before="118"/>
        <w:ind w:left="847" w:right="982" w:firstLine="0"/>
        <w:jc w:val="center"/>
        <w:rPr>
          <w:b/>
          <w:sz w:val="23"/>
        </w:rPr>
      </w:pPr>
      <w:r>
        <w:rPr>
          <w:b/>
          <w:sz w:val="23"/>
        </w:rPr>
        <w:t>Coordinador de Posgrado</w:t>
      </w:r>
    </w:p>
    <w:p>
      <w:pPr>
        <w:pStyle w:val="BodyText"/>
        <w:rPr>
          <w:b/>
          <w:sz w:val="22"/>
        </w:rPr>
      </w:pPr>
    </w:p>
    <w:p>
      <w:pPr>
        <w:pStyle w:val="BodyText"/>
        <w:rPr>
          <w:b/>
          <w:sz w:val="22"/>
        </w:rPr>
      </w:pPr>
    </w:p>
    <w:p>
      <w:pPr>
        <w:pStyle w:val="BodyText"/>
        <w:spacing w:before="4"/>
        <w:rPr>
          <w:b/>
          <w:sz w:val="24"/>
        </w:rPr>
      </w:pPr>
    </w:p>
    <w:p>
      <w:pPr>
        <w:spacing w:before="0"/>
        <w:ind w:left="1022" w:right="982" w:firstLine="0"/>
        <w:jc w:val="center"/>
        <w:rPr>
          <w:b/>
          <w:sz w:val="34"/>
        </w:rPr>
      </w:pPr>
      <w:r>
        <w:rPr>
          <w:b/>
          <w:sz w:val="34"/>
        </w:rPr>
        <w:t>Hospital Veterinario para Pequeñas</w:t>
      </w:r>
      <w:r>
        <w:rPr>
          <w:b/>
          <w:spacing w:val="60"/>
          <w:sz w:val="34"/>
        </w:rPr>
        <w:t> </w:t>
      </w:r>
      <w:r>
        <w:rPr>
          <w:b/>
          <w:sz w:val="34"/>
        </w:rPr>
        <w:t>Especies</w:t>
      </w:r>
    </w:p>
    <w:p>
      <w:pPr>
        <w:spacing w:before="232"/>
        <w:ind w:left="840" w:right="982" w:firstLine="0"/>
        <w:jc w:val="center"/>
        <w:rPr>
          <w:i/>
          <w:sz w:val="30"/>
        </w:rPr>
      </w:pPr>
      <w:r>
        <w:rPr>
          <w:i/>
          <w:sz w:val="30"/>
        </w:rPr>
        <w:t>Dr en C. Israel Alejandro Quijano  Hernández.</w:t>
      </w:r>
    </w:p>
    <w:p>
      <w:pPr>
        <w:spacing w:before="4"/>
        <w:ind w:left="1022" w:right="982" w:firstLine="0"/>
        <w:jc w:val="center"/>
        <w:rPr>
          <w:b/>
          <w:sz w:val="23"/>
        </w:rPr>
      </w:pPr>
      <w:r>
        <w:rPr>
          <w:b/>
          <w:sz w:val="23"/>
        </w:rPr>
        <w:t>Jefe del Programa de EMCPyG</w:t>
      </w:r>
    </w:p>
    <w:p>
      <w:pPr>
        <w:spacing w:before="4"/>
        <w:ind w:left="1021" w:right="982" w:firstLine="0"/>
        <w:jc w:val="center"/>
        <w:rPr>
          <w:i/>
          <w:sz w:val="30"/>
        </w:rPr>
      </w:pPr>
      <w:r>
        <w:rPr>
          <w:i/>
          <w:sz w:val="30"/>
        </w:rPr>
        <w:t>Dr en C. Javier Del-Angel</w:t>
      </w:r>
      <w:r>
        <w:rPr>
          <w:i/>
          <w:spacing w:val="62"/>
          <w:sz w:val="30"/>
        </w:rPr>
        <w:t> </w:t>
      </w:r>
      <w:r>
        <w:rPr>
          <w:i/>
          <w:sz w:val="30"/>
        </w:rPr>
        <w:t>–Caraza.</w:t>
      </w:r>
    </w:p>
    <w:p>
      <w:pPr>
        <w:spacing w:before="118"/>
        <w:ind w:left="1022" w:right="982" w:firstLine="0"/>
        <w:jc w:val="center"/>
        <w:rPr>
          <w:b/>
          <w:sz w:val="23"/>
        </w:rPr>
      </w:pPr>
      <w:r>
        <w:rPr>
          <w:b/>
          <w:sz w:val="23"/>
        </w:rPr>
        <w:t>Coordinador Hospital Veterinario para Pequeñas Especies</w:t>
      </w:r>
    </w:p>
    <w:p>
      <w:pPr>
        <w:spacing w:line="244" w:lineRule="auto" w:before="118"/>
        <w:ind w:left="1893" w:right="1850" w:firstLine="0"/>
        <w:jc w:val="center"/>
        <w:rPr>
          <w:i/>
          <w:sz w:val="30"/>
        </w:rPr>
      </w:pPr>
      <w:r>
        <w:rPr>
          <w:i/>
          <w:sz w:val="30"/>
        </w:rPr>
        <w:t>M en C. Marco Antonio Barbosa Míreles. </w:t>
      </w:r>
      <w:r>
        <w:rPr>
          <w:i/>
          <w:sz w:val="30"/>
        </w:rPr>
        <w:t>M en C. Sandra Díaz-González</w:t>
      </w:r>
      <w:r>
        <w:rPr>
          <w:i/>
          <w:spacing w:val="65"/>
          <w:sz w:val="30"/>
        </w:rPr>
        <w:t> </w:t>
      </w:r>
      <w:r>
        <w:rPr>
          <w:i/>
          <w:sz w:val="30"/>
        </w:rPr>
        <w:t>Vieyra.</w:t>
      </w:r>
    </w:p>
    <w:p>
      <w:pPr>
        <w:spacing w:line="244" w:lineRule="auto" w:before="1"/>
        <w:ind w:left="2356" w:right="2308" w:hanging="123"/>
        <w:jc w:val="left"/>
        <w:rPr>
          <w:i/>
          <w:sz w:val="30"/>
        </w:rPr>
      </w:pPr>
      <w:r>
        <w:rPr>
          <w:i/>
          <w:sz w:val="30"/>
        </w:rPr>
        <w:t>M en C. Horacio José Reyes Alva. </w:t>
      </w:r>
      <w:r>
        <w:rPr>
          <w:i/>
          <w:sz w:val="30"/>
        </w:rPr>
        <w:t>MVZ. Esp. Gabriela Marín</w:t>
      </w:r>
      <w:r>
        <w:rPr>
          <w:i/>
          <w:spacing w:val="57"/>
          <w:sz w:val="30"/>
        </w:rPr>
        <w:t> </w:t>
      </w:r>
      <w:r>
        <w:rPr>
          <w:i/>
          <w:sz w:val="30"/>
        </w:rPr>
        <w:t>Cano.</w:t>
      </w:r>
    </w:p>
    <w:p>
      <w:pPr>
        <w:spacing w:before="1"/>
        <w:ind w:left="1020" w:right="982" w:firstLine="0"/>
        <w:jc w:val="center"/>
        <w:rPr>
          <w:i/>
          <w:sz w:val="30"/>
        </w:rPr>
      </w:pPr>
      <w:r>
        <w:rPr>
          <w:i/>
          <w:sz w:val="30"/>
        </w:rPr>
        <w:t>MVZ. Esp. Rodrigo Jesús López</w:t>
      </w:r>
      <w:r>
        <w:rPr>
          <w:i/>
          <w:spacing w:val="63"/>
          <w:sz w:val="30"/>
        </w:rPr>
        <w:t> </w:t>
      </w:r>
      <w:r>
        <w:rPr>
          <w:i/>
          <w:sz w:val="30"/>
        </w:rPr>
        <w:t>Islas.</w:t>
      </w:r>
    </w:p>
    <w:p>
      <w:pPr>
        <w:spacing w:before="265"/>
        <w:ind w:left="1022" w:right="982" w:firstLine="0"/>
        <w:jc w:val="center"/>
        <w:rPr>
          <w:b/>
          <w:sz w:val="23"/>
        </w:rPr>
      </w:pPr>
      <w:r>
        <w:rPr>
          <w:b/>
          <w:sz w:val="23"/>
        </w:rPr>
        <w:t>Académicos</w:t>
      </w:r>
    </w:p>
    <w:p>
      <w:pPr>
        <w:pStyle w:val="BodyText"/>
        <w:rPr>
          <w:b/>
          <w:sz w:val="20"/>
        </w:rPr>
      </w:pPr>
    </w:p>
    <w:p>
      <w:pPr>
        <w:pStyle w:val="BodyText"/>
        <w:rPr>
          <w:b/>
          <w:sz w:val="20"/>
        </w:rPr>
      </w:pPr>
    </w:p>
    <w:p>
      <w:pPr>
        <w:pStyle w:val="BodyText"/>
        <w:spacing w:before="9"/>
        <w:rPr>
          <w:b/>
          <w:sz w:val="14"/>
        </w:rPr>
      </w:pPr>
      <w:r>
        <w:rPr/>
        <w:pict>
          <v:group style="position:absolute;margin-left:245.498505pt;margin-top:10.449201pt;width:131.85pt;height:82.4pt;mso-position-horizontal-relative:page;mso-position-vertical-relative:paragraph;z-index:1144;mso-wrap-distance-left:0;mso-wrap-distance-right:0" coordorigin="4910,209" coordsize="2637,1648">
            <v:shape style="position:absolute;left:4910;top:209;width:2637;height:1648" type="#_x0000_t75" stroked="false">
              <v:imagedata r:id="rId14" o:title=""/>
            </v:shape>
            <v:shape style="position:absolute;left:5052;top:214;width:2289;height:1556" type="#_x0000_t75" stroked="false">
              <v:imagedata r:id="rId15" o:title=""/>
            </v:shape>
            <w10:wrap type="topAndBottom"/>
          </v:group>
        </w:pict>
      </w:r>
    </w:p>
    <w:p>
      <w:pPr>
        <w:spacing w:after="0"/>
        <w:rPr>
          <w:sz w:val="14"/>
        </w:rPr>
        <w:sectPr>
          <w:pgSz w:w="12240" w:h="15840"/>
          <w:pgMar w:top="1280" w:bottom="280" w:left="1720" w:right="1720"/>
        </w:sectPr>
      </w:pPr>
    </w:p>
    <w:p>
      <w:pPr>
        <w:spacing w:before="23"/>
        <w:ind w:left="923" w:right="483" w:firstLine="0"/>
        <w:jc w:val="center"/>
        <w:rPr>
          <w:b/>
          <w:sz w:val="38"/>
        </w:rPr>
      </w:pPr>
      <w:r>
        <w:rPr>
          <w:b/>
          <w:sz w:val="38"/>
        </w:rPr>
        <w:t>Directorio</w:t>
      </w:r>
    </w:p>
    <w:p>
      <w:pPr>
        <w:pStyle w:val="BodyText"/>
        <w:rPr>
          <w:b/>
          <w:sz w:val="38"/>
        </w:rPr>
      </w:pPr>
    </w:p>
    <w:p>
      <w:pPr>
        <w:pStyle w:val="BodyText"/>
        <w:rPr>
          <w:b/>
          <w:sz w:val="38"/>
        </w:rPr>
      </w:pPr>
    </w:p>
    <w:p>
      <w:pPr>
        <w:pStyle w:val="BodyText"/>
        <w:rPr>
          <w:b/>
          <w:sz w:val="39"/>
        </w:rPr>
      </w:pPr>
    </w:p>
    <w:p>
      <w:pPr>
        <w:spacing w:line="242" w:lineRule="auto" w:before="0"/>
        <w:ind w:left="1797" w:right="1356" w:firstLine="1"/>
        <w:jc w:val="center"/>
        <w:rPr>
          <w:sz w:val="53"/>
        </w:rPr>
      </w:pPr>
      <w:r>
        <w:rPr>
          <w:sz w:val="53"/>
        </w:rPr>
        <w:t>“Cuerpo Académico en Medicina y Cirugía Animal”</w:t>
      </w:r>
    </w:p>
    <w:p>
      <w:pPr>
        <w:pStyle w:val="BodyText"/>
        <w:spacing w:before="9"/>
        <w:rPr>
          <w:sz w:val="45"/>
        </w:rPr>
      </w:pPr>
    </w:p>
    <w:p>
      <w:pPr>
        <w:spacing w:before="0"/>
        <w:ind w:left="105" w:right="0" w:firstLine="0"/>
        <w:jc w:val="left"/>
        <w:rPr>
          <w:sz w:val="41"/>
        </w:rPr>
      </w:pPr>
      <w:r>
        <w:rPr>
          <w:sz w:val="41"/>
        </w:rPr>
        <w:t>Facultad de Medicina Veterinaria y Zootecnia </w:t>
      </w:r>
      <w:r>
        <w:rPr>
          <w:spacing w:val="84"/>
          <w:sz w:val="41"/>
        </w:rPr>
        <w:t> </w:t>
      </w:r>
      <w:r>
        <w:rPr>
          <w:sz w:val="41"/>
        </w:rPr>
        <w:t>UAEM</w:t>
      </w:r>
    </w:p>
    <w:p>
      <w:pPr>
        <w:pStyle w:val="BodyText"/>
        <w:rPr>
          <w:sz w:val="42"/>
        </w:rPr>
      </w:pPr>
    </w:p>
    <w:p>
      <w:pPr>
        <w:pStyle w:val="BodyText"/>
        <w:rPr>
          <w:sz w:val="42"/>
        </w:rPr>
      </w:pPr>
    </w:p>
    <w:p>
      <w:pPr>
        <w:pStyle w:val="BodyText"/>
        <w:rPr>
          <w:sz w:val="42"/>
        </w:rPr>
      </w:pPr>
    </w:p>
    <w:p>
      <w:pPr>
        <w:pStyle w:val="BodyText"/>
        <w:spacing w:before="2"/>
        <w:rPr>
          <w:sz w:val="43"/>
        </w:rPr>
      </w:pPr>
    </w:p>
    <w:p>
      <w:pPr>
        <w:pStyle w:val="Heading2"/>
        <w:spacing w:before="0"/>
        <w:ind w:right="486"/>
        <w:rPr>
          <w:i/>
        </w:rPr>
      </w:pPr>
      <w:r>
        <w:rPr>
          <w:i/>
        </w:rPr>
        <w:t>Dr en C. Javier Del Angel  Caraza.</w:t>
      </w:r>
    </w:p>
    <w:p>
      <w:pPr>
        <w:spacing w:before="9"/>
        <w:ind w:left="923" w:right="487" w:firstLine="0"/>
        <w:jc w:val="center"/>
        <w:rPr>
          <w:i/>
          <w:sz w:val="41"/>
        </w:rPr>
      </w:pPr>
      <w:r>
        <w:rPr>
          <w:i/>
          <w:sz w:val="41"/>
        </w:rPr>
        <w:t>Dr en C. Israel Alejandro Quijano </w:t>
      </w:r>
      <w:r>
        <w:rPr>
          <w:i/>
          <w:spacing w:val="51"/>
          <w:sz w:val="41"/>
        </w:rPr>
        <w:t> </w:t>
      </w:r>
      <w:r>
        <w:rPr>
          <w:i/>
          <w:sz w:val="41"/>
        </w:rPr>
        <w:t>Hernández.</w:t>
      </w:r>
    </w:p>
    <w:p>
      <w:pPr>
        <w:spacing w:before="9"/>
        <w:ind w:left="923" w:right="481" w:firstLine="0"/>
        <w:jc w:val="center"/>
        <w:rPr>
          <w:i/>
          <w:sz w:val="41"/>
        </w:rPr>
      </w:pPr>
      <w:r>
        <w:rPr>
          <w:i/>
          <w:sz w:val="41"/>
        </w:rPr>
        <w:t>M en C. Marco Antonio Barbosa  Mireles.</w:t>
      </w:r>
    </w:p>
    <w:p>
      <w:pPr>
        <w:spacing w:after="0"/>
        <w:jc w:val="center"/>
        <w:rPr>
          <w:sz w:val="41"/>
        </w:rPr>
        <w:sectPr>
          <w:pgSz w:w="12240" w:h="15840"/>
          <w:pgMar w:top="1280" w:bottom="280" w:left="1280" w:right="1680"/>
        </w:sectPr>
      </w:pPr>
    </w:p>
    <w:p>
      <w:pPr>
        <w:spacing w:before="27"/>
        <w:ind w:left="502" w:right="502" w:firstLine="0"/>
        <w:jc w:val="center"/>
        <w:rPr>
          <w:sz w:val="45"/>
        </w:rPr>
      </w:pPr>
      <w:r>
        <w:rPr>
          <w:sz w:val="45"/>
        </w:rPr>
        <w:t>Memorias del:</w:t>
      </w:r>
    </w:p>
    <w:p>
      <w:pPr>
        <w:pStyle w:val="BodyText"/>
        <w:rPr>
          <w:sz w:val="46"/>
        </w:rPr>
      </w:pPr>
    </w:p>
    <w:p>
      <w:pPr>
        <w:pStyle w:val="BodyText"/>
        <w:spacing w:before="4"/>
        <w:rPr>
          <w:sz w:val="40"/>
        </w:rPr>
      </w:pPr>
    </w:p>
    <w:p>
      <w:pPr>
        <w:spacing w:line="244" w:lineRule="auto" w:before="0"/>
        <w:ind w:left="504" w:right="502" w:firstLine="0"/>
        <w:jc w:val="center"/>
        <w:rPr>
          <w:i/>
          <w:sz w:val="45"/>
        </w:rPr>
      </w:pPr>
      <w:r>
        <w:rPr>
          <w:i/>
          <w:sz w:val="45"/>
        </w:rPr>
        <w:t>“Seminario de Residentes de la Especialidad en </w:t>
      </w:r>
      <w:r>
        <w:rPr>
          <w:i/>
          <w:sz w:val="45"/>
        </w:rPr>
        <w:t>Medicina y Cirugía en Perros y Gatos, Generación</w:t>
      </w:r>
      <w:r>
        <w:rPr>
          <w:i/>
          <w:spacing w:val="72"/>
          <w:sz w:val="45"/>
        </w:rPr>
        <w:t> </w:t>
      </w:r>
      <w:r>
        <w:rPr>
          <w:i/>
          <w:sz w:val="45"/>
        </w:rPr>
        <w:t>2013-2015”</w:t>
      </w:r>
    </w:p>
    <w:p>
      <w:pPr>
        <w:pStyle w:val="BodyText"/>
        <w:spacing w:before="2"/>
        <w:rPr>
          <w:i/>
          <w:sz w:val="41"/>
        </w:rPr>
      </w:pPr>
    </w:p>
    <w:p>
      <w:pPr>
        <w:spacing w:before="1"/>
        <w:ind w:left="502" w:right="502" w:firstLine="0"/>
        <w:jc w:val="center"/>
        <w:rPr>
          <w:i/>
          <w:sz w:val="49"/>
        </w:rPr>
      </w:pPr>
      <w:r>
        <w:rPr>
          <w:i/>
          <w:sz w:val="49"/>
        </w:rPr>
        <w:t>Compiladores:</w:t>
      </w:r>
    </w:p>
    <w:p>
      <w:pPr>
        <w:pStyle w:val="BodyText"/>
        <w:spacing w:before="8"/>
        <w:rPr>
          <w:i/>
          <w:sz w:val="70"/>
        </w:rPr>
      </w:pPr>
    </w:p>
    <w:p>
      <w:pPr>
        <w:spacing w:line="403" w:lineRule="auto" w:before="0"/>
        <w:ind w:left="1062" w:right="1061" w:hanging="1"/>
        <w:jc w:val="center"/>
        <w:rPr>
          <w:b/>
          <w:sz w:val="30"/>
        </w:rPr>
      </w:pPr>
      <w:r>
        <w:rPr>
          <w:i/>
          <w:sz w:val="30"/>
        </w:rPr>
        <w:t>Dr en C. Javier Del Angel Caraza </w:t>
      </w:r>
      <w:r>
        <w:rPr>
          <w:b/>
          <w:sz w:val="30"/>
        </w:rPr>
        <w:t>(Coordinador General)  </w:t>
      </w:r>
      <w:r>
        <w:rPr>
          <w:i/>
          <w:sz w:val="30"/>
        </w:rPr>
        <w:t>Dr en C. Israel Alejandro Quijano Hernández </w:t>
      </w:r>
      <w:r>
        <w:rPr>
          <w:b/>
          <w:sz w:val="30"/>
        </w:rPr>
        <w:t>(Colaborador) </w:t>
      </w:r>
      <w:r>
        <w:rPr>
          <w:i/>
          <w:sz w:val="30"/>
        </w:rPr>
        <w:t>M en C.  Marco Antonio Barbosa Mireles </w:t>
      </w:r>
      <w:r>
        <w:rPr>
          <w:i/>
          <w:spacing w:val="20"/>
          <w:sz w:val="30"/>
        </w:rPr>
        <w:t> </w:t>
      </w:r>
      <w:r>
        <w:rPr>
          <w:b/>
          <w:sz w:val="30"/>
        </w:rPr>
        <w:t>(Colaborador)</w:t>
      </w:r>
    </w:p>
    <w:p>
      <w:pPr>
        <w:pStyle w:val="BodyText"/>
        <w:rPr>
          <w:b/>
          <w:sz w:val="30"/>
        </w:rPr>
      </w:pPr>
    </w:p>
    <w:p>
      <w:pPr>
        <w:pStyle w:val="Heading5"/>
        <w:numPr>
          <w:ilvl w:val="1"/>
          <w:numId w:val="1"/>
        </w:numPr>
        <w:tabs>
          <w:tab w:pos="851" w:val="left" w:leader="none"/>
        </w:tabs>
        <w:spacing w:line="244" w:lineRule="auto" w:before="242" w:after="0"/>
        <w:ind w:left="105" w:right="102" w:firstLine="0"/>
        <w:jc w:val="both"/>
      </w:pPr>
      <w:r>
        <w:rPr/>
        <w:t>© Hospital Veterinario para Pequeñas Especies de la Facultad de Medicina Veterinaria y Zootecnia de la Universidad Autónoma del Estado de México. Jesús Carranza # 203 Col. Universidad. CP 50130, Toluca, </w:t>
      </w:r>
      <w:r>
        <w:rPr>
          <w:spacing w:val="48"/>
        </w:rPr>
        <w:t> </w:t>
      </w:r>
      <w:r>
        <w:rPr/>
        <w:t>México.</w:t>
      </w:r>
    </w:p>
    <w:p>
      <w:pPr>
        <w:spacing w:before="224"/>
        <w:ind w:left="105" w:right="0" w:firstLine="0"/>
        <w:jc w:val="both"/>
        <w:rPr>
          <w:sz w:val="34"/>
        </w:rPr>
      </w:pPr>
      <w:hyperlink r:id="rId16">
        <w:r>
          <w:rPr>
            <w:color w:val="0000FF"/>
            <w:sz w:val="34"/>
            <w:u w:val="single" w:color="0000FF"/>
          </w:rPr>
          <w:t>http://veterinaria.uaemex.mx/HVPE/index.php</w:t>
        </w:r>
      </w:hyperlink>
    </w:p>
    <w:p>
      <w:pPr>
        <w:pStyle w:val="BodyText"/>
        <w:rPr>
          <w:sz w:val="20"/>
        </w:rPr>
      </w:pPr>
    </w:p>
    <w:p>
      <w:pPr>
        <w:pStyle w:val="BodyText"/>
        <w:rPr>
          <w:sz w:val="20"/>
        </w:rPr>
      </w:pPr>
    </w:p>
    <w:p>
      <w:pPr>
        <w:pStyle w:val="BodyText"/>
        <w:spacing w:before="3"/>
        <w:rPr>
          <w:sz w:val="25"/>
        </w:rPr>
      </w:pPr>
    </w:p>
    <w:p>
      <w:pPr>
        <w:pStyle w:val="Heading5"/>
        <w:spacing w:before="63"/>
      </w:pPr>
      <w:r>
        <w:rPr/>
        <w:t>Impreso y hecho en México</w:t>
      </w:r>
    </w:p>
    <w:p>
      <w:pPr>
        <w:pStyle w:val="BodyText"/>
        <w:rPr>
          <w:sz w:val="30"/>
        </w:rPr>
      </w:pPr>
    </w:p>
    <w:p>
      <w:pPr>
        <w:pStyle w:val="BodyText"/>
        <w:spacing w:before="8"/>
        <w:rPr>
          <w:sz w:val="44"/>
        </w:rPr>
      </w:pPr>
    </w:p>
    <w:p>
      <w:pPr>
        <w:spacing w:before="0"/>
        <w:ind w:left="502" w:right="502" w:firstLine="0"/>
        <w:jc w:val="center"/>
        <w:rPr>
          <w:sz w:val="30"/>
        </w:rPr>
      </w:pPr>
      <w:r>
        <w:rPr>
          <w:sz w:val="30"/>
        </w:rPr>
        <w:t>Toluca, Estado de México, México, 17 de Junio de  2015.</w:t>
      </w:r>
    </w:p>
    <w:p>
      <w:pPr>
        <w:spacing w:after="0"/>
        <w:jc w:val="center"/>
        <w:rPr>
          <w:sz w:val="30"/>
        </w:rPr>
        <w:sectPr>
          <w:pgSz w:w="12240" w:h="15840"/>
          <w:pgMar w:top="1280" w:bottom="280" w:left="1280" w:right="1240"/>
        </w:sectPr>
      </w:pPr>
    </w:p>
    <w:p>
      <w:pPr>
        <w:spacing w:before="10"/>
        <w:ind w:left="105" w:right="0" w:firstLine="0"/>
        <w:jc w:val="left"/>
        <w:rPr>
          <w:sz w:val="53"/>
        </w:rPr>
      </w:pPr>
      <w:r>
        <w:rPr>
          <w:sz w:val="53"/>
        </w:rPr>
        <w:t>Índice</w:t>
      </w:r>
    </w:p>
    <w:p>
      <w:pPr>
        <w:spacing w:before="4"/>
        <w:ind w:left="0" w:right="105" w:firstLine="0"/>
        <w:jc w:val="right"/>
        <w:rPr>
          <w:b/>
          <w:i/>
          <w:sz w:val="26"/>
        </w:rPr>
      </w:pPr>
      <w:r>
        <w:rPr>
          <w:b/>
          <w:i/>
          <w:sz w:val="26"/>
          <w:u w:val="thick"/>
        </w:rPr>
        <w:t>Página</w:t>
      </w:r>
    </w:p>
    <w:p>
      <w:pPr>
        <w:pStyle w:val="ListParagraph"/>
        <w:numPr>
          <w:ilvl w:val="0"/>
          <w:numId w:val="2"/>
        </w:numPr>
        <w:tabs>
          <w:tab w:pos="448" w:val="left" w:leader="none"/>
          <w:tab w:pos="449" w:val="left" w:leader="none"/>
        </w:tabs>
        <w:spacing w:line="283" w:lineRule="exact" w:before="7" w:after="0"/>
        <w:ind w:left="448" w:right="0" w:hanging="343"/>
        <w:jc w:val="left"/>
        <w:rPr>
          <w:rFonts w:ascii="Symbol" w:hAnsi="Symbol"/>
          <w:i/>
          <w:sz w:val="26"/>
        </w:rPr>
      </w:pPr>
      <w:r>
        <w:rPr>
          <w:w w:val="105"/>
          <w:sz w:val="18"/>
          <w:u w:val="single"/>
        </w:rPr>
        <w:t>Intususcepción  gastroesofágica  intermitente  en  un  gato.  </w:t>
      </w:r>
      <w:r>
        <w:rPr>
          <w:i/>
          <w:w w:val="105"/>
          <w:sz w:val="18"/>
        </w:rPr>
        <w:t>Alvarez-Contreras  PC,*    </w:t>
      </w:r>
      <w:r>
        <w:rPr>
          <w:i/>
          <w:spacing w:val="2"/>
          <w:w w:val="105"/>
          <w:sz w:val="18"/>
        </w:rPr>
        <w:t> </w:t>
      </w:r>
      <w:r>
        <w:rPr>
          <w:i/>
          <w:w w:val="105"/>
          <w:sz w:val="18"/>
        </w:rPr>
        <w:t>Del-Angel-</w:t>
      </w:r>
    </w:p>
    <w:p>
      <w:pPr>
        <w:tabs>
          <w:tab w:pos="8702" w:val="left" w:leader="none"/>
        </w:tabs>
        <w:spacing w:line="269" w:lineRule="exact" w:before="0"/>
        <w:ind w:left="448" w:right="0" w:firstLine="0"/>
        <w:jc w:val="left"/>
        <w:rPr>
          <w:i/>
          <w:sz w:val="23"/>
        </w:rPr>
      </w:pPr>
      <w:r>
        <w:rPr>
          <w:i/>
          <w:w w:val="105"/>
          <w:sz w:val="18"/>
        </w:rPr>
        <w:t>Caraza J, Barbosa-Mireles MA,</w:t>
      </w:r>
      <w:r>
        <w:rPr>
          <w:i/>
          <w:spacing w:val="10"/>
          <w:w w:val="105"/>
          <w:sz w:val="18"/>
        </w:rPr>
        <w:t> </w:t>
      </w:r>
      <w:r>
        <w:rPr>
          <w:i/>
          <w:w w:val="105"/>
          <w:sz w:val="18"/>
        </w:rPr>
        <w:t>Quijano-Hernández</w:t>
      </w:r>
      <w:r>
        <w:rPr>
          <w:i/>
          <w:spacing w:val="2"/>
          <w:w w:val="105"/>
          <w:sz w:val="18"/>
        </w:rPr>
        <w:t> </w:t>
      </w:r>
      <w:r>
        <w:rPr>
          <w:i/>
          <w:w w:val="105"/>
          <w:sz w:val="18"/>
        </w:rPr>
        <w:t>IA</w:t>
      </w:r>
      <w:r>
        <w:rPr>
          <w:i/>
          <w:w w:val="105"/>
          <w:position w:val="5"/>
          <w:sz w:val="23"/>
        </w:rPr>
        <w:tab/>
        <w:t>1</w:t>
      </w:r>
    </w:p>
    <w:p>
      <w:pPr>
        <w:pStyle w:val="ListParagraph"/>
        <w:numPr>
          <w:ilvl w:val="0"/>
          <w:numId w:val="2"/>
        </w:numPr>
        <w:tabs>
          <w:tab w:pos="448" w:val="left" w:leader="none"/>
          <w:tab w:pos="449" w:val="left" w:leader="none"/>
        </w:tabs>
        <w:spacing w:line="229" w:lineRule="exact" w:before="240" w:after="0"/>
        <w:ind w:left="448" w:right="0" w:hanging="343"/>
        <w:jc w:val="left"/>
        <w:rPr>
          <w:rFonts w:ascii="Symbol" w:hAnsi="Symbol"/>
          <w:i/>
          <w:sz w:val="20"/>
        </w:rPr>
      </w:pPr>
      <w:r>
        <w:rPr>
          <w:w w:val="105"/>
          <w:sz w:val="18"/>
          <w:u w:val="single"/>
        </w:rPr>
        <w:t>Estudio  retrospectivo  de  tumores  cutáneos  diagnosticados  por  citología.  </w:t>
      </w:r>
      <w:r>
        <w:rPr>
          <w:i/>
          <w:w w:val="105"/>
          <w:sz w:val="18"/>
        </w:rPr>
        <w:t>Bravo-Murillo  </w:t>
      </w:r>
      <w:r>
        <w:rPr>
          <w:i/>
          <w:spacing w:val="31"/>
          <w:w w:val="105"/>
          <w:sz w:val="18"/>
        </w:rPr>
        <w:t> </w:t>
      </w:r>
      <w:r>
        <w:rPr>
          <w:i/>
          <w:w w:val="105"/>
          <w:sz w:val="18"/>
        </w:rPr>
        <w:t>LA,*</w:t>
      </w:r>
    </w:p>
    <w:p>
      <w:pPr>
        <w:tabs>
          <w:tab w:pos="8702" w:val="left" w:leader="none"/>
        </w:tabs>
        <w:spacing w:line="258" w:lineRule="exact" w:before="0"/>
        <w:ind w:left="448" w:right="0" w:firstLine="0"/>
        <w:jc w:val="left"/>
        <w:rPr>
          <w:i/>
          <w:sz w:val="23"/>
        </w:rPr>
      </w:pPr>
      <w:r>
        <w:rPr>
          <w:i/>
          <w:w w:val="105"/>
          <w:sz w:val="18"/>
        </w:rPr>
        <w:t>Quijano-Hernández IA,</w:t>
      </w:r>
      <w:r>
        <w:rPr>
          <w:i/>
          <w:spacing w:val="5"/>
          <w:w w:val="105"/>
          <w:sz w:val="18"/>
        </w:rPr>
        <w:t> </w:t>
      </w:r>
      <w:r>
        <w:rPr>
          <w:i/>
          <w:w w:val="105"/>
          <w:sz w:val="18"/>
        </w:rPr>
        <w:t>Del-Ángel-Caraza</w:t>
      </w:r>
      <w:r>
        <w:rPr>
          <w:i/>
          <w:spacing w:val="3"/>
          <w:w w:val="105"/>
          <w:sz w:val="18"/>
        </w:rPr>
        <w:t> </w:t>
      </w:r>
      <w:r>
        <w:rPr>
          <w:i/>
          <w:w w:val="105"/>
          <w:sz w:val="18"/>
        </w:rPr>
        <w:t>J</w:t>
      </w:r>
      <w:r>
        <w:rPr>
          <w:i/>
          <w:w w:val="105"/>
          <w:position w:val="2"/>
          <w:sz w:val="23"/>
        </w:rPr>
        <w:tab/>
        <w:t>7</w:t>
      </w:r>
    </w:p>
    <w:p>
      <w:pPr>
        <w:pStyle w:val="ListParagraph"/>
        <w:numPr>
          <w:ilvl w:val="0"/>
          <w:numId w:val="2"/>
        </w:numPr>
        <w:tabs>
          <w:tab w:pos="448" w:val="left" w:leader="none"/>
          <w:tab w:pos="449" w:val="left" w:leader="none"/>
        </w:tabs>
        <w:spacing w:line="234" w:lineRule="exact" w:before="240" w:after="0"/>
        <w:ind w:left="448" w:right="0" w:hanging="343"/>
        <w:jc w:val="left"/>
        <w:rPr>
          <w:rFonts w:ascii="Symbol" w:hAnsi="Symbol"/>
          <w:sz w:val="20"/>
        </w:rPr>
      </w:pPr>
      <w:r>
        <w:rPr>
          <w:w w:val="105"/>
          <w:sz w:val="18"/>
          <w:u w:val="single"/>
        </w:rPr>
        <w:t>Utilización de material sintético termoplástico para la formación de barra conectora de aparato  </w:t>
      </w:r>
      <w:r>
        <w:rPr>
          <w:spacing w:val="20"/>
          <w:w w:val="105"/>
          <w:sz w:val="18"/>
          <w:u w:val="single"/>
        </w:rPr>
        <w:t> </w:t>
      </w:r>
      <w:r>
        <w:rPr>
          <w:w w:val="105"/>
          <w:sz w:val="18"/>
          <w:u w:val="single"/>
        </w:rPr>
        <w:t>de</w:t>
      </w:r>
    </w:p>
    <w:p>
      <w:pPr>
        <w:tabs>
          <w:tab w:pos="8645" w:val="left" w:leader="none"/>
        </w:tabs>
        <w:spacing w:line="254" w:lineRule="exact" w:before="0"/>
        <w:ind w:left="448" w:right="0" w:firstLine="0"/>
        <w:jc w:val="left"/>
        <w:rPr>
          <w:i/>
          <w:sz w:val="23"/>
        </w:rPr>
      </w:pPr>
      <w:r>
        <w:rPr>
          <w:w w:val="105"/>
          <w:sz w:val="18"/>
          <w:u w:val="single"/>
        </w:rPr>
        <w:t>fijación esquelética externa en perros. </w:t>
      </w:r>
      <w:r>
        <w:rPr>
          <w:i/>
          <w:w w:val="105"/>
          <w:sz w:val="18"/>
        </w:rPr>
        <w:t>de Ruiter-van Zwieten CJ,*</w:t>
      </w:r>
      <w:r>
        <w:rPr>
          <w:i/>
          <w:spacing w:val="19"/>
          <w:w w:val="105"/>
          <w:sz w:val="18"/>
        </w:rPr>
        <w:t> </w:t>
      </w:r>
      <w:r>
        <w:rPr>
          <w:i/>
          <w:w w:val="105"/>
          <w:sz w:val="18"/>
        </w:rPr>
        <w:t>Reyes-Alva</w:t>
      </w:r>
      <w:r>
        <w:rPr>
          <w:i/>
          <w:spacing w:val="2"/>
          <w:w w:val="105"/>
          <w:sz w:val="18"/>
        </w:rPr>
        <w:t> </w:t>
      </w:r>
      <w:r>
        <w:rPr>
          <w:i/>
          <w:w w:val="105"/>
          <w:sz w:val="18"/>
        </w:rPr>
        <w:t>HJ</w:t>
      </w:r>
      <w:r>
        <w:rPr>
          <w:i/>
          <w:w w:val="105"/>
          <w:position w:val="1"/>
          <w:sz w:val="23"/>
        </w:rPr>
        <w:tab/>
        <w:t>13</w:t>
      </w:r>
    </w:p>
    <w:p>
      <w:pPr>
        <w:pStyle w:val="ListParagraph"/>
        <w:numPr>
          <w:ilvl w:val="0"/>
          <w:numId w:val="2"/>
        </w:numPr>
        <w:tabs>
          <w:tab w:pos="448" w:val="left" w:leader="none"/>
          <w:tab w:pos="449" w:val="left" w:leader="none"/>
        </w:tabs>
        <w:spacing w:line="234" w:lineRule="exact" w:before="240" w:after="0"/>
        <w:ind w:left="448" w:right="0" w:hanging="343"/>
        <w:jc w:val="left"/>
        <w:rPr>
          <w:rFonts w:ascii="Symbol" w:hAnsi="Symbol"/>
          <w:i/>
          <w:sz w:val="20"/>
        </w:rPr>
      </w:pPr>
      <w:r>
        <w:rPr>
          <w:w w:val="105"/>
          <w:sz w:val="18"/>
          <w:u w:val="single"/>
        </w:rPr>
        <w:t>Experiencia</w:t>
      </w:r>
      <w:r>
        <w:rPr>
          <w:spacing w:val="37"/>
          <w:w w:val="105"/>
          <w:sz w:val="18"/>
          <w:u w:val="single"/>
        </w:rPr>
        <w:t> </w:t>
      </w:r>
      <w:r>
        <w:rPr>
          <w:w w:val="105"/>
          <w:sz w:val="18"/>
          <w:u w:val="single"/>
        </w:rPr>
        <w:t>con</w:t>
      </w:r>
      <w:r>
        <w:rPr>
          <w:spacing w:val="37"/>
          <w:w w:val="105"/>
          <w:sz w:val="18"/>
          <w:u w:val="single"/>
        </w:rPr>
        <w:t> </w:t>
      </w:r>
      <w:r>
        <w:rPr>
          <w:w w:val="105"/>
          <w:sz w:val="18"/>
          <w:u w:val="single"/>
        </w:rPr>
        <w:t>el</w:t>
      </w:r>
      <w:r>
        <w:rPr>
          <w:spacing w:val="36"/>
          <w:w w:val="105"/>
          <w:sz w:val="18"/>
          <w:u w:val="single"/>
        </w:rPr>
        <w:t> </w:t>
      </w:r>
      <w:r>
        <w:rPr>
          <w:w w:val="105"/>
          <w:sz w:val="18"/>
          <w:u w:val="single"/>
        </w:rPr>
        <w:t>uso</w:t>
      </w:r>
      <w:r>
        <w:rPr>
          <w:spacing w:val="37"/>
          <w:w w:val="105"/>
          <w:sz w:val="18"/>
          <w:u w:val="single"/>
        </w:rPr>
        <w:t> </w:t>
      </w:r>
      <w:r>
        <w:rPr>
          <w:w w:val="105"/>
          <w:sz w:val="18"/>
          <w:u w:val="single"/>
        </w:rPr>
        <w:t>de</w:t>
      </w:r>
      <w:r>
        <w:rPr>
          <w:spacing w:val="37"/>
          <w:w w:val="105"/>
          <w:sz w:val="18"/>
          <w:u w:val="single"/>
        </w:rPr>
        <w:t> </w:t>
      </w:r>
      <w:r>
        <w:rPr>
          <w:w w:val="105"/>
          <w:sz w:val="18"/>
          <w:u w:val="single"/>
        </w:rPr>
        <w:t>la</w:t>
      </w:r>
      <w:r>
        <w:rPr>
          <w:spacing w:val="37"/>
          <w:w w:val="105"/>
          <w:sz w:val="18"/>
          <w:u w:val="single"/>
        </w:rPr>
        <w:t> </w:t>
      </w:r>
      <w:r>
        <w:rPr>
          <w:w w:val="105"/>
          <w:sz w:val="18"/>
          <w:u w:val="single"/>
        </w:rPr>
        <w:t>monitorización</w:t>
      </w:r>
      <w:r>
        <w:rPr>
          <w:spacing w:val="37"/>
          <w:w w:val="105"/>
          <w:sz w:val="18"/>
          <w:u w:val="single"/>
        </w:rPr>
        <w:t> </w:t>
      </w:r>
      <w:r>
        <w:rPr>
          <w:w w:val="105"/>
          <w:sz w:val="18"/>
          <w:u w:val="single"/>
        </w:rPr>
        <w:t>Holter</w:t>
      </w:r>
      <w:r>
        <w:rPr>
          <w:spacing w:val="37"/>
          <w:w w:val="105"/>
          <w:sz w:val="18"/>
          <w:u w:val="single"/>
        </w:rPr>
        <w:t> </w:t>
      </w:r>
      <w:r>
        <w:rPr>
          <w:w w:val="105"/>
          <w:sz w:val="18"/>
          <w:u w:val="single"/>
        </w:rPr>
        <w:t>en</w:t>
      </w:r>
      <w:r>
        <w:rPr>
          <w:spacing w:val="37"/>
          <w:w w:val="105"/>
          <w:sz w:val="18"/>
          <w:u w:val="single"/>
        </w:rPr>
        <w:t> </w:t>
      </w:r>
      <w:r>
        <w:rPr>
          <w:w w:val="105"/>
          <w:sz w:val="18"/>
          <w:u w:val="single"/>
        </w:rPr>
        <w:t>ocho</w:t>
      </w:r>
      <w:r>
        <w:rPr>
          <w:spacing w:val="37"/>
          <w:w w:val="105"/>
          <w:sz w:val="18"/>
          <w:u w:val="single"/>
        </w:rPr>
        <w:t> </w:t>
      </w:r>
      <w:r>
        <w:rPr>
          <w:w w:val="105"/>
          <w:sz w:val="18"/>
          <w:u w:val="single"/>
        </w:rPr>
        <w:t>perros.</w:t>
      </w:r>
      <w:r>
        <w:rPr>
          <w:spacing w:val="38"/>
          <w:w w:val="105"/>
          <w:sz w:val="18"/>
          <w:u w:val="single"/>
        </w:rPr>
        <w:t> </w:t>
      </w:r>
      <w:r>
        <w:rPr>
          <w:i/>
          <w:w w:val="105"/>
          <w:sz w:val="18"/>
        </w:rPr>
        <w:t>Díaz</w:t>
      </w:r>
      <w:r>
        <w:rPr>
          <w:i/>
          <w:spacing w:val="37"/>
          <w:w w:val="105"/>
          <w:sz w:val="18"/>
        </w:rPr>
        <w:t> </w:t>
      </w:r>
      <w:r>
        <w:rPr>
          <w:i/>
          <w:w w:val="105"/>
          <w:sz w:val="18"/>
        </w:rPr>
        <w:t>de</w:t>
      </w:r>
      <w:r>
        <w:rPr>
          <w:i/>
          <w:spacing w:val="37"/>
          <w:w w:val="105"/>
          <w:sz w:val="18"/>
        </w:rPr>
        <w:t> </w:t>
      </w:r>
      <w:r>
        <w:rPr>
          <w:i/>
          <w:w w:val="105"/>
          <w:sz w:val="18"/>
        </w:rPr>
        <w:t>León-Trejo</w:t>
      </w:r>
      <w:r>
        <w:rPr>
          <w:i/>
          <w:spacing w:val="37"/>
          <w:w w:val="105"/>
          <w:sz w:val="18"/>
        </w:rPr>
        <w:t> </w:t>
      </w:r>
      <w:r>
        <w:rPr>
          <w:i/>
          <w:w w:val="105"/>
          <w:sz w:val="18"/>
        </w:rPr>
        <w:t>JA,*</w:t>
      </w:r>
    </w:p>
    <w:p>
      <w:pPr>
        <w:tabs>
          <w:tab w:pos="8645" w:val="left" w:leader="none"/>
        </w:tabs>
        <w:spacing w:line="254" w:lineRule="exact" w:before="0"/>
        <w:ind w:left="448" w:right="0" w:firstLine="0"/>
        <w:jc w:val="left"/>
        <w:rPr>
          <w:i/>
          <w:sz w:val="23"/>
        </w:rPr>
      </w:pPr>
      <w:r>
        <w:rPr>
          <w:i/>
          <w:w w:val="105"/>
          <w:sz w:val="18"/>
        </w:rPr>
        <w:t>Barbosa-Mireles MA, Del Ángel-Caraza J, Quijano-Hernández IA,</w:t>
      </w:r>
      <w:r>
        <w:rPr>
          <w:i/>
          <w:spacing w:val="21"/>
          <w:w w:val="105"/>
          <w:sz w:val="18"/>
        </w:rPr>
        <w:t> </w:t>
      </w:r>
      <w:r>
        <w:rPr>
          <w:i/>
          <w:w w:val="105"/>
          <w:sz w:val="18"/>
        </w:rPr>
        <w:t>Díaz-Gonzales-Vieyra</w:t>
      </w:r>
      <w:r>
        <w:rPr>
          <w:i/>
          <w:spacing w:val="3"/>
          <w:w w:val="105"/>
          <w:sz w:val="18"/>
        </w:rPr>
        <w:t> </w:t>
      </w:r>
      <w:r>
        <w:rPr>
          <w:i/>
          <w:w w:val="105"/>
          <w:sz w:val="18"/>
        </w:rPr>
        <w:t>S</w:t>
      </w:r>
      <w:r>
        <w:rPr>
          <w:i/>
          <w:w w:val="105"/>
          <w:position w:val="1"/>
          <w:sz w:val="23"/>
        </w:rPr>
        <w:tab/>
        <w:t>20</w:t>
      </w:r>
    </w:p>
    <w:p>
      <w:pPr>
        <w:pStyle w:val="ListParagraph"/>
        <w:numPr>
          <w:ilvl w:val="0"/>
          <w:numId w:val="2"/>
        </w:numPr>
        <w:tabs>
          <w:tab w:pos="448" w:val="left" w:leader="none"/>
          <w:tab w:pos="449" w:val="left" w:leader="none"/>
        </w:tabs>
        <w:spacing w:line="234" w:lineRule="exact" w:before="240" w:after="0"/>
        <w:ind w:left="448" w:right="0" w:hanging="343"/>
        <w:jc w:val="left"/>
        <w:rPr>
          <w:rFonts w:ascii="Symbol" w:hAnsi="Symbol"/>
          <w:i/>
          <w:sz w:val="20"/>
        </w:rPr>
      </w:pPr>
      <w:r>
        <w:rPr>
          <w:w w:val="105"/>
          <w:sz w:val="18"/>
          <w:u w:val="single"/>
        </w:rPr>
        <w:t>Hernia</w:t>
      </w:r>
      <w:r>
        <w:rPr>
          <w:spacing w:val="10"/>
          <w:w w:val="105"/>
          <w:sz w:val="18"/>
          <w:u w:val="single"/>
        </w:rPr>
        <w:t> </w:t>
      </w:r>
      <w:r>
        <w:rPr>
          <w:w w:val="105"/>
          <w:sz w:val="18"/>
          <w:u w:val="single"/>
        </w:rPr>
        <w:t>diafragmática</w:t>
      </w:r>
      <w:r>
        <w:rPr>
          <w:spacing w:val="10"/>
          <w:w w:val="105"/>
          <w:sz w:val="18"/>
          <w:u w:val="single"/>
        </w:rPr>
        <w:t> </w:t>
      </w:r>
      <w:r>
        <w:rPr>
          <w:w w:val="105"/>
          <w:sz w:val="18"/>
          <w:u w:val="single"/>
        </w:rPr>
        <w:t>con</w:t>
      </w:r>
      <w:r>
        <w:rPr>
          <w:spacing w:val="10"/>
          <w:w w:val="105"/>
          <w:sz w:val="18"/>
          <w:u w:val="single"/>
        </w:rPr>
        <w:t> </w:t>
      </w:r>
      <w:r>
        <w:rPr>
          <w:w w:val="105"/>
          <w:sz w:val="18"/>
          <w:u w:val="single"/>
        </w:rPr>
        <w:t>un</w:t>
      </w:r>
      <w:r>
        <w:rPr>
          <w:spacing w:val="10"/>
          <w:w w:val="105"/>
          <w:sz w:val="18"/>
          <w:u w:val="single"/>
        </w:rPr>
        <w:t> </w:t>
      </w:r>
      <w:r>
        <w:rPr>
          <w:w w:val="105"/>
          <w:sz w:val="18"/>
          <w:u w:val="single"/>
        </w:rPr>
        <w:t>año</w:t>
      </w:r>
      <w:r>
        <w:rPr>
          <w:spacing w:val="10"/>
          <w:w w:val="105"/>
          <w:sz w:val="18"/>
          <w:u w:val="single"/>
        </w:rPr>
        <w:t> </w:t>
      </w:r>
      <w:r>
        <w:rPr>
          <w:w w:val="105"/>
          <w:sz w:val="18"/>
          <w:u w:val="single"/>
        </w:rPr>
        <w:t>y</w:t>
      </w:r>
      <w:r>
        <w:rPr>
          <w:spacing w:val="10"/>
          <w:w w:val="105"/>
          <w:sz w:val="18"/>
          <w:u w:val="single"/>
        </w:rPr>
        <w:t> </w:t>
      </w:r>
      <w:r>
        <w:rPr>
          <w:w w:val="105"/>
          <w:sz w:val="18"/>
          <w:u w:val="single"/>
        </w:rPr>
        <w:t>seis</w:t>
      </w:r>
      <w:r>
        <w:rPr>
          <w:spacing w:val="10"/>
          <w:w w:val="105"/>
          <w:sz w:val="18"/>
          <w:u w:val="single"/>
        </w:rPr>
        <w:t> </w:t>
      </w:r>
      <w:r>
        <w:rPr>
          <w:w w:val="105"/>
          <w:sz w:val="18"/>
          <w:u w:val="single"/>
        </w:rPr>
        <w:t>meses</w:t>
      </w:r>
      <w:r>
        <w:rPr>
          <w:spacing w:val="10"/>
          <w:w w:val="105"/>
          <w:sz w:val="18"/>
          <w:u w:val="single"/>
        </w:rPr>
        <w:t> </w:t>
      </w:r>
      <w:r>
        <w:rPr>
          <w:w w:val="105"/>
          <w:sz w:val="18"/>
          <w:u w:val="single"/>
        </w:rPr>
        <w:t>de</w:t>
      </w:r>
      <w:r>
        <w:rPr>
          <w:spacing w:val="10"/>
          <w:w w:val="105"/>
          <w:sz w:val="18"/>
          <w:u w:val="single"/>
        </w:rPr>
        <w:t> </w:t>
      </w:r>
      <w:r>
        <w:rPr>
          <w:w w:val="105"/>
          <w:sz w:val="18"/>
          <w:u w:val="single"/>
        </w:rPr>
        <w:t>evolución</w:t>
      </w:r>
      <w:r>
        <w:rPr>
          <w:spacing w:val="10"/>
          <w:w w:val="105"/>
          <w:sz w:val="18"/>
          <w:u w:val="single"/>
        </w:rPr>
        <w:t> </w:t>
      </w:r>
      <w:r>
        <w:rPr>
          <w:w w:val="105"/>
          <w:sz w:val="18"/>
          <w:u w:val="single"/>
        </w:rPr>
        <w:t>en</w:t>
      </w:r>
      <w:r>
        <w:rPr>
          <w:spacing w:val="10"/>
          <w:w w:val="105"/>
          <w:sz w:val="18"/>
          <w:u w:val="single"/>
        </w:rPr>
        <w:t> </w:t>
      </w:r>
      <w:r>
        <w:rPr>
          <w:w w:val="105"/>
          <w:sz w:val="18"/>
          <w:u w:val="single"/>
        </w:rPr>
        <w:t>un</w:t>
      </w:r>
      <w:r>
        <w:rPr>
          <w:spacing w:val="10"/>
          <w:w w:val="105"/>
          <w:sz w:val="18"/>
          <w:u w:val="single"/>
        </w:rPr>
        <w:t> </w:t>
      </w:r>
      <w:r>
        <w:rPr>
          <w:w w:val="105"/>
          <w:sz w:val="18"/>
          <w:u w:val="single"/>
        </w:rPr>
        <w:t>perro:</w:t>
      </w:r>
      <w:r>
        <w:rPr>
          <w:spacing w:val="10"/>
          <w:w w:val="105"/>
          <w:sz w:val="18"/>
          <w:u w:val="single"/>
        </w:rPr>
        <w:t> </w:t>
      </w:r>
      <w:r>
        <w:rPr>
          <w:w w:val="105"/>
          <w:sz w:val="18"/>
          <w:u w:val="single"/>
        </w:rPr>
        <w:t>reporte</w:t>
      </w:r>
      <w:r>
        <w:rPr>
          <w:spacing w:val="10"/>
          <w:w w:val="105"/>
          <w:sz w:val="18"/>
          <w:u w:val="single"/>
        </w:rPr>
        <w:t> </w:t>
      </w:r>
      <w:r>
        <w:rPr>
          <w:w w:val="105"/>
          <w:sz w:val="18"/>
          <w:u w:val="single"/>
        </w:rPr>
        <w:t>de</w:t>
      </w:r>
      <w:r>
        <w:rPr>
          <w:spacing w:val="10"/>
          <w:w w:val="105"/>
          <w:sz w:val="18"/>
          <w:u w:val="single"/>
        </w:rPr>
        <w:t> </w:t>
      </w:r>
      <w:r>
        <w:rPr>
          <w:w w:val="105"/>
          <w:sz w:val="18"/>
          <w:u w:val="single"/>
        </w:rPr>
        <w:t>caso.</w:t>
      </w:r>
      <w:r>
        <w:rPr>
          <w:spacing w:val="12"/>
          <w:w w:val="105"/>
          <w:sz w:val="18"/>
          <w:u w:val="single"/>
        </w:rPr>
        <w:t> </w:t>
      </w:r>
      <w:r>
        <w:rPr>
          <w:i/>
          <w:w w:val="105"/>
          <w:sz w:val="18"/>
        </w:rPr>
        <w:t>García-</w:t>
      </w:r>
    </w:p>
    <w:p>
      <w:pPr>
        <w:tabs>
          <w:tab w:pos="8645" w:val="left" w:leader="none"/>
        </w:tabs>
        <w:spacing w:line="254" w:lineRule="exact" w:before="0"/>
        <w:ind w:left="448" w:right="0" w:firstLine="0"/>
        <w:jc w:val="left"/>
        <w:rPr>
          <w:i/>
          <w:sz w:val="23"/>
        </w:rPr>
      </w:pPr>
      <w:r>
        <w:rPr>
          <w:i/>
          <w:w w:val="105"/>
          <w:sz w:val="18"/>
        </w:rPr>
        <w:t>Delgado V,* Del-Ángel-Caraza J, Quijano-Hernández IA,</w:t>
      </w:r>
      <w:r>
        <w:rPr>
          <w:i/>
          <w:spacing w:val="17"/>
          <w:w w:val="105"/>
          <w:sz w:val="18"/>
        </w:rPr>
        <w:t> </w:t>
      </w:r>
      <w:r>
        <w:rPr>
          <w:i/>
          <w:w w:val="105"/>
          <w:sz w:val="18"/>
        </w:rPr>
        <w:t>Barbosa</w:t>
      </w:r>
      <w:r>
        <w:rPr>
          <w:i/>
          <w:spacing w:val="3"/>
          <w:w w:val="105"/>
          <w:sz w:val="18"/>
        </w:rPr>
        <w:t> </w:t>
      </w:r>
      <w:r>
        <w:rPr>
          <w:i/>
          <w:w w:val="105"/>
          <w:sz w:val="18"/>
        </w:rPr>
        <w:t>MA</w:t>
      </w:r>
      <w:r>
        <w:rPr>
          <w:i/>
          <w:w w:val="105"/>
          <w:position w:val="1"/>
          <w:sz w:val="23"/>
        </w:rPr>
        <w:tab/>
        <w:t>26</w:t>
      </w:r>
    </w:p>
    <w:p>
      <w:pPr>
        <w:pStyle w:val="ListParagraph"/>
        <w:numPr>
          <w:ilvl w:val="0"/>
          <w:numId w:val="2"/>
        </w:numPr>
        <w:tabs>
          <w:tab w:pos="448" w:val="left" w:leader="none"/>
          <w:tab w:pos="449" w:val="left" w:leader="none"/>
        </w:tabs>
        <w:spacing w:line="234" w:lineRule="exact" w:before="240" w:after="0"/>
        <w:ind w:left="448" w:right="0" w:hanging="343"/>
        <w:jc w:val="left"/>
        <w:rPr>
          <w:rFonts w:ascii="Symbol" w:hAnsi="Symbol"/>
          <w:i/>
          <w:sz w:val="20"/>
        </w:rPr>
      </w:pPr>
      <w:r>
        <w:rPr>
          <w:w w:val="105"/>
          <w:sz w:val="18"/>
          <w:u w:val="single"/>
        </w:rPr>
        <w:t>Análisis comparativo del proceso diagnóstico de atopia en perros. </w:t>
      </w:r>
      <w:r>
        <w:rPr>
          <w:i/>
          <w:w w:val="105"/>
          <w:sz w:val="18"/>
        </w:rPr>
        <w:t>Gómez-Cisneros D,*   </w:t>
      </w:r>
      <w:r>
        <w:rPr>
          <w:i/>
          <w:spacing w:val="16"/>
          <w:w w:val="105"/>
          <w:sz w:val="18"/>
        </w:rPr>
        <w:t> </w:t>
      </w:r>
      <w:r>
        <w:rPr>
          <w:i/>
          <w:w w:val="105"/>
          <w:sz w:val="18"/>
        </w:rPr>
        <w:t>Quijano-</w:t>
      </w:r>
    </w:p>
    <w:p>
      <w:pPr>
        <w:tabs>
          <w:tab w:pos="8645" w:val="left" w:leader="none"/>
        </w:tabs>
        <w:spacing w:line="254" w:lineRule="exact" w:before="0"/>
        <w:ind w:left="448" w:right="0" w:firstLine="0"/>
        <w:jc w:val="left"/>
        <w:rPr>
          <w:i/>
          <w:sz w:val="23"/>
        </w:rPr>
      </w:pPr>
      <w:r>
        <w:rPr>
          <w:i/>
          <w:w w:val="105"/>
          <w:sz w:val="18"/>
        </w:rPr>
        <w:t>Hernández IA, Del</w:t>
      </w:r>
      <w:r>
        <w:rPr>
          <w:i/>
          <w:spacing w:val="6"/>
          <w:w w:val="105"/>
          <w:sz w:val="18"/>
        </w:rPr>
        <w:t> </w:t>
      </w:r>
      <w:r>
        <w:rPr>
          <w:i/>
          <w:w w:val="105"/>
          <w:sz w:val="18"/>
        </w:rPr>
        <w:t>Ángel-Caraza</w:t>
      </w:r>
      <w:r>
        <w:rPr>
          <w:i/>
          <w:spacing w:val="3"/>
          <w:w w:val="105"/>
          <w:sz w:val="18"/>
        </w:rPr>
        <w:t> </w:t>
      </w:r>
      <w:r>
        <w:rPr>
          <w:i/>
          <w:w w:val="105"/>
          <w:sz w:val="18"/>
        </w:rPr>
        <w:t>J</w:t>
      </w:r>
      <w:r>
        <w:rPr>
          <w:i/>
          <w:w w:val="105"/>
          <w:position w:val="1"/>
          <w:sz w:val="23"/>
        </w:rPr>
        <w:tab/>
        <w:t>32</w:t>
      </w:r>
    </w:p>
    <w:p>
      <w:pPr>
        <w:pStyle w:val="ListParagraph"/>
        <w:numPr>
          <w:ilvl w:val="0"/>
          <w:numId w:val="2"/>
        </w:numPr>
        <w:tabs>
          <w:tab w:pos="448" w:val="left" w:leader="none"/>
          <w:tab w:pos="449" w:val="left" w:leader="none"/>
        </w:tabs>
        <w:spacing w:line="240" w:lineRule="auto" w:before="240" w:after="0"/>
        <w:ind w:left="448" w:right="0" w:hanging="343"/>
        <w:jc w:val="left"/>
        <w:rPr>
          <w:rFonts w:ascii="Symbol" w:hAnsi="Symbol"/>
          <w:sz w:val="20"/>
        </w:rPr>
      </w:pPr>
      <w:r>
        <w:rPr>
          <w:w w:val="105"/>
          <w:sz w:val="18"/>
          <w:u w:val="single"/>
        </w:rPr>
        <w:t>Análisis</w:t>
      </w:r>
      <w:r>
        <w:rPr>
          <w:spacing w:val="30"/>
          <w:w w:val="105"/>
          <w:sz w:val="18"/>
          <w:u w:val="single"/>
        </w:rPr>
        <w:t> </w:t>
      </w:r>
      <w:r>
        <w:rPr>
          <w:w w:val="105"/>
          <w:sz w:val="18"/>
          <w:u w:val="single"/>
        </w:rPr>
        <w:t>de</w:t>
      </w:r>
      <w:r>
        <w:rPr>
          <w:spacing w:val="30"/>
          <w:w w:val="105"/>
          <w:sz w:val="18"/>
          <w:u w:val="single"/>
        </w:rPr>
        <w:t> </w:t>
      </w:r>
      <w:r>
        <w:rPr>
          <w:w w:val="105"/>
          <w:sz w:val="18"/>
          <w:u w:val="single"/>
        </w:rPr>
        <w:t>las</w:t>
      </w:r>
      <w:r>
        <w:rPr>
          <w:spacing w:val="30"/>
          <w:w w:val="105"/>
          <w:sz w:val="18"/>
          <w:u w:val="single"/>
        </w:rPr>
        <w:t> </w:t>
      </w:r>
      <w:r>
        <w:rPr>
          <w:w w:val="105"/>
          <w:sz w:val="18"/>
          <w:u w:val="single"/>
        </w:rPr>
        <w:t>alteraciones</w:t>
      </w:r>
      <w:r>
        <w:rPr>
          <w:spacing w:val="30"/>
          <w:w w:val="105"/>
          <w:sz w:val="18"/>
          <w:u w:val="single"/>
        </w:rPr>
        <w:t> </w:t>
      </w:r>
      <w:r>
        <w:rPr>
          <w:w w:val="105"/>
          <w:sz w:val="18"/>
          <w:u w:val="single"/>
        </w:rPr>
        <w:t>de</w:t>
      </w:r>
      <w:r>
        <w:rPr>
          <w:spacing w:val="30"/>
          <w:w w:val="105"/>
          <w:sz w:val="18"/>
          <w:u w:val="single"/>
        </w:rPr>
        <w:t> </w:t>
      </w:r>
      <w:r>
        <w:rPr>
          <w:w w:val="105"/>
          <w:sz w:val="18"/>
          <w:u w:val="single"/>
        </w:rPr>
        <w:t>frecuencia</w:t>
      </w:r>
      <w:r>
        <w:rPr>
          <w:spacing w:val="30"/>
          <w:w w:val="105"/>
          <w:sz w:val="18"/>
          <w:u w:val="single"/>
        </w:rPr>
        <w:t> </w:t>
      </w:r>
      <w:r>
        <w:rPr>
          <w:w w:val="105"/>
          <w:sz w:val="18"/>
          <w:u w:val="single"/>
        </w:rPr>
        <w:t>y</w:t>
      </w:r>
      <w:r>
        <w:rPr>
          <w:spacing w:val="30"/>
          <w:w w:val="105"/>
          <w:sz w:val="18"/>
          <w:u w:val="single"/>
        </w:rPr>
        <w:t> </w:t>
      </w:r>
      <w:r>
        <w:rPr>
          <w:w w:val="105"/>
          <w:sz w:val="18"/>
          <w:u w:val="single"/>
        </w:rPr>
        <w:t>ritmo</w:t>
      </w:r>
      <w:r>
        <w:rPr>
          <w:spacing w:val="30"/>
          <w:w w:val="105"/>
          <w:sz w:val="18"/>
          <w:u w:val="single"/>
        </w:rPr>
        <w:t> </w:t>
      </w:r>
      <w:r>
        <w:rPr>
          <w:w w:val="105"/>
          <w:sz w:val="18"/>
          <w:u w:val="single"/>
        </w:rPr>
        <w:t>detectadas</w:t>
      </w:r>
      <w:r>
        <w:rPr>
          <w:spacing w:val="30"/>
          <w:w w:val="105"/>
          <w:sz w:val="18"/>
          <w:u w:val="single"/>
        </w:rPr>
        <w:t> </w:t>
      </w:r>
      <w:r>
        <w:rPr>
          <w:w w:val="105"/>
          <w:sz w:val="18"/>
          <w:u w:val="single"/>
        </w:rPr>
        <w:t>a</w:t>
      </w:r>
      <w:r>
        <w:rPr>
          <w:spacing w:val="30"/>
          <w:w w:val="105"/>
          <w:sz w:val="18"/>
          <w:u w:val="single"/>
        </w:rPr>
        <w:t> </w:t>
      </w:r>
      <w:r>
        <w:rPr>
          <w:w w:val="105"/>
          <w:sz w:val="18"/>
          <w:u w:val="single"/>
        </w:rPr>
        <w:t>la</w:t>
      </w:r>
      <w:r>
        <w:rPr>
          <w:spacing w:val="30"/>
          <w:w w:val="105"/>
          <w:sz w:val="18"/>
          <w:u w:val="single"/>
        </w:rPr>
        <w:t> </w:t>
      </w:r>
      <w:r>
        <w:rPr>
          <w:w w:val="105"/>
          <w:sz w:val="18"/>
          <w:u w:val="single"/>
        </w:rPr>
        <w:t>auscultación</w:t>
      </w:r>
      <w:r>
        <w:rPr>
          <w:spacing w:val="30"/>
          <w:w w:val="105"/>
          <w:sz w:val="18"/>
          <w:u w:val="single"/>
        </w:rPr>
        <w:t> </w:t>
      </w:r>
      <w:r>
        <w:rPr>
          <w:w w:val="105"/>
          <w:sz w:val="18"/>
          <w:u w:val="single"/>
        </w:rPr>
        <w:t>cardiaca</w:t>
      </w:r>
      <w:r>
        <w:rPr>
          <w:spacing w:val="30"/>
          <w:w w:val="105"/>
          <w:sz w:val="18"/>
          <w:u w:val="single"/>
        </w:rPr>
        <w:t> </w:t>
      </w:r>
      <w:r>
        <w:rPr>
          <w:w w:val="105"/>
          <w:sz w:val="18"/>
          <w:u w:val="single"/>
        </w:rPr>
        <w:t>en  </w:t>
      </w:r>
      <w:r>
        <w:rPr>
          <w:spacing w:val="13"/>
          <w:w w:val="105"/>
          <w:sz w:val="18"/>
          <w:u w:val="single"/>
        </w:rPr>
        <w:t> </w:t>
      </w:r>
      <w:r>
        <w:rPr>
          <w:w w:val="105"/>
          <w:sz w:val="18"/>
          <w:u w:val="single"/>
        </w:rPr>
        <w:t>30</w:t>
      </w:r>
    </w:p>
    <w:p>
      <w:pPr>
        <w:tabs>
          <w:tab w:pos="8645" w:val="left" w:leader="none"/>
        </w:tabs>
        <w:spacing w:line="287" w:lineRule="exact" w:before="39"/>
        <w:ind w:left="448" w:right="0" w:firstLine="0"/>
        <w:jc w:val="left"/>
        <w:rPr>
          <w:i/>
          <w:sz w:val="23"/>
        </w:rPr>
      </w:pPr>
      <w:r>
        <w:rPr>
          <w:w w:val="105"/>
          <w:sz w:val="18"/>
          <w:u w:val="single"/>
        </w:rPr>
        <w:t>perros. </w:t>
      </w:r>
      <w:r>
        <w:rPr>
          <w:i/>
          <w:w w:val="105"/>
          <w:sz w:val="18"/>
        </w:rPr>
        <w:t>Guerrero-Velázquez C,* Barbosa-Mireles MA, Del Ángel-Caraza   </w:t>
      </w:r>
      <w:r>
        <w:rPr>
          <w:i/>
          <w:spacing w:val="36"/>
          <w:w w:val="105"/>
          <w:sz w:val="18"/>
        </w:rPr>
        <w:t> </w:t>
      </w:r>
      <w:r>
        <w:rPr>
          <w:i/>
          <w:w w:val="105"/>
          <w:sz w:val="18"/>
        </w:rPr>
        <w:t>J,</w:t>
      </w:r>
      <w:r>
        <w:rPr>
          <w:i/>
          <w:spacing w:val="24"/>
          <w:w w:val="105"/>
          <w:sz w:val="18"/>
        </w:rPr>
        <w:t> </w:t>
      </w:r>
      <w:r>
        <w:rPr>
          <w:i/>
          <w:w w:val="105"/>
          <w:sz w:val="18"/>
        </w:rPr>
        <w:t>Quijano-Hernández</w:t>
      </w:r>
      <w:r>
        <w:rPr>
          <w:i/>
          <w:w w:val="105"/>
          <w:position w:val="-10"/>
          <w:sz w:val="23"/>
        </w:rPr>
        <w:tab/>
        <w:t>37</w:t>
      </w:r>
    </w:p>
    <w:p>
      <w:pPr>
        <w:spacing w:line="167" w:lineRule="exact" w:before="0"/>
        <w:ind w:left="448" w:right="0" w:firstLine="0"/>
        <w:jc w:val="left"/>
        <w:rPr>
          <w:i/>
          <w:sz w:val="18"/>
        </w:rPr>
      </w:pPr>
      <w:r>
        <w:rPr>
          <w:i/>
          <w:w w:val="105"/>
          <w:sz w:val="18"/>
        </w:rPr>
        <w:t>IA</w:t>
      </w:r>
    </w:p>
    <w:p>
      <w:pPr>
        <w:pStyle w:val="ListParagraph"/>
        <w:numPr>
          <w:ilvl w:val="0"/>
          <w:numId w:val="2"/>
        </w:numPr>
        <w:tabs>
          <w:tab w:pos="448" w:val="left" w:leader="none"/>
          <w:tab w:pos="449" w:val="left" w:leader="none"/>
        </w:tabs>
        <w:spacing w:line="234" w:lineRule="exact" w:before="240" w:after="0"/>
        <w:ind w:left="448" w:right="0" w:hanging="343"/>
        <w:jc w:val="left"/>
        <w:rPr>
          <w:rFonts w:ascii="Symbol" w:hAnsi="Symbol"/>
          <w:sz w:val="20"/>
        </w:rPr>
      </w:pPr>
      <w:r>
        <w:rPr>
          <w:w w:val="105"/>
          <w:sz w:val="18"/>
          <w:u w:val="single"/>
        </w:rPr>
        <w:t>Derivación</w:t>
      </w:r>
      <w:r>
        <w:rPr>
          <w:spacing w:val="41"/>
          <w:w w:val="105"/>
          <w:sz w:val="18"/>
          <w:u w:val="single"/>
        </w:rPr>
        <w:t> </w:t>
      </w:r>
      <w:r>
        <w:rPr>
          <w:w w:val="105"/>
          <w:sz w:val="18"/>
          <w:u w:val="single"/>
        </w:rPr>
        <w:t>uretral</w:t>
      </w:r>
      <w:r>
        <w:rPr>
          <w:spacing w:val="41"/>
          <w:w w:val="105"/>
          <w:sz w:val="18"/>
          <w:u w:val="single"/>
        </w:rPr>
        <w:t> </w:t>
      </w:r>
      <w:r>
        <w:rPr>
          <w:w w:val="105"/>
          <w:sz w:val="18"/>
          <w:u w:val="single"/>
        </w:rPr>
        <w:t>prepúbica</w:t>
      </w:r>
      <w:r>
        <w:rPr>
          <w:spacing w:val="41"/>
          <w:w w:val="105"/>
          <w:sz w:val="18"/>
          <w:u w:val="single"/>
        </w:rPr>
        <w:t> </w:t>
      </w:r>
      <w:r>
        <w:rPr>
          <w:w w:val="105"/>
          <w:sz w:val="18"/>
          <w:u w:val="single"/>
        </w:rPr>
        <w:t>en</w:t>
      </w:r>
      <w:r>
        <w:rPr>
          <w:spacing w:val="41"/>
          <w:w w:val="105"/>
          <w:sz w:val="18"/>
          <w:u w:val="single"/>
        </w:rPr>
        <w:t> </w:t>
      </w:r>
      <w:r>
        <w:rPr>
          <w:w w:val="105"/>
          <w:sz w:val="18"/>
          <w:u w:val="single"/>
        </w:rPr>
        <w:t>un</w:t>
      </w:r>
      <w:r>
        <w:rPr>
          <w:spacing w:val="41"/>
          <w:w w:val="105"/>
          <w:sz w:val="18"/>
          <w:u w:val="single"/>
        </w:rPr>
        <w:t> </w:t>
      </w:r>
      <w:r>
        <w:rPr>
          <w:w w:val="105"/>
          <w:sz w:val="18"/>
          <w:u w:val="single"/>
        </w:rPr>
        <w:t>gato</w:t>
      </w:r>
      <w:r>
        <w:rPr>
          <w:spacing w:val="41"/>
          <w:w w:val="105"/>
          <w:sz w:val="18"/>
          <w:u w:val="single"/>
        </w:rPr>
        <w:t> </w:t>
      </w:r>
      <w:r>
        <w:rPr>
          <w:w w:val="105"/>
          <w:sz w:val="18"/>
          <w:u w:val="single"/>
        </w:rPr>
        <w:t>macho</w:t>
      </w:r>
      <w:r>
        <w:rPr>
          <w:spacing w:val="41"/>
          <w:w w:val="105"/>
          <w:sz w:val="18"/>
          <w:u w:val="single"/>
        </w:rPr>
        <w:t> </w:t>
      </w:r>
      <w:r>
        <w:rPr>
          <w:w w:val="105"/>
          <w:sz w:val="18"/>
          <w:u w:val="single"/>
        </w:rPr>
        <w:t>secundario</w:t>
      </w:r>
      <w:r>
        <w:rPr>
          <w:spacing w:val="41"/>
          <w:w w:val="105"/>
          <w:sz w:val="18"/>
          <w:u w:val="single"/>
        </w:rPr>
        <w:t> </w:t>
      </w:r>
      <w:r>
        <w:rPr>
          <w:w w:val="105"/>
          <w:sz w:val="18"/>
          <w:u w:val="single"/>
        </w:rPr>
        <w:t>a</w:t>
      </w:r>
      <w:r>
        <w:rPr>
          <w:spacing w:val="41"/>
          <w:w w:val="105"/>
          <w:sz w:val="18"/>
          <w:u w:val="single"/>
        </w:rPr>
        <w:t> </w:t>
      </w:r>
      <w:r>
        <w:rPr>
          <w:w w:val="105"/>
          <w:sz w:val="18"/>
          <w:u w:val="single"/>
        </w:rPr>
        <w:t>obstrucción</w:t>
      </w:r>
      <w:r>
        <w:rPr>
          <w:spacing w:val="41"/>
          <w:w w:val="105"/>
          <w:sz w:val="18"/>
          <w:u w:val="single"/>
        </w:rPr>
        <w:t> </w:t>
      </w:r>
      <w:r>
        <w:rPr>
          <w:w w:val="105"/>
          <w:sz w:val="18"/>
          <w:u w:val="single"/>
        </w:rPr>
        <w:t>uretral</w:t>
      </w:r>
      <w:r>
        <w:rPr>
          <w:spacing w:val="41"/>
          <w:w w:val="105"/>
          <w:sz w:val="18"/>
          <w:u w:val="single"/>
        </w:rPr>
        <w:t> </w:t>
      </w:r>
      <w:r>
        <w:rPr>
          <w:w w:val="105"/>
          <w:sz w:val="18"/>
          <w:u w:val="single"/>
        </w:rPr>
        <w:t>por</w:t>
      </w:r>
      <w:r>
        <w:rPr>
          <w:spacing w:val="41"/>
          <w:w w:val="105"/>
          <w:sz w:val="18"/>
          <w:u w:val="single"/>
        </w:rPr>
        <w:t> </w:t>
      </w:r>
      <w:r>
        <w:rPr>
          <w:w w:val="105"/>
          <w:sz w:val="18"/>
          <w:u w:val="single"/>
        </w:rPr>
        <w:t>fibrosis:</w:t>
      </w:r>
    </w:p>
    <w:p>
      <w:pPr>
        <w:tabs>
          <w:tab w:pos="8645" w:val="left" w:leader="none"/>
        </w:tabs>
        <w:spacing w:line="254" w:lineRule="exact" w:before="0"/>
        <w:ind w:left="448" w:right="0" w:firstLine="0"/>
        <w:jc w:val="left"/>
        <w:rPr>
          <w:i/>
          <w:sz w:val="23"/>
        </w:rPr>
      </w:pPr>
      <w:r>
        <w:rPr>
          <w:w w:val="105"/>
          <w:sz w:val="18"/>
          <w:u w:val="single"/>
        </w:rPr>
        <w:t>Reporte de caso. </w:t>
      </w:r>
      <w:r>
        <w:rPr>
          <w:i/>
          <w:w w:val="105"/>
          <w:sz w:val="18"/>
        </w:rPr>
        <w:t>Hernández-Briones DL,* Del-Ángel-Caraza J,</w:t>
      </w:r>
      <w:r>
        <w:rPr>
          <w:i/>
          <w:spacing w:val="22"/>
          <w:w w:val="105"/>
          <w:sz w:val="18"/>
        </w:rPr>
        <w:t> </w:t>
      </w:r>
      <w:r>
        <w:rPr>
          <w:i/>
          <w:w w:val="105"/>
          <w:sz w:val="18"/>
        </w:rPr>
        <w:t>Quijano-Hernández</w:t>
      </w:r>
      <w:r>
        <w:rPr>
          <w:i/>
          <w:spacing w:val="2"/>
          <w:w w:val="105"/>
          <w:sz w:val="18"/>
        </w:rPr>
        <w:t> </w:t>
      </w:r>
      <w:r>
        <w:rPr>
          <w:i/>
          <w:w w:val="105"/>
          <w:sz w:val="18"/>
        </w:rPr>
        <w:t>IA</w:t>
      </w:r>
      <w:r>
        <w:rPr>
          <w:i/>
          <w:w w:val="105"/>
          <w:position w:val="1"/>
          <w:sz w:val="23"/>
        </w:rPr>
        <w:tab/>
        <w:t>43</w:t>
      </w:r>
    </w:p>
    <w:p>
      <w:pPr>
        <w:pStyle w:val="ListParagraph"/>
        <w:numPr>
          <w:ilvl w:val="0"/>
          <w:numId w:val="2"/>
        </w:numPr>
        <w:tabs>
          <w:tab w:pos="448" w:val="left" w:leader="none"/>
          <w:tab w:pos="449" w:val="left" w:leader="none"/>
        </w:tabs>
        <w:spacing w:line="240" w:lineRule="auto" w:before="240" w:after="0"/>
        <w:ind w:left="448" w:right="0" w:hanging="343"/>
        <w:jc w:val="left"/>
        <w:rPr>
          <w:rFonts w:ascii="Symbol" w:hAnsi="Symbol"/>
          <w:sz w:val="20"/>
        </w:rPr>
      </w:pPr>
      <w:r>
        <w:rPr>
          <w:w w:val="105"/>
          <w:sz w:val="18"/>
          <w:u w:val="single"/>
        </w:rPr>
        <w:t>Evaluación  del  flujo  venoso  pulmonar  mediante  ecocardiografía  en  perros  con    </w:t>
      </w:r>
      <w:r>
        <w:rPr>
          <w:spacing w:val="20"/>
          <w:w w:val="105"/>
          <w:sz w:val="18"/>
          <w:u w:val="single"/>
        </w:rPr>
        <w:t> </w:t>
      </w:r>
      <w:r>
        <w:rPr>
          <w:w w:val="105"/>
          <w:sz w:val="18"/>
          <w:u w:val="single"/>
        </w:rPr>
        <w:t>enfermedad</w:t>
      </w:r>
    </w:p>
    <w:p>
      <w:pPr>
        <w:tabs>
          <w:tab w:pos="8645" w:val="left" w:leader="none"/>
        </w:tabs>
        <w:spacing w:line="290" w:lineRule="exact" w:before="39"/>
        <w:ind w:left="448" w:right="0" w:firstLine="0"/>
        <w:jc w:val="left"/>
        <w:rPr>
          <w:i/>
          <w:sz w:val="23"/>
        </w:rPr>
      </w:pPr>
      <w:r>
        <w:rPr>
          <w:w w:val="105"/>
          <w:sz w:val="18"/>
          <w:u w:val="single"/>
        </w:rPr>
        <w:t>valvular mixomatosa mitral. </w:t>
      </w:r>
      <w:r>
        <w:rPr>
          <w:i/>
          <w:w w:val="105"/>
          <w:sz w:val="18"/>
        </w:rPr>
        <w:t>Juárez-Flores AF,* Díaz-González-Vieyra S,   </w:t>
      </w:r>
      <w:r>
        <w:rPr>
          <w:i/>
          <w:spacing w:val="33"/>
          <w:w w:val="105"/>
          <w:sz w:val="18"/>
        </w:rPr>
        <w:t> </w:t>
      </w:r>
      <w:r>
        <w:rPr>
          <w:i/>
          <w:w w:val="105"/>
          <w:sz w:val="18"/>
        </w:rPr>
        <w:t>Barbosa-Mireles</w:t>
      </w:r>
      <w:r>
        <w:rPr>
          <w:i/>
          <w:spacing w:val="25"/>
          <w:w w:val="105"/>
          <w:sz w:val="18"/>
        </w:rPr>
        <w:t> </w:t>
      </w:r>
      <w:r>
        <w:rPr>
          <w:i/>
          <w:w w:val="105"/>
          <w:sz w:val="18"/>
        </w:rPr>
        <w:t>MA,</w:t>
      </w:r>
      <w:r>
        <w:rPr>
          <w:i/>
          <w:w w:val="105"/>
          <w:position w:val="-10"/>
          <w:sz w:val="23"/>
        </w:rPr>
        <w:tab/>
        <w:t>48</w:t>
      </w:r>
    </w:p>
    <w:p>
      <w:pPr>
        <w:spacing w:line="169" w:lineRule="exact" w:before="0"/>
        <w:ind w:left="448" w:right="0" w:firstLine="0"/>
        <w:jc w:val="left"/>
        <w:rPr>
          <w:i/>
          <w:sz w:val="18"/>
        </w:rPr>
      </w:pPr>
      <w:r>
        <w:rPr>
          <w:i/>
          <w:w w:val="105"/>
          <w:sz w:val="18"/>
        </w:rPr>
        <w:t>Quijano-Hernández IA.</w:t>
      </w:r>
    </w:p>
    <w:p>
      <w:pPr>
        <w:pStyle w:val="ListParagraph"/>
        <w:numPr>
          <w:ilvl w:val="0"/>
          <w:numId w:val="2"/>
        </w:numPr>
        <w:tabs>
          <w:tab w:pos="448" w:val="left" w:leader="none"/>
          <w:tab w:pos="449" w:val="left" w:leader="none"/>
        </w:tabs>
        <w:spacing w:line="283" w:lineRule="auto" w:before="236" w:after="0"/>
        <w:ind w:left="448" w:right="1276" w:hanging="343"/>
        <w:jc w:val="left"/>
        <w:rPr>
          <w:rFonts w:ascii="Symbol" w:hAnsi="Symbol"/>
          <w:sz w:val="20"/>
        </w:rPr>
      </w:pPr>
      <w:r>
        <w:rPr>
          <w:w w:val="105"/>
          <w:sz w:val="18"/>
          <w:u w:val="single"/>
        </w:rPr>
        <w:t>Evaluación de la disfunción diastólica del ventrículo izquierdo mediante la medición del flujo </w:t>
      </w:r>
      <w:r>
        <w:rPr>
          <w:w w:val="105"/>
          <w:sz w:val="18"/>
          <w:u w:val="single"/>
        </w:rPr>
        <w:t>transmitral   y     </w:t>
      </w:r>
      <w:r>
        <w:rPr>
          <w:spacing w:val="44"/>
          <w:w w:val="105"/>
          <w:sz w:val="18"/>
          <w:u w:val="single"/>
        </w:rPr>
        <w:t> </w:t>
      </w:r>
      <w:r>
        <w:rPr>
          <w:w w:val="105"/>
          <w:sz w:val="18"/>
          <w:u w:val="single"/>
        </w:rPr>
        <w:t>flujo venoso pulmonar en pacientes con enfermedad degenerativa válvula mitral.</w:t>
      </w:r>
    </w:p>
    <w:p>
      <w:pPr>
        <w:tabs>
          <w:tab w:pos="8645" w:val="left" w:leader="none"/>
        </w:tabs>
        <w:spacing w:line="216" w:lineRule="exact" w:before="0"/>
        <w:ind w:left="448" w:right="0" w:firstLine="0"/>
        <w:jc w:val="left"/>
        <w:rPr>
          <w:i/>
          <w:sz w:val="23"/>
        </w:rPr>
      </w:pPr>
      <w:r>
        <w:rPr>
          <w:i/>
          <w:w w:val="105"/>
          <w:sz w:val="18"/>
        </w:rPr>
        <w:t>Laines-Guanoluisa  JP,*  Díaz  González-Vieyra  S,  Barbosa-  Mireles-MA,</w:t>
      </w:r>
      <w:r>
        <w:rPr>
          <w:i/>
          <w:spacing w:val="34"/>
          <w:w w:val="105"/>
          <w:sz w:val="18"/>
        </w:rPr>
        <w:t> </w:t>
      </w:r>
      <w:r>
        <w:rPr>
          <w:i/>
          <w:w w:val="105"/>
          <w:sz w:val="18"/>
        </w:rPr>
        <w:t>Del-Angel-Caraza</w:t>
      </w:r>
      <w:r>
        <w:rPr>
          <w:i/>
          <w:spacing w:val="46"/>
          <w:w w:val="105"/>
          <w:sz w:val="18"/>
        </w:rPr>
        <w:t> </w:t>
      </w:r>
      <w:r>
        <w:rPr>
          <w:i/>
          <w:w w:val="105"/>
          <w:sz w:val="18"/>
        </w:rPr>
        <w:t>J,</w:t>
      </w:r>
      <w:r>
        <w:rPr>
          <w:i/>
          <w:w w:val="105"/>
          <w:position w:val="2"/>
          <w:sz w:val="23"/>
        </w:rPr>
        <w:tab/>
        <w:t>53</w:t>
      </w:r>
    </w:p>
    <w:p>
      <w:pPr>
        <w:spacing w:before="40"/>
        <w:ind w:left="448" w:right="0" w:firstLine="0"/>
        <w:jc w:val="left"/>
        <w:rPr>
          <w:i/>
          <w:sz w:val="18"/>
        </w:rPr>
      </w:pPr>
      <w:r>
        <w:rPr>
          <w:i/>
          <w:w w:val="105"/>
          <w:sz w:val="18"/>
        </w:rPr>
        <w:t>Quijano-Hernadez IA</w:t>
      </w:r>
    </w:p>
    <w:p>
      <w:pPr>
        <w:pStyle w:val="ListParagraph"/>
        <w:numPr>
          <w:ilvl w:val="0"/>
          <w:numId w:val="2"/>
        </w:numPr>
        <w:tabs>
          <w:tab w:pos="448" w:val="left" w:leader="none"/>
          <w:tab w:pos="449" w:val="left" w:leader="none"/>
        </w:tabs>
        <w:spacing w:line="240" w:lineRule="auto" w:before="236" w:after="0"/>
        <w:ind w:left="448" w:right="0" w:hanging="343"/>
        <w:jc w:val="left"/>
        <w:rPr>
          <w:rFonts w:ascii="Symbol" w:hAnsi="Symbol"/>
          <w:i/>
          <w:sz w:val="20"/>
        </w:rPr>
      </w:pPr>
      <w:r>
        <w:rPr>
          <w:rFonts w:ascii="Mongolian Baiti" w:hAnsi="Mongolian Baiti"/>
          <w:w w:val="105"/>
          <w:sz w:val="18"/>
          <w:u w:val="single"/>
        </w:rPr>
        <w:t>Frecuencia de parásitos gastrointestinales en parques públicos de la ciudad de Toluca</w:t>
      </w:r>
      <w:r>
        <w:rPr>
          <w:rFonts w:ascii="Mongolian Baiti" w:hAnsi="Mongolian Baiti"/>
          <w:w w:val="105"/>
          <w:sz w:val="18"/>
        </w:rPr>
        <w:t>.</w:t>
      </w:r>
      <w:r>
        <w:rPr>
          <w:rFonts w:ascii="Mongolian Baiti" w:hAnsi="Mongolian Baiti"/>
          <w:spacing w:val="-5"/>
          <w:w w:val="105"/>
          <w:sz w:val="18"/>
        </w:rPr>
        <w:t> </w:t>
      </w:r>
      <w:r>
        <w:rPr>
          <w:rFonts w:ascii="Mongolian Baiti" w:hAnsi="Mongolian Baiti"/>
          <w:i/>
          <w:w w:val="105"/>
          <w:sz w:val="19"/>
        </w:rPr>
        <w:t>Lara8Reyes</w:t>
      </w:r>
    </w:p>
    <w:p>
      <w:pPr>
        <w:tabs>
          <w:tab w:pos="8645" w:val="left" w:leader="none"/>
        </w:tabs>
        <w:spacing w:before="19"/>
        <w:ind w:left="448" w:right="0" w:firstLine="0"/>
        <w:jc w:val="left"/>
        <w:rPr>
          <w:i/>
          <w:sz w:val="23"/>
        </w:rPr>
      </w:pPr>
      <w:r>
        <w:rPr>
          <w:rFonts w:ascii="Mongolian Baiti" w:hAnsi="Mongolian Baiti"/>
          <w:i/>
          <w:sz w:val="19"/>
        </w:rPr>
        <w:t>E,*</w:t>
      </w:r>
      <w:r>
        <w:rPr>
          <w:rFonts w:ascii="Mongolian Baiti" w:hAnsi="Mongolian Baiti"/>
          <w:i/>
          <w:spacing w:val="-15"/>
          <w:sz w:val="19"/>
        </w:rPr>
        <w:t> </w:t>
      </w:r>
      <w:r>
        <w:rPr>
          <w:rFonts w:ascii="Mongolian Baiti" w:hAnsi="Mongolian Baiti"/>
          <w:i/>
          <w:sz w:val="19"/>
        </w:rPr>
        <w:t>Quijano8Hernández</w:t>
      </w:r>
      <w:r>
        <w:rPr>
          <w:rFonts w:ascii="Mongolian Baiti" w:hAnsi="Mongolian Baiti"/>
          <w:i/>
          <w:spacing w:val="-15"/>
          <w:sz w:val="19"/>
        </w:rPr>
        <w:t> </w:t>
      </w:r>
      <w:r>
        <w:rPr>
          <w:rFonts w:ascii="Mongolian Baiti" w:hAnsi="Mongolian Baiti"/>
          <w:i/>
          <w:sz w:val="19"/>
        </w:rPr>
        <w:t>IA,</w:t>
      </w:r>
      <w:r>
        <w:rPr>
          <w:rFonts w:ascii="Mongolian Baiti" w:hAnsi="Mongolian Baiti"/>
          <w:i/>
          <w:spacing w:val="-15"/>
          <w:sz w:val="19"/>
        </w:rPr>
        <w:t> </w:t>
      </w:r>
      <w:r>
        <w:rPr>
          <w:rFonts w:ascii="Mongolian Baiti" w:hAnsi="Mongolian Baiti"/>
          <w:i/>
          <w:sz w:val="19"/>
        </w:rPr>
        <w:t>Del8Ángel8Caraza</w:t>
      </w:r>
      <w:r>
        <w:rPr>
          <w:rFonts w:ascii="Mongolian Baiti" w:hAnsi="Mongolian Baiti"/>
          <w:i/>
          <w:spacing w:val="-15"/>
          <w:sz w:val="19"/>
        </w:rPr>
        <w:t> </w:t>
      </w:r>
      <w:r>
        <w:rPr>
          <w:rFonts w:ascii="Mongolian Baiti" w:hAnsi="Mongolian Baiti"/>
          <w:i/>
          <w:sz w:val="19"/>
        </w:rPr>
        <w:t>J,</w:t>
      </w:r>
      <w:r>
        <w:rPr>
          <w:rFonts w:ascii="Mongolian Baiti" w:hAnsi="Mongolian Baiti"/>
          <w:i/>
          <w:spacing w:val="-15"/>
          <w:sz w:val="19"/>
        </w:rPr>
        <w:t> </w:t>
      </w:r>
      <w:r>
        <w:rPr>
          <w:rFonts w:ascii="Mongolian Baiti" w:hAnsi="Mongolian Baiti"/>
          <w:i/>
          <w:sz w:val="19"/>
        </w:rPr>
        <w:t>Barbosa8Mireles</w:t>
      </w:r>
      <w:r>
        <w:rPr>
          <w:rFonts w:ascii="Mongolian Baiti" w:hAnsi="Mongolian Baiti"/>
          <w:i/>
          <w:spacing w:val="-15"/>
          <w:sz w:val="19"/>
        </w:rPr>
        <w:t> </w:t>
      </w:r>
      <w:r>
        <w:rPr>
          <w:rFonts w:ascii="Mongolian Baiti" w:hAnsi="Mongolian Baiti"/>
          <w:i/>
          <w:sz w:val="19"/>
        </w:rPr>
        <w:t>MA</w:t>
      </w:r>
      <w:r>
        <w:rPr>
          <w:i/>
          <w:position w:val="2"/>
          <w:sz w:val="23"/>
        </w:rPr>
        <w:tab/>
        <w:t>59</w:t>
      </w:r>
    </w:p>
    <w:p>
      <w:pPr>
        <w:pStyle w:val="ListParagraph"/>
        <w:numPr>
          <w:ilvl w:val="0"/>
          <w:numId w:val="2"/>
        </w:numPr>
        <w:tabs>
          <w:tab w:pos="448" w:val="left" w:leader="none"/>
          <w:tab w:pos="449" w:val="left" w:leader="none"/>
        </w:tabs>
        <w:spacing w:line="240" w:lineRule="auto" w:before="279" w:after="0"/>
        <w:ind w:left="448" w:right="0" w:hanging="343"/>
        <w:jc w:val="left"/>
        <w:rPr>
          <w:rFonts w:ascii="Symbol" w:hAnsi="Symbol"/>
          <w:sz w:val="20"/>
        </w:rPr>
      </w:pPr>
      <w:r>
        <w:rPr>
          <w:w w:val="105"/>
          <w:sz w:val="18"/>
          <w:u w:val="single"/>
        </w:rPr>
        <w:t>Utilización  de  plasma  rico  en  plaquetas  como  tratamiento  coadyuvante  en  la  no  unión    </w:t>
      </w:r>
      <w:r>
        <w:rPr>
          <w:spacing w:val="33"/>
          <w:w w:val="105"/>
          <w:sz w:val="18"/>
          <w:u w:val="single"/>
        </w:rPr>
        <w:t> </w:t>
      </w:r>
      <w:r>
        <w:rPr>
          <w:w w:val="105"/>
          <w:sz w:val="18"/>
          <w:u w:val="single"/>
        </w:rPr>
        <w:t>de</w:t>
      </w:r>
    </w:p>
    <w:p>
      <w:pPr>
        <w:tabs>
          <w:tab w:pos="6979" w:val="left" w:leader="none"/>
          <w:tab w:pos="8645" w:val="left" w:leader="none"/>
        </w:tabs>
        <w:spacing w:line="287" w:lineRule="exact" w:before="39"/>
        <w:ind w:left="448" w:right="0" w:firstLine="0"/>
        <w:jc w:val="left"/>
        <w:rPr>
          <w:i/>
          <w:sz w:val="23"/>
        </w:rPr>
      </w:pPr>
      <w:r>
        <w:rPr>
          <w:w w:val="105"/>
          <w:sz w:val="18"/>
          <w:u w:val="single"/>
        </w:rPr>
        <w:t>olecranon  en  un  perro:  Reporte  de  caso.  </w:t>
      </w:r>
      <w:r>
        <w:rPr>
          <w:i/>
          <w:w w:val="105"/>
          <w:sz w:val="18"/>
        </w:rPr>
        <w:t>Mendoza  Ramírez   </w:t>
      </w:r>
      <w:r>
        <w:rPr>
          <w:i/>
          <w:spacing w:val="5"/>
          <w:w w:val="105"/>
          <w:sz w:val="18"/>
        </w:rPr>
        <w:t> </w:t>
      </w:r>
      <w:r>
        <w:rPr>
          <w:i/>
          <w:w w:val="105"/>
          <w:sz w:val="18"/>
        </w:rPr>
        <w:t>JE,* </w:t>
      </w:r>
      <w:r>
        <w:rPr>
          <w:i/>
          <w:spacing w:val="11"/>
          <w:w w:val="105"/>
          <w:sz w:val="18"/>
        </w:rPr>
        <w:t> </w:t>
      </w:r>
      <w:r>
        <w:rPr>
          <w:i/>
          <w:w w:val="105"/>
          <w:sz w:val="18"/>
        </w:rPr>
        <w:t>Reyes-Alva</w:t>
        <w:tab/>
        <w:t>HJ, </w:t>
      </w:r>
      <w:r>
        <w:rPr>
          <w:i/>
          <w:spacing w:val="10"/>
          <w:w w:val="105"/>
          <w:sz w:val="18"/>
        </w:rPr>
        <w:t> </w:t>
      </w:r>
      <w:r>
        <w:rPr>
          <w:i/>
          <w:w w:val="105"/>
          <w:sz w:val="18"/>
        </w:rPr>
        <w:t>Quijano</w:t>
      </w:r>
      <w:r>
        <w:rPr>
          <w:i/>
          <w:w w:val="105"/>
          <w:position w:val="-10"/>
          <w:sz w:val="23"/>
        </w:rPr>
        <w:tab/>
        <w:t>65</w:t>
      </w:r>
    </w:p>
    <w:p>
      <w:pPr>
        <w:spacing w:line="167" w:lineRule="exact" w:before="0"/>
        <w:ind w:left="448" w:right="0" w:firstLine="0"/>
        <w:jc w:val="left"/>
        <w:rPr>
          <w:i/>
          <w:sz w:val="18"/>
        </w:rPr>
      </w:pPr>
      <w:r>
        <w:rPr>
          <w:i/>
          <w:w w:val="105"/>
          <w:sz w:val="18"/>
        </w:rPr>
        <w:t>Hernández IA</w:t>
      </w:r>
    </w:p>
    <w:p>
      <w:pPr>
        <w:pStyle w:val="ListParagraph"/>
        <w:numPr>
          <w:ilvl w:val="0"/>
          <w:numId w:val="2"/>
        </w:numPr>
        <w:tabs>
          <w:tab w:pos="448" w:val="left" w:leader="none"/>
          <w:tab w:pos="449" w:val="left" w:leader="none"/>
        </w:tabs>
        <w:spacing w:line="234" w:lineRule="exact" w:before="240" w:after="0"/>
        <w:ind w:left="448" w:right="0" w:hanging="343"/>
        <w:jc w:val="left"/>
        <w:rPr>
          <w:rFonts w:ascii="Symbol" w:hAnsi="Symbol"/>
          <w:i/>
          <w:sz w:val="20"/>
        </w:rPr>
      </w:pPr>
      <w:r>
        <w:rPr>
          <w:w w:val="105"/>
          <w:sz w:val="18"/>
          <w:u w:val="single"/>
        </w:rPr>
        <w:t>Estudio retrospectivo de neoplasias en perros en el año 2014. </w:t>
      </w:r>
      <w:r>
        <w:rPr>
          <w:i/>
          <w:w w:val="105"/>
          <w:sz w:val="18"/>
        </w:rPr>
        <w:t>Ortiz-Ortiz D,* Marín-Cano G, </w:t>
      </w:r>
      <w:r>
        <w:rPr>
          <w:i/>
          <w:spacing w:val="7"/>
          <w:w w:val="105"/>
          <w:sz w:val="18"/>
        </w:rPr>
        <w:t> </w:t>
      </w:r>
      <w:r>
        <w:rPr>
          <w:i/>
          <w:w w:val="105"/>
          <w:sz w:val="18"/>
        </w:rPr>
        <w:t>Del-</w:t>
      </w:r>
    </w:p>
    <w:p>
      <w:pPr>
        <w:tabs>
          <w:tab w:pos="8645" w:val="left" w:leader="none"/>
        </w:tabs>
        <w:spacing w:line="254" w:lineRule="exact" w:before="0"/>
        <w:ind w:left="448" w:right="0" w:firstLine="0"/>
        <w:jc w:val="left"/>
        <w:rPr>
          <w:i/>
          <w:sz w:val="23"/>
        </w:rPr>
      </w:pPr>
      <w:r>
        <w:rPr>
          <w:i/>
          <w:w w:val="105"/>
          <w:sz w:val="18"/>
        </w:rPr>
        <w:t>Ángel-Caraza J, </w:t>
      </w:r>
      <w:r>
        <w:rPr>
          <w:i/>
          <w:spacing w:val="8"/>
          <w:w w:val="105"/>
          <w:sz w:val="18"/>
        </w:rPr>
        <w:t> </w:t>
      </w:r>
      <w:r>
        <w:rPr>
          <w:i/>
          <w:w w:val="105"/>
          <w:sz w:val="18"/>
        </w:rPr>
        <w:t>Quijano-Hernández</w:t>
      </w:r>
      <w:r>
        <w:rPr>
          <w:i/>
          <w:spacing w:val="2"/>
          <w:w w:val="105"/>
          <w:sz w:val="18"/>
        </w:rPr>
        <w:t> </w:t>
      </w:r>
      <w:r>
        <w:rPr>
          <w:i/>
          <w:w w:val="105"/>
          <w:sz w:val="18"/>
        </w:rPr>
        <w:t>IA</w:t>
      </w:r>
      <w:r>
        <w:rPr>
          <w:i/>
          <w:w w:val="105"/>
          <w:position w:val="1"/>
          <w:sz w:val="23"/>
        </w:rPr>
        <w:tab/>
        <w:t>70</w:t>
      </w:r>
    </w:p>
    <w:p>
      <w:pPr>
        <w:pStyle w:val="ListParagraph"/>
        <w:numPr>
          <w:ilvl w:val="0"/>
          <w:numId w:val="2"/>
        </w:numPr>
        <w:tabs>
          <w:tab w:pos="448" w:val="left" w:leader="none"/>
          <w:tab w:pos="449" w:val="left" w:leader="none"/>
        </w:tabs>
        <w:spacing w:line="240" w:lineRule="auto" w:before="240" w:after="0"/>
        <w:ind w:left="448" w:right="0" w:hanging="343"/>
        <w:jc w:val="left"/>
        <w:rPr>
          <w:rFonts w:ascii="Symbol" w:hAnsi="Symbol"/>
          <w:sz w:val="20"/>
        </w:rPr>
      </w:pPr>
      <w:r>
        <w:rPr>
          <w:w w:val="105"/>
          <w:sz w:val="18"/>
          <w:u w:val="single"/>
        </w:rPr>
        <w:t>Análisis</w:t>
      </w:r>
      <w:r>
        <w:rPr>
          <w:spacing w:val="28"/>
          <w:w w:val="105"/>
          <w:sz w:val="18"/>
          <w:u w:val="single"/>
        </w:rPr>
        <w:t> </w:t>
      </w:r>
      <w:r>
        <w:rPr>
          <w:w w:val="105"/>
          <w:sz w:val="18"/>
          <w:u w:val="single"/>
        </w:rPr>
        <w:t>retrospectivo</w:t>
      </w:r>
      <w:r>
        <w:rPr>
          <w:spacing w:val="28"/>
          <w:w w:val="105"/>
          <w:sz w:val="18"/>
          <w:u w:val="single"/>
        </w:rPr>
        <w:t> </w:t>
      </w:r>
      <w:r>
        <w:rPr>
          <w:w w:val="105"/>
          <w:sz w:val="18"/>
          <w:u w:val="single"/>
        </w:rPr>
        <w:t>de</w:t>
      </w:r>
      <w:r>
        <w:rPr>
          <w:spacing w:val="28"/>
          <w:w w:val="105"/>
          <w:sz w:val="18"/>
          <w:u w:val="single"/>
        </w:rPr>
        <w:t> </w:t>
      </w:r>
      <w:r>
        <w:rPr>
          <w:w w:val="105"/>
          <w:sz w:val="18"/>
          <w:u w:val="single"/>
        </w:rPr>
        <w:t>las</w:t>
      </w:r>
      <w:r>
        <w:rPr>
          <w:spacing w:val="28"/>
          <w:w w:val="105"/>
          <w:sz w:val="18"/>
          <w:u w:val="single"/>
        </w:rPr>
        <w:t> </w:t>
      </w:r>
      <w:r>
        <w:rPr>
          <w:w w:val="105"/>
          <w:sz w:val="18"/>
          <w:u w:val="single"/>
        </w:rPr>
        <w:t>principales</w:t>
      </w:r>
      <w:r>
        <w:rPr>
          <w:spacing w:val="28"/>
          <w:w w:val="105"/>
          <w:sz w:val="18"/>
          <w:u w:val="single"/>
        </w:rPr>
        <w:t> </w:t>
      </w:r>
      <w:r>
        <w:rPr>
          <w:w w:val="105"/>
          <w:sz w:val="18"/>
          <w:u w:val="single"/>
        </w:rPr>
        <w:t>fracturas</w:t>
      </w:r>
      <w:r>
        <w:rPr>
          <w:spacing w:val="28"/>
          <w:w w:val="105"/>
          <w:sz w:val="18"/>
          <w:u w:val="single"/>
        </w:rPr>
        <w:t> </w:t>
      </w:r>
      <w:r>
        <w:rPr>
          <w:w w:val="105"/>
          <w:sz w:val="18"/>
          <w:u w:val="single"/>
        </w:rPr>
        <w:t>en</w:t>
      </w:r>
      <w:r>
        <w:rPr>
          <w:spacing w:val="28"/>
          <w:w w:val="105"/>
          <w:sz w:val="18"/>
          <w:u w:val="single"/>
        </w:rPr>
        <w:t> </w:t>
      </w:r>
      <w:r>
        <w:rPr>
          <w:w w:val="105"/>
          <w:sz w:val="18"/>
          <w:u w:val="single"/>
        </w:rPr>
        <w:t>perros</w:t>
      </w:r>
      <w:r>
        <w:rPr>
          <w:spacing w:val="28"/>
          <w:w w:val="105"/>
          <w:sz w:val="18"/>
          <w:u w:val="single"/>
        </w:rPr>
        <w:t> </w:t>
      </w:r>
      <w:r>
        <w:rPr>
          <w:w w:val="105"/>
          <w:sz w:val="18"/>
          <w:u w:val="single"/>
        </w:rPr>
        <w:t>domésticos</w:t>
      </w:r>
      <w:r>
        <w:rPr>
          <w:spacing w:val="28"/>
          <w:w w:val="105"/>
          <w:sz w:val="18"/>
          <w:u w:val="single"/>
        </w:rPr>
        <w:t> </w:t>
      </w:r>
      <w:r>
        <w:rPr>
          <w:w w:val="105"/>
          <w:sz w:val="18"/>
          <w:u w:val="single"/>
        </w:rPr>
        <w:t>atendidos</w:t>
      </w:r>
      <w:r>
        <w:rPr>
          <w:spacing w:val="28"/>
          <w:w w:val="105"/>
          <w:sz w:val="18"/>
          <w:u w:val="single"/>
        </w:rPr>
        <w:t> </w:t>
      </w:r>
      <w:r>
        <w:rPr>
          <w:w w:val="105"/>
          <w:sz w:val="18"/>
          <w:u w:val="single"/>
        </w:rPr>
        <w:t>en</w:t>
      </w:r>
      <w:r>
        <w:rPr>
          <w:spacing w:val="28"/>
          <w:w w:val="105"/>
          <w:sz w:val="18"/>
          <w:u w:val="single"/>
        </w:rPr>
        <w:t> </w:t>
      </w:r>
      <w:r>
        <w:rPr>
          <w:w w:val="105"/>
          <w:sz w:val="18"/>
          <w:u w:val="single"/>
        </w:rPr>
        <w:t>el</w:t>
      </w:r>
      <w:r>
        <w:rPr>
          <w:spacing w:val="27"/>
          <w:w w:val="105"/>
          <w:sz w:val="18"/>
          <w:u w:val="single"/>
        </w:rPr>
        <w:t> </w:t>
      </w:r>
      <w:r>
        <w:rPr>
          <w:w w:val="105"/>
          <w:sz w:val="18"/>
          <w:u w:val="single"/>
        </w:rPr>
        <w:t>HVPE-</w:t>
      </w:r>
    </w:p>
    <w:p>
      <w:pPr>
        <w:tabs>
          <w:tab w:pos="8645" w:val="left" w:leader="none"/>
        </w:tabs>
        <w:spacing w:line="324" w:lineRule="exact" w:before="5"/>
        <w:ind w:left="448" w:right="0" w:firstLine="0"/>
        <w:jc w:val="left"/>
        <w:rPr>
          <w:i/>
          <w:sz w:val="23"/>
        </w:rPr>
      </w:pPr>
      <w:r>
        <w:rPr>
          <w:w w:val="105"/>
          <w:sz w:val="18"/>
          <w:u w:val="single"/>
        </w:rPr>
        <w:t>FMVZ-UAEM  Enero-Diciembre  de  2014.  </w:t>
      </w:r>
      <w:r>
        <w:rPr>
          <w:i/>
          <w:w w:val="105"/>
          <w:sz w:val="18"/>
        </w:rPr>
        <w:t>Pacio-Castillo  B,</w:t>
      </w:r>
      <w:r>
        <w:rPr>
          <w:i/>
          <w:w w:val="105"/>
          <w:position w:val="9"/>
          <w:sz w:val="12"/>
        </w:rPr>
        <w:t>*    </w:t>
      </w:r>
      <w:r>
        <w:rPr>
          <w:i/>
          <w:w w:val="105"/>
          <w:sz w:val="18"/>
        </w:rPr>
        <w:t>Del-Angel-Caraza  </w:t>
      </w:r>
      <w:r>
        <w:rPr>
          <w:i/>
          <w:spacing w:val="43"/>
          <w:w w:val="105"/>
          <w:sz w:val="18"/>
        </w:rPr>
        <w:t> </w:t>
      </w:r>
      <w:r>
        <w:rPr>
          <w:i/>
          <w:w w:val="105"/>
          <w:sz w:val="18"/>
        </w:rPr>
        <w:t>J, </w:t>
      </w:r>
      <w:r>
        <w:rPr>
          <w:i/>
          <w:spacing w:val="16"/>
          <w:w w:val="105"/>
          <w:sz w:val="18"/>
        </w:rPr>
        <w:t> </w:t>
      </w:r>
      <w:r>
        <w:rPr>
          <w:i/>
          <w:w w:val="105"/>
          <w:sz w:val="18"/>
        </w:rPr>
        <w:t>Quijano-</w:t>
      </w:r>
      <w:r>
        <w:rPr>
          <w:i/>
          <w:w w:val="105"/>
          <w:position w:val="-10"/>
          <w:sz w:val="23"/>
        </w:rPr>
        <w:tab/>
        <w:t>76</w:t>
      </w:r>
    </w:p>
    <w:p>
      <w:pPr>
        <w:spacing w:line="169" w:lineRule="exact" w:before="0"/>
        <w:ind w:left="448" w:right="0" w:firstLine="0"/>
        <w:jc w:val="left"/>
        <w:rPr>
          <w:i/>
          <w:sz w:val="18"/>
        </w:rPr>
      </w:pPr>
      <w:r>
        <w:rPr>
          <w:i/>
          <w:w w:val="105"/>
          <w:sz w:val="18"/>
        </w:rPr>
        <w:t>Hernández IA,Victoria-Mora JM</w:t>
      </w:r>
    </w:p>
    <w:p>
      <w:pPr>
        <w:spacing w:after="0" w:line="169" w:lineRule="exact"/>
        <w:jc w:val="left"/>
        <w:rPr>
          <w:sz w:val="18"/>
        </w:rPr>
        <w:sectPr>
          <w:pgSz w:w="12240" w:h="15840"/>
          <w:pgMar w:top="1300" w:bottom="280" w:left="1280" w:right="1700"/>
        </w:sectPr>
      </w:pPr>
    </w:p>
    <w:p>
      <w:pPr>
        <w:spacing w:before="424"/>
        <w:ind w:left="0" w:right="105" w:firstLine="0"/>
        <w:jc w:val="right"/>
        <w:rPr>
          <w:b/>
          <w:i/>
          <w:sz w:val="26"/>
        </w:rPr>
      </w:pPr>
      <w:r>
        <w:rPr>
          <w:b/>
          <w:i/>
          <w:sz w:val="26"/>
          <w:u w:val="thick"/>
        </w:rPr>
        <w:t>Página</w:t>
      </w:r>
    </w:p>
    <w:p>
      <w:pPr>
        <w:pStyle w:val="ListParagraph"/>
        <w:numPr>
          <w:ilvl w:val="0"/>
          <w:numId w:val="2"/>
        </w:numPr>
        <w:tabs>
          <w:tab w:pos="448" w:val="left" w:leader="none"/>
          <w:tab w:pos="449" w:val="left" w:leader="none"/>
          <w:tab w:pos="8874" w:val="right" w:leader="none"/>
        </w:tabs>
        <w:spacing w:line="240" w:lineRule="auto" w:before="379" w:after="0"/>
        <w:ind w:left="448" w:right="0" w:hanging="343"/>
        <w:jc w:val="left"/>
        <w:rPr>
          <w:rFonts w:ascii="Symbol" w:hAnsi="Symbol"/>
          <w:i/>
          <w:sz w:val="30"/>
        </w:rPr>
      </w:pPr>
      <w:r>
        <w:rPr>
          <w:w w:val="105"/>
          <w:sz w:val="18"/>
          <w:u w:val="single"/>
        </w:rPr>
        <w:t>Principales hallazgos ecocardiográficos observados en enfremedades oculares en</w:t>
      </w:r>
      <w:r>
        <w:rPr>
          <w:spacing w:val="6"/>
          <w:w w:val="105"/>
          <w:sz w:val="18"/>
          <w:u w:val="single"/>
        </w:rPr>
        <w:t> </w:t>
      </w:r>
      <w:r>
        <w:rPr>
          <w:w w:val="105"/>
          <w:sz w:val="18"/>
          <w:u w:val="single"/>
        </w:rPr>
        <w:t>15</w:t>
      </w:r>
      <w:r>
        <w:rPr>
          <w:spacing w:val="1"/>
          <w:w w:val="105"/>
          <w:sz w:val="18"/>
          <w:u w:val="single"/>
        </w:rPr>
        <w:t> </w:t>
      </w:r>
      <w:r>
        <w:rPr>
          <w:w w:val="105"/>
          <w:sz w:val="18"/>
          <w:u w:val="single"/>
        </w:rPr>
        <w:t>perros.</w:t>
      </w:r>
      <w:r>
        <w:rPr>
          <w:i/>
          <w:w w:val="105"/>
          <w:position w:val="10"/>
          <w:sz w:val="23"/>
        </w:rPr>
        <w:tab/>
        <w:t>83</w:t>
      </w:r>
    </w:p>
    <w:p>
      <w:pPr>
        <w:spacing w:line="285" w:lineRule="auto" w:before="22"/>
        <w:ind w:left="448" w:right="1168" w:firstLine="0"/>
        <w:jc w:val="left"/>
        <w:rPr>
          <w:i/>
          <w:sz w:val="18"/>
        </w:rPr>
      </w:pPr>
      <w:r>
        <w:rPr>
          <w:w w:val="105"/>
          <w:sz w:val="18"/>
          <w:u w:val="single"/>
        </w:rPr>
        <w:t>Estudio retrospectivo</w:t>
      </w:r>
      <w:r>
        <w:rPr>
          <w:w w:val="105"/>
          <w:sz w:val="18"/>
        </w:rPr>
        <w:t>. </w:t>
      </w:r>
      <w:r>
        <w:rPr>
          <w:i/>
          <w:w w:val="105"/>
          <w:sz w:val="18"/>
        </w:rPr>
        <w:t>Romero-Ramírez M,* Díaz-González-Vieyra S, Quiroz-Mercado J, Reyes- </w:t>
      </w:r>
      <w:r>
        <w:rPr>
          <w:i/>
          <w:w w:val="105"/>
          <w:sz w:val="18"/>
        </w:rPr>
        <w:t>Alva HJ</w:t>
      </w:r>
    </w:p>
    <w:p>
      <w:pPr>
        <w:pStyle w:val="ListParagraph"/>
        <w:numPr>
          <w:ilvl w:val="0"/>
          <w:numId w:val="2"/>
        </w:numPr>
        <w:tabs>
          <w:tab w:pos="448" w:val="left" w:leader="none"/>
          <w:tab w:pos="449" w:val="left" w:leader="none"/>
          <w:tab w:pos="8874" w:val="right" w:leader="none"/>
        </w:tabs>
        <w:spacing w:line="240" w:lineRule="auto" w:before="180" w:after="0"/>
        <w:ind w:left="448" w:right="0" w:hanging="343"/>
        <w:jc w:val="left"/>
        <w:rPr>
          <w:rFonts w:ascii="Symbol" w:hAnsi="Symbol"/>
          <w:i/>
          <w:sz w:val="30"/>
        </w:rPr>
      </w:pPr>
      <w:r>
        <w:rPr>
          <w:w w:val="105"/>
          <w:sz w:val="18"/>
          <w:u w:val="single"/>
        </w:rPr>
        <w:t>83Frecuencia y riesgos de mortalidad en perros en el HVPE-FMVZ-UAEMex</w:t>
      </w:r>
      <w:r>
        <w:rPr>
          <w:spacing w:val="14"/>
          <w:w w:val="105"/>
          <w:sz w:val="18"/>
          <w:u w:val="single"/>
        </w:rPr>
        <w:t> </w:t>
      </w:r>
      <w:r>
        <w:rPr>
          <w:w w:val="105"/>
          <w:sz w:val="18"/>
          <w:u w:val="single"/>
        </w:rPr>
        <w:t>(2014). </w:t>
      </w:r>
      <w:r>
        <w:rPr>
          <w:i/>
          <w:w w:val="105"/>
          <w:sz w:val="18"/>
        </w:rPr>
        <w:t>Sánchez-</w:t>
      </w:r>
      <w:r>
        <w:rPr>
          <w:i/>
          <w:w w:val="105"/>
          <w:position w:val="10"/>
          <w:sz w:val="23"/>
        </w:rPr>
        <w:tab/>
        <w:t>88</w:t>
      </w:r>
    </w:p>
    <w:p>
      <w:pPr>
        <w:spacing w:before="18"/>
        <w:ind w:left="448" w:right="0" w:firstLine="0"/>
        <w:jc w:val="left"/>
        <w:rPr>
          <w:i/>
          <w:sz w:val="18"/>
        </w:rPr>
      </w:pPr>
      <w:r>
        <w:rPr>
          <w:i/>
          <w:w w:val="105"/>
          <w:sz w:val="18"/>
        </w:rPr>
        <w:t>Palomo G,* Del Ángel-Caraza J, Quijano-Hernández IA, Barbosa-Mireles MA</w:t>
      </w:r>
    </w:p>
    <w:p>
      <w:pPr>
        <w:pStyle w:val="ListParagraph"/>
        <w:numPr>
          <w:ilvl w:val="0"/>
          <w:numId w:val="2"/>
        </w:numPr>
        <w:tabs>
          <w:tab w:pos="448" w:val="left" w:leader="none"/>
          <w:tab w:pos="449" w:val="left" w:leader="none"/>
          <w:tab w:pos="8874" w:val="right" w:leader="none"/>
        </w:tabs>
        <w:spacing w:line="373" w:lineRule="exact" w:before="218" w:after="0"/>
        <w:ind w:left="448" w:right="0" w:hanging="343"/>
        <w:jc w:val="left"/>
        <w:rPr>
          <w:rFonts w:ascii="Symbol"/>
          <w:i/>
          <w:sz w:val="30"/>
        </w:rPr>
      </w:pPr>
      <w:r>
        <w:rPr>
          <w:w w:val="105"/>
          <w:sz w:val="18"/>
          <w:u w:val="single"/>
        </w:rPr>
        <w:t>Estudio piloto de la frecuencia de tipos sanguineos en gatos en la ciudad de</w:t>
      </w:r>
      <w:r>
        <w:rPr>
          <w:spacing w:val="11"/>
          <w:w w:val="105"/>
          <w:sz w:val="18"/>
          <w:u w:val="single"/>
        </w:rPr>
        <w:t> </w:t>
      </w:r>
      <w:r>
        <w:rPr>
          <w:w w:val="105"/>
          <w:sz w:val="18"/>
          <w:u w:val="single"/>
        </w:rPr>
        <w:t>Toluca.</w:t>
      </w:r>
      <w:r>
        <w:rPr>
          <w:spacing w:val="4"/>
          <w:w w:val="105"/>
          <w:sz w:val="18"/>
          <w:u w:val="single"/>
        </w:rPr>
        <w:t> </w:t>
      </w:r>
      <w:r>
        <w:rPr>
          <w:i/>
          <w:w w:val="105"/>
          <w:sz w:val="18"/>
        </w:rPr>
        <w:t>Talero-</w:t>
      </w:r>
      <w:r>
        <w:rPr>
          <w:i/>
          <w:w w:val="105"/>
          <w:position w:val="10"/>
          <w:sz w:val="23"/>
        </w:rPr>
        <w:tab/>
        <w:t>95</w:t>
      </w:r>
    </w:p>
    <w:p>
      <w:pPr>
        <w:spacing w:line="233" w:lineRule="exact" w:before="0"/>
        <w:ind w:left="448" w:right="0" w:firstLine="0"/>
        <w:jc w:val="left"/>
        <w:rPr>
          <w:i/>
          <w:sz w:val="18"/>
        </w:rPr>
      </w:pPr>
      <w:r>
        <w:rPr>
          <w:i/>
          <w:w w:val="105"/>
          <w:sz w:val="18"/>
        </w:rPr>
        <w:t>Castiblanco WO,</w:t>
      </w:r>
      <w:r>
        <w:rPr>
          <w:i/>
          <w:w w:val="105"/>
          <w:position w:val="9"/>
          <w:sz w:val="12"/>
        </w:rPr>
        <w:t>*  </w:t>
      </w:r>
      <w:r>
        <w:rPr>
          <w:i/>
          <w:w w:val="105"/>
          <w:sz w:val="18"/>
        </w:rPr>
        <w:t>Quijano-Hernández IA, Del Ángel-Caraza J</w:t>
      </w:r>
    </w:p>
    <w:p>
      <w:pPr>
        <w:spacing w:after="0" w:line="233" w:lineRule="exact"/>
        <w:jc w:val="left"/>
        <w:rPr>
          <w:sz w:val="18"/>
        </w:rPr>
        <w:sectPr>
          <w:pgSz w:w="12240" w:h="15840"/>
          <w:pgMar w:top="1500" w:bottom="280" w:left="1280" w:right="1700"/>
        </w:sectPr>
      </w:pPr>
    </w:p>
    <w:p>
      <w:pPr>
        <w:pStyle w:val="BodyText"/>
        <w:spacing w:before="9"/>
        <w:rPr>
          <w:i/>
          <w:sz w:val="17"/>
        </w:rPr>
      </w:pPr>
    </w:p>
    <w:p>
      <w:pPr>
        <w:spacing w:before="0"/>
        <w:ind w:left="3343" w:right="33" w:hanging="2798"/>
        <w:jc w:val="left"/>
        <w:rPr>
          <w:b/>
          <w:sz w:val="23"/>
        </w:rPr>
      </w:pPr>
      <w:r>
        <w:rPr>
          <w:b/>
          <w:sz w:val="23"/>
        </w:rPr>
        <w:t>ANÁLISIS COMPARATIVO DEL PROCESO DIAGNÓSTICO DE ATOPIA EN PACIENTES CANINOS</w:t>
      </w:r>
    </w:p>
    <w:p>
      <w:pPr>
        <w:pStyle w:val="BodyText"/>
        <w:spacing w:line="261" w:lineRule="exact"/>
        <w:ind w:left="1495" w:right="33"/>
        <w:rPr>
          <w:sz w:val="15"/>
        </w:rPr>
      </w:pPr>
      <w:r>
        <w:rPr/>
        <w:t>Gómez-Cisneros D</w:t>
      </w:r>
      <w:r>
        <w:rPr>
          <w:position w:val="10"/>
          <w:sz w:val="13"/>
        </w:rPr>
        <w:t>1</w:t>
      </w:r>
      <w:r>
        <w:rPr/>
        <w:t>, Quijano-Hernández IA</w:t>
      </w:r>
      <w:r>
        <w:rPr>
          <w:position w:val="11"/>
          <w:sz w:val="15"/>
        </w:rPr>
        <w:t>2</w:t>
      </w:r>
      <w:r>
        <w:rPr/>
        <w:t>, Del Ángel-Caraza J</w:t>
      </w:r>
      <w:r>
        <w:rPr>
          <w:position w:val="11"/>
          <w:sz w:val="15"/>
        </w:rPr>
        <w:t>2</w:t>
      </w:r>
    </w:p>
    <w:p>
      <w:pPr>
        <w:pStyle w:val="BodyText"/>
        <w:spacing w:before="8"/>
        <w:rPr>
          <w:sz w:val="20"/>
        </w:rPr>
      </w:pPr>
    </w:p>
    <w:p>
      <w:pPr>
        <w:spacing w:line="242" w:lineRule="auto" w:before="0"/>
        <w:ind w:left="205" w:right="33" w:firstLine="0"/>
        <w:jc w:val="left"/>
        <w:rPr>
          <w:sz w:val="23"/>
        </w:rPr>
      </w:pPr>
      <w:r>
        <w:rPr>
          <w:w w:val="105"/>
          <w:position w:val="9"/>
          <w:sz w:val="12"/>
        </w:rPr>
        <w:t>1</w:t>
      </w:r>
      <w:r>
        <w:rPr>
          <w:w w:val="105"/>
          <w:sz w:val="18"/>
        </w:rPr>
        <w:t>Residente segundo año programa de EMyCPG UAEMex, </w:t>
      </w:r>
      <w:r>
        <w:rPr>
          <w:w w:val="105"/>
          <w:position w:val="9"/>
          <w:sz w:val="12"/>
        </w:rPr>
        <w:t>2</w:t>
      </w:r>
      <w:r>
        <w:rPr>
          <w:w w:val="105"/>
          <w:sz w:val="18"/>
        </w:rPr>
        <w:t>Académico, Hospital Veterinario para Pequeñas especies FMVZ-UAEMex. Contacto: </w:t>
      </w:r>
      <w:hyperlink r:id="rId17">
        <w:r>
          <w:rPr>
            <w:color w:val="0000FF"/>
            <w:w w:val="105"/>
            <w:sz w:val="18"/>
            <w:u w:val="single" w:color="0000FF"/>
          </w:rPr>
          <w:t>iaquijanoh@uaemex.mx </w:t>
        </w:r>
      </w:hyperlink>
      <w:r>
        <w:rPr>
          <w:w w:val="105"/>
          <w:sz w:val="23"/>
        </w:rPr>
        <w:t>.</w:t>
      </w:r>
    </w:p>
    <w:p>
      <w:pPr>
        <w:pStyle w:val="BodyText"/>
        <w:spacing w:before="5"/>
        <w:rPr>
          <w:sz w:val="16"/>
        </w:rPr>
      </w:pPr>
    </w:p>
    <w:p>
      <w:pPr>
        <w:spacing w:before="70"/>
        <w:ind w:left="205" w:right="0" w:firstLine="0"/>
        <w:jc w:val="both"/>
        <w:rPr>
          <w:b/>
          <w:sz w:val="23"/>
        </w:rPr>
      </w:pPr>
      <w:r>
        <w:rPr>
          <w:b/>
          <w:sz w:val="23"/>
        </w:rPr>
        <w:t>Introducción.</w:t>
      </w:r>
    </w:p>
    <w:p>
      <w:pPr>
        <w:pStyle w:val="BodyText"/>
        <w:spacing w:line="237" w:lineRule="auto" w:before="3"/>
        <w:ind w:left="205" w:right="114"/>
        <w:jc w:val="both"/>
      </w:pPr>
      <w:r>
        <w:rPr/>
        <w:t>La atopia, se define como una patología hereditaria de tipo inmunológica con tendencia a producir anticuerpos IgE específicos frente a antígenos inocuos. La dermatitis atópica (DA) es actualmente definida como “una dermatopatía causada por una predisposición genética a padecer un trastorno cutáneo inflamatorio y pruriginoso, con características clínicas asociadas a reacciones de hipersensibilidad mediada por IgE, más comúnmente dirigidas contra alérgenos ambientales o de algún otro tipo” (Olivry y Deboer 2007). Se reconoce igualmente una condición paralela denominada “dermatitis similar a atópica”, la cual es clínicamente indistinguible de la dermatitis atópica, sin embargo en esta condición no se puede documentar la respuesta inmediata de IgE ante los alérgenos, sugiriendo así la intervención de otros tipos de hipersensibilidad como tipo III o IV(Olivry y Deboer 2007).</w:t>
      </w:r>
    </w:p>
    <w:p>
      <w:pPr>
        <w:pStyle w:val="BodyText"/>
        <w:spacing w:before="1"/>
        <w:ind w:left="205" w:right="114"/>
        <w:jc w:val="both"/>
      </w:pPr>
      <w:r>
        <w:rPr/>
        <w:t>En algunos individuos, la DA puede desencadenarse o empeorar por alérgenos como los alimentos, lo que antes conducía a la separación en alergia alimentaria y dermatitis atópica, ahora se sabe que en algunos individuos atópicos los alimentos actúan como factores que exacerban el cuadro clínico (Fernández 2002). Algunas hipersensibilidades alimentarias pueden manifestarse clínicamente en algunos perros como DA. La DA puede ser exacerbada por alérgenos alimentarios, pero no todos los perros con DA tendrán recaídas inducidas por la dieta. Cada paciente con DA no estacional debería ser sometido a uno o más pruebas</w:t>
      </w:r>
      <w:r>
        <w:rPr>
          <w:spacing w:val="-39"/>
        </w:rPr>
        <w:t> </w:t>
      </w:r>
      <w:r>
        <w:rPr/>
        <w:t>dietéticas de restricción - provocación para determinar algún alérgeno y luego eliminarlo de la dieta para evitar recaídas (Olivry y Mueller</w:t>
      </w:r>
      <w:r>
        <w:rPr>
          <w:spacing w:val="-22"/>
        </w:rPr>
        <w:t> </w:t>
      </w:r>
      <w:r>
        <w:rPr/>
        <w:t>2010).</w:t>
      </w:r>
    </w:p>
    <w:p>
      <w:pPr>
        <w:pStyle w:val="BodyText"/>
        <w:ind w:left="205" w:right="114"/>
        <w:jc w:val="both"/>
      </w:pPr>
      <w:r>
        <w:rPr/>
        <w:t>Se han establecido actualmente criterios de inclusión mayores y menores (criterios de Willemse y Prélaud) para pacientes sospechosos de esta enfermedad y que serán sometidos al proceso de exclusión, los cuales han sido analizados seriamente, revelando una sensibilidad de 49.8%, y una especificidad de 80.2% en los criterios de Willemse; así como un 74.3% de sensibilidad y un 68.4% de especificidad en los criterios de Prélaud (Favrot y col 2010).</w:t>
      </w:r>
    </w:p>
    <w:p>
      <w:pPr>
        <w:pStyle w:val="BodyText"/>
        <w:spacing w:line="237" w:lineRule="auto" w:before="3"/>
        <w:ind w:left="205" w:right="114"/>
        <w:jc w:val="both"/>
      </w:pPr>
      <w:r>
        <w:rPr/>
        <w:t>Criterios mayores de Willemse: Prurito, morfología típica de distribución (facial, intergidital, liquenificación de la superficie flexora o articulación tarsal, o superficie extensora de la articulación de carpos), dermatitis crónica, antecedentes familiares de atopia o raza predisponente. Criterios menores: aparición de los signos antes de los 3 años de edad, eritema facial, queilitis, conjuntivitis bilateral, pioderma recurrente por staphylococos, hiperhidrosis, elevada cantidad de IgE e IgG en suero.</w:t>
      </w:r>
    </w:p>
    <w:p>
      <w:pPr>
        <w:pStyle w:val="BodyText"/>
        <w:spacing w:before="1"/>
        <w:ind w:left="205" w:right="114"/>
        <w:jc w:val="both"/>
      </w:pPr>
      <w:r>
        <w:rPr/>
        <w:t>Criterios de Prélaud: prurito responsivo a corticosteroides, eritema de pabellón auricular, pododermatitis eritematosa, queilitis, aparición de los signos clínicos antes entre 6 meses y 3 años de edad (Olivry y Mueller 2010).</w:t>
      </w:r>
    </w:p>
    <w:p>
      <w:pPr>
        <w:pStyle w:val="BodyText"/>
        <w:ind w:left="205" w:right="114"/>
        <w:jc w:val="both"/>
      </w:pPr>
      <w:r>
        <w:rPr/>
        <w:t>El diagnóstico de DA, se debe establecer pues, por medio de la exclusión de enfermedades infecciosas pruriginosas de la piel, adicionalmente se debe llevar a cabo un proceso de eliminación dietética, sometiendo al paciente a una dieta exclusiva en base a una proteína novel o hidrolizada durante seis u ocho semanas y así determinar si los alérgenos alimentarios juegan un papel importante en el desarrollo de la enfermedad (Miller y col 2008).</w:t>
      </w:r>
    </w:p>
    <w:p>
      <w:pPr>
        <w:pStyle w:val="BodyText"/>
        <w:rPr>
          <w:sz w:val="20"/>
        </w:rPr>
      </w:pPr>
    </w:p>
    <w:p>
      <w:pPr>
        <w:pStyle w:val="BodyText"/>
        <w:rPr>
          <w:sz w:val="20"/>
        </w:rPr>
      </w:pPr>
    </w:p>
    <w:p>
      <w:pPr>
        <w:pStyle w:val="BodyText"/>
        <w:spacing w:before="11"/>
        <w:rPr>
          <w:sz w:val="20"/>
        </w:rPr>
      </w:pPr>
    </w:p>
    <w:p>
      <w:pPr>
        <w:spacing w:before="70"/>
        <w:ind w:left="0" w:right="114" w:firstLine="0"/>
        <w:jc w:val="right"/>
        <w:rPr>
          <w:rFonts w:ascii="Calibri"/>
          <w:sz w:val="20"/>
        </w:rPr>
      </w:pPr>
      <w:r>
        <w:rPr>
          <w:rFonts w:ascii="Calibri"/>
          <w:sz w:val="20"/>
        </w:rPr>
        <w:t>32</w:t>
      </w:r>
    </w:p>
    <w:p>
      <w:pPr>
        <w:spacing w:after="0"/>
        <w:jc w:val="right"/>
        <w:rPr>
          <w:rFonts w:ascii="Calibri"/>
          <w:sz w:val="20"/>
        </w:rPr>
        <w:sectPr>
          <w:pgSz w:w="12240" w:h="15840"/>
          <w:pgMar w:top="1500" w:bottom="280" w:left="1720" w:right="1500"/>
        </w:sectPr>
      </w:pPr>
    </w:p>
    <w:p>
      <w:pPr>
        <w:pStyle w:val="BodyText"/>
        <w:spacing w:before="1"/>
        <w:rPr>
          <w:rFonts w:ascii="Calibri"/>
          <w:sz w:val="11"/>
        </w:rPr>
      </w:pPr>
    </w:p>
    <w:p>
      <w:pPr>
        <w:pStyle w:val="BodyText"/>
        <w:spacing w:before="69"/>
        <w:ind w:left="205" w:right="114"/>
        <w:jc w:val="both"/>
      </w:pPr>
      <w:r>
        <w:rPr/>
        <w:t>Existen otros métodos diagnósticos en atopia canina, como las pruebas serológicas con IgE alérgeno-específicas, pero no pueden ser utilizadas como protocolo diagnóstico inicial, ya que muchos pacientes sanos y atópicos exhiben reacciones positivas con cualquiera de las</w:t>
      </w:r>
      <w:r>
        <w:rPr>
          <w:spacing w:val="-15"/>
        </w:rPr>
        <w:t> </w:t>
      </w:r>
      <w:r>
        <w:rPr/>
        <w:t>pruebas, y por ende reducen marcadamente la especificidad y sensibilidad de dichas pruebas (Olivry y Deboer 2007). Otra prueba diagnóstica existente es la de intradermoreacción, esta prueba principalmente detecta la actividad de IgE contra los alérgenos inoculados, sin embargo la desventaja de estos es que no son eficaces en pacientes que padecen otros tipos de hipersensibilidad como III o IV (Jeffers y Shanley 1991). La dermatitis atópica (DA)</w:t>
      </w:r>
      <w:r>
        <w:rPr>
          <w:spacing w:val="-35"/>
        </w:rPr>
        <w:t> </w:t>
      </w:r>
      <w:r>
        <w:rPr/>
        <w:t>comparte características comunes con otras enfermedades cutáneas inflamatorias. Lamentablemente no se dispone de una prueba diagnóstica definitiva de DA: será la clínica la que nos lleve al diagnóstico en la mayoría de los casos, como es el tiempo de evolución, los antecedentes del paciente, los criterios de inclusión y, sobre todo, la presencia de prurito.  El diagnóstico de  DA al ser por medio de la exclusión puede dar lugar a confusión diagnóstica y a excesos o déficits terapéuticos, sobre todo cuando no se tiene el conocimiento necesario sobre los diagnósticos diferenciales y el manejo de la enfermedad, lo cual es común en medicina veterinaria. En este estudio se analizarán los procesos diagnósticos utilizados en algunos pacientes con DA con diferentes</w:t>
      </w:r>
      <w:r>
        <w:rPr>
          <w:spacing w:val="-24"/>
        </w:rPr>
        <w:t> </w:t>
      </w:r>
      <w:r>
        <w:rPr/>
        <w:t>protocolos.</w:t>
      </w:r>
    </w:p>
    <w:p>
      <w:pPr>
        <w:pStyle w:val="BodyText"/>
        <w:spacing w:before="8"/>
        <w:rPr>
          <w:sz w:val="22"/>
        </w:rPr>
      </w:pPr>
    </w:p>
    <w:p>
      <w:pPr>
        <w:spacing w:before="1"/>
        <w:ind w:left="205" w:right="0" w:firstLine="0"/>
        <w:jc w:val="both"/>
        <w:rPr>
          <w:b/>
          <w:sz w:val="23"/>
        </w:rPr>
      </w:pPr>
      <w:r>
        <w:rPr>
          <w:b/>
          <w:sz w:val="23"/>
        </w:rPr>
        <w:t>Objetivo general</w:t>
      </w:r>
    </w:p>
    <w:p>
      <w:pPr>
        <w:pStyle w:val="BodyText"/>
        <w:spacing w:line="260" w:lineRule="exact" w:before="7"/>
        <w:ind w:left="205" w:right="114"/>
        <w:jc w:val="both"/>
      </w:pPr>
      <w:r>
        <w:rPr/>
        <w:t>Comparar los resultados de un grupo de pacientes manejados con un protocolo estandarizado con el grupo de pacientes tratados en el hospital veterinario con un diagnóstico de atopia.</w:t>
      </w:r>
    </w:p>
    <w:p>
      <w:pPr>
        <w:spacing w:line="261" w:lineRule="exact" w:before="0"/>
        <w:ind w:left="205" w:right="0" w:firstLine="0"/>
        <w:jc w:val="both"/>
        <w:rPr>
          <w:b/>
          <w:sz w:val="23"/>
        </w:rPr>
      </w:pPr>
      <w:r>
        <w:rPr>
          <w:b/>
          <w:sz w:val="23"/>
        </w:rPr>
        <w:t>Objetivos específicos</w:t>
      </w:r>
    </w:p>
    <w:p>
      <w:pPr>
        <w:pStyle w:val="ListParagraph"/>
        <w:numPr>
          <w:ilvl w:val="2"/>
          <w:numId w:val="1"/>
        </w:numPr>
        <w:tabs>
          <w:tab w:pos="892" w:val="left" w:leader="none"/>
        </w:tabs>
        <w:spacing w:line="240" w:lineRule="auto" w:before="0" w:after="0"/>
        <w:ind w:left="891" w:right="114" w:hanging="343"/>
        <w:jc w:val="left"/>
        <w:rPr>
          <w:sz w:val="23"/>
        </w:rPr>
      </w:pPr>
      <w:r>
        <w:rPr>
          <w:sz w:val="23"/>
        </w:rPr>
        <w:t>Realizar un análisis retrospectivo del proceso diagnóstico en los pacientes con diagnóstico de atopia por alérgenos alimentarios y/o</w:t>
      </w:r>
      <w:r>
        <w:rPr>
          <w:spacing w:val="-35"/>
          <w:sz w:val="23"/>
        </w:rPr>
        <w:t> </w:t>
      </w:r>
      <w:r>
        <w:rPr>
          <w:sz w:val="23"/>
        </w:rPr>
        <w:t>ambientales.</w:t>
      </w:r>
    </w:p>
    <w:p>
      <w:pPr>
        <w:pStyle w:val="ListParagraph"/>
        <w:numPr>
          <w:ilvl w:val="2"/>
          <w:numId w:val="1"/>
        </w:numPr>
        <w:tabs>
          <w:tab w:pos="892" w:val="left" w:leader="none"/>
        </w:tabs>
        <w:spacing w:line="240" w:lineRule="auto" w:before="0" w:after="0"/>
        <w:ind w:left="891" w:right="114" w:hanging="343"/>
        <w:jc w:val="left"/>
        <w:rPr>
          <w:sz w:val="23"/>
        </w:rPr>
      </w:pPr>
      <w:r>
        <w:rPr>
          <w:sz w:val="23"/>
        </w:rPr>
        <w:t>Utilizar un protocolo diagnóstico de estándar internacional en pacientes caninos con posible</w:t>
      </w:r>
      <w:r>
        <w:rPr>
          <w:spacing w:val="-8"/>
          <w:sz w:val="23"/>
        </w:rPr>
        <w:t> </w:t>
      </w:r>
      <w:r>
        <w:rPr>
          <w:sz w:val="23"/>
        </w:rPr>
        <w:t>atopia.</w:t>
      </w:r>
    </w:p>
    <w:p>
      <w:pPr>
        <w:pStyle w:val="ListParagraph"/>
        <w:numPr>
          <w:ilvl w:val="2"/>
          <w:numId w:val="1"/>
        </w:numPr>
        <w:tabs>
          <w:tab w:pos="892" w:val="left" w:leader="none"/>
        </w:tabs>
        <w:spacing w:line="240" w:lineRule="auto" w:before="0" w:after="0"/>
        <w:ind w:left="891" w:right="114" w:hanging="343"/>
        <w:jc w:val="left"/>
        <w:rPr>
          <w:sz w:val="23"/>
        </w:rPr>
      </w:pPr>
      <w:r>
        <w:rPr>
          <w:sz w:val="23"/>
        </w:rPr>
        <w:t>Conocer la frecuencia de pacientes atópicos que responden al uso de una dieta de eliminación.</w:t>
      </w:r>
    </w:p>
    <w:p>
      <w:pPr>
        <w:pStyle w:val="BodyText"/>
        <w:spacing w:before="8"/>
        <w:rPr>
          <w:sz w:val="22"/>
        </w:rPr>
      </w:pPr>
    </w:p>
    <w:p>
      <w:pPr>
        <w:spacing w:line="263" w:lineRule="exact" w:before="1"/>
        <w:ind w:left="205" w:right="0" w:firstLine="0"/>
        <w:jc w:val="both"/>
        <w:rPr>
          <w:b/>
          <w:sz w:val="23"/>
        </w:rPr>
      </w:pPr>
      <w:r>
        <w:rPr>
          <w:b/>
          <w:sz w:val="23"/>
        </w:rPr>
        <w:t>Materiales y métodos</w:t>
      </w:r>
    </w:p>
    <w:p>
      <w:pPr>
        <w:spacing w:line="263" w:lineRule="exact" w:before="0"/>
        <w:ind w:left="205" w:right="0" w:firstLine="0"/>
        <w:jc w:val="both"/>
        <w:rPr>
          <w:i/>
          <w:sz w:val="23"/>
        </w:rPr>
      </w:pPr>
      <w:r>
        <w:rPr>
          <w:i/>
          <w:sz w:val="23"/>
        </w:rPr>
        <w:t>Pacientes con diagnóstico de atopia y manejo médico de la misma.</w:t>
      </w:r>
    </w:p>
    <w:p>
      <w:pPr>
        <w:pStyle w:val="BodyText"/>
        <w:spacing w:before="1"/>
        <w:ind w:left="205" w:right="114"/>
        <w:jc w:val="both"/>
      </w:pPr>
      <w:r>
        <w:rPr/>
        <w:t>Para la inclusión de casos clínicos en el análisis retrospectivo, se analizaron expedientes de pacientes con evaluaciones frecuentes vistos en el periodo Julio 2013-Julio 2014, con diagnóstico presuntivo de atopia. De dichos pacientes se evaluó la edad, métodos diagnósticos utilizados, si se llegó a diagnóstico definitivo o no, y finalmente si el paciente mejoró con el tratamiento instaurado.</w:t>
      </w:r>
    </w:p>
    <w:p>
      <w:pPr>
        <w:pStyle w:val="BodyText"/>
        <w:spacing w:before="8"/>
        <w:rPr>
          <w:sz w:val="22"/>
        </w:rPr>
      </w:pPr>
    </w:p>
    <w:p>
      <w:pPr>
        <w:spacing w:line="263" w:lineRule="exact" w:before="1"/>
        <w:ind w:left="205" w:right="0" w:firstLine="0"/>
        <w:jc w:val="both"/>
        <w:rPr>
          <w:i/>
          <w:sz w:val="23"/>
        </w:rPr>
      </w:pPr>
      <w:r>
        <w:rPr>
          <w:i/>
          <w:sz w:val="23"/>
        </w:rPr>
        <w:t>Pacientes nuevos.</w:t>
      </w:r>
    </w:p>
    <w:p>
      <w:pPr>
        <w:pStyle w:val="BodyText"/>
        <w:ind w:left="205" w:right="114"/>
        <w:jc w:val="both"/>
      </w:pPr>
      <w:r>
        <w:rPr/>
        <w:t>Los criterios de inclusión para la evaluación prospectiva en los pacientes de nuevo ingreso</w:t>
      </w:r>
      <w:r>
        <w:rPr>
          <w:spacing w:val="-24"/>
        </w:rPr>
        <w:t> </w:t>
      </w:r>
      <w:r>
        <w:rPr/>
        <w:t>que acudieron en periodo Agosto - Diciembre 2014 con sospecha de atopia, se basaron en los criterios de Willemse y Prélaud, donde los pacientes debían presentar al menos cinco de los mismos (Favrot y col 2010). Siete pacientes caninos cumplieron con dichos criterios para el diagnóstico de atopia, se utilizó el protocolo diagnóstico recomendado por el grupo de trabajo internacional sobre dermatitis atópica canina (Olivry y Deboer 2007), se realizó el descarte de infecciones por medio de estudio cutáneo (tricografía, raspado, citología) y se sometieron a dieta de eliminación; incluyendo la prevención y eliminación de factores agravantes, así como el manejo de la higiene de la</w:t>
      </w:r>
      <w:r>
        <w:rPr>
          <w:spacing w:val="-21"/>
        </w:rPr>
        <w:t> </w:t>
      </w:r>
      <w:r>
        <w:rPr/>
        <w:t>piel.</w:t>
      </w:r>
    </w:p>
    <w:p>
      <w:pPr>
        <w:pStyle w:val="BodyText"/>
        <w:rPr>
          <w:sz w:val="20"/>
        </w:rPr>
      </w:pPr>
    </w:p>
    <w:p>
      <w:pPr>
        <w:pStyle w:val="BodyText"/>
        <w:spacing w:before="4"/>
        <w:rPr>
          <w:sz w:val="20"/>
        </w:rPr>
      </w:pPr>
    </w:p>
    <w:p>
      <w:pPr>
        <w:spacing w:before="1"/>
        <w:ind w:left="0" w:right="114" w:firstLine="0"/>
        <w:jc w:val="right"/>
        <w:rPr>
          <w:rFonts w:ascii="Calibri"/>
          <w:sz w:val="20"/>
        </w:rPr>
      </w:pPr>
      <w:r>
        <w:rPr>
          <w:rFonts w:ascii="Calibri"/>
          <w:sz w:val="20"/>
        </w:rPr>
        <w:t>33</w:t>
      </w:r>
    </w:p>
    <w:p>
      <w:pPr>
        <w:spacing w:after="0"/>
        <w:jc w:val="right"/>
        <w:rPr>
          <w:rFonts w:ascii="Calibri"/>
          <w:sz w:val="20"/>
        </w:rPr>
        <w:sectPr>
          <w:pgSz w:w="12240" w:h="15840"/>
          <w:pgMar w:top="1500" w:bottom="280" w:left="1720" w:right="1500"/>
        </w:sectPr>
      </w:pPr>
    </w:p>
    <w:p>
      <w:pPr>
        <w:pStyle w:val="BodyText"/>
        <w:spacing w:before="1"/>
        <w:rPr>
          <w:rFonts w:ascii="Calibri"/>
          <w:sz w:val="11"/>
        </w:rPr>
      </w:pPr>
    </w:p>
    <w:p>
      <w:pPr>
        <w:pStyle w:val="BodyText"/>
        <w:spacing w:before="69"/>
        <w:ind w:left="805" w:right="834"/>
        <w:jc w:val="both"/>
      </w:pPr>
      <w:r>
        <w:rPr/>
        <w:t>El control de los alérgenos ingeridos se realizó con una dieta basada en proteína novel (Olivry y Mueller 2010), seleccionada de acuerdo a las dietas anteriores de cada paciente, indagando en la historia clínica por medio de un cuestionario dermatológico (anexo).</w:t>
      </w:r>
    </w:p>
    <w:p>
      <w:pPr>
        <w:pStyle w:val="BodyText"/>
        <w:spacing w:before="1"/>
        <w:ind w:left="805" w:right="834"/>
        <w:jc w:val="both"/>
      </w:pPr>
      <w:r>
        <w:rPr/>
        <w:t>Para el seguimiento de los pacientes se utilizó la escala de CADESI-03 (Canine Atopic Dermatitis Extend And Severity Index) la cual fue realizada por el clínico en cada revisión; y por el propietario con la escala análoga visual del prurito (VAS) (Hill y col 2007). Para la cuantificación de los pacientes atópicos por alérgenos alimentarios, ambientales o ambos, se determinará con base a la disminución del puntaje en la escala de CADESI-03 y la respuesta a la dieta de eliminación. Si el paciente presenta una disminución de puntaje mayor al 50% la carga alergénica es alimentaria, si el puntaje disminuye de un 40% a un 20% la carga alergénica es por alimento y factores ambientales, si el puntaje reduce menor a un 20% la carga alergénica es por alérgenos ambientales (Favrot y col 2010).</w:t>
      </w:r>
    </w:p>
    <w:p>
      <w:pPr>
        <w:pStyle w:val="BodyText"/>
        <w:spacing w:before="8"/>
        <w:rPr>
          <w:sz w:val="22"/>
        </w:rPr>
      </w:pPr>
    </w:p>
    <w:p>
      <w:pPr>
        <w:spacing w:line="263" w:lineRule="exact" w:before="1"/>
        <w:ind w:left="805" w:right="0" w:firstLine="0"/>
        <w:jc w:val="both"/>
        <w:rPr>
          <w:b/>
          <w:sz w:val="23"/>
        </w:rPr>
      </w:pPr>
      <w:r>
        <w:rPr>
          <w:b/>
          <w:sz w:val="23"/>
        </w:rPr>
        <w:t>Resultados</w:t>
      </w:r>
    </w:p>
    <w:p>
      <w:pPr>
        <w:pStyle w:val="BodyText"/>
        <w:ind w:left="805" w:right="834"/>
        <w:jc w:val="both"/>
      </w:pPr>
      <w:r>
        <w:rPr/>
        <w:t>Durante el periodo de estudio se analizaron pacientes con un diagnóstico presuntivo de atopia y su tratamiento, así como pacientes de nuevo ingreso sospechosos de atopia a los cuales se</w:t>
      </w:r>
      <w:r>
        <w:rPr>
          <w:spacing w:val="-38"/>
        </w:rPr>
        <w:t> </w:t>
      </w:r>
      <w:r>
        <w:rPr/>
        <w:t>les aplicó el protocolo diagnóstico establecido por el grupo de trabajo internacional sobre dermatitis atópica</w:t>
      </w:r>
      <w:r>
        <w:rPr>
          <w:spacing w:val="-13"/>
        </w:rPr>
        <w:t> </w:t>
      </w:r>
      <w:r>
        <w:rPr/>
        <w:t>canina.</w:t>
      </w:r>
    </w:p>
    <w:p>
      <w:pPr>
        <w:pStyle w:val="BodyText"/>
        <w:spacing w:before="8"/>
        <w:rPr>
          <w:sz w:val="22"/>
        </w:rPr>
      </w:pPr>
    </w:p>
    <w:p>
      <w:pPr>
        <w:spacing w:line="263" w:lineRule="exact" w:before="1"/>
        <w:ind w:left="805" w:right="0" w:firstLine="0"/>
        <w:jc w:val="both"/>
        <w:rPr>
          <w:i/>
          <w:sz w:val="23"/>
        </w:rPr>
      </w:pPr>
      <w:r>
        <w:rPr>
          <w:i/>
          <w:sz w:val="23"/>
        </w:rPr>
        <w:t>Pacientes de estudio retrospectivo</w:t>
      </w:r>
    </w:p>
    <w:p>
      <w:pPr>
        <w:pStyle w:val="BodyText"/>
        <w:ind w:left="805" w:right="834"/>
        <w:jc w:val="both"/>
      </w:pPr>
      <w:r>
        <w:rPr/>
        <w:t>Se estudiaron once pacientes con un diagnóstico presuntivo de atopia, en los cuales no se evidencia un protocolo diagnóstico establecido que permitiera llegar a un diagnóstico real; y no fue posible evaluar una mejoría objetiva de la enfermedad (Tabla 1).</w:t>
      </w:r>
    </w:p>
    <w:p>
      <w:pPr>
        <w:spacing w:before="185"/>
        <w:ind w:left="805" w:right="0" w:firstLine="0"/>
        <w:jc w:val="both"/>
        <w:rPr>
          <w:b/>
          <w:sz w:val="18"/>
        </w:rPr>
      </w:pPr>
      <w:r>
        <w:rPr>
          <w:b/>
          <w:w w:val="105"/>
          <w:sz w:val="18"/>
        </w:rPr>
        <w:t>Tabla 1. Descripción de los pacientes en el estudio retrospectivo</w:t>
      </w:r>
    </w:p>
    <w:p>
      <w:pPr>
        <w:pStyle w:val="BodyText"/>
        <w:spacing w:before="7" w:after="1"/>
        <w:rPr>
          <w:b/>
          <w:sz w:val="21"/>
        </w:r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
        <w:gridCol w:w="307"/>
        <w:gridCol w:w="403"/>
        <w:gridCol w:w="348"/>
        <w:gridCol w:w="943"/>
        <w:gridCol w:w="412"/>
        <w:gridCol w:w="586"/>
        <w:gridCol w:w="284"/>
        <w:gridCol w:w="1758"/>
        <w:gridCol w:w="1875"/>
        <w:gridCol w:w="775"/>
        <w:gridCol w:w="356"/>
        <w:gridCol w:w="745"/>
        <w:gridCol w:w="259"/>
        <w:gridCol w:w="764"/>
        <w:gridCol w:w="124"/>
      </w:tblGrid>
      <w:tr>
        <w:trPr>
          <w:trHeight w:val="176" w:hRule="exact"/>
        </w:trPr>
        <w:tc>
          <w:tcPr>
            <w:tcW w:w="169" w:type="dxa"/>
            <w:tcBorders>
              <w:left w:val="nil"/>
              <w:bottom w:val="nil"/>
              <w:right w:val="nil"/>
            </w:tcBorders>
          </w:tcPr>
          <w:p>
            <w:pPr/>
          </w:p>
        </w:tc>
        <w:tc>
          <w:tcPr>
            <w:tcW w:w="307" w:type="dxa"/>
            <w:tcBorders>
              <w:left w:val="nil"/>
              <w:bottom w:val="single" w:sz="2" w:space="0" w:color="000000"/>
              <w:right w:val="nil"/>
            </w:tcBorders>
          </w:tcPr>
          <w:p>
            <w:pPr>
              <w:pStyle w:val="TableParagraph"/>
              <w:ind w:left="1"/>
              <w:jc w:val="center"/>
              <w:rPr>
                <w:b/>
                <w:sz w:val="15"/>
              </w:rPr>
            </w:pPr>
            <w:r>
              <w:rPr>
                <w:b/>
                <w:sz w:val="15"/>
              </w:rPr>
              <w:t>Sexo</w:t>
            </w:r>
          </w:p>
        </w:tc>
        <w:tc>
          <w:tcPr>
            <w:tcW w:w="403" w:type="dxa"/>
            <w:tcBorders>
              <w:left w:val="nil"/>
              <w:bottom w:val="nil"/>
              <w:right w:val="nil"/>
            </w:tcBorders>
          </w:tcPr>
          <w:p>
            <w:pPr/>
          </w:p>
        </w:tc>
        <w:tc>
          <w:tcPr>
            <w:tcW w:w="348" w:type="dxa"/>
            <w:tcBorders>
              <w:left w:val="nil"/>
              <w:bottom w:val="single" w:sz="2" w:space="0" w:color="000000"/>
              <w:right w:val="nil"/>
            </w:tcBorders>
          </w:tcPr>
          <w:p>
            <w:pPr>
              <w:pStyle w:val="TableParagraph"/>
              <w:ind w:right="-15"/>
              <w:rPr>
                <w:b/>
                <w:sz w:val="15"/>
              </w:rPr>
            </w:pPr>
            <w:r>
              <w:rPr>
                <w:b/>
                <w:sz w:val="15"/>
              </w:rPr>
              <w:t>Edad</w:t>
            </w:r>
          </w:p>
        </w:tc>
        <w:tc>
          <w:tcPr>
            <w:tcW w:w="943" w:type="dxa"/>
            <w:tcBorders>
              <w:left w:val="nil"/>
              <w:bottom w:val="single" w:sz="2" w:space="0" w:color="000000"/>
              <w:right w:val="nil"/>
            </w:tcBorders>
          </w:tcPr>
          <w:p>
            <w:pPr>
              <w:pStyle w:val="TableParagraph"/>
              <w:ind w:left="538" w:right="-10"/>
              <w:rPr>
                <w:b/>
                <w:sz w:val="15"/>
              </w:rPr>
            </w:pPr>
            <w:r>
              <w:rPr>
                <w:b/>
                <w:sz w:val="15"/>
              </w:rPr>
              <w:t>Raza</w:t>
            </w:r>
          </w:p>
        </w:tc>
        <w:tc>
          <w:tcPr>
            <w:tcW w:w="412" w:type="dxa"/>
            <w:tcBorders>
              <w:left w:val="nil"/>
              <w:bottom w:val="nil"/>
              <w:right w:val="nil"/>
            </w:tcBorders>
          </w:tcPr>
          <w:p>
            <w:pPr/>
          </w:p>
        </w:tc>
        <w:tc>
          <w:tcPr>
            <w:tcW w:w="586" w:type="dxa"/>
            <w:tcBorders>
              <w:left w:val="nil"/>
              <w:bottom w:val="single" w:sz="2" w:space="0" w:color="000000"/>
              <w:right w:val="nil"/>
            </w:tcBorders>
          </w:tcPr>
          <w:p>
            <w:pPr>
              <w:pStyle w:val="TableParagraph"/>
              <w:ind w:right="1"/>
              <w:jc w:val="center"/>
              <w:rPr>
                <w:b/>
                <w:sz w:val="15"/>
              </w:rPr>
            </w:pPr>
            <w:r>
              <w:rPr>
                <w:b/>
                <w:sz w:val="15"/>
              </w:rPr>
              <w:t>Criterios</w:t>
            </w:r>
          </w:p>
        </w:tc>
        <w:tc>
          <w:tcPr>
            <w:tcW w:w="284" w:type="dxa"/>
            <w:tcBorders>
              <w:left w:val="nil"/>
              <w:bottom w:val="nil"/>
              <w:right w:val="nil"/>
            </w:tcBorders>
          </w:tcPr>
          <w:p>
            <w:pPr/>
          </w:p>
        </w:tc>
        <w:tc>
          <w:tcPr>
            <w:tcW w:w="1758" w:type="dxa"/>
            <w:tcBorders>
              <w:left w:val="nil"/>
              <w:bottom w:val="single" w:sz="2" w:space="0" w:color="000000"/>
              <w:right w:val="nil"/>
            </w:tcBorders>
          </w:tcPr>
          <w:p>
            <w:pPr>
              <w:pStyle w:val="TableParagraph"/>
              <w:rPr>
                <w:b/>
                <w:sz w:val="15"/>
              </w:rPr>
            </w:pPr>
            <w:r>
              <w:rPr>
                <w:b/>
                <w:sz w:val="15"/>
              </w:rPr>
              <w:t>Pruebas diagnósticas</w:t>
            </w:r>
          </w:p>
        </w:tc>
        <w:tc>
          <w:tcPr>
            <w:tcW w:w="1875" w:type="dxa"/>
            <w:tcBorders>
              <w:left w:val="nil"/>
              <w:bottom w:val="single" w:sz="2" w:space="0" w:color="000000"/>
              <w:right w:val="nil"/>
            </w:tcBorders>
          </w:tcPr>
          <w:p>
            <w:pPr>
              <w:pStyle w:val="TableParagraph"/>
              <w:rPr>
                <w:b/>
                <w:sz w:val="15"/>
              </w:rPr>
            </w:pPr>
            <w:r>
              <w:rPr>
                <w:b/>
                <w:sz w:val="15"/>
              </w:rPr>
              <w:t>Terapia</w:t>
            </w:r>
          </w:p>
        </w:tc>
        <w:tc>
          <w:tcPr>
            <w:tcW w:w="775" w:type="dxa"/>
            <w:tcBorders>
              <w:left w:val="nil"/>
              <w:bottom w:val="single" w:sz="2" w:space="0" w:color="000000"/>
              <w:right w:val="nil"/>
            </w:tcBorders>
          </w:tcPr>
          <w:p>
            <w:pPr>
              <w:pStyle w:val="TableParagraph"/>
              <w:ind w:right="42"/>
              <w:jc w:val="right"/>
              <w:rPr>
                <w:b/>
                <w:sz w:val="15"/>
              </w:rPr>
            </w:pPr>
            <w:r>
              <w:rPr>
                <w:b/>
                <w:sz w:val="15"/>
              </w:rPr>
              <w:t>Reducción</w:t>
            </w:r>
          </w:p>
        </w:tc>
        <w:tc>
          <w:tcPr>
            <w:tcW w:w="356" w:type="dxa"/>
            <w:tcBorders>
              <w:left w:val="nil"/>
              <w:bottom w:val="nil"/>
              <w:right w:val="nil"/>
            </w:tcBorders>
          </w:tcPr>
          <w:p>
            <w:pPr/>
          </w:p>
        </w:tc>
        <w:tc>
          <w:tcPr>
            <w:tcW w:w="745" w:type="dxa"/>
            <w:tcBorders>
              <w:left w:val="nil"/>
              <w:bottom w:val="single" w:sz="2" w:space="0" w:color="000000"/>
              <w:right w:val="nil"/>
            </w:tcBorders>
          </w:tcPr>
          <w:p>
            <w:pPr>
              <w:pStyle w:val="TableParagraph"/>
              <w:jc w:val="center"/>
              <w:rPr>
                <w:b/>
                <w:sz w:val="15"/>
              </w:rPr>
            </w:pPr>
            <w:r>
              <w:rPr>
                <w:b/>
                <w:sz w:val="15"/>
              </w:rPr>
              <w:t>Mejoría de</w:t>
            </w:r>
          </w:p>
        </w:tc>
        <w:tc>
          <w:tcPr>
            <w:tcW w:w="259" w:type="dxa"/>
            <w:tcBorders>
              <w:left w:val="nil"/>
              <w:bottom w:val="nil"/>
              <w:right w:val="nil"/>
            </w:tcBorders>
          </w:tcPr>
          <w:p>
            <w:pPr/>
          </w:p>
        </w:tc>
        <w:tc>
          <w:tcPr>
            <w:tcW w:w="764" w:type="dxa"/>
            <w:tcBorders>
              <w:left w:val="nil"/>
              <w:bottom w:val="single" w:sz="2" w:space="0" w:color="000000"/>
              <w:right w:val="nil"/>
            </w:tcBorders>
          </w:tcPr>
          <w:p>
            <w:pPr>
              <w:pStyle w:val="TableParagraph"/>
              <w:jc w:val="center"/>
              <w:rPr>
                <w:b/>
                <w:sz w:val="15"/>
              </w:rPr>
            </w:pPr>
            <w:r>
              <w:rPr>
                <w:b/>
                <w:sz w:val="15"/>
              </w:rPr>
              <w:t>Diagnóstico</w:t>
            </w:r>
          </w:p>
        </w:tc>
        <w:tc>
          <w:tcPr>
            <w:tcW w:w="124" w:type="dxa"/>
            <w:tcBorders>
              <w:left w:val="nil"/>
              <w:bottom w:val="nil"/>
              <w:right w:val="nil"/>
            </w:tcBorders>
          </w:tcPr>
          <w:p>
            <w:pPr/>
          </w:p>
        </w:tc>
      </w:tr>
      <w:tr>
        <w:trPr>
          <w:trHeight w:val="174" w:hRule="exact"/>
        </w:trPr>
        <w:tc>
          <w:tcPr>
            <w:tcW w:w="169" w:type="dxa"/>
            <w:tcBorders>
              <w:top w:val="nil"/>
              <w:left w:val="nil"/>
              <w:bottom w:val="nil"/>
              <w:right w:val="nil"/>
            </w:tcBorders>
          </w:tcPr>
          <w:p>
            <w:pPr/>
          </w:p>
        </w:tc>
        <w:tc>
          <w:tcPr>
            <w:tcW w:w="307" w:type="dxa"/>
            <w:tcBorders>
              <w:top w:val="single" w:sz="2" w:space="0" w:color="000000"/>
              <w:left w:val="nil"/>
              <w:bottom w:val="nil"/>
              <w:right w:val="nil"/>
            </w:tcBorders>
          </w:tcPr>
          <w:p>
            <w:pPr/>
          </w:p>
        </w:tc>
        <w:tc>
          <w:tcPr>
            <w:tcW w:w="403" w:type="dxa"/>
            <w:tcBorders>
              <w:top w:val="nil"/>
              <w:left w:val="nil"/>
              <w:bottom w:val="nil"/>
              <w:right w:val="nil"/>
            </w:tcBorders>
          </w:tcPr>
          <w:p>
            <w:pPr/>
          </w:p>
        </w:tc>
        <w:tc>
          <w:tcPr>
            <w:tcW w:w="348" w:type="dxa"/>
            <w:tcBorders>
              <w:top w:val="single" w:sz="2" w:space="0" w:color="000000"/>
              <w:left w:val="nil"/>
              <w:bottom w:val="single" w:sz="2" w:space="0" w:color="000000"/>
              <w:right w:val="nil"/>
            </w:tcBorders>
          </w:tcPr>
          <w:p>
            <w:pPr>
              <w:pStyle w:val="TableParagraph"/>
              <w:ind w:left="25" w:right="-15"/>
              <w:rPr>
                <w:b/>
                <w:sz w:val="15"/>
              </w:rPr>
            </w:pPr>
            <w:r>
              <w:rPr>
                <w:b/>
                <w:sz w:val="15"/>
              </w:rPr>
              <w:t>años</w:t>
            </w:r>
          </w:p>
        </w:tc>
        <w:tc>
          <w:tcPr>
            <w:tcW w:w="943" w:type="dxa"/>
            <w:tcBorders>
              <w:top w:val="single" w:sz="2" w:space="0" w:color="000000"/>
              <w:left w:val="nil"/>
              <w:bottom w:val="nil"/>
              <w:right w:val="nil"/>
            </w:tcBorders>
          </w:tcPr>
          <w:p>
            <w:pPr/>
          </w:p>
        </w:tc>
        <w:tc>
          <w:tcPr>
            <w:tcW w:w="412" w:type="dxa"/>
            <w:tcBorders>
              <w:top w:val="nil"/>
              <w:left w:val="nil"/>
              <w:bottom w:val="nil"/>
              <w:right w:val="nil"/>
            </w:tcBorders>
          </w:tcPr>
          <w:p>
            <w:pPr/>
          </w:p>
        </w:tc>
        <w:tc>
          <w:tcPr>
            <w:tcW w:w="586" w:type="dxa"/>
            <w:tcBorders>
              <w:top w:val="single" w:sz="2" w:space="0" w:color="000000"/>
              <w:left w:val="nil"/>
              <w:bottom w:val="single" w:sz="2" w:space="0" w:color="000000"/>
              <w:right w:val="nil"/>
            </w:tcBorders>
          </w:tcPr>
          <w:p>
            <w:pPr>
              <w:pStyle w:val="TableParagraph"/>
              <w:ind w:right="1"/>
              <w:jc w:val="center"/>
              <w:rPr>
                <w:b/>
                <w:sz w:val="15"/>
              </w:rPr>
            </w:pPr>
            <w:r>
              <w:rPr>
                <w:b/>
                <w:sz w:val="15"/>
              </w:rPr>
              <w:t>inclusión</w:t>
            </w:r>
          </w:p>
        </w:tc>
        <w:tc>
          <w:tcPr>
            <w:tcW w:w="284" w:type="dxa"/>
            <w:tcBorders>
              <w:top w:val="nil"/>
              <w:left w:val="nil"/>
              <w:bottom w:val="nil"/>
              <w:right w:val="nil"/>
            </w:tcBorders>
          </w:tcPr>
          <w:p>
            <w:pPr/>
          </w:p>
        </w:tc>
        <w:tc>
          <w:tcPr>
            <w:tcW w:w="1758" w:type="dxa"/>
            <w:tcBorders>
              <w:top w:val="single" w:sz="2" w:space="0" w:color="000000"/>
              <w:left w:val="nil"/>
              <w:bottom w:val="single" w:sz="2" w:space="0" w:color="000000"/>
              <w:right w:val="nil"/>
            </w:tcBorders>
          </w:tcPr>
          <w:p>
            <w:pPr>
              <w:pStyle w:val="TableParagraph"/>
              <w:rPr>
                <w:b/>
                <w:sz w:val="15"/>
              </w:rPr>
            </w:pPr>
            <w:r>
              <w:rPr>
                <w:b/>
                <w:sz w:val="15"/>
              </w:rPr>
              <w:t>realizadas</w:t>
            </w:r>
          </w:p>
        </w:tc>
        <w:tc>
          <w:tcPr>
            <w:tcW w:w="1875" w:type="dxa"/>
            <w:tcBorders>
              <w:top w:val="single" w:sz="2" w:space="0" w:color="000000"/>
              <w:left w:val="nil"/>
              <w:bottom w:val="nil"/>
              <w:right w:val="nil"/>
            </w:tcBorders>
          </w:tcPr>
          <w:p>
            <w:pPr/>
          </w:p>
        </w:tc>
        <w:tc>
          <w:tcPr>
            <w:tcW w:w="775" w:type="dxa"/>
            <w:tcBorders>
              <w:top w:val="single" w:sz="2" w:space="0" w:color="000000"/>
              <w:left w:val="nil"/>
              <w:bottom w:val="single" w:sz="2" w:space="0" w:color="000000"/>
              <w:right w:val="nil"/>
            </w:tcBorders>
          </w:tcPr>
          <w:p>
            <w:pPr>
              <w:pStyle w:val="TableParagraph"/>
              <w:ind w:right="97"/>
              <w:jc w:val="right"/>
              <w:rPr>
                <w:b/>
                <w:sz w:val="15"/>
              </w:rPr>
            </w:pPr>
            <w:r>
              <w:rPr>
                <w:b/>
                <w:sz w:val="15"/>
              </w:rPr>
              <w:t>CADESI</w:t>
            </w:r>
          </w:p>
        </w:tc>
        <w:tc>
          <w:tcPr>
            <w:tcW w:w="356" w:type="dxa"/>
            <w:tcBorders>
              <w:top w:val="nil"/>
              <w:left w:val="nil"/>
              <w:bottom w:val="nil"/>
              <w:right w:val="nil"/>
            </w:tcBorders>
          </w:tcPr>
          <w:p>
            <w:pPr/>
          </w:p>
        </w:tc>
        <w:tc>
          <w:tcPr>
            <w:tcW w:w="745" w:type="dxa"/>
            <w:tcBorders>
              <w:top w:val="single" w:sz="2" w:space="0" w:color="000000"/>
              <w:left w:val="nil"/>
              <w:bottom w:val="single" w:sz="2" w:space="0" w:color="000000"/>
              <w:right w:val="nil"/>
            </w:tcBorders>
          </w:tcPr>
          <w:p>
            <w:pPr>
              <w:pStyle w:val="TableParagraph"/>
              <w:jc w:val="center"/>
              <w:rPr>
                <w:b/>
                <w:sz w:val="15"/>
              </w:rPr>
            </w:pPr>
            <w:r>
              <w:rPr>
                <w:b/>
                <w:sz w:val="15"/>
              </w:rPr>
              <w:t>acuerdo</w:t>
            </w:r>
          </w:p>
        </w:tc>
        <w:tc>
          <w:tcPr>
            <w:tcW w:w="259" w:type="dxa"/>
            <w:tcBorders>
              <w:top w:val="nil"/>
              <w:left w:val="nil"/>
              <w:bottom w:val="nil"/>
              <w:right w:val="nil"/>
            </w:tcBorders>
          </w:tcPr>
          <w:p>
            <w:pPr/>
          </w:p>
        </w:tc>
        <w:tc>
          <w:tcPr>
            <w:tcW w:w="764" w:type="dxa"/>
            <w:tcBorders>
              <w:top w:val="single" w:sz="2" w:space="0" w:color="000000"/>
              <w:left w:val="nil"/>
              <w:bottom w:val="nil"/>
              <w:right w:val="nil"/>
            </w:tcBorders>
          </w:tcPr>
          <w:p>
            <w:pPr/>
          </w:p>
        </w:tc>
        <w:tc>
          <w:tcPr>
            <w:tcW w:w="124" w:type="dxa"/>
            <w:tcBorders>
              <w:top w:val="nil"/>
              <w:left w:val="nil"/>
              <w:bottom w:val="nil"/>
              <w:right w:val="nil"/>
            </w:tcBorders>
          </w:tcPr>
          <w:p>
            <w:pPr/>
          </w:p>
        </w:tc>
      </w:tr>
      <w:tr>
        <w:trPr>
          <w:trHeight w:val="185" w:hRule="exact"/>
        </w:trPr>
        <w:tc>
          <w:tcPr>
            <w:tcW w:w="169" w:type="dxa"/>
            <w:tcBorders>
              <w:top w:val="nil"/>
              <w:left w:val="nil"/>
              <w:right w:val="nil"/>
            </w:tcBorders>
          </w:tcPr>
          <w:p>
            <w:pPr/>
          </w:p>
        </w:tc>
        <w:tc>
          <w:tcPr>
            <w:tcW w:w="307" w:type="dxa"/>
            <w:tcBorders>
              <w:top w:val="nil"/>
              <w:left w:val="nil"/>
              <w:right w:val="nil"/>
            </w:tcBorders>
          </w:tcPr>
          <w:p>
            <w:pPr/>
          </w:p>
        </w:tc>
        <w:tc>
          <w:tcPr>
            <w:tcW w:w="403" w:type="dxa"/>
            <w:tcBorders>
              <w:top w:val="nil"/>
              <w:left w:val="nil"/>
              <w:right w:val="nil"/>
            </w:tcBorders>
          </w:tcPr>
          <w:p>
            <w:pPr/>
          </w:p>
        </w:tc>
        <w:tc>
          <w:tcPr>
            <w:tcW w:w="348" w:type="dxa"/>
            <w:tcBorders>
              <w:top w:val="single" w:sz="2" w:space="0" w:color="000000"/>
              <w:left w:val="nil"/>
              <w:right w:val="nil"/>
            </w:tcBorders>
          </w:tcPr>
          <w:p>
            <w:pPr/>
          </w:p>
        </w:tc>
        <w:tc>
          <w:tcPr>
            <w:tcW w:w="943" w:type="dxa"/>
            <w:tcBorders>
              <w:top w:val="nil"/>
              <w:left w:val="nil"/>
              <w:right w:val="nil"/>
            </w:tcBorders>
          </w:tcPr>
          <w:p>
            <w:pPr/>
          </w:p>
        </w:tc>
        <w:tc>
          <w:tcPr>
            <w:tcW w:w="412" w:type="dxa"/>
            <w:tcBorders>
              <w:top w:val="nil"/>
              <w:left w:val="nil"/>
              <w:right w:val="nil"/>
            </w:tcBorders>
          </w:tcPr>
          <w:p>
            <w:pPr/>
          </w:p>
        </w:tc>
        <w:tc>
          <w:tcPr>
            <w:tcW w:w="586" w:type="dxa"/>
            <w:tcBorders>
              <w:top w:val="single" w:sz="2" w:space="0" w:color="000000"/>
              <w:left w:val="nil"/>
              <w:right w:val="nil"/>
            </w:tcBorders>
          </w:tcPr>
          <w:p>
            <w:pPr/>
          </w:p>
        </w:tc>
        <w:tc>
          <w:tcPr>
            <w:tcW w:w="284" w:type="dxa"/>
            <w:tcBorders>
              <w:top w:val="nil"/>
              <w:left w:val="nil"/>
              <w:right w:val="nil"/>
            </w:tcBorders>
          </w:tcPr>
          <w:p>
            <w:pPr/>
          </w:p>
        </w:tc>
        <w:tc>
          <w:tcPr>
            <w:tcW w:w="1758" w:type="dxa"/>
            <w:tcBorders>
              <w:top w:val="single" w:sz="2" w:space="0" w:color="000000"/>
              <w:left w:val="nil"/>
              <w:right w:val="nil"/>
            </w:tcBorders>
          </w:tcPr>
          <w:p>
            <w:pPr/>
          </w:p>
        </w:tc>
        <w:tc>
          <w:tcPr>
            <w:tcW w:w="1875" w:type="dxa"/>
            <w:tcBorders>
              <w:top w:val="nil"/>
              <w:left w:val="nil"/>
              <w:right w:val="nil"/>
            </w:tcBorders>
          </w:tcPr>
          <w:p>
            <w:pPr/>
          </w:p>
        </w:tc>
        <w:tc>
          <w:tcPr>
            <w:tcW w:w="775" w:type="dxa"/>
            <w:tcBorders>
              <w:top w:val="single" w:sz="2" w:space="0" w:color="000000"/>
              <w:left w:val="nil"/>
              <w:right w:val="nil"/>
            </w:tcBorders>
          </w:tcPr>
          <w:p>
            <w:pPr/>
          </w:p>
        </w:tc>
        <w:tc>
          <w:tcPr>
            <w:tcW w:w="356" w:type="dxa"/>
            <w:tcBorders>
              <w:top w:val="nil"/>
              <w:left w:val="nil"/>
              <w:right w:val="nil"/>
            </w:tcBorders>
          </w:tcPr>
          <w:p>
            <w:pPr/>
          </w:p>
        </w:tc>
        <w:tc>
          <w:tcPr>
            <w:tcW w:w="745" w:type="dxa"/>
            <w:tcBorders>
              <w:top w:val="single" w:sz="2" w:space="0" w:color="000000"/>
              <w:left w:val="nil"/>
              <w:right w:val="nil"/>
            </w:tcBorders>
          </w:tcPr>
          <w:p>
            <w:pPr>
              <w:pStyle w:val="TableParagraph"/>
              <w:spacing w:before="6"/>
              <w:jc w:val="center"/>
              <w:rPr>
                <w:b/>
                <w:sz w:val="15"/>
              </w:rPr>
            </w:pPr>
            <w:r>
              <w:rPr>
                <w:b/>
                <w:sz w:val="15"/>
              </w:rPr>
              <w:t>Propietario</w:t>
            </w:r>
          </w:p>
        </w:tc>
        <w:tc>
          <w:tcPr>
            <w:tcW w:w="259" w:type="dxa"/>
            <w:tcBorders>
              <w:top w:val="nil"/>
              <w:left w:val="nil"/>
              <w:right w:val="nil"/>
            </w:tcBorders>
          </w:tcPr>
          <w:p>
            <w:pPr/>
          </w:p>
        </w:tc>
        <w:tc>
          <w:tcPr>
            <w:tcW w:w="764" w:type="dxa"/>
            <w:tcBorders>
              <w:top w:val="nil"/>
              <w:left w:val="nil"/>
              <w:right w:val="nil"/>
            </w:tcBorders>
          </w:tcPr>
          <w:p>
            <w:pPr/>
          </w:p>
        </w:tc>
        <w:tc>
          <w:tcPr>
            <w:tcW w:w="124" w:type="dxa"/>
            <w:tcBorders>
              <w:top w:val="nil"/>
              <w:left w:val="nil"/>
              <w:right w:val="nil"/>
            </w:tcBorders>
          </w:tcPr>
          <w:p>
            <w:pPr/>
          </w:p>
        </w:tc>
      </w:tr>
      <w:tr>
        <w:trPr>
          <w:trHeight w:val="362" w:hRule="exact"/>
        </w:trPr>
        <w:tc>
          <w:tcPr>
            <w:tcW w:w="169" w:type="dxa"/>
            <w:tcBorders>
              <w:left w:val="nil"/>
              <w:right w:val="nil"/>
            </w:tcBorders>
          </w:tcPr>
          <w:p>
            <w:pPr/>
          </w:p>
        </w:tc>
        <w:tc>
          <w:tcPr>
            <w:tcW w:w="307" w:type="dxa"/>
            <w:tcBorders>
              <w:left w:val="nil"/>
              <w:right w:val="nil"/>
            </w:tcBorders>
          </w:tcPr>
          <w:p>
            <w:pPr>
              <w:pStyle w:val="TableParagraph"/>
              <w:ind w:left="1"/>
              <w:jc w:val="center"/>
              <w:rPr>
                <w:sz w:val="15"/>
              </w:rPr>
            </w:pPr>
            <w:r>
              <w:rPr>
                <w:w w:val="100"/>
                <w:sz w:val="15"/>
              </w:rPr>
              <w:t>H</w:t>
            </w:r>
          </w:p>
        </w:tc>
        <w:tc>
          <w:tcPr>
            <w:tcW w:w="403" w:type="dxa"/>
            <w:tcBorders>
              <w:left w:val="nil"/>
              <w:right w:val="nil"/>
            </w:tcBorders>
          </w:tcPr>
          <w:p>
            <w:pPr/>
          </w:p>
        </w:tc>
        <w:tc>
          <w:tcPr>
            <w:tcW w:w="348" w:type="dxa"/>
            <w:tcBorders>
              <w:left w:val="nil"/>
              <w:right w:val="nil"/>
            </w:tcBorders>
          </w:tcPr>
          <w:p>
            <w:pPr>
              <w:pStyle w:val="TableParagraph"/>
              <w:ind w:left="68"/>
              <w:rPr>
                <w:sz w:val="15"/>
              </w:rPr>
            </w:pPr>
            <w:r>
              <w:rPr>
                <w:w w:val="100"/>
                <w:sz w:val="15"/>
              </w:rPr>
              <w:t>1</w:t>
            </w:r>
          </w:p>
        </w:tc>
        <w:tc>
          <w:tcPr>
            <w:tcW w:w="943" w:type="dxa"/>
            <w:tcBorders>
              <w:left w:val="nil"/>
              <w:right w:val="nil"/>
            </w:tcBorders>
          </w:tcPr>
          <w:p>
            <w:pPr>
              <w:pStyle w:val="TableParagraph"/>
              <w:ind w:left="324" w:right="-10" w:firstLine="139"/>
              <w:rPr>
                <w:sz w:val="15"/>
              </w:rPr>
            </w:pPr>
            <w:r>
              <w:rPr>
                <w:sz w:val="15"/>
              </w:rPr>
              <w:t>Dogo Argentino</w:t>
            </w:r>
          </w:p>
        </w:tc>
        <w:tc>
          <w:tcPr>
            <w:tcW w:w="412" w:type="dxa"/>
            <w:tcBorders>
              <w:left w:val="nil"/>
              <w:right w:val="nil"/>
            </w:tcBorders>
          </w:tcPr>
          <w:p>
            <w:pPr/>
          </w:p>
        </w:tc>
        <w:tc>
          <w:tcPr>
            <w:tcW w:w="586" w:type="dxa"/>
            <w:tcBorders>
              <w:left w:val="nil"/>
              <w:right w:val="nil"/>
            </w:tcBorders>
          </w:tcPr>
          <w:p>
            <w:pPr>
              <w:pStyle w:val="TableParagraph"/>
              <w:ind w:right="1"/>
              <w:jc w:val="center"/>
              <w:rPr>
                <w:sz w:val="15"/>
              </w:rPr>
            </w:pPr>
            <w:r>
              <w:rPr>
                <w:w w:val="100"/>
                <w:sz w:val="15"/>
              </w:rPr>
              <w:t>7</w:t>
            </w:r>
          </w:p>
        </w:tc>
        <w:tc>
          <w:tcPr>
            <w:tcW w:w="284" w:type="dxa"/>
            <w:tcBorders>
              <w:left w:val="nil"/>
              <w:right w:val="nil"/>
            </w:tcBorders>
          </w:tcPr>
          <w:p>
            <w:pPr/>
          </w:p>
        </w:tc>
        <w:tc>
          <w:tcPr>
            <w:tcW w:w="1758" w:type="dxa"/>
            <w:tcBorders>
              <w:left w:val="nil"/>
              <w:right w:val="nil"/>
            </w:tcBorders>
          </w:tcPr>
          <w:p>
            <w:pPr>
              <w:pStyle w:val="TableParagraph"/>
              <w:rPr>
                <w:sz w:val="15"/>
              </w:rPr>
            </w:pPr>
            <w:r>
              <w:rPr>
                <w:sz w:val="15"/>
              </w:rPr>
              <w:t>Hospitalización, raspado cutáneo</w:t>
            </w:r>
          </w:p>
        </w:tc>
        <w:tc>
          <w:tcPr>
            <w:tcW w:w="1875" w:type="dxa"/>
            <w:tcBorders>
              <w:left w:val="nil"/>
              <w:right w:val="nil"/>
            </w:tcBorders>
          </w:tcPr>
          <w:p>
            <w:pPr>
              <w:pStyle w:val="TableParagraph"/>
              <w:rPr>
                <w:sz w:val="15"/>
              </w:rPr>
            </w:pPr>
            <w:r>
              <w:rPr>
                <w:sz w:val="15"/>
              </w:rPr>
              <w:t>Antibioterapia, amitraz, allermyl</w:t>
            </w:r>
          </w:p>
        </w:tc>
        <w:tc>
          <w:tcPr>
            <w:tcW w:w="775" w:type="dxa"/>
            <w:tcBorders>
              <w:left w:val="nil"/>
              <w:right w:val="nil"/>
            </w:tcBorders>
          </w:tcPr>
          <w:p>
            <w:pPr>
              <w:pStyle w:val="TableParagraph"/>
              <w:jc w:val="right"/>
              <w:rPr>
                <w:sz w:val="15"/>
              </w:rPr>
            </w:pPr>
            <w:r>
              <w:rPr>
                <w:sz w:val="15"/>
              </w:rPr>
              <w:t>No evaluado</w:t>
            </w:r>
          </w:p>
        </w:tc>
        <w:tc>
          <w:tcPr>
            <w:tcW w:w="356" w:type="dxa"/>
            <w:tcBorders>
              <w:left w:val="nil"/>
              <w:right w:val="nil"/>
            </w:tcBorders>
          </w:tcPr>
          <w:p>
            <w:pPr/>
          </w:p>
        </w:tc>
        <w:tc>
          <w:tcPr>
            <w:tcW w:w="745" w:type="dxa"/>
            <w:tcBorders>
              <w:left w:val="nil"/>
              <w:right w:val="nil"/>
            </w:tcBorders>
          </w:tcPr>
          <w:p>
            <w:pPr>
              <w:pStyle w:val="TableParagraph"/>
              <w:jc w:val="center"/>
              <w:rPr>
                <w:sz w:val="15"/>
              </w:rPr>
            </w:pPr>
            <w:r>
              <w:rPr>
                <w:sz w:val="15"/>
              </w:rPr>
              <w:t>No</w:t>
            </w:r>
          </w:p>
        </w:tc>
        <w:tc>
          <w:tcPr>
            <w:tcW w:w="259" w:type="dxa"/>
            <w:tcBorders>
              <w:left w:val="nil"/>
              <w:right w:val="nil"/>
            </w:tcBorders>
          </w:tcPr>
          <w:p>
            <w:pPr/>
          </w:p>
        </w:tc>
        <w:tc>
          <w:tcPr>
            <w:tcW w:w="764" w:type="dxa"/>
            <w:tcBorders>
              <w:left w:val="nil"/>
              <w:right w:val="nil"/>
            </w:tcBorders>
          </w:tcPr>
          <w:p>
            <w:pPr>
              <w:pStyle w:val="TableParagraph"/>
              <w:jc w:val="center"/>
              <w:rPr>
                <w:sz w:val="15"/>
              </w:rPr>
            </w:pPr>
            <w:r>
              <w:rPr>
                <w:sz w:val="15"/>
              </w:rPr>
              <w:t>Sin Dx</w:t>
            </w:r>
          </w:p>
        </w:tc>
        <w:tc>
          <w:tcPr>
            <w:tcW w:w="124" w:type="dxa"/>
            <w:tcBorders>
              <w:left w:val="nil"/>
              <w:right w:val="nil"/>
            </w:tcBorders>
          </w:tcPr>
          <w:p>
            <w:pPr/>
          </w:p>
        </w:tc>
      </w:tr>
    </w:tbl>
    <w:p>
      <w:pPr>
        <w:tabs>
          <w:tab w:pos="1757" w:val="left" w:leader="none"/>
        </w:tabs>
        <w:spacing w:line="127" w:lineRule="exact" w:before="0"/>
        <w:ind w:left="0" w:right="74" w:firstLine="0"/>
        <w:jc w:val="center"/>
        <w:rPr>
          <w:sz w:val="15"/>
        </w:rPr>
      </w:pPr>
      <w:r>
        <w:rPr/>
        <w:pict>
          <v:shape style="position:absolute;margin-left:75.844231pt;margin-top:5.137514pt;width:132.15pt;height:7.6pt;mso-position-horizontal-relative:page;mso-position-vertical-relative:paragraph;z-index:1384" type="#_x0000_t202" filled="false" stroked="false">
            <v:textbox inset="0,0,0,0">
              <w:txbxContent>
                <w:p>
                  <w:pPr>
                    <w:tabs>
                      <w:tab w:pos="678" w:val="left" w:leader="none"/>
                      <w:tab w:pos="1326" w:val="left" w:leader="none"/>
                      <w:tab w:pos="2567" w:val="left" w:leader="none"/>
                    </w:tabs>
                    <w:spacing w:line="151" w:lineRule="exact" w:before="0"/>
                    <w:ind w:left="0" w:right="0" w:firstLine="0"/>
                    <w:jc w:val="left"/>
                    <w:rPr>
                      <w:sz w:val="15"/>
                    </w:rPr>
                  </w:pPr>
                  <w:r>
                    <w:rPr>
                      <w:sz w:val="15"/>
                    </w:rPr>
                    <w:t>H</w:t>
                    <w:tab/>
                    <w:t>5</w:t>
                    <w:tab/>
                    <w:t>Bull</w:t>
                  </w:r>
                  <w:r>
                    <w:rPr>
                      <w:spacing w:val="2"/>
                      <w:sz w:val="15"/>
                    </w:rPr>
                    <w:t> </w:t>
                  </w:r>
                  <w:r>
                    <w:rPr>
                      <w:sz w:val="15"/>
                    </w:rPr>
                    <w:t>dog</w:t>
                    <w:tab/>
                    <w:t>3</w:t>
                  </w:r>
                </w:p>
              </w:txbxContent>
            </v:textbox>
            <w10:wrap type="none"/>
          </v:shape>
        </w:pict>
      </w:r>
      <w:r>
        <w:rPr>
          <w:sz w:val="15"/>
        </w:rPr>
        <w:t>Estudio</w:t>
      </w:r>
      <w:r>
        <w:rPr>
          <w:spacing w:val="3"/>
          <w:sz w:val="15"/>
        </w:rPr>
        <w:t> </w:t>
      </w:r>
      <w:r>
        <w:rPr>
          <w:sz w:val="15"/>
        </w:rPr>
        <w:t>cutáneo</w:t>
        <w:tab/>
        <w:t>Epiotic, pioben,</w:t>
      </w:r>
      <w:r>
        <w:rPr>
          <w:spacing w:val="8"/>
          <w:sz w:val="15"/>
        </w:rPr>
        <w:t> </w:t>
      </w:r>
      <w:r>
        <w:rPr>
          <w:sz w:val="15"/>
        </w:rPr>
        <w:t>jabón</w:t>
      </w:r>
    </w:p>
    <w:p>
      <w:pPr>
        <w:tabs>
          <w:tab w:pos="7212" w:val="left" w:leader="none"/>
          <w:tab w:pos="8652" w:val="left" w:leader="none"/>
          <w:tab w:pos="9514" w:val="left" w:leader="none"/>
        </w:tabs>
        <w:spacing w:line="220" w:lineRule="exact" w:before="0"/>
        <w:ind w:left="5337" w:right="0" w:firstLine="0"/>
        <w:jc w:val="left"/>
        <w:rPr>
          <w:sz w:val="15"/>
        </w:rPr>
      </w:pPr>
      <w:r>
        <w:rPr/>
        <w:pict>
          <v:shape style="position:absolute;margin-left:62.391369pt;margin-top:11.044115pt;width:505.4pt;height:.1pt;mso-position-horizontal-relative:page;mso-position-vertical-relative:paragraph;z-index:1192" coordorigin="1248,221" coordsize="10108,0" path="m1248,221l1893,221m1893,221l1902,221m1902,221l2571,221m2571,221l2580,221m2580,221l3651,221m3651,221l3660,221m3660,221l4599,221m4599,221l4608,221m4608,221l6357,221m6357,221l6366,221m6366,221l8114,221m8114,221l8123,221m8123,221l9327,221m9327,221l9337,221m9337,221l10344,221m10344,221l10353,221m10353,221l11355,221e" filled="false" stroked="true" strokeweight=".4578pt" strokecolor="#000000">
            <v:path arrowok="t"/>
            <w10:wrap type="none"/>
          </v:shape>
        </w:pict>
      </w:r>
      <w:r>
        <w:rPr>
          <w:position w:val="-8"/>
          <w:sz w:val="15"/>
        </w:rPr>
        <w:t>asepsia</w:t>
        <w:tab/>
      </w:r>
      <w:r>
        <w:rPr>
          <w:sz w:val="15"/>
        </w:rPr>
        <w:t>No</w:t>
      </w:r>
      <w:r>
        <w:rPr>
          <w:spacing w:val="2"/>
          <w:sz w:val="15"/>
        </w:rPr>
        <w:t> </w:t>
      </w:r>
      <w:r>
        <w:rPr>
          <w:sz w:val="15"/>
        </w:rPr>
        <w:t>evaluado</w:t>
        <w:tab/>
        <w:t>Si</w:t>
        <w:tab/>
        <w:t>Sin</w:t>
      </w:r>
      <w:r>
        <w:rPr>
          <w:spacing w:val="4"/>
          <w:sz w:val="15"/>
        </w:rPr>
        <w:t> </w:t>
      </w:r>
      <w:r>
        <w:rPr>
          <w:sz w:val="15"/>
        </w:rPr>
        <w:t>Dx</w:t>
      </w:r>
    </w:p>
    <w:p>
      <w:pPr>
        <w:spacing w:after="0" w:line="220" w:lineRule="exact"/>
        <w:jc w:val="left"/>
        <w:rPr>
          <w:sz w:val="15"/>
        </w:rPr>
        <w:sectPr>
          <w:pgSz w:w="12240" w:h="15840"/>
          <w:pgMar w:top="1500" w:bottom="280" w:left="1120" w:right="780"/>
        </w:sectPr>
      </w:pPr>
    </w:p>
    <w:p>
      <w:pPr>
        <w:tabs>
          <w:tab w:pos="1075" w:val="left" w:leader="none"/>
          <w:tab w:pos="1742" w:val="left" w:leader="none"/>
          <w:tab w:pos="2964" w:val="left" w:leader="none"/>
          <w:tab w:pos="3579" w:val="left" w:leader="none"/>
          <w:tab w:pos="5337" w:val="left" w:leader="none"/>
        </w:tabs>
        <w:spacing w:before="12"/>
        <w:ind w:left="384" w:right="0" w:firstLine="0"/>
        <w:jc w:val="left"/>
        <w:rPr>
          <w:sz w:val="15"/>
        </w:rPr>
      </w:pPr>
      <w:r>
        <w:rPr>
          <w:sz w:val="15"/>
        </w:rPr>
        <w:t>M</w:t>
        <w:tab/>
        <w:t>2</w:t>
        <w:tab/>
        <w:t>Mestizo</w:t>
        <w:tab/>
        <w:t>4</w:t>
        <w:tab/>
        <w:t>Raspado</w:t>
      </w:r>
      <w:r>
        <w:rPr>
          <w:spacing w:val="3"/>
          <w:sz w:val="15"/>
        </w:rPr>
        <w:t> </w:t>
      </w:r>
      <w:r>
        <w:rPr>
          <w:sz w:val="15"/>
        </w:rPr>
        <w:t>cutáneo</w:t>
        <w:tab/>
        <w:t>Allermyl, ácidos</w:t>
      </w:r>
      <w:r>
        <w:rPr>
          <w:spacing w:val="13"/>
          <w:sz w:val="15"/>
        </w:rPr>
        <w:t> </w:t>
      </w:r>
      <w:r>
        <w:rPr>
          <w:sz w:val="15"/>
        </w:rPr>
        <w:t>grasos,</w:t>
      </w:r>
    </w:p>
    <w:p>
      <w:pPr>
        <w:spacing w:before="1"/>
        <w:ind w:left="0" w:right="642" w:firstLine="0"/>
        <w:jc w:val="right"/>
        <w:rPr>
          <w:sz w:val="15"/>
        </w:rPr>
      </w:pPr>
      <w:r>
        <w:rPr>
          <w:sz w:val="15"/>
        </w:rPr>
        <w:t>antibioterapia</w:t>
      </w:r>
    </w:p>
    <w:p>
      <w:pPr>
        <w:tabs>
          <w:tab w:pos="1763" w:val="left" w:leader="none"/>
          <w:tab w:pos="2654" w:val="left" w:leader="none"/>
        </w:tabs>
        <w:spacing w:before="12"/>
        <w:ind w:left="352" w:right="0" w:firstLine="0"/>
        <w:jc w:val="left"/>
        <w:rPr>
          <w:sz w:val="15"/>
        </w:rPr>
      </w:pPr>
      <w:r>
        <w:rPr/>
        <w:br w:type="column"/>
      </w:r>
      <w:r>
        <w:rPr>
          <w:sz w:val="15"/>
        </w:rPr>
        <w:t>No</w:t>
      </w:r>
      <w:r>
        <w:rPr>
          <w:spacing w:val="2"/>
          <w:sz w:val="15"/>
        </w:rPr>
        <w:t> </w:t>
      </w:r>
      <w:r>
        <w:rPr>
          <w:sz w:val="15"/>
        </w:rPr>
        <w:t>evaluado</w:t>
        <w:tab/>
        <w:t>No</w:t>
        <w:tab/>
        <w:t>Sin</w:t>
      </w:r>
      <w:r>
        <w:rPr>
          <w:spacing w:val="4"/>
          <w:sz w:val="15"/>
        </w:rPr>
        <w:t> </w:t>
      </w:r>
      <w:r>
        <w:rPr>
          <w:sz w:val="15"/>
        </w:rPr>
        <w:t>Dx</w:t>
      </w:r>
    </w:p>
    <w:p>
      <w:pPr>
        <w:spacing w:after="0"/>
        <w:jc w:val="left"/>
        <w:rPr>
          <w:sz w:val="15"/>
        </w:rPr>
        <w:sectPr>
          <w:type w:val="continuous"/>
          <w:pgSz w:w="12240" w:h="15840"/>
          <w:pgMar w:top="1500" w:bottom="280" w:left="1120" w:right="780"/>
          <w:cols w:num="2" w:equalWidth="0">
            <w:col w:w="6820" w:space="40"/>
            <w:col w:w="3480"/>
          </w:cols>
        </w:sectPr>
      </w:pPr>
    </w:p>
    <w:p>
      <w:pPr>
        <w:pStyle w:val="BodyText"/>
        <w:spacing w:line="20" w:lineRule="exact"/>
        <w:ind w:left="122"/>
        <w:rPr>
          <w:sz w:val="2"/>
        </w:rPr>
      </w:pPr>
      <w:r>
        <w:rPr>
          <w:sz w:val="2"/>
        </w:rPr>
        <w:pict>
          <v:group style="width:505.9pt;height:.5pt;mso-position-horizontal-relative:char;mso-position-vertical-relative:line" coordorigin="0,0" coordsize="10118,10">
            <v:line style="position:absolute" from="5,5" to="650,5" stroked="true" strokeweight=".4578pt" strokecolor="#000000"/>
            <v:line style="position:absolute" from="650,5" to="660,5" stroked="true" strokeweight=".4578pt" strokecolor="#000000"/>
            <v:line style="position:absolute" from="660,5" to="1328,5" stroked="true" strokeweight=".4578pt" strokecolor="#000000"/>
            <v:line style="position:absolute" from="1328,5" to="1337,5" stroked="true" strokeweight=".4578pt" strokecolor="#000000"/>
            <v:line style="position:absolute" from="1337,5" to="2408,5" stroked="true" strokeweight=".4578pt" strokecolor="#000000"/>
            <v:line style="position:absolute" from="2408,5" to="2417,5" stroked="true" strokeweight=".4578pt" strokecolor="#000000"/>
            <v:line style="position:absolute" from="2417,5" to="3356,5" stroked="true" strokeweight=".4578pt" strokecolor="#000000"/>
            <v:line style="position:absolute" from="3356,5" to="3365,5" stroked="true" strokeweight=".4578pt" strokecolor="#000000"/>
            <v:line style="position:absolute" from="3365,5" to="5114,5" stroked="true" strokeweight=".4578pt" strokecolor="#000000"/>
            <v:line style="position:absolute" from="5114,5" to="5123,5" stroked="true" strokeweight=".4578pt" strokecolor="#000000"/>
            <v:line style="position:absolute" from="5123,5" to="6872,5" stroked="true" strokeweight=".4578pt" strokecolor="#000000"/>
            <v:line style="position:absolute" from="6872,5" to="6881,5" stroked="true" strokeweight=".4578pt" strokecolor="#000000"/>
            <v:line style="position:absolute" from="6881,5" to="8085,5" stroked="true" strokeweight=".4578pt" strokecolor="#000000"/>
            <v:line style="position:absolute" from="8085,5" to="8094,5" stroked="true" strokeweight=".4578pt" strokecolor="#000000"/>
            <v:line style="position:absolute" from="8094,5" to="9101,5" stroked="true" strokeweight=".4578pt" strokecolor="#000000"/>
            <v:line style="position:absolute" from="9101,5" to="9110,5" stroked="true" strokeweight=".4578pt" strokecolor="#000000"/>
            <v:line style="position:absolute" from="9110,5" to="10113,5" stroked="true" strokeweight=".4578pt" strokecolor="#000000"/>
          </v:group>
        </w:pict>
      </w:r>
      <w:r>
        <w:rPr>
          <w:sz w:val="2"/>
        </w:rPr>
      </w:r>
    </w:p>
    <w:p>
      <w:pPr>
        <w:tabs>
          <w:tab w:pos="1075" w:val="left" w:leader="none"/>
          <w:tab w:pos="1776" w:val="left" w:leader="none"/>
          <w:tab w:pos="2964" w:val="left" w:leader="none"/>
          <w:tab w:pos="3579" w:val="left" w:leader="none"/>
          <w:tab w:pos="5337" w:val="left" w:leader="none"/>
          <w:tab w:pos="7212" w:val="left" w:leader="none"/>
          <w:tab w:pos="8623" w:val="left" w:leader="none"/>
          <w:tab w:pos="9514" w:val="left" w:leader="none"/>
        </w:tabs>
        <w:spacing w:before="0"/>
        <w:ind w:left="384" w:right="0" w:firstLine="0"/>
        <w:jc w:val="left"/>
        <w:rPr>
          <w:sz w:val="15"/>
        </w:rPr>
      </w:pPr>
      <w:r>
        <w:rPr/>
        <w:pict>
          <v:shape style="position:absolute;margin-left:62.391369pt;margin-top:9.061908pt;width:505.4pt;height:.1pt;mso-position-horizontal-relative:page;mso-position-vertical-relative:paragraph;z-index:1216" coordorigin="1248,181" coordsize="10108,0" path="m1248,181l1893,181m1893,181l1902,181m1902,181l2571,181m2571,181l2580,181m2580,181l3651,181m3651,181l3660,181m3660,181l4599,181m4599,181l4608,181m4608,181l6357,181m6357,181l6366,181m6366,181l8114,181m8114,181l8123,181m8123,181l9327,181m9327,181l9337,181m9337,181l10344,181m10344,181l10353,181m10353,181l11355,181e" filled="false" stroked="true" strokeweight=".4577pt" strokecolor="#000000">
            <v:path arrowok="t"/>
            <w10:wrap type="none"/>
          </v:shape>
        </w:pict>
      </w:r>
      <w:r>
        <w:rPr>
          <w:sz w:val="15"/>
        </w:rPr>
        <w:t>M</w:t>
        <w:tab/>
        <w:t>2</w:t>
        <w:tab/>
        <w:t>Poodle</w:t>
        <w:tab/>
        <w:t>2</w:t>
        <w:tab/>
        <w:t>Raspado</w:t>
      </w:r>
      <w:r>
        <w:rPr>
          <w:spacing w:val="3"/>
          <w:sz w:val="15"/>
        </w:rPr>
        <w:t> </w:t>
      </w:r>
      <w:r>
        <w:rPr>
          <w:sz w:val="15"/>
        </w:rPr>
        <w:t>cutáneo</w:t>
        <w:tab/>
        <w:t>Cambio</w:t>
      </w:r>
      <w:r>
        <w:rPr>
          <w:spacing w:val="3"/>
          <w:sz w:val="15"/>
        </w:rPr>
        <w:t> </w:t>
      </w:r>
      <w:r>
        <w:rPr>
          <w:sz w:val="15"/>
        </w:rPr>
        <w:t>de</w:t>
      </w:r>
      <w:r>
        <w:rPr>
          <w:spacing w:val="3"/>
          <w:sz w:val="15"/>
        </w:rPr>
        <w:t> </w:t>
      </w:r>
      <w:r>
        <w:rPr>
          <w:sz w:val="15"/>
        </w:rPr>
        <w:t>alimento</w:t>
        <w:tab/>
        <w:t>No</w:t>
      </w:r>
      <w:r>
        <w:rPr>
          <w:spacing w:val="2"/>
          <w:sz w:val="15"/>
        </w:rPr>
        <w:t> </w:t>
      </w:r>
      <w:r>
        <w:rPr>
          <w:sz w:val="15"/>
        </w:rPr>
        <w:t>evaluado</w:t>
        <w:tab/>
        <w:t>No</w:t>
        <w:tab/>
        <w:t>Sin</w:t>
      </w:r>
      <w:r>
        <w:rPr>
          <w:spacing w:val="4"/>
          <w:sz w:val="15"/>
        </w:rPr>
        <w:t> </w:t>
      </w:r>
      <w:r>
        <w:rPr>
          <w:sz w:val="15"/>
        </w:rPr>
        <w:t>Dx</w:t>
      </w:r>
    </w:p>
    <w:p>
      <w:pPr>
        <w:spacing w:after="0"/>
        <w:jc w:val="left"/>
        <w:rPr>
          <w:sz w:val="15"/>
        </w:rPr>
        <w:sectPr>
          <w:type w:val="continuous"/>
          <w:pgSz w:w="12240" w:h="15840"/>
          <w:pgMar w:top="1500" w:bottom="280" w:left="1120" w:right="780"/>
        </w:sectPr>
      </w:pPr>
    </w:p>
    <w:p>
      <w:pPr>
        <w:tabs>
          <w:tab w:pos="691" w:val="left" w:leader="none"/>
          <w:tab w:pos="1347" w:val="left" w:leader="none"/>
          <w:tab w:pos="2579" w:val="left" w:leader="none"/>
          <w:tab w:pos="3195" w:val="left" w:leader="none"/>
          <w:tab w:pos="4953" w:val="left" w:leader="none"/>
        </w:tabs>
        <w:spacing w:before="15"/>
        <w:ind w:left="0" w:right="57" w:firstLine="0"/>
        <w:jc w:val="right"/>
        <w:rPr>
          <w:sz w:val="15"/>
        </w:rPr>
      </w:pPr>
      <w:r>
        <w:rPr>
          <w:sz w:val="15"/>
        </w:rPr>
        <w:t>M</w:t>
        <w:tab/>
        <w:t>5</w:t>
        <w:tab/>
        <w:t>Pitt</w:t>
      </w:r>
      <w:r>
        <w:rPr>
          <w:spacing w:val="2"/>
          <w:sz w:val="15"/>
        </w:rPr>
        <w:t> </w:t>
      </w:r>
      <w:r>
        <w:rPr>
          <w:sz w:val="15"/>
        </w:rPr>
        <w:t>Bull</w:t>
        <w:tab/>
        <w:t>5</w:t>
        <w:tab/>
        <w:t>Estudio</w:t>
      </w:r>
      <w:r>
        <w:rPr>
          <w:spacing w:val="3"/>
          <w:sz w:val="15"/>
        </w:rPr>
        <w:t> </w:t>
      </w:r>
      <w:r>
        <w:rPr>
          <w:sz w:val="15"/>
        </w:rPr>
        <w:t>cutáneo</w:t>
        <w:tab/>
        <w:t>Antibioterapia,</w:t>
      </w:r>
      <w:r>
        <w:rPr>
          <w:spacing w:val="11"/>
          <w:sz w:val="15"/>
        </w:rPr>
        <w:t> </w:t>
      </w:r>
      <w:r>
        <w:rPr>
          <w:sz w:val="15"/>
        </w:rPr>
        <w:t>epiotic,</w:t>
      </w:r>
    </w:p>
    <w:p>
      <w:pPr>
        <w:spacing w:before="1"/>
        <w:ind w:left="0" w:right="0" w:firstLine="0"/>
        <w:jc w:val="right"/>
        <w:rPr>
          <w:sz w:val="15"/>
        </w:rPr>
      </w:pPr>
      <w:r>
        <w:rPr/>
        <w:pict>
          <v:shape style="position:absolute;margin-left:62.391369pt;margin-top:8.883040pt;width:505.4pt;height:.1pt;mso-position-horizontal-relative:page;mso-position-vertical-relative:paragraph;z-index:1240" coordorigin="1248,178" coordsize="10108,0" path="m1248,178l1893,178m1893,178l1902,178m1902,178l2571,178m2571,178l2580,178m2580,178l3651,178m3651,178l3660,178m3660,178l4599,178m4599,178l4608,178m4608,178l6357,178m6357,178l6366,178m6366,178l8114,178m8114,178l8123,178m8123,178l9327,178m9327,178l9337,178m9337,178l10344,178m10344,178l10353,178m10353,178l11355,178e" filled="false" stroked="true" strokeweight=".4578pt" strokecolor="#000000">
            <v:path arrowok="t"/>
            <w10:wrap type="none"/>
          </v:shape>
        </w:pict>
      </w:r>
      <w:r>
        <w:rPr>
          <w:sz w:val="15"/>
        </w:rPr>
        <w:t>ácidos grasos, hexadene</w:t>
      </w:r>
    </w:p>
    <w:p>
      <w:pPr>
        <w:tabs>
          <w:tab w:pos="1775" w:val="left" w:leader="none"/>
          <w:tab w:pos="2667" w:val="left" w:leader="none"/>
        </w:tabs>
        <w:spacing w:before="15"/>
        <w:ind w:left="365" w:right="0" w:firstLine="0"/>
        <w:jc w:val="left"/>
        <w:rPr>
          <w:sz w:val="15"/>
        </w:rPr>
      </w:pPr>
      <w:r>
        <w:rPr/>
        <w:br w:type="column"/>
      </w:r>
      <w:r>
        <w:rPr>
          <w:sz w:val="15"/>
        </w:rPr>
        <w:t>No</w:t>
      </w:r>
      <w:r>
        <w:rPr>
          <w:spacing w:val="2"/>
          <w:sz w:val="15"/>
        </w:rPr>
        <w:t> </w:t>
      </w:r>
      <w:r>
        <w:rPr>
          <w:sz w:val="15"/>
        </w:rPr>
        <w:t>evaluado</w:t>
        <w:tab/>
        <w:t>No</w:t>
        <w:tab/>
        <w:t>Sin</w:t>
      </w:r>
      <w:r>
        <w:rPr>
          <w:spacing w:val="4"/>
          <w:sz w:val="15"/>
        </w:rPr>
        <w:t> </w:t>
      </w:r>
      <w:r>
        <w:rPr>
          <w:sz w:val="15"/>
        </w:rPr>
        <w:t>Dx</w:t>
      </w:r>
    </w:p>
    <w:p>
      <w:pPr>
        <w:spacing w:after="0"/>
        <w:jc w:val="left"/>
        <w:rPr>
          <w:sz w:val="15"/>
        </w:rPr>
        <w:sectPr>
          <w:type w:val="continuous"/>
          <w:pgSz w:w="12240" w:h="15840"/>
          <w:pgMar w:top="1500" w:bottom="280" w:left="1120" w:right="780"/>
          <w:cols w:num="2" w:equalWidth="0">
            <w:col w:w="6808" w:space="40"/>
            <w:col w:w="3492"/>
          </w:cols>
        </w:sectPr>
      </w:pPr>
    </w:p>
    <w:p>
      <w:pPr>
        <w:tabs>
          <w:tab w:pos="1075" w:val="left" w:leader="none"/>
          <w:tab w:pos="1683" w:val="left" w:leader="none"/>
        </w:tabs>
        <w:spacing w:line="249" w:lineRule="auto" w:before="10"/>
        <w:ind w:left="1777" w:right="0" w:hanging="1381"/>
        <w:jc w:val="left"/>
        <w:rPr>
          <w:sz w:val="15"/>
        </w:rPr>
      </w:pPr>
      <w:r>
        <w:rPr/>
        <w:pict>
          <v:shape style="position:absolute;margin-left:62.391369pt;margin-top:18.259445pt;width:505.4pt;height:.1pt;mso-position-horizontal-relative:page;mso-position-vertical-relative:paragraph;z-index:-24376" coordorigin="1248,365" coordsize="10108,0" path="m1248,365l1893,365m1893,365l1902,365m1902,365l2571,365m2571,365l2580,365m2580,365l3651,365m3651,365l3660,365m3660,365l4599,365m4599,365l4608,365m4608,365l6357,365m6357,365l6366,365m6366,365l8114,365m8114,365l8123,365m8123,365l9327,365m9327,365l9337,365m9337,365l10344,365m10344,365l10353,365m10353,365l11355,365e" filled="false" stroked="true" strokeweight=".4578pt" strokecolor="#000000">
            <v:path arrowok="t"/>
            <w10:wrap type="none"/>
          </v:shape>
        </w:pict>
      </w:r>
      <w:r>
        <w:rPr>
          <w:sz w:val="15"/>
        </w:rPr>
        <w:t>H</w:t>
        <w:tab/>
        <w:t>3</w:t>
        <w:tab/>
        <w:t>Yorkshire Terrier</w:t>
      </w:r>
    </w:p>
    <w:p>
      <w:pPr>
        <w:tabs>
          <w:tab w:pos="1012" w:val="left" w:leader="none"/>
          <w:tab w:pos="2769" w:val="left" w:leader="none"/>
        </w:tabs>
        <w:spacing w:line="249" w:lineRule="auto" w:before="10"/>
        <w:ind w:left="2769" w:right="0" w:hanging="2374"/>
        <w:jc w:val="left"/>
        <w:rPr>
          <w:sz w:val="15"/>
        </w:rPr>
      </w:pPr>
      <w:r>
        <w:rPr/>
        <w:br w:type="column"/>
      </w:r>
      <w:r>
        <w:rPr>
          <w:sz w:val="15"/>
        </w:rPr>
        <w:t>5</w:t>
        <w:tab/>
        <w:t>Ninguno</w:t>
        <w:tab/>
        <w:t>Avena</w:t>
      </w:r>
      <w:r>
        <w:rPr>
          <w:spacing w:val="6"/>
          <w:sz w:val="15"/>
        </w:rPr>
        <w:t> </w:t>
      </w:r>
      <w:r>
        <w:rPr>
          <w:sz w:val="15"/>
        </w:rPr>
        <w:t>coloidal,</w:t>
      </w:r>
      <w:r>
        <w:rPr>
          <w:spacing w:val="6"/>
          <w:sz w:val="15"/>
        </w:rPr>
        <w:t> </w:t>
      </w:r>
      <w:r>
        <w:rPr>
          <w:sz w:val="15"/>
        </w:rPr>
        <w:t>epiotic,</w:t>
      </w:r>
      <w:r>
        <w:rPr>
          <w:w w:val="100"/>
          <w:sz w:val="15"/>
        </w:rPr>
        <w:t> </w:t>
      </w:r>
      <w:r>
        <w:rPr>
          <w:sz w:val="15"/>
        </w:rPr>
        <w:t>cambio</w:t>
      </w:r>
      <w:r>
        <w:rPr>
          <w:spacing w:val="9"/>
          <w:sz w:val="15"/>
        </w:rPr>
        <w:t> </w:t>
      </w:r>
      <w:r>
        <w:rPr>
          <w:sz w:val="15"/>
        </w:rPr>
        <w:t>alimento</w:t>
      </w:r>
    </w:p>
    <w:p>
      <w:pPr>
        <w:tabs>
          <w:tab w:pos="1788" w:val="left" w:leader="none"/>
          <w:tab w:pos="2679" w:val="left" w:leader="none"/>
        </w:tabs>
        <w:spacing w:before="10"/>
        <w:ind w:left="377" w:right="0" w:firstLine="0"/>
        <w:jc w:val="left"/>
        <w:rPr>
          <w:sz w:val="15"/>
        </w:rPr>
      </w:pPr>
      <w:r>
        <w:rPr/>
        <w:br w:type="column"/>
      </w:r>
      <w:r>
        <w:rPr>
          <w:sz w:val="15"/>
        </w:rPr>
        <w:t>No</w:t>
      </w:r>
      <w:r>
        <w:rPr>
          <w:spacing w:val="2"/>
          <w:sz w:val="15"/>
        </w:rPr>
        <w:t> </w:t>
      </w:r>
      <w:r>
        <w:rPr>
          <w:sz w:val="15"/>
        </w:rPr>
        <w:t>evaluado</w:t>
        <w:tab/>
        <w:t>No</w:t>
        <w:tab/>
        <w:t>Sin</w:t>
      </w:r>
      <w:r>
        <w:rPr>
          <w:spacing w:val="4"/>
          <w:sz w:val="15"/>
        </w:rPr>
        <w:t> </w:t>
      </w:r>
      <w:r>
        <w:rPr>
          <w:sz w:val="15"/>
        </w:rPr>
        <w:t>Dx</w:t>
      </w:r>
    </w:p>
    <w:p>
      <w:pPr>
        <w:spacing w:after="0"/>
        <w:jc w:val="left"/>
        <w:rPr>
          <w:sz w:val="15"/>
        </w:rPr>
        <w:sectPr>
          <w:type w:val="continuous"/>
          <w:pgSz w:w="12240" w:h="15840"/>
          <w:pgMar w:top="1500" w:bottom="280" w:left="1120" w:right="780"/>
          <w:cols w:num="3" w:equalWidth="0">
            <w:col w:w="2294" w:space="273"/>
            <w:col w:w="4228" w:space="40"/>
            <w:col w:w="3505"/>
          </w:cols>
        </w:sectPr>
      </w:pPr>
    </w:p>
    <w:p>
      <w:pPr>
        <w:tabs>
          <w:tab w:pos="1075" w:val="left" w:leader="none"/>
          <w:tab w:pos="1797" w:val="left" w:leader="none"/>
        </w:tabs>
        <w:spacing w:line="249" w:lineRule="auto" w:before="4"/>
        <w:ind w:left="1747" w:right="0" w:hanging="1364"/>
        <w:jc w:val="left"/>
        <w:rPr>
          <w:sz w:val="15"/>
        </w:rPr>
      </w:pPr>
      <w:r>
        <w:rPr/>
        <w:pict>
          <v:shape style="position:absolute;margin-left:62.391369pt;margin-top:17.959507pt;width:505.4pt;height:.1pt;mso-position-horizontal-relative:page;mso-position-vertical-relative:paragraph;z-index:-24352" coordorigin="1248,359" coordsize="10108,0" path="m1248,359l1893,359m1893,359l1902,359m1902,359l2571,359m2571,359l2580,359m2580,359l3651,359m3651,359l3660,359m3660,359l4599,359m4599,359l4608,359m4608,359l6357,359m6357,359l6366,359m6366,359l8114,359m8114,359l8123,359m8123,359l9327,359m9327,359l9337,359m9337,359l10344,359m10344,359l10353,359m10353,359l11355,359e" filled="false" stroked="true" strokeweight=".4577pt" strokecolor="#000000">
            <v:path arrowok="t"/>
            <w10:wrap type="none"/>
          </v:shape>
        </w:pict>
      </w:r>
      <w:r>
        <w:rPr>
          <w:sz w:val="15"/>
        </w:rPr>
        <w:t>M</w:t>
        <w:tab/>
        <w:t>2</w:t>
        <w:tab/>
        <w:tab/>
        <w:t>Pastor Alemán</w:t>
      </w:r>
    </w:p>
    <w:p>
      <w:pPr>
        <w:tabs>
          <w:tab w:pos="999" w:val="left" w:leader="none"/>
          <w:tab w:pos="2757" w:val="left" w:leader="none"/>
          <w:tab w:pos="4632" w:val="left" w:leader="none"/>
          <w:tab w:pos="5924" w:val="left" w:leader="none"/>
        </w:tabs>
        <w:spacing w:before="4"/>
        <w:ind w:left="384" w:right="0" w:firstLine="0"/>
        <w:jc w:val="left"/>
        <w:rPr>
          <w:sz w:val="15"/>
        </w:rPr>
      </w:pPr>
      <w:r>
        <w:rPr/>
        <w:br w:type="column"/>
      </w:r>
      <w:r>
        <w:rPr>
          <w:sz w:val="15"/>
        </w:rPr>
        <w:t>5</w:t>
        <w:tab/>
        <w:t>Tricografía</w:t>
        <w:tab/>
        <w:t>Epiotic,</w:t>
      </w:r>
      <w:r>
        <w:rPr>
          <w:spacing w:val="2"/>
          <w:sz w:val="15"/>
        </w:rPr>
        <w:t> </w:t>
      </w:r>
      <w:r>
        <w:rPr>
          <w:sz w:val="15"/>
        </w:rPr>
        <w:t>allergroom</w:t>
        <w:tab/>
        <w:t>No</w:t>
      </w:r>
      <w:r>
        <w:rPr>
          <w:spacing w:val="2"/>
          <w:sz w:val="15"/>
        </w:rPr>
        <w:t> </w:t>
      </w:r>
      <w:r>
        <w:rPr>
          <w:sz w:val="15"/>
        </w:rPr>
        <w:t>evaluado</w:t>
        <w:tab/>
        <w:t>Parcial</w:t>
      </w:r>
    </w:p>
    <w:p>
      <w:pPr>
        <w:pStyle w:val="BodyText"/>
        <w:spacing w:before="10"/>
        <w:rPr>
          <w:sz w:val="15"/>
        </w:rPr>
      </w:pPr>
      <w:r>
        <w:rPr/>
        <w:br w:type="column"/>
      </w:r>
      <w:r>
        <w:rPr>
          <w:sz w:val="15"/>
        </w:rPr>
      </w:r>
    </w:p>
    <w:p>
      <w:pPr>
        <w:spacing w:before="0"/>
        <w:ind w:left="384" w:right="0" w:firstLine="0"/>
        <w:jc w:val="left"/>
        <w:rPr>
          <w:sz w:val="15"/>
        </w:rPr>
      </w:pPr>
      <w:r>
        <w:rPr>
          <w:sz w:val="15"/>
        </w:rPr>
        <w:t>Sin Dx</w:t>
      </w:r>
    </w:p>
    <w:p>
      <w:pPr>
        <w:spacing w:after="0"/>
        <w:jc w:val="left"/>
        <w:rPr>
          <w:sz w:val="15"/>
        </w:rPr>
        <w:sectPr>
          <w:type w:val="continuous"/>
          <w:pgSz w:w="12240" w:h="15840"/>
          <w:pgMar w:top="1500" w:bottom="280" w:left="1120" w:right="780"/>
          <w:cols w:num="3" w:equalWidth="0">
            <w:col w:w="2230" w:space="350"/>
            <w:col w:w="6348" w:space="202"/>
            <w:col w:w="1210"/>
          </w:cols>
        </w:sectPr>
      </w:pPr>
    </w:p>
    <w:p>
      <w:pPr>
        <w:tabs>
          <w:tab w:pos="1075" w:val="left" w:leader="none"/>
          <w:tab w:pos="1797" w:val="left" w:leader="none"/>
        </w:tabs>
        <w:spacing w:before="4"/>
        <w:ind w:left="1747" w:right="0" w:hanging="1364"/>
        <w:jc w:val="left"/>
        <w:rPr>
          <w:sz w:val="15"/>
        </w:rPr>
      </w:pPr>
      <w:r>
        <w:rPr/>
        <w:pict>
          <v:shape style="position:absolute;margin-left:62.391369pt;margin-top:17.959555pt;width:505.4pt;height:.1pt;mso-position-horizontal-relative:page;mso-position-vertical-relative:paragraph;z-index:1312" coordorigin="1248,359" coordsize="10108,0" path="m1248,359l1893,359m1893,359l1902,359m1902,359l2571,359m2571,359l2580,359m2580,359l3651,359m3651,359l3660,359m3660,359l4599,359m4599,359l4608,359m4608,359l6357,359m6357,359l6366,359m6366,359l8114,359m8114,359l8123,359m8123,359l9327,359m9327,359l9337,359m9337,359l10344,359m10344,359l10353,359m10353,359l11355,359e" filled="false" stroked="true" strokeweight=".4578pt" strokecolor="#000000">
            <v:path arrowok="t"/>
            <w10:wrap type="none"/>
          </v:shape>
        </w:pict>
      </w:r>
      <w:r>
        <w:rPr>
          <w:sz w:val="15"/>
        </w:rPr>
        <w:t>M</w:t>
        <w:tab/>
        <w:t>4</w:t>
        <w:tab/>
        <w:tab/>
        <w:t>Pastor Alemán</w:t>
      </w:r>
    </w:p>
    <w:p>
      <w:pPr>
        <w:pStyle w:val="ListParagraph"/>
        <w:numPr>
          <w:ilvl w:val="0"/>
          <w:numId w:val="3"/>
        </w:numPr>
        <w:tabs>
          <w:tab w:pos="999" w:val="left" w:leader="none"/>
          <w:tab w:pos="1000" w:val="left" w:leader="none"/>
          <w:tab w:pos="2757" w:val="left" w:leader="none"/>
          <w:tab w:pos="4632" w:val="left" w:leader="none"/>
          <w:tab w:pos="6043" w:val="left" w:leader="none"/>
          <w:tab w:pos="6934" w:val="left" w:leader="none"/>
        </w:tabs>
        <w:spacing w:line="240" w:lineRule="auto" w:before="4" w:after="0"/>
        <w:ind w:left="2757" w:right="0" w:hanging="2373"/>
        <w:jc w:val="left"/>
        <w:rPr>
          <w:sz w:val="15"/>
        </w:rPr>
      </w:pPr>
      <w:r>
        <w:rPr>
          <w:spacing w:val="1"/>
          <w:w w:val="100"/>
          <w:sz w:val="15"/>
        </w:rPr>
        <w:br w:type="column"/>
      </w:r>
      <w:r>
        <w:rPr>
          <w:sz w:val="15"/>
        </w:rPr>
        <w:t>Citología</w:t>
      </w:r>
      <w:r>
        <w:rPr>
          <w:spacing w:val="7"/>
          <w:sz w:val="15"/>
        </w:rPr>
        <w:t> </w:t>
      </w:r>
      <w:r>
        <w:rPr>
          <w:sz w:val="15"/>
        </w:rPr>
        <w:t>oído</w:t>
        <w:tab/>
        <w:t>Epiotic</w:t>
        <w:tab/>
        <w:t>No</w:t>
      </w:r>
      <w:r>
        <w:rPr>
          <w:spacing w:val="2"/>
          <w:sz w:val="15"/>
        </w:rPr>
        <w:t> </w:t>
      </w:r>
      <w:r>
        <w:rPr>
          <w:sz w:val="15"/>
        </w:rPr>
        <w:t>evaluado</w:t>
        <w:tab/>
        <w:t>No</w:t>
        <w:tab/>
        <w:t>Sin</w:t>
      </w:r>
      <w:r>
        <w:rPr>
          <w:spacing w:val="4"/>
          <w:sz w:val="15"/>
        </w:rPr>
        <w:t> </w:t>
      </w:r>
      <w:r>
        <w:rPr>
          <w:sz w:val="15"/>
        </w:rPr>
        <w:t>Dx</w:t>
      </w:r>
    </w:p>
    <w:p>
      <w:pPr>
        <w:spacing w:after="0" w:line="240" w:lineRule="auto"/>
        <w:jc w:val="left"/>
        <w:rPr>
          <w:sz w:val="15"/>
        </w:rPr>
        <w:sectPr>
          <w:type w:val="continuous"/>
          <w:pgSz w:w="12240" w:h="15840"/>
          <w:pgMar w:top="1500" w:bottom="280" w:left="1120" w:right="780"/>
          <w:cols w:num="2" w:equalWidth="0">
            <w:col w:w="2230" w:space="350"/>
            <w:col w:w="7760"/>
          </w:cols>
        </w:sectPr>
      </w:pPr>
    </w:p>
    <w:p>
      <w:pPr>
        <w:tabs>
          <w:tab w:pos="1075" w:val="left" w:leader="none"/>
          <w:tab w:pos="1742" w:val="left" w:leader="none"/>
          <w:tab w:pos="2964" w:val="left" w:leader="none"/>
          <w:tab w:pos="3579" w:val="left" w:leader="none"/>
          <w:tab w:pos="5337" w:val="left" w:leader="none"/>
        </w:tabs>
        <w:spacing w:before="15"/>
        <w:ind w:left="396" w:right="55" w:firstLine="0"/>
        <w:jc w:val="left"/>
        <w:rPr>
          <w:sz w:val="15"/>
        </w:rPr>
      </w:pPr>
      <w:r>
        <w:rPr>
          <w:sz w:val="15"/>
        </w:rPr>
        <w:t>H</w:t>
        <w:tab/>
        <w:t>1</w:t>
        <w:tab/>
        <w:t>Mestizo</w:t>
        <w:tab/>
        <w:t>5</w:t>
        <w:tab/>
        <w:t>Estudio</w:t>
      </w:r>
      <w:r>
        <w:rPr>
          <w:spacing w:val="3"/>
          <w:sz w:val="15"/>
        </w:rPr>
        <w:t> </w:t>
      </w:r>
      <w:r>
        <w:rPr>
          <w:sz w:val="15"/>
        </w:rPr>
        <w:t>cutáneo</w:t>
        <w:tab/>
        <w:t>Antibioterapia,</w:t>
      </w:r>
    </w:p>
    <w:p>
      <w:pPr>
        <w:tabs>
          <w:tab w:pos="1075" w:val="left" w:leader="none"/>
          <w:tab w:pos="1732" w:val="left" w:leader="none"/>
          <w:tab w:pos="2964" w:val="left" w:leader="none"/>
          <w:tab w:pos="3579" w:val="left" w:leader="none"/>
          <w:tab w:pos="5337" w:val="left" w:leader="none"/>
        </w:tabs>
        <w:spacing w:line="254" w:lineRule="auto" w:before="1"/>
        <w:ind w:left="384" w:right="55" w:firstLine="4953"/>
        <w:jc w:val="left"/>
        <w:rPr>
          <w:sz w:val="15"/>
        </w:rPr>
      </w:pPr>
      <w:r>
        <w:rPr/>
        <w:pict>
          <v:shape style="position:absolute;margin-left:62.391369pt;margin-top:8.88301pt;width:505.4pt;height:.1pt;mso-position-horizontal-relative:page;mso-position-vertical-relative:paragraph;z-index:-24304" coordorigin="1248,178" coordsize="10108,0" path="m1248,178l1893,178m1893,178l1902,178m1902,178l2571,178m2571,178l2580,178m2580,178l3651,178m3651,178l3660,178m3660,178l4599,178m4599,178l4608,178m4608,178l6357,178m6357,178l6366,178m6366,178l8114,178m8114,178l8123,178m8123,178l9327,178m9327,178l9337,178m9337,178l10344,178m10344,178l10353,178m10353,178l11355,178e" filled="false" stroked="true" strokeweight=".4577pt" strokecolor="#000000">
            <v:path arrowok="t"/>
            <w10:wrap type="none"/>
          </v:shape>
        </w:pict>
      </w:r>
      <w:r>
        <w:rPr>
          <w:sz w:val="15"/>
        </w:rPr>
        <w:t>cortavance, allergroom M</w:t>
        <w:tab/>
        <w:t>2</w:t>
        <w:tab/>
        <w:t>Pitt</w:t>
      </w:r>
      <w:r>
        <w:rPr>
          <w:spacing w:val="2"/>
          <w:sz w:val="15"/>
        </w:rPr>
        <w:t> </w:t>
      </w:r>
      <w:r>
        <w:rPr>
          <w:sz w:val="15"/>
        </w:rPr>
        <w:t>Bull</w:t>
        <w:tab/>
        <w:t>4</w:t>
        <w:tab/>
        <w:t>Estudio</w:t>
      </w:r>
      <w:r>
        <w:rPr>
          <w:spacing w:val="3"/>
          <w:sz w:val="15"/>
        </w:rPr>
        <w:t> </w:t>
      </w:r>
      <w:r>
        <w:rPr>
          <w:sz w:val="15"/>
        </w:rPr>
        <w:t>cutáneo</w:t>
        <w:tab/>
        <w:t>Antibioterapia,</w:t>
      </w:r>
    </w:p>
    <w:p>
      <w:pPr>
        <w:spacing w:line="242" w:lineRule="auto" w:before="0"/>
        <w:ind w:left="5337" w:right="0" w:firstLine="0"/>
        <w:jc w:val="left"/>
        <w:rPr>
          <w:sz w:val="15"/>
        </w:rPr>
      </w:pPr>
      <w:r>
        <w:rPr/>
        <w:pict>
          <v:shape style="position:absolute;margin-left:62.391369pt;margin-top:26.457058pt;width:505.4pt;height:.1pt;mso-position-horizontal-relative:page;mso-position-vertical-relative:paragraph;z-index:1360" coordorigin="1248,529" coordsize="10108,0" path="m1248,529l1893,529m1893,529l1902,529m1902,529l2571,529m2571,529l2580,529m2580,529l2704,529m2704,529l2713,529m2713,529l3651,529m3651,529l3660,529m3660,529l4599,529m4599,529l4608,529m4608,529l6357,529m6357,529l6366,529m6366,529l8114,529m8114,529l8123,529m8123,529l9327,529m9327,529l9337,529m9337,529l10344,529m10344,529l10353,529m10353,529l11355,529e" filled="false" stroked="true" strokeweight=".4578pt" strokecolor="#000000">
            <v:path arrowok="t"/>
            <w10:wrap type="none"/>
          </v:shape>
        </w:pict>
      </w:r>
      <w:r>
        <w:rPr>
          <w:sz w:val="15"/>
        </w:rPr>
        <w:t>itraconazol, prednisona, pyoben, hexadene, corticosteroides, epiotic</w:t>
      </w:r>
    </w:p>
    <w:p>
      <w:pPr>
        <w:tabs>
          <w:tab w:pos="1813" w:val="left" w:leader="none"/>
          <w:tab w:pos="2675" w:val="left" w:leader="none"/>
        </w:tabs>
        <w:spacing w:before="15"/>
        <w:ind w:left="372" w:right="0" w:firstLine="0"/>
        <w:jc w:val="left"/>
        <w:rPr>
          <w:sz w:val="15"/>
        </w:rPr>
      </w:pPr>
      <w:r>
        <w:rPr/>
        <w:br w:type="column"/>
      </w:r>
      <w:r>
        <w:rPr>
          <w:sz w:val="15"/>
        </w:rPr>
        <w:t>No</w:t>
      </w:r>
      <w:r>
        <w:rPr>
          <w:spacing w:val="2"/>
          <w:sz w:val="15"/>
        </w:rPr>
        <w:t> </w:t>
      </w:r>
      <w:r>
        <w:rPr>
          <w:sz w:val="15"/>
        </w:rPr>
        <w:t>evaluado</w:t>
        <w:tab/>
        <w:t>Si</w:t>
        <w:tab/>
        <w:t>Sin</w:t>
      </w:r>
      <w:r>
        <w:rPr>
          <w:spacing w:val="4"/>
          <w:sz w:val="15"/>
        </w:rPr>
        <w:t> </w:t>
      </w:r>
      <w:r>
        <w:rPr>
          <w:sz w:val="15"/>
        </w:rPr>
        <w:t>Dx</w:t>
      </w:r>
    </w:p>
    <w:p>
      <w:pPr>
        <w:pStyle w:val="BodyText"/>
        <w:rPr>
          <w:sz w:val="16"/>
        </w:rPr>
      </w:pPr>
    </w:p>
    <w:p>
      <w:pPr>
        <w:tabs>
          <w:tab w:pos="1783" w:val="left" w:leader="none"/>
          <w:tab w:pos="2675" w:val="left" w:leader="none"/>
        </w:tabs>
        <w:spacing w:before="0"/>
        <w:ind w:left="372" w:right="0" w:firstLine="0"/>
        <w:jc w:val="left"/>
        <w:rPr>
          <w:sz w:val="15"/>
        </w:rPr>
      </w:pPr>
      <w:r>
        <w:rPr>
          <w:sz w:val="15"/>
        </w:rPr>
        <w:t>No</w:t>
      </w:r>
      <w:r>
        <w:rPr>
          <w:spacing w:val="2"/>
          <w:sz w:val="15"/>
        </w:rPr>
        <w:t> </w:t>
      </w:r>
      <w:r>
        <w:rPr>
          <w:sz w:val="15"/>
        </w:rPr>
        <w:t>evaluado</w:t>
        <w:tab/>
        <w:t>No</w:t>
        <w:tab/>
        <w:t>Sin</w:t>
      </w:r>
      <w:r>
        <w:rPr>
          <w:spacing w:val="4"/>
          <w:sz w:val="15"/>
        </w:rPr>
        <w:t> </w:t>
      </w:r>
      <w:r>
        <w:rPr>
          <w:sz w:val="15"/>
        </w:rPr>
        <w:t>Dx</w:t>
      </w:r>
    </w:p>
    <w:p>
      <w:pPr>
        <w:spacing w:after="0"/>
        <w:jc w:val="left"/>
        <w:rPr>
          <w:sz w:val="15"/>
        </w:rPr>
        <w:sectPr>
          <w:type w:val="continuous"/>
          <w:pgSz w:w="12240" w:h="15840"/>
          <w:pgMar w:top="1500" w:bottom="280" w:left="1120" w:right="780"/>
          <w:cols w:num="2" w:equalWidth="0">
            <w:col w:w="6800" w:space="40"/>
            <w:col w:w="3500"/>
          </w:cols>
        </w:sectPr>
      </w:pPr>
    </w:p>
    <w:p>
      <w:pPr>
        <w:tabs>
          <w:tab w:pos="1085" w:val="left" w:leader="none"/>
          <w:tab w:pos="1838" w:val="left" w:leader="none"/>
        </w:tabs>
        <w:spacing w:before="13"/>
        <w:ind w:left="1829" w:right="0" w:hanging="1446"/>
        <w:jc w:val="right"/>
        <w:rPr>
          <w:sz w:val="15"/>
        </w:rPr>
      </w:pPr>
      <w:r>
        <w:rPr>
          <w:sz w:val="15"/>
        </w:rPr>
        <w:t>M</w:t>
        <w:tab/>
        <w:t>0.8</w:t>
        <w:tab/>
        <w:tab/>
        <w:t>Cocker Spaniel</w:t>
      </w:r>
    </w:p>
    <w:p>
      <w:pPr>
        <w:pStyle w:val="ListParagraph"/>
        <w:numPr>
          <w:ilvl w:val="0"/>
          <w:numId w:val="3"/>
        </w:numPr>
        <w:tabs>
          <w:tab w:pos="999" w:val="left" w:leader="none"/>
          <w:tab w:pos="1000" w:val="left" w:leader="none"/>
          <w:tab w:pos="2757" w:val="left" w:leader="none"/>
        </w:tabs>
        <w:spacing w:line="240" w:lineRule="auto" w:before="13" w:after="0"/>
        <w:ind w:left="2757" w:right="0" w:hanging="2373"/>
        <w:jc w:val="left"/>
        <w:rPr>
          <w:sz w:val="15"/>
        </w:rPr>
      </w:pPr>
      <w:r>
        <w:rPr>
          <w:w w:val="100"/>
          <w:sz w:val="15"/>
        </w:rPr>
        <w:br w:type="column"/>
      </w:r>
      <w:r>
        <w:rPr>
          <w:sz w:val="15"/>
        </w:rPr>
        <w:t>Estudio</w:t>
      </w:r>
      <w:r>
        <w:rPr>
          <w:spacing w:val="7"/>
          <w:sz w:val="15"/>
        </w:rPr>
        <w:t> </w:t>
      </w:r>
      <w:r>
        <w:rPr>
          <w:sz w:val="15"/>
        </w:rPr>
        <w:t>cutáneo</w:t>
        <w:tab/>
        <w:t>Antibioterapia, hexadene, epiotic,</w:t>
      </w:r>
      <w:r>
        <w:rPr>
          <w:spacing w:val="11"/>
          <w:sz w:val="15"/>
        </w:rPr>
        <w:t> </w:t>
      </w:r>
      <w:r>
        <w:rPr>
          <w:sz w:val="15"/>
        </w:rPr>
        <w:t>ácidos</w:t>
      </w:r>
    </w:p>
    <w:p>
      <w:pPr>
        <w:tabs>
          <w:tab w:pos="1742" w:val="left" w:leader="none"/>
          <w:tab w:pos="2604" w:val="left" w:leader="none"/>
        </w:tabs>
        <w:spacing w:before="13"/>
        <w:ind w:left="301" w:right="0" w:firstLine="0"/>
        <w:jc w:val="left"/>
        <w:rPr>
          <w:sz w:val="15"/>
        </w:rPr>
      </w:pPr>
      <w:r>
        <w:rPr/>
        <w:br w:type="column"/>
      </w:r>
      <w:r>
        <w:rPr>
          <w:sz w:val="15"/>
        </w:rPr>
        <w:t>No</w:t>
      </w:r>
      <w:r>
        <w:rPr>
          <w:spacing w:val="2"/>
          <w:sz w:val="15"/>
        </w:rPr>
        <w:t> </w:t>
      </w:r>
      <w:r>
        <w:rPr>
          <w:sz w:val="15"/>
        </w:rPr>
        <w:t>evaluado</w:t>
        <w:tab/>
        <w:t>Si</w:t>
        <w:tab/>
        <w:t>Sin</w:t>
      </w:r>
      <w:r>
        <w:rPr>
          <w:spacing w:val="4"/>
          <w:sz w:val="15"/>
        </w:rPr>
        <w:t> </w:t>
      </w:r>
      <w:r>
        <w:rPr>
          <w:sz w:val="15"/>
        </w:rPr>
        <w:t>Dx</w:t>
      </w:r>
    </w:p>
    <w:p>
      <w:pPr>
        <w:spacing w:after="0"/>
        <w:jc w:val="left"/>
        <w:rPr>
          <w:sz w:val="15"/>
        </w:rPr>
        <w:sectPr>
          <w:type w:val="continuous"/>
          <w:pgSz w:w="12240" w:h="15840"/>
          <w:pgMar w:top="1500" w:bottom="280" w:left="1120" w:right="780"/>
          <w:cols w:num="3" w:equalWidth="0">
            <w:col w:w="2288" w:space="292"/>
            <w:col w:w="4291" w:space="40"/>
            <w:col w:w="3429"/>
          </w:cols>
        </w:sectPr>
      </w:pPr>
    </w:p>
    <w:p>
      <w:pPr>
        <w:tabs>
          <w:tab w:pos="5337" w:val="left" w:leader="none"/>
          <w:tab w:pos="10235" w:val="left" w:leader="none"/>
        </w:tabs>
        <w:spacing w:before="6"/>
        <w:ind w:left="114" w:right="0" w:firstLine="0"/>
        <w:jc w:val="left"/>
        <w:rPr>
          <w:sz w:val="15"/>
        </w:rPr>
      </w:pPr>
      <w:r>
        <w:rPr>
          <w:w w:val="100"/>
          <w:sz w:val="15"/>
          <w:u w:val="single"/>
        </w:rPr>
        <w:t> </w:t>
      </w:r>
      <w:r>
        <w:rPr>
          <w:sz w:val="15"/>
          <w:u w:val="single"/>
        </w:rPr>
        <w:tab/>
        <w:t>grasos,</w:t>
      </w:r>
      <w:r>
        <w:rPr>
          <w:spacing w:val="7"/>
          <w:sz w:val="15"/>
          <w:u w:val="single"/>
        </w:rPr>
        <w:t> </w:t>
      </w:r>
      <w:r>
        <w:rPr>
          <w:sz w:val="15"/>
          <w:u w:val="single"/>
        </w:rPr>
        <w:t>allermyl</w:t>
        <w:tab/>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spacing w:before="70"/>
        <w:ind w:left="0" w:right="834" w:firstLine="0"/>
        <w:jc w:val="right"/>
        <w:rPr>
          <w:rFonts w:ascii="Calibri"/>
          <w:sz w:val="20"/>
        </w:rPr>
      </w:pPr>
      <w:r>
        <w:rPr>
          <w:rFonts w:ascii="Calibri"/>
          <w:sz w:val="20"/>
        </w:rPr>
        <w:t>34</w:t>
      </w:r>
    </w:p>
    <w:p>
      <w:pPr>
        <w:spacing w:after="0"/>
        <w:jc w:val="right"/>
        <w:rPr>
          <w:rFonts w:ascii="Calibri"/>
          <w:sz w:val="20"/>
        </w:rPr>
        <w:sectPr>
          <w:type w:val="continuous"/>
          <w:pgSz w:w="12240" w:h="15840"/>
          <w:pgMar w:top="1500" w:bottom="280" w:left="1120" w:right="780"/>
        </w:sectPr>
      </w:pPr>
    </w:p>
    <w:p>
      <w:pPr>
        <w:pStyle w:val="BodyText"/>
        <w:spacing w:before="1"/>
        <w:rPr>
          <w:rFonts w:ascii="Calibri"/>
          <w:sz w:val="11"/>
        </w:rPr>
      </w:pPr>
    </w:p>
    <w:p>
      <w:pPr>
        <w:spacing w:before="69"/>
        <w:ind w:left="785" w:right="0" w:firstLine="0"/>
        <w:jc w:val="both"/>
        <w:rPr>
          <w:i/>
          <w:sz w:val="23"/>
        </w:rPr>
      </w:pPr>
      <w:r>
        <w:rPr>
          <w:i/>
          <w:sz w:val="23"/>
        </w:rPr>
        <w:t>Pacientes de nuevo ingreso</w:t>
      </w:r>
    </w:p>
    <w:p>
      <w:pPr>
        <w:pStyle w:val="BodyText"/>
        <w:spacing w:before="1"/>
        <w:ind w:left="785" w:right="834"/>
        <w:jc w:val="both"/>
      </w:pPr>
      <w:r>
        <w:rPr/>
        <w:t>Durante el periodo estudiado, se incluyeron siete pacientes en los que se llegó a un</w:t>
      </w:r>
      <w:r>
        <w:rPr>
          <w:spacing w:val="-39"/>
        </w:rPr>
        <w:t> </w:t>
      </w:r>
      <w:r>
        <w:rPr/>
        <w:t>diagnóstico de DA. Tres pacientes manifestaban DA por alérgenos alimentarios (42%), un paciente manifestaba DA por alérgenos ambientales (14%) y tres de ellos padecían DA por ambos alérgenos (42%); el total de pacientes tuvieron una reducción en la escala análoga visual del prurito en base a las observaciones del propietario y seis de siete pacientes (85%) tuvieron una reducción importante en la escala de CADESI-03, considerando una respuesta adecuada al tratamiento (Tabla</w:t>
      </w:r>
      <w:r>
        <w:rPr>
          <w:spacing w:val="-12"/>
        </w:rPr>
        <w:t> </w:t>
      </w:r>
      <w:r>
        <w:rPr/>
        <w:t>2).</w:t>
      </w:r>
    </w:p>
    <w:p>
      <w:pPr>
        <w:pStyle w:val="BodyText"/>
        <w:spacing w:before="7"/>
      </w:pPr>
    </w:p>
    <w:p>
      <w:pPr>
        <w:spacing w:before="0"/>
        <w:ind w:left="785" w:right="0" w:firstLine="0"/>
        <w:jc w:val="both"/>
        <w:rPr>
          <w:b/>
          <w:sz w:val="18"/>
        </w:rPr>
      </w:pPr>
      <w:r>
        <w:rPr>
          <w:b/>
          <w:w w:val="105"/>
          <w:sz w:val="18"/>
        </w:rPr>
        <w:t>Tabla 2. Descripción de los pacientes de nuevo ingreso</w:t>
      </w:r>
    </w:p>
    <w:p>
      <w:pPr>
        <w:pStyle w:val="BodyText"/>
        <w:rPr>
          <w:b/>
          <w:sz w:val="20"/>
        </w:rPr>
      </w:pPr>
    </w:p>
    <w:p>
      <w:pPr>
        <w:pStyle w:val="BodyText"/>
        <w:spacing w:before="2"/>
        <w:rPr>
          <w:b/>
          <w:sz w:val="21"/>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
        <w:gridCol w:w="307"/>
        <w:gridCol w:w="403"/>
        <w:gridCol w:w="348"/>
        <w:gridCol w:w="391"/>
        <w:gridCol w:w="491"/>
        <w:gridCol w:w="272"/>
        <w:gridCol w:w="586"/>
        <w:gridCol w:w="215"/>
        <w:gridCol w:w="2298"/>
        <w:gridCol w:w="1785"/>
        <w:gridCol w:w="687"/>
        <w:gridCol w:w="264"/>
        <w:gridCol w:w="745"/>
        <w:gridCol w:w="241"/>
        <w:gridCol w:w="796"/>
        <w:gridCol w:w="109"/>
      </w:tblGrid>
      <w:tr>
        <w:trPr>
          <w:trHeight w:val="176" w:hRule="exact"/>
        </w:trPr>
        <w:tc>
          <w:tcPr>
            <w:tcW w:w="169" w:type="dxa"/>
            <w:vMerge w:val="restart"/>
            <w:tcBorders>
              <w:left w:val="nil"/>
              <w:right w:val="nil"/>
            </w:tcBorders>
          </w:tcPr>
          <w:p>
            <w:pPr/>
          </w:p>
        </w:tc>
        <w:tc>
          <w:tcPr>
            <w:tcW w:w="307" w:type="dxa"/>
            <w:tcBorders>
              <w:left w:val="nil"/>
              <w:bottom w:val="single" w:sz="2" w:space="0" w:color="000000"/>
              <w:right w:val="nil"/>
            </w:tcBorders>
          </w:tcPr>
          <w:p>
            <w:pPr>
              <w:pStyle w:val="TableParagraph"/>
              <w:ind w:left="1"/>
              <w:jc w:val="center"/>
              <w:rPr>
                <w:b/>
                <w:sz w:val="15"/>
              </w:rPr>
            </w:pPr>
            <w:r>
              <w:rPr>
                <w:b/>
                <w:sz w:val="15"/>
              </w:rPr>
              <w:t>Sexo</w:t>
            </w:r>
          </w:p>
        </w:tc>
        <w:tc>
          <w:tcPr>
            <w:tcW w:w="403" w:type="dxa"/>
            <w:tcBorders>
              <w:left w:val="nil"/>
              <w:bottom w:val="nil"/>
              <w:right w:val="nil"/>
            </w:tcBorders>
          </w:tcPr>
          <w:p>
            <w:pPr/>
          </w:p>
        </w:tc>
        <w:tc>
          <w:tcPr>
            <w:tcW w:w="348" w:type="dxa"/>
            <w:tcBorders>
              <w:left w:val="nil"/>
              <w:bottom w:val="single" w:sz="2" w:space="0" w:color="000000"/>
              <w:right w:val="nil"/>
            </w:tcBorders>
          </w:tcPr>
          <w:p>
            <w:pPr>
              <w:pStyle w:val="TableParagraph"/>
              <w:jc w:val="center"/>
              <w:rPr>
                <w:b/>
                <w:sz w:val="15"/>
              </w:rPr>
            </w:pPr>
            <w:r>
              <w:rPr>
                <w:b/>
                <w:sz w:val="15"/>
              </w:rPr>
              <w:t>Edad</w:t>
            </w:r>
          </w:p>
        </w:tc>
        <w:tc>
          <w:tcPr>
            <w:tcW w:w="391" w:type="dxa"/>
            <w:tcBorders>
              <w:left w:val="nil"/>
              <w:bottom w:val="nil"/>
              <w:right w:val="nil"/>
            </w:tcBorders>
          </w:tcPr>
          <w:p>
            <w:pPr/>
          </w:p>
        </w:tc>
        <w:tc>
          <w:tcPr>
            <w:tcW w:w="491" w:type="dxa"/>
            <w:tcBorders>
              <w:left w:val="nil"/>
              <w:bottom w:val="single" w:sz="2" w:space="0" w:color="000000"/>
              <w:right w:val="nil"/>
            </w:tcBorders>
          </w:tcPr>
          <w:p>
            <w:pPr>
              <w:pStyle w:val="TableParagraph"/>
              <w:jc w:val="center"/>
              <w:rPr>
                <w:b/>
                <w:sz w:val="15"/>
              </w:rPr>
            </w:pPr>
            <w:r>
              <w:rPr>
                <w:b/>
                <w:sz w:val="15"/>
              </w:rPr>
              <w:t>Raza</w:t>
            </w:r>
          </w:p>
        </w:tc>
        <w:tc>
          <w:tcPr>
            <w:tcW w:w="272" w:type="dxa"/>
            <w:tcBorders>
              <w:left w:val="nil"/>
              <w:bottom w:val="nil"/>
              <w:right w:val="nil"/>
            </w:tcBorders>
          </w:tcPr>
          <w:p>
            <w:pPr/>
          </w:p>
        </w:tc>
        <w:tc>
          <w:tcPr>
            <w:tcW w:w="586" w:type="dxa"/>
            <w:tcBorders>
              <w:left w:val="nil"/>
              <w:bottom w:val="single" w:sz="2" w:space="0" w:color="000000"/>
              <w:right w:val="nil"/>
            </w:tcBorders>
          </w:tcPr>
          <w:p>
            <w:pPr>
              <w:pStyle w:val="TableParagraph"/>
              <w:jc w:val="center"/>
              <w:rPr>
                <w:b/>
                <w:sz w:val="15"/>
              </w:rPr>
            </w:pPr>
            <w:r>
              <w:rPr>
                <w:b/>
                <w:sz w:val="15"/>
              </w:rPr>
              <w:t>Criterios</w:t>
            </w:r>
          </w:p>
        </w:tc>
        <w:tc>
          <w:tcPr>
            <w:tcW w:w="215" w:type="dxa"/>
            <w:tcBorders>
              <w:left w:val="nil"/>
              <w:bottom w:val="nil"/>
              <w:right w:val="nil"/>
            </w:tcBorders>
          </w:tcPr>
          <w:p>
            <w:pPr/>
          </w:p>
        </w:tc>
        <w:tc>
          <w:tcPr>
            <w:tcW w:w="2298" w:type="dxa"/>
            <w:tcBorders>
              <w:left w:val="nil"/>
              <w:bottom w:val="single" w:sz="2" w:space="0" w:color="000000"/>
              <w:right w:val="nil"/>
            </w:tcBorders>
          </w:tcPr>
          <w:p>
            <w:pPr>
              <w:pStyle w:val="TableParagraph"/>
              <w:ind w:right="206"/>
              <w:rPr>
                <w:b/>
                <w:sz w:val="15"/>
              </w:rPr>
            </w:pPr>
            <w:r>
              <w:rPr>
                <w:b/>
                <w:sz w:val="15"/>
              </w:rPr>
              <w:t>Protocolo diagnóstico</w:t>
            </w:r>
          </w:p>
        </w:tc>
        <w:tc>
          <w:tcPr>
            <w:tcW w:w="1785" w:type="dxa"/>
            <w:tcBorders>
              <w:left w:val="nil"/>
              <w:bottom w:val="single" w:sz="2" w:space="0" w:color="000000"/>
              <w:right w:val="nil"/>
            </w:tcBorders>
          </w:tcPr>
          <w:p>
            <w:pPr>
              <w:pStyle w:val="TableParagraph"/>
              <w:rPr>
                <w:b/>
                <w:sz w:val="15"/>
              </w:rPr>
            </w:pPr>
            <w:r>
              <w:rPr>
                <w:b/>
                <w:sz w:val="15"/>
              </w:rPr>
              <w:t>Terapia</w:t>
            </w:r>
          </w:p>
        </w:tc>
        <w:tc>
          <w:tcPr>
            <w:tcW w:w="687" w:type="dxa"/>
            <w:tcBorders>
              <w:left w:val="nil"/>
              <w:bottom w:val="single" w:sz="2" w:space="0" w:color="000000"/>
              <w:right w:val="nil"/>
            </w:tcBorders>
          </w:tcPr>
          <w:p>
            <w:pPr>
              <w:pStyle w:val="TableParagraph"/>
              <w:ind w:right="1"/>
              <w:jc w:val="right"/>
              <w:rPr>
                <w:b/>
                <w:sz w:val="15"/>
              </w:rPr>
            </w:pPr>
            <w:r>
              <w:rPr>
                <w:b/>
                <w:sz w:val="15"/>
              </w:rPr>
              <w:t>Reducción</w:t>
            </w:r>
          </w:p>
        </w:tc>
        <w:tc>
          <w:tcPr>
            <w:tcW w:w="264" w:type="dxa"/>
            <w:tcBorders>
              <w:left w:val="nil"/>
              <w:bottom w:val="nil"/>
              <w:right w:val="nil"/>
            </w:tcBorders>
          </w:tcPr>
          <w:p>
            <w:pPr/>
          </w:p>
        </w:tc>
        <w:tc>
          <w:tcPr>
            <w:tcW w:w="745" w:type="dxa"/>
            <w:tcBorders>
              <w:left w:val="nil"/>
              <w:bottom w:val="single" w:sz="2" w:space="0" w:color="000000"/>
              <w:right w:val="nil"/>
            </w:tcBorders>
          </w:tcPr>
          <w:p>
            <w:pPr>
              <w:pStyle w:val="TableParagraph"/>
              <w:jc w:val="center"/>
              <w:rPr>
                <w:b/>
                <w:sz w:val="15"/>
              </w:rPr>
            </w:pPr>
            <w:r>
              <w:rPr>
                <w:b/>
                <w:sz w:val="15"/>
              </w:rPr>
              <w:t>Reducción</w:t>
            </w:r>
          </w:p>
        </w:tc>
        <w:tc>
          <w:tcPr>
            <w:tcW w:w="241" w:type="dxa"/>
            <w:tcBorders>
              <w:left w:val="nil"/>
              <w:bottom w:val="nil"/>
              <w:right w:val="nil"/>
            </w:tcBorders>
          </w:tcPr>
          <w:p>
            <w:pPr/>
          </w:p>
        </w:tc>
        <w:tc>
          <w:tcPr>
            <w:tcW w:w="796" w:type="dxa"/>
            <w:tcBorders>
              <w:left w:val="nil"/>
              <w:bottom w:val="single" w:sz="2" w:space="0" w:color="000000"/>
              <w:right w:val="nil"/>
            </w:tcBorders>
          </w:tcPr>
          <w:p>
            <w:pPr>
              <w:pStyle w:val="TableParagraph"/>
              <w:ind w:left="16" w:right="-7"/>
              <w:rPr>
                <w:b/>
                <w:sz w:val="15"/>
              </w:rPr>
            </w:pPr>
            <w:r>
              <w:rPr>
                <w:b/>
                <w:sz w:val="15"/>
              </w:rPr>
              <w:t>Diagnóstico</w:t>
            </w:r>
          </w:p>
        </w:tc>
        <w:tc>
          <w:tcPr>
            <w:tcW w:w="109" w:type="dxa"/>
            <w:tcBorders>
              <w:left w:val="nil"/>
              <w:bottom w:val="nil"/>
              <w:right w:val="nil"/>
            </w:tcBorders>
          </w:tcPr>
          <w:p>
            <w:pPr/>
          </w:p>
        </w:tc>
      </w:tr>
      <w:tr>
        <w:trPr>
          <w:trHeight w:val="174" w:hRule="exact"/>
        </w:trPr>
        <w:tc>
          <w:tcPr>
            <w:tcW w:w="169" w:type="dxa"/>
            <w:vMerge/>
            <w:tcBorders>
              <w:left w:val="nil"/>
              <w:right w:val="nil"/>
            </w:tcBorders>
          </w:tcPr>
          <w:p>
            <w:pPr/>
          </w:p>
        </w:tc>
        <w:tc>
          <w:tcPr>
            <w:tcW w:w="307" w:type="dxa"/>
            <w:tcBorders>
              <w:top w:val="single" w:sz="2" w:space="0" w:color="000000"/>
              <w:left w:val="nil"/>
              <w:bottom w:val="nil"/>
              <w:right w:val="nil"/>
            </w:tcBorders>
          </w:tcPr>
          <w:p>
            <w:pPr/>
          </w:p>
        </w:tc>
        <w:tc>
          <w:tcPr>
            <w:tcW w:w="403" w:type="dxa"/>
            <w:tcBorders>
              <w:top w:val="nil"/>
              <w:left w:val="nil"/>
              <w:bottom w:val="nil"/>
              <w:right w:val="nil"/>
            </w:tcBorders>
          </w:tcPr>
          <w:p>
            <w:pPr/>
          </w:p>
        </w:tc>
        <w:tc>
          <w:tcPr>
            <w:tcW w:w="348" w:type="dxa"/>
            <w:tcBorders>
              <w:top w:val="single" w:sz="2" w:space="0" w:color="000000"/>
              <w:left w:val="nil"/>
              <w:bottom w:val="single" w:sz="2" w:space="0" w:color="000000"/>
              <w:right w:val="nil"/>
            </w:tcBorders>
          </w:tcPr>
          <w:p>
            <w:pPr>
              <w:pStyle w:val="TableParagraph"/>
              <w:jc w:val="center"/>
              <w:rPr>
                <w:b/>
                <w:sz w:val="15"/>
              </w:rPr>
            </w:pPr>
            <w:r>
              <w:rPr>
                <w:b/>
                <w:sz w:val="15"/>
              </w:rPr>
              <w:t>años</w:t>
            </w:r>
          </w:p>
        </w:tc>
        <w:tc>
          <w:tcPr>
            <w:tcW w:w="391" w:type="dxa"/>
            <w:tcBorders>
              <w:top w:val="nil"/>
              <w:left w:val="nil"/>
              <w:bottom w:val="nil"/>
              <w:right w:val="nil"/>
            </w:tcBorders>
          </w:tcPr>
          <w:p>
            <w:pPr/>
          </w:p>
        </w:tc>
        <w:tc>
          <w:tcPr>
            <w:tcW w:w="491" w:type="dxa"/>
            <w:tcBorders>
              <w:top w:val="single" w:sz="2" w:space="0" w:color="000000"/>
              <w:left w:val="nil"/>
              <w:bottom w:val="nil"/>
              <w:right w:val="nil"/>
            </w:tcBorders>
          </w:tcPr>
          <w:p>
            <w:pPr/>
          </w:p>
        </w:tc>
        <w:tc>
          <w:tcPr>
            <w:tcW w:w="272" w:type="dxa"/>
            <w:tcBorders>
              <w:top w:val="nil"/>
              <w:left w:val="nil"/>
              <w:bottom w:val="nil"/>
              <w:right w:val="nil"/>
            </w:tcBorders>
          </w:tcPr>
          <w:p>
            <w:pPr/>
          </w:p>
        </w:tc>
        <w:tc>
          <w:tcPr>
            <w:tcW w:w="586" w:type="dxa"/>
            <w:tcBorders>
              <w:top w:val="single" w:sz="2" w:space="0" w:color="000000"/>
              <w:left w:val="nil"/>
              <w:bottom w:val="single" w:sz="2" w:space="0" w:color="000000"/>
              <w:right w:val="nil"/>
            </w:tcBorders>
          </w:tcPr>
          <w:p>
            <w:pPr>
              <w:pStyle w:val="TableParagraph"/>
              <w:jc w:val="center"/>
              <w:rPr>
                <w:b/>
                <w:sz w:val="15"/>
              </w:rPr>
            </w:pPr>
            <w:r>
              <w:rPr>
                <w:b/>
                <w:sz w:val="15"/>
              </w:rPr>
              <w:t>inclusión</w:t>
            </w:r>
          </w:p>
        </w:tc>
        <w:tc>
          <w:tcPr>
            <w:tcW w:w="215" w:type="dxa"/>
            <w:tcBorders>
              <w:top w:val="nil"/>
              <w:left w:val="nil"/>
              <w:bottom w:val="nil"/>
              <w:right w:val="nil"/>
            </w:tcBorders>
          </w:tcPr>
          <w:p>
            <w:pPr/>
          </w:p>
        </w:tc>
        <w:tc>
          <w:tcPr>
            <w:tcW w:w="2298" w:type="dxa"/>
            <w:tcBorders>
              <w:top w:val="single" w:sz="2" w:space="0" w:color="000000"/>
              <w:left w:val="nil"/>
              <w:bottom w:val="nil"/>
              <w:right w:val="nil"/>
            </w:tcBorders>
          </w:tcPr>
          <w:p>
            <w:pPr/>
          </w:p>
        </w:tc>
        <w:tc>
          <w:tcPr>
            <w:tcW w:w="1785" w:type="dxa"/>
            <w:tcBorders>
              <w:top w:val="single" w:sz="2" w:space="0" w:color="000000"/>
              <w:left w:val="nil"/>
              <w:bottom w:val="nil"/>
              <w:right w:val="nil"/>
            </w:tcBorders>
          </w:tcPr>
          <w:p>
            <w:pPr/>
          </w:p>
        </w:tc>
        <w:tc>
          <w:tcPr>
            <w:tcW w:w="687" w:type="dxa"/>
            <w:tcBorders>
              <w:top w:val="single" w:sz="2" w:space="0" w:color="000000"/>
              <w:left w:val="nil"/>
              <w:bottom w:val="single" w:sz="2" w:space="0" w:color="000000"/>
              <w:right w:val="nil"/>
            </w:tcBorders>
          </w:tcPr>
          <w:p>
            <w:pPr>
              <w:pStyle w:val="TableParagraph"/>
              <w:ind w:right="53"/>
              <w:jc w:val="right"/>
              <w:rPr>
                <w:b/>
                <w:sz w:val="15"/>
              </w:rPr>
            </w:pPr>
            <w:r>
              <w:rPr>
                <w:b/>
                <w:sz w:val="15"/>
              </w:rPr>
              <w:t>CADESI</w:t>
            </w:r>
          </w:p>
        </w:tc>
        <w:tc>
          <w:tcPr>
            <w:tcW w:w="264" w:type="dxa"/>
            <w:tcBorders>
              <w:top w:val="nil"/>
              <w:left w:val="nil"/>
              <w:bottom w:val="nil"/>
              <w:right w:val="nil"/>
            </w:tcBorders>
          </w:tcPr>
          <w:p>
            <w:pPr/>
          </w:p>
        </w:tc>
        <w:tc>
          <w:tcPr>
            <w:tcW w:w="745" w:type="dxa"/>
            <w:tcBorders>
              <w:top w:val="single" w:sz="2" w:space="0" w:color="000000"/>
              <w:left w:val="nil"/>
              <w:bottom w:val="single" w:sz="2" w:space="0" w:color="000000"/>
              <w:right w:val="nil"/>
            </w:tcBorders>
          </w:tcPr>
          <w:p>
            <w:pPr>
              <w:pStyle w:val="TableParagraph"/>
              <w:jc w:val="center"/>
              <w:rPr>
                <w:b/>
                <w:sz w:val="15"/>
              </w:rPr>
            </w:pPr>
            <w:r>
              <w:rPr>
                <w:b/>
                <w:sz w:val="15"/>
              </w:rPr>
              <w:t>VAS</w:t>
            </w:r>
          </w:p>
        </w:tc>
        <w:tc>
          <w:tcPr>
            <w:tcW w:w="241" w:type="dxa"/>
            <w:tcBorders>
              <w:top w:val="nil"/>
              <w:left w:val="nil"/>
              <w:bottom w:val="nil"/>
              <w:right w:val="nil"/>
            </w:tcBorders>
          </w:tcPr>
          <w:p>
            <w:pPr/>
          </w:p>
        </w:tc>
        <w:tc>
          <w:tcPr>
            <w:tcW w:w="796" w:type="dxa"/>
            <w:tcBorders>
              <w:top w:val="single" w:sz="2" w:space="0" w:color="000000"/>
              <w:left w:val="nil"/>
              <w:bottom w:val="single" w:sz="2" w:space="0" w:color="000000"/>
              <w:right w:val="nil"/>
            </w:tcBorders>
          </w:tcPr>
          <w:p>
            <w:pPr>
              <w:pStyle w:val="TableParagraph"/>
              <w:ind w:left="19" w:right="-7"/>
              <w:rPr>
                <w:b/>
                <w:sz w:val="15"/>
              </w:rPr>
            </w:pPr>
            <w:r>
              <w:rPr>
                <w:b/>
                <w:sz w:val="15"/>
              </w:rPr>
              <w:t>(Atopia por</w:t>
            </w:r>
          </w:p>
        </w:tc>
        <w:tc>
          <w:tcPr>
            <w:tcW w:w="109" w:type="dxa"/>
            <w:tcBorders>
              <w:top w:val="nil"/>
              <w:left w:val="nil"/>
              <w:bottom w:val="nil"/>
              <w:right w:val="nil"/>
            </w:tcBorders>
          </w:tcPr>
          <w:p>
            <w:pPr/>
          </w:p>
        </w:tc>
      </w:tr>
      <w:tr>
        <w:trPr>
          <w:trHeight w:val="185" w:hRule="exact"/>
        </w:trPr>
        <w:tc>
          <w:tcPr>
            <w:tcW w:w="169" w:type="dxa"/>
            <w:vMerge/>
            <w:tcBorders>
              <w:left w:val="nil"/>
              <w:right w:val="nil"/>
            </w:tcBorders>
          </w:tcPr>
          <w:p>
            <w:pPr/>
          </w:p>
        </w:tc>
        <w:tc>
          <w:tcPr>
            <w:tcW w:w="307" w:type="dxa"/>
            <w:tcBorders>
              <w:top w:val="nil"/>
              <w:left w:val="nil"/>
              <w:right w:val="nil"/>
            </w:tcBorders>
          </w:tcPr>
          <w:p>
            <w:pPr/>
          </w:p>
        </w:tc>
        <w:tc>
          <w:tcPr>
            <w:tcW w:w="403" w:type="dxa"/>
            <w:tcBorders>
              <w:top w:val="nil"/>
              <w:left w:val="nil"/>
              <w:right w:val="nil"/>
            </w:tcBorders>
          </w:tcPr>
          <w:p>
            <w:pPr/>
          </w:p>
        </w:tc>
        <w:tc>
          <w:tcPr>
            <w:tcW w:w="348" w:type="dxa"/>
            <w:tcBorders>
              <w:top w:val="single" w:sz="2" w:space="0" w:color="000000"/>
              <w:left w:val="nil"/>
              <w:right w:val="nil"/>
            </w:tcBorders>
          </w:tcPr>
          <w:p>
            <w:pPr/>
          </w:p>
        </w:tc>
        <w:tc>
          <w:tcPr>
            <w:tcW w:w="391" w:type="dxa"/>
            <w:tcBorders>
              <w:top w:val="nil"/>
              <w:left w:val="nil"/>
              <w:right w:val="nil"/>
            </w:tcBorders>
          </w:tcPr>
          <w:p>
            <w:pPr/>
          </w:p>
        </w:tc>
        <w:tc>
          <w:tcPr>
            <w:tcW w:w="491" w:type="dxa"/>
            <w:tcBorders>
              <w:top w:val="nil"/>
              <w:left w:val="nil"/>
              <w:right w:val="nil"/>
            </w:tcBorders>
          </w:tcPr>
          <w:p>
            <w:pPr/>
          </w:p>
        </w:tc>
        <w:tc>
          <w:tcPr>
            <w:tcW w:w="272" w:type="dxa"/>
            <w:tcBorders>
              <w:top w:val="nil"/>
              <w:left w:val="nil"/>
              <w:right w:val="nil"/>
            </w:tcBorders>
          </w:tcPr>
          <w:p>
            <w:pPr/>
          </w:p>
        </w:tc>
        <w:tc>
          <w:tcPr>
            <w:tcW w:w="586" w:type="dxa"/>
            <w:tcBorders>
              <w:top w:val="single" w:sz="2" w:space="0" w:color="000000"/>
              <w:left w:val="nil"/>
              <w:right w:val="nil"/>
            </w:tcBorders>
          </w:tcPr>
          <w:p>
            <w:pPr/>
          </w:p>
        </w:tc>
        <w:tc>
          <w:tcPr>
            <w:tcW w:w="215" w:type="dxa"/>
            <w:tcBorders>
              <w:top w:val="nil"/>
              <w:left w:val="nil"/>
              <w:right w:val="nil"/>
            </w:tcBorders>
          </w:tcPr>
          <w:p>
            <w:pPr/>
          </w:p>
        </w:tc>
        <w:tc>
          <w:tcPr>
            <w:tcW w:w="2298" w:type="dxa"/>
            <w:tcBorders>
              <w:top w:val="nil"/>
              <w:left w:val="nil"/>
              <w:right w:val="nil"/>
            </w:tcBorders>
          </w:tcPr>
          <w:p>
            <w:pPr/>
          </w:p>
        </w:tc>
        <w:tc>
          <w:tcPr>
            <w:tcW w:w="1785" w:type="dxa"/>
            <w:tcBorders>
              <w:top w:val="nil"/>
              <w:left w:val="nil"/>
              <w:right w:val="nil"/>
            </w:tcBorders>
          </w:tcPr>
          <w:p>
            <w:pPr/>
          </w:p>
        </w:tc>
        <w:tc>
          <w:tcPr>
            <w:tcW w:w="687" w:type="dxa"/>
            <w:tcBorders>
              <w:top w:val="single" w:sz="2" w:space="0" w:color="000000"/>
              <w:left w:val="nil"/>
              <w:right w:val="nil"/>
            </w:tcBorders>
          </w:tcPr>
          <w:p>
            <w:pPr/>
          </w:p>
        </w:tc>
        <w:tc>
          <w:tcPr>
            <w:tcW w:w="264" w:type="dxa"/>
            <w:tcBorders>
              <w:top w:val="nil"/>
              <w:left w:val="nil"/>
              <w:right w:val="nil"/>
            </w:tcBorders>
          </w:tcPr>
          <w:p>
            <w:pPr/>
          </w:p>
        </w:tc>
        <w:tc>
          <w:tcPr>
            <w:tcW w:w="745" w:type="dxa"/>
            <w:tcBorders>
              <w:top w:val="single" w:sz="2" w:space="0" w:color="000000"/>
              <w:left w:val="nil"/>
              <w:bottom w:val="thickThinMediumGap" w:sz="4" w:space="0" w:color="000000"/>
              <w:right w:val="nil"/>
            </w:tcBorders>
          </w:tcPr>
          <w:p>
            <w:pPr>
              <w:pStyle w:val="TableParagraph"/>
              <w:jc w:val="center"/>
              <w:rPr>
                <w:b/>
                <w:sz w:val="15"/>
              </w:rPr>
            </w:pPr>
            <w:r>
              <w:rPr>
                <w:b/>
                <w:sz w:val="15"/>
              </w:rPr>
              <w:t>Propietario</w:t>
            </w:r>
          </w:p>
        </w:tc>
        <w:tc>
          <w:tcPr>
            <w:tcW w:w="241" w:type="dxa"/>
            <w:tcBorders>
              <w:top w:val="nil"/>
              <w:left w:val="nil"/>
              <w:right w:val="nil"/>
            </w:tcBorders>
          </w:tcPr>
          <w:p>
            <w:pPr/>
          </w:p>
        </w:tc>
        <w:tc>
          <w:tcPr>
            <w:tcW w:w="796" w:type="dxa"/>
            <w:tcBorders>
              <w:top w:val="single" w:sz="2" w:space="0" w:color="000000"/>
              <w:left w:val="nil"/>
              <w:bottom w:val="thickThinMediumGap" w:sz="4" w:space="0" w:color="000000"/>
              <w:right w:val="nil"/>
            </w:tcBorders>
          </w:tcPr>
          <w:p>
            <w:pPr>
              <w:pStyle w:val="TableParagraph"/>
              <w:ind w:left="63" w:right="-7"/>
              <w:rPr>
                <w:b/>
                <w:sz w:val="15"/>
              </w:rPr>
            </w:pPr>
            <w:r>
              <w:rPr>
                <w:b/>
                <w:sz w:val="15"/>
              </w:rPr>
              <w:t>alérgenos)</w:t>
            </w:r>
          </w:p>
        </w:tc>
        <w:tc>
          <w:tcPr>
            <w:tcW w:w="109" w:type="dxa"/>
            <w:tcBorders>
              <w:top w:val="nil"/>
              <w:left w:val="nil"/>
              <w:right w:val="nil"/>
            </w:tcBorders>
          </w:tcPr>
          <w:p>
            <w:pPr/>
          </w:p>
        </w:tc>
      </w:tr>
      <w:tr>
        <w:trPr>
          <w:trHeight w:val="361" w:hRule="exact"/>
        </w:trPr>
        <w:tc>
          <w:tcPr>
            <w:tcW w:w="169" w:type="dxa"/>
            <w:vMerge/>
            <w:tcBorders>
              <w:left w:val="nil"/>
              <w:bottom w:val="nil"/>
              <w:right w:val="nil"/>
            </w:tcBorders>
          </w:tcPr>
          <w:p>
            <w:pPr/>
          </w:p>
        </w:tc>
        <w:tc>
          <w:tcPr>
            <w:tcW w:w="307" w:type="dxa"/>
            <w:tcBorders>
              <w:left w:val="nil"/>
              <w:bottom w:val="nil"/>
              <w:right w:val="nil"/>
            </w:tcBorders>
          </w:tcPr>
          <w:p>
            <w:pPr>
              <w:pStyle w:val="TableParagraph"/>
              <w:spacing w:before="3"/>
              <w:rPr>
                <w:b/>
                <w:sz w:val="15"/>
              </w:rPr>
            </w:pPr>
          </w:p>
          <w:p>
            <w:pPr>
              <w:pStyle w:val="TableParagraph"/>
              <w:spacing w:before="0"/>
              <w:ind w:left="1"/>
              <w:jc w:val="center"/>
              <w:rPr>
                <w:sz w:val="15"/>
              </w:rPr>
            </w:pPr>
            <w:r>
              <w:rPr>
                <w:w w:val="100"/>
                <w:sz w:val="15"/>
              </w:rPr>
              <w:t>H</w:t>
            </w:r>
          </w:p>
        </w:tc>
        <w:tc>
          <w:tcPr>
            <w:tcW w:w="403" w:type="dxa"/>
            <w:tcBorders>
              <w:left w:val="nil"/>
              <w:bottom w:val="nil"/>
              <w:right w:val="nil"/>
            </w:tcBorders>
          </w:tcPr>
          <w:p>
            <w:pPr/>
          </w:p>
        </w:tc>
        <w:tc>
          <w:tcPr>
            <w:tcW w:w="348" w:type="dxa"/>
            <w:tcBorders>
              <w:left w:val="nil"/>
              <w:bottom w:val="nil"/>
              <w:right w:val="nil"/>
            </w:tcBorders>
          </w:tcPr>
          <w:p>
            <w:pPr>
              <w:pStyle w:val="TableParagraph"/>
              <w:spacing w:before="3"/>
              <w:rPr>
                <w:b/>
                <w:sz w:val="15"/>
              </w:rPr>
            </w:pPr>
          </w:p>
          <w:p>
            <w:pPr>
              <w:pStyle w:val="TableParagraph"/>
              <w:spacing w:before="0"/>
              <w:jc w:val="center"/>
              <w:rPr>
                <w:sz w:val="15"/>
              </w:rPr>
            </w:pPr>
            <w:r>
              <w:rPr>
                <w:w w:val="100"/>
                <w:sz w:val="15"/>
              </w:rPr>
              <w:t>7</w:t>
            </w:r>
          </w:p>
        </w:tc>
        <w:tc>
          <w:tcPr>
            <w:tcW w:w="391" w:type="dxa"/>
            <w:tcBorders>
              <w:left w:val="nil"/>
              <w:bottom w:val="nil"/>
              <w:right w:val="nil"/>
            </w:tcBorders>
          </w:tcPr>
          <w:p>
            <w:pPr/>
          </w:p>
        </w:tc>
        <w:tc>
          <w:tcPr>
            <w:tcW w:w="491" w:type="dxa"/>
            <w:tcBorders>
              <w:left w:val="nil"/>
              <w:bottom w:val="nil"/>
              <w:right w:val="nil"/>
            </w:tcBorders>
          </w:tcPr>
          <w:p>
            <w:pPr>
              <w:pStyle w:val="TableParagraph"/>
              <w:spacing w:before="3"/>
              <w:rPr>
                <w:b/>
                <w:sz w:val="15"/>
              </w:rPr>
            </w:pPr>
          </w:p>
          <w:p>
            <w:pPr>
              <w:pStyle w:val="TableParagraph"/>
              <w:spacing w:before="0"/>
              <w:jc w:val="center"/>
              <w:rPr>
                <w:sz w:val="15"/>
              </w:rPr>
            </w:pPr>
            <w:r>
              <w:rPr>
                <w:sz w:val="15"/>
              </w:rPr>
              <w:t>Mestizo</w:t>
            </w:r>
          </w:p>
        </w:tc>
        <w:tc>
          <w:tcPr>
            <w:tcW w:w="272" w:type="dxa"/>
            <w:tcBorders>
              <w:left w:val="nil"/>
              <w:bottom w:val="nil"/>
              <w:right w:val="nil"/>
            </w:tcBorders>
          </w:tcPr>
          <w:p>
            <w:pPr/>
          </w:p>
        </w:tc>
        <w:tc>
          <w:tcPr>
            <w:tcW w:w="586" w:type="dxa"/>
            <w:tcBorders>
              <w:left w:val="nil"/>
              <w:bottom w:val="nil"/>
              <w:right w:val="nil"/>
            </w:tcBorders>
          </w:tcPr>
          <w:p>
            <w:pPr>
              <w:pStyle w:val="TableParagraph"/>
              <w:spacing w:before="3"/>
              <w:rPr>
                <w:b/>
                <w:sz w:val="15"/>
              </w:rPr>
            </w:pPr>
          </w:p>
          <w:p>
            <w:pPr>
              <w:pStyle w:val="TableParagraph"/>
              <w:spacing w:before="0"/>
              <w:jc w:val="center"/>
              <w:rPr>
                <w:sz w:val="15"/>
              </w:rPr>
            </w:pPr>
            <w:r>
              <w:rPr>
                <w:w w:val="100"/>
                <w:sz w:val="15"/>
              </w:rPr>
              <w:t>5</w:t>
            </w:r>
          </w:p>
        </w:tc>
        <w:tc>
          <w:tcPr>
            <w:tcW w:w="215" w:type="dxa"/>
            <w:tcBorders>
              <w:left w:val="nil"/>
              <w:bottom w:val="nil"/>
              <w:right w:val="nil"/>
            </w:tcBorders>
          </w:tcPr>
          <w:p>
            <w:pPr/>
          </w:p>
        </w:tc>
        <w:tc>
          <w:tcPr>
            <w:tcW w:w="2298" w:type="dxa"/>
            <w:tcBorders>
              <w:left w:val="nil"/>
              <w:bottom w:val="nil"/>
              <w:right w:val="nil"/>
            </w:tcBorders>
          </w:tcPr>
          <w:p>
            <w:pPr>
              <w:pStyle w:val="TableParagraph"/>
              <w:ind w:right="206"/>
              <w:rPr>
                <w:sz w:val="15"/>
              </w:rPr>
            </w:pPr>
            <w:r>
              <w:rPr>
                <w:sz w:val="15"/>
              </w:rPr>
              <w:t>Estudio cutáneo, tratamiento pulgas y ácaros externos, dieta de</w:t>
            </w:r>
          </w:p>
        </w:tc>
        <w:tc>
          <w:tcPr>
            <w:tcW w:w="1785" w:type="dxa"/>
            <w:tcBorders>
              <w:left w:val="nil"/>
              <w:bottom w:val="nil"/>
              <w:right w:val="nil"/>
            </w:tcBorders>
          </w:tcPr>
          <w:p>
            <w:pPr>
              <w:pStyle w:val="TableParagraph"/>
              <w:rPr>
                <w:sz w:val="15"/>
              </w:rPr>
            </w:pPr>
            <w:r>
              <w:rPr>
                <w:sz w:val="15"/>
              </w:rPr>
              <w:t>Fipronil, desparasitación, Allergroom,</w:t>
            </w:r>
          </w:p>
        </w:tc>
        <w:tc>
          <w:tcPr>
            <w:tcW w:w="687" w:type="dxa"/>
            <w:tcBorders>
              <w:left w:val="nil"/>
              <w:bottom w:val="nil"/>
              <w:right w:val="nil"/>
            </w:tcBorders>
          </w:tcPr>
          <w:p>
            <w:pPr>
              <w:pStyle w:val="TableParagraph"/>
              <w:spacing w:before="3"/>
              <w:rPr>
                <w:b/>
                <w:sz w:val="15"/>
              </w:rPr>
            </w:pPr>
          </w:p>
          <w:p>
            <w:pPr>
              <w:pStyle w:val="TableParagraph"/>
              <w:spacing w:before="0"/>
              <w:ind w:right="78"/>
              <w:jc w:val="right"/>
              <w:rPr>
                <w:sz w:val="15"/>
              </w:rPr>
            </w:pPr>
            <w:r>
              <w:rPr>
                <w:sz w:val="15"/>
              </w:rPr>
              <w:t>202 a 68</w:t>
            </w:r>
          </w:p>
        </w:tc>
        <w:tc>
          <w:tcPr>
            <w:tcW w:w="264" w:type="dxa"/>
            <w:tcBorders>
              <w:left w:val="nil"/>
              <w:bottom w:val="nil"/>
              <w:right w:val="nil"/>
            </w:tcBorders>
          </w:tcPr>
          <w:p>
            <w:pPr/>
          </w:p>
        </w:tc>
        <w:tc>
          <w:tcPr>
            <w:tcW w:w="745" w:type="dxa"/>
            <w:tcBorders>
              <w:top w:val="thinThickMediumGap" w:sz="4" w:space="0" w:color="000000"/>
              <w:left w:val="nil"/>
              <w:bottom w:val="nil"/>
              <w:right w:val="nil"/>
            </w:tcBorders>
          </w:tcPr>
          <w:p>
            <w:pPr>
              <w:pStyle w:val="TableParagraph"/>
              <w:spacing w:before="9"/>
              <w:rPr>
                <w:b/>
                <w:sz w:val="14"/>
              </w:rPr>
            </w:pPr>
          </w:p>
          <w:p>
            <w:pPr>
              <w:pStyle w:val="TableParagraph"/>
              <w:spacing w:before="0"/>
              <w:jc w:val="center"/>
              <w:rPr>
                <w:sz w:val="15"/>
              </w:rPr>
            </w:pPr>
            <w:r>
              <w:rPr>
                <w:w w:val="100"/>
                <w:sz w:val="15"/>
              </w:rPr>
              <w:t>7</w:t>
            </w:r>
            <w:r>
              <w:rPr>
                <w:rFonts w:ascii="Arial"/>
                <w:spacing w:val="1"/>
                <w:w w:val="355"/>
                <w:sz w:val="15"/>
              </w:rPr>
              <w:t>!</w:t>
            </w:r>
            <w:r>
              <w:rPr>
                <w:w w:val="100"/>
                <w:sz w:val="15"/>
              </w:rPr>
              <w:t>4</w:t>
            </w:r>
          </w:p>
        </w:tc>
        <w:tc>
          <w:tcPr>
            <w:tcW w:w="241" w:type="dxa"/>
            <w:tcBorders>
              <w:left w:val="nil"/>
              <w:bottom w:val="nil"/>
              <w:right w:val="nil"/>
            </w:tcBorders>
          </w:tcPr>
          <w:p>
            <w:pPr/>
          </w:p>
        </w:tc>
        <w:tc>
          <w:tcPr>
            <w:tcW w:w="796" w:type="dxa"/>
            <w:tcBorders>
              <w:top w:val="thinThickMediumGap" w:sz="4" w:space="0" w:color="000000"/>
              <w:left w:val="nil"/>
              <w:bottom w:val="nil"/>
              <w:right w:val="nil"/>
            </w:tcBorders>
          </w:tcPr>
          <w:p>
            <w:pPr>
              <w:pStyle w:val="TableParagraph"/>
              <w:spacing w:before="10"/>
              <w:rPr>
                <w:b/>
                <w:sz w:val="14"/>
              </w:rPr>
            </w:pPr>
          </w:p>
          <w:p>
            <w:pPr>
              <w:pStyle w:val="TableParagraph"/>
              <w:spacing w:before="0"/>
              <w:ind w:right="-7"/>
              <w:rPr>
                <w:sz w:val="15"/>
              </w:rPr>
            </w:pPr>
            <w:r>
              <w:rPr>
                <w:sz w:val="15"/>
              </w:rPr>
              <w:t>Alimentarios</w:t>
            </w:r>
          </w:p>
        </w:tc>
        <w:tc>
          <w:tcPr>
            <w:tcW w:w="109" w:type="dxa"/>
            <w:tcBorders>
              <w:left w:val="nil"/>
              <w:bottom w:val="nil"/>
              <w:right w:val="nil"/>
            </w:tcBorders>
          </w:tcPr>
          <w:p>
            <w:pPr/>
          </w:p>
        </w:tc>
      </w:tr>
      <w:tr>
        <w:trPr>
          <w:trHeight w:val="174" w:hRule="exact"/>
        </w:trPr>
        <w:tc>
          <w:tcPr>
            <w:tcW w:w="169" w:type="dxa"/>
            <w:tcBorders>
              <w:top w:val="nil"/>
              <w:left w:val="nil"/>
              <w:right w:val="nil"/>
            </w:tcBorders>
          </w:tcPr>
          <w:p>
            <w:pPr/>
          </w:p>
        </w:tc>
        <w:tc>
          <w:tcPr>
            <w:tcW w:w="307" w:type="dxa"/>
            <w:tcBorders>
              <w:top w:val="nil"/>
              <w:left w:val="nil"/>
              <w:right w:val="nil"/>
            </w:tcBorders>
          </w:tcPr>
          <w:p>
            <w:pPr/>
          </w:p>
        </w:tc>
        <w:tc>
          <w:tcPr>
            <w:tcW w:w="403" w:type="dxa"/>
            <w:tcBorders>
              <w:top w:val="nil"/>
              <w:left w:val="nil"/>
              <w:right w:val="nil"/>
            </w:tcBorders>
          </w:tcPr>
          <w:p>
            <w:pPr/>
          </w:p>
        </w:tc>
        <w:tc>
          <w:tcPr>
            <w:tcW w:w="348" w:type="dxa"/>
            <w:tcBorders>
              <w:top w:val="nil"/>
              <w:left w:val="nil"/>
              <w:right w:val="nil"/>
            </w:tcBorders>
          </w:tcPr>
          <w:p>
            <w:pPr/>
          </w:p>
        </w:tc>
        <w:tc>
          <w:tcPr>
            <w:tcW w:w="391" w:type="dxa"/>
            <w:tcBorders>
              <w:top w:val="nil"/>
              <w:left w:val="nil"/>
              <w:right w:val="nil"/>
            </w:tcBorders>
          </w:tcPr>
          <w:p>
            <w:pPr/>
          </w:p>
        </w:tc>
        <w:tc>
          <w:tcPr>
            <w:tcW w:w="491" w:type="dxa"/>
            <w:tcBorders>
              <w:top w:val="nil"/>
              <w:left w:val="nil"/>
              <w:right w:val="nil"/>
            </w:tcBorders>
          </w:tcPr>
          <w:p>
            <w:pPr/>
          </w:p>
        </w:tc>
        <w:tc>
          <w:tcPr>
            <w:tcW w:w="272" w:type="dxa"/>
            <w:tcBorders>
              <w:top w:val="nil"/>
              <w:left w:val="nil"/>
              <w:right w:val="nil"/>
            </w:tcBorders>
          </w:tcPr>
          <w:p>
            <w:pPr/>
          </w:p>
        </w:tc>
        <w:tc>
          <w:tcPr>
            <w:tcW w:w="586" w:type="dxa"/>
            <w:tcBorders>
              <w:top w:val="nil"/>
              <w:left w:val="nil"/>
              <w:right w:val="nil"/>
            </w:tcBorders>
          </w:tcPr>
          <w:p>
            <w:pPr/>
          </w:p>
        </w:tc>
        <w:tc>
          <w:tcPr>
            <w:tcW w:w="215" w:type="dxa"/>
            <w:tcBorders>
              <w:top w:val="nil"/>
              <w:left w:val="nil"/>
              <w:right w:val="nil"/>
            </w:tcBorders>
          </w:tcPr>
          <w:p>
            <w:pPr/>
          </w:p>
        </w:tc>
        <w:tc>
          <w:tcPr>
            <w:tcW w:w="2298" w:type="dxa"/>
            <w:tcBorders>
              <w:top w:val="nil"/>
              <w:left w:val="nil"/>
              <w:right w:val="nil"/>
            </w:tcBorders>
          </w:tcPr>
          <w:p>
            <w:pPr>
              <w:pStyle w:val="TableParagraph"/>
              <w:spacing w:line="165" w:lineRule="exact" w:before="0"/>
              <w:ind w:right="206"/>
              <w:rPr>
                <w:sz w:val="15"/>
              </w:rPr>
            </w:pPr>
            <w:r>
              <w:rPr>
                <w:sz w:val="15"/>
              </w:rPr>
              <w:t>eliminación</w:t>
            </w:r>
          </w:p>
        </w:tc>
        <w:tc>
          <w:tcPr>
            <w:tcW w:w="1785" w:type="dxa"/>
            <w:tcBorders>
              <w:top w:val="nil"/>
              <w:left w:val="nil"/>
              <w:right w:val="nil"/>
            </w:tcBorders>
          </w:tcPr>
          <w:p>
            <w:pPr>
              <w:pStyle w:val="TableParagraph"/>
              <w:spacing w:line="165" w:lineRule="exact" w:before="0"/>
              <w:rPr>
                <w:sz w:val="15"/>
              </w:rPr>
            </w:pPr>
            <w:r>
              <w:rPr>
                <w:sz w:val="15"/>
              </w:rPr>
              <w:t>dieta de eliminación</w:t>
            </w:r>
          </w:p>
        </w:tc>
        <w:tc>
          <w:tcPr>
            <w:tcW w:w="687" w:type="dxa"/>
            <w:tcBorders>
              <w:top w:val="nil"/>
              <w:left w:val="nil"/>
              <w:right w:val="nil"/>
            </w:tcBorders>
          </w:tcPr>
          <w:p>
            <w:pPr>
              <w:pStyle w:val="TableParagraph"/>
              <w:spacing w:line="165" w:lineRule="exact" w:before="0"/>
              <w:ind w:left="178"/>
              <w:rPr>
                <w:sz w:val="15"/>
              </w:rPr>
            </w:pPr>
            <w:r>
              <w:rPr>
                <w:sz w:val="15"/>
              </w:rPr>
              <w:t>-66%</w:t>
            </w:r>
          </w:p>
        </w:tc>
        <w:tc>
          <w:tcPr>
            <w:tcW w:w="264" w:type="dxa"/>
            <w:tcBorders>
              <w:top w:val="nil"/>
              <w:left w:val="nil"/>
              <w:right w:val="nil"/>
            </w:tcBorders>
          </w:tcPr>
          <w:p>
            <w:pPr/>
          </w:p>
        </w:tc>
        <w:tc>
          <w:tcPr>
            <w:tcW w:w="745" w:type="dxa"/>
            <w:tcBorders>
              <w:top w:val="nil"/>
              <w:left w:val="nil"/>
              <w:right w:val="nil"/>
            </w:tcBorders>
          </w:tcPr>
          <w:p>
            <w:pPr/>
          </w:p>
        </w:tc>
        <w:tc>
          <w:tcPr>
            <w:tcW w:w="241" w:type="dxa"/>
            <w:tcBorders>
              <w:top w:val="nil"/>
              <w:left w:val="nil"/>
              <w:right w:val="nil"/>
            </w:tcBorders>
          </w:tcPr>
          <w:p>
            <w:pPr/>
          </w:p>
        </w:tc>
        <w:tc>
          <w:tcPr>
            <w:tcW w:w="796" w:type="dxa"/>
            <w:tcBorders>
              <w:top w:val="nil"/>
              <w:left w:val="nil"/>
              <w:right w:val="nil"/>
            </w:tcBorders>
          </w:tcPr>
          <w:p>
            <w:pPr/>
          </w:p>
        </w:tc>
        <w:tc>
          <w:tcPr>
            <w:tcW w:w="109" w:type="dxa"/>
            <w:tcBorders>
              <w:top w:val="nil"/>
              <w:left w:val="nil"/>
              <w:right w:val="nil"/>
            </w:tcBorders>
          </w:tcPr>
          <w:p>
            <w:pPr/>
          </w:p>
        </w:tc>
      </w:tr>
    </w:tbl>
    <w:p>
      <w:pPr>
        <w:spacing w:after="0"/>
        <w:sectPr>
          <w:pgSz w:w="12240" w:h="15840"/>
          <w:pgMar w:top="1500" w:bottom="280" w:left="1140" w:right="780"/>
        </w:sectPr>
      </w:pPr>
    </w:p>
    <w:p>
      <w:pPr>
        <w:tabs>
          <w:tab w:pos="1122" w:val="left" w:leader="none"/>
          <w:tab w:pos="1725" w:val="left" w:leader="none"/>
          <w:tab w:pos="2819" w:val="right" w:leader="none"/>
        </w:tabs>
        <w:spacing w:before="171"/>
        <w:ind w:left="364" w:right="0" w:firstLine="0"/>
        <w:jc w:val="left"/>
        <w:rPr>
          <w:sz w:val="15"/>
        </w:rPr>
      </w:pPr>
      <w:r>
        <w:rPr>
          <w:sz w:val="15"/>
        </w:rPr>
        <w:t>M</w:t>
        <w:tab/>
        <w:t>1</w:t>
        <w:tab/>
        <w:t>Mestizo</w:t>
        <w:tab/>
        <w:t>5</w:t>
      </w:r>
    </w:p>
    <w:p>
      <w:pPr>
        <w:spacing w:line="242" w:lineRule="auto" w:before="0"/>
        <w:ind w:left="364" w:right="0" w:firstLine="0"/>
        <w:jc w:val="left"/>
        <w:rPr>
          <w:sz w:val="15"/>
        </w:rPr>
      </w:pPr>
      <w:r>
        <w:rPr/>
        <w:br w:type="column"/>
      </w:r>
      <w:r>
        <w:rPr>
          <w:sz w:val="15"/>
        </w:rPr>
        <w:t>Estudio cutáneo, tratamiento pulgas y ácaros externos, dieta de</w:t>
      </w:r>
    </w:p>
    <w:p>
      <w:pPr>
        <w:spacing w:line="242" w:lineRule="auto" w:before="0"/>
        <w:ind w:left="208" w:right="0" w:firstLine="0"/>
        <w:jc w:val="left"/>
        <w:rPr>
          <w:sz w:val="15"/>
        </w:rPr>
      </w:pPr>
      <w:r>
        <w:rPr/>
        <w:br w:type="column"/>
      </w:r>
      <w:r>
        <w:rPr>
          <w:sz w:val="15"/>
        </w:rPr>
        <w:t>Allergroom, desparasitación, dieta de</w:t>
      </w:r>
    </w:p>
    <w:p>
      <w:pPr>
        <w:spacing w:before="84"/>
        <w:ind w:left="364" w:right="-12" w:firstLine="0"/>
        <w:jc w:val="left"/>
        <w:rPr>
          <w:sz w:val="15"/>
        </w:rPr>
      </w:pPr>
      <w:r>
        <w:rPr/>
        <w:br w:type="column"/>
      </w:r>
      <w:r>
        <w:rPr>
          <w:sz w:val="15"/>
        </w:rPr>
        <w:t>40 a 11</w:t>
      </w:r>
    </w:p>
    <w:p>
      <w:pPr>
        <w:spacing w:before="1"/>
        <w:ind w:left="423" w:right="-12" w:firstLine="0"/>
        <w:jc w:val="left"/>
        <w:rPr>
          <w:sz w:val="15"/>
        </w:rPr>
      </w:pPr>
      <w:r>
        <w:rPr/>
        <w:pict>
          <v:shape style="position:absolute;margin-left:62.391369pt;margin-top:5.322913pt;width:505.4pt;height:125.8pt;mso-position-horizontal-relative:page;mso-position-vertical-relative:paragraph;z-index:14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4"/>
                    <w:gridCol w:w="662"/>
                    <w:gridCol w:w="1054"/>
                    <w:gridCol w:w="546"/>
                    <w:gridCol w:w="2409"/>
                    <w:gridCol w:w="1811"/>
                    <w:gridCol w:w="1007"/>
                    <w:gridCol w:w="797"/>
                    <w:gridCol w:w="1137"/>
                  </w:tblGrid>
                  <w:tr>
                    <w:trPr>
                      <w:trHeight w:val="163" w:hRule="exact"/>
                    </w:trPr>
                    <w:tc>
                      <w:tcPr>
                        <w:tcW w:w="2946" w:type="dxa"/>
                        <w:gridSpan w:val="4"/>
                        <w:tcBorders>
                          <w:bottom w:val="single" w:sz="4" w:space="0" w:color="000000"/>
                        </w:tcBorders>
                      </w:tcPr>
                      <w:p>
                        <w:pPr/>
                      </w:p>
                    </w:tc>
                    <w:tc>
                      <w:tcPr>
                        <w:tcW w:w="2409" w:type="dxa"/>
                        <w:tcBorders>
                          <w:bottom w:val="single" w:sz="4" w:space="0" w:color="000000"/>
                        </w:tcBorders>
                      </w:tcPr>
                      <w:p>
                        <w:pPr>
                          <w:pStyle w:val="TableParagraph"/>
                          <w:spacing w:line="154" w:lineRule="exact" w:before="0"/>
                          <w:ind w:left="235"/>
                          <w:rPr>
                            <w:sz w:val="15"/>
                          </w:rPr>
                        </w:pPr>
                        <w:r>
                          <w:rPr>
                            <w:sz w:val="15"/>
                          </w:rPr>
                          <w:t>eliminación</w:t>
                        </w:r>
                      </w:p>
                    </w:tc>
                    <w:tc>
                      <w:tcPr>
                        <w:tcW w:w="1811" w:type="dxa"/>
                        <w:tcBorders>
                          <w:bottom w:val="single" w:sz="4" w:space="0" w:color="000000"/>
                        </w:tcBorders>
                      </w:tcPr>
                      <w:p>
                        <w:pPr>
                          <w:pStyle w:val="TableParagraph"/>
                          <w:spacing w:line="154" w:lineRule="exact" w:before="0"/>
                          <w:ind w:left="124" w:right="111"/>
                          <w:rPr>
                            <w:sz w:val="15"/>
                          </w:rPr>
                        </w:pPr>
                        <w:r>
                          <w:rPr>
                            <w:sz w:val="15"/>
                          </w:rPr>
                          <w:t>eliminación</w:t>
                        </w:r>
                      </w:p>
                    </w:tc>
                    <w:tc>
                      <w:tcPr>
                        <w:tcW w:w="2941" w:type="dxa"/>
                        <w:gridSpan w:val="3"/>
                        <w:tcBorders>
                          <w:bottom w:val="single" w:sz="4" w:space="0" w:color="000000"/>
                        </w:tcBorders>
                      </w:tcPr>
                      <w:p>
                        <w:pPr/>
                      </w:p>
                    </w:tc>
                  </w:tr>
                  <w:tr>
                    <w:trPr>
                      <w:trHeight w:val="375" w:hRule="exact"/>
                    </w:trPr>
                    <w:tc>
                      <w:tcPr>
                        <w:tcW w:w="684" w:type="dxa"/>
                        <w:tcBorders>
                          <w:top w:val="single" w:sz="4" w:space="0" w:color="000000"/>
                          <w:bottom w:val="single" w:sz="4" w:space="0" w:color="000000"/>
                        </w:tcBorders>
                      </w:tcPr>
                      <w:p>
                        <w:pPr>
                          <w:pStyle w:val="TableParagraph"/>
                          <w:ind w:left="256"/>
                          <w:rPr>
                            <w:sz w:val="15"/>
                          </w:rPr>
                        </w:pPr>
                        <w:r>
                          <w:rPr>
                            <w:w w:val="100"/>
                            <w:sz w:val="15"/>
                          </w:rPr>
                          <w:t>M</w:t>
                        </w:r>
                      </w:p>
                    </w:tc>
                    <w:tc>
                      <w:tcPr>
                        <w:tcW w:w="662" w:type="dxa"/>
                        <w:tcBorders>
                          <w:top w:val="single" w:sz="4" w:space="0" w:color="000000"/>
                          <w:bottom w:val="single" w:sz="4" w:space="0" w:color="000000"/>
                        </w:tcBorders>
                      </w:tcPr>
                      <w:p>
                        <w:pPr>
                          <w:pStyle w:val="TableParagraph"/>
                          <w:ind w:right="253"/>
                          <w:jc w:val="right"/>
                          <w:rPr>
                            <w:sz w:val="15"/>
                          </w:rPr>
                        </w:pPr>
                        <w:r>
                          <w:rPr>
                            <w:w w:val="100"/>
                            <w:sz w:val="15"/>
                          </w:rPr>
                          <w:t>2</w:t>
                        </w:r>
                      </w:p>
                    </w:tc>
                    <w:tc>
                      <w:tcPr>
                        <w:tcW w:w="1054" w:type="dxa"/>
                        <w:tcBorders>
                          <w:top w:val="single" w:sz="4" w:space="0" w:color="000000"/>
                          <w:bottom w:val="single" w:sz="4" w:space="0" w:color="000000"/>
                        </w:tcBorders>
                      </w:tcPr>
                      <w:p>
                        <w:pPr>
                          <w:pStyle w:val="TableParagraph"/>
                          <w:ind w:right="270"/>
                          <w:jc w:val="right"/>
                          <w:rPr>
                            <w:sz w:val="15"/>
                          </w:rPr>
                        </w:pPr>
                        <w:r>
                          <w:rPr>
                            <w:sz w:val="15"/>
                          </w:rPr>
                          <w:t>Bull dog</w:t>
                        </w:r>
                      </w:p>
                    </w:tc>
                    <w:tc>
                      <w:tcPr>
                        <w:tcW w:w="546" w:type="dxa"/>
                        <w:tcBorders>
                          <w:top w:val="single" w:sz="4" w:space="0" w:color="000000"/>
                          <w:bottom w:val="single" w:sz="4" w:space="0" w:color="000000"/>
                        </w:tcBorders>
                      </w:tcPr>
                      <w:p>
                        <w:pPr>
                          <w:pStyle w:val="TableParagraph"/>
                          <w:jc w:val="center"/>
                          <w:rPr>
                            <w:sz w:val="15"/>
                          </w:rPr>
                        </w:pPr>
                        <w:r>
                          <w:rPr>
                            <w:w w:val="100"/>
                            <w:sz w:val="15"/>
                          </w:rPr>
                          <w:t>6</w:t>
                        </w:r>
                      </w:p>
                    </w:tc>
                    <w:tc>
                      <w:tcPr>
                        <w:tcW w:w="2409" w:type="dxa"/>
                        <w:tcBorders>
                          <w:top w:val="single" w:sz="4" w:space="0" w:color="000000"/>
                          <w:bottom w:val="single" w:sz="4" w:space="0" w:color="000000"/>
                        </w:tcBorders>
                      </w:tcPr>
                      <w:p>
                        <w:pPr>
                          <w:pStyle w:val="TableParagraph"/>
                          <w:ind w:left="235"/>
                          <w:rPr>
                            <w:sz w:val="15"/>
                          </w:rPr>
                        </w:pPr>
                        <w:r>
                          <w:rPr>
                            <w:sz w:val="15"/>
                          </w:rPr>
                          <w:t>Estudio cutáneo, dieta de eliminación</w:t>
                        </w:r>
                      </w:p>
                    </w:tc>
                    <w:tc>
                      <w:tcPr>
                        <w:tcW w:w="1811" w:type="dxa"/>
                        <w:tcBorders>
                          <w:top w:val="single" w:sz="4" w:space="0" w:color="000000"/>
                          <w:bottom w:val="single" w:sz="4" w:space="0" w:color="000000"/>
                        </w:tcBorders>
                      </w:tcPr>
                      <w:p>
                        <w:pPr>
                          <w:pStyle w:val="TableParagraph"/>
                          <w:ind w:left="124" w:right="111"/>
                          <w:rPr>
                            <w:sz w:val="15"/>
                          </w:rPr>
                        </w:pPr>
                        <w:r>
                          <w:rPr>
                            <w:sz w:val="15"/>
                          </w:rPr>
                          <w:t>Cefalexina, Allermyl, dieta de eliminación</w:t>
                        </w:r>
                      </w:p>
                    </w:tc>
                    <w:tc>
                      <w:tcPr>
                        <w:tcW w:w="1007" w:type="dxa"/>
                        <w:tcBorders>
                          <w:top w:val="single" w:sz="4" w:space="0" w:color="000000"/>
                          <w:bottom w:val="single" w:sz="4" w:space="0" w:color="000000"/>
                        </w:tcBorders>
                      </w:tcPr>
                      <w:p>
                        <w:pPr>
                          <w:pStyle w:val="TableParagraph"/>
                          <w:ind w:left="197"/>
                          <w:rPr>
                            <w:sz w:val="15"/>
                          </w:rPr>
                        </w:pPr>
                        <w:r>
                          <w:rPr>
                            <w:sz w:val="15"/>
                          </w:rPr>
                          <w:t>147 a80</w:t>
                        </w:r>
                      </w:p>
                      <w:p>
                        <w:pPr>
                          <w:pStyle w:val="TableParagraph"/>
                          <w:spacing w:before="1"/>
                          <w:ind w:left="276"/>
                          <w:rPr>
                            <w:sz w:val="15"/>
                          </w:rPr>
                        </w:pPr>
                        <w:r>
                          <w:rPr>
                            <w:sz w:val="15"/>
                          </w:rPr>
                          <w:t>-45%</w:t>
                        </w:r>
                      </w:p>
                    </w:tc>
                    <w:tc>
                      <w:tcPr>
                        <w:tcW w:w="797" w:type="dxa"/>
                        <w:tcBorders>
                          <w:top w:val="single" w:sz="4" w:space="0" w:color="000000"/>
                          <w:bottom w:val="single" w:sz="4" w:space="0" w:color="000000"/>
                        </w:tcBorders>
                      </w:tcPr>
                      <w:p>
                        <w:pPr>
                          <w:pStyle w:val="TableParagraph"/>
                          <w:spacing w:before="1"/>
                          <w:ind w:left="244" w:right="212"/>
                          <w:jc w:val="center"/>
                          <w:rPr>
                            <w:sz w:val="15"/>
                          </w:rPr>
                        </w:pPr>
                        <w:r>
                          <w:rPr>
                            <w:w w:val="100"/>
                            <w:sz w:val="15"/>
                          </w:rPr>
                          <w:t>8</w:t>
                        </w:r>
                        <w:r>
                          <w:rPr>
                            <w:rFonts w:ascii="Arial"/>
                            <w:spacing w:val="1"/>
                            <w:w w:val="355"/>
                            <w:sz w:val="15"/>
                          </w:rPr>
                          <w:t>!</w:t>
                        </w:r>
                        <w:r>
                          <w:rPr>
                            <w:w w:val="100"/>
                            <w:sz w:val="15"/>
                          </w:rPr>
                          <w:t>4</w:t>
                        </w:r>
                      </w:p>
                    </w:tc>
                    <w:tc>
                      <w:tcPr>
                        <w:tcW w:w="1137" w:type="dxa"/>
                        <w:tcBorders>
                          <w:top w:val="single" w:sz="4" w:space="0" w:color="000000"/>
                          <w:bottom w:val="single" w:sz="4" w:space="0" w:color="000000"/>
                        </w:tcBorders>
                      </w:tcPr>
                      <w:p>
                        <w:pPr>
                          <w:pStyle w:val="TableParagraph"/>
                          <w:ind w:left="231" w:right="102" w:firstLine="12"/>
                          <w:rPr>
                            <w:sz w:val="15"/>
                          </w:rPr>
                        </w:pPr>
                        <w:r>
                          <w:rPr>
                            <w:sz w:val="15"/>
                          </w:rPr>
                          <w:t>Ambientales Alimentarios</w:t>
                        </w:r>
                      </w:p>
                    </w:tc>
                  </w:tr>
                  <w:tr>
                    <w:trPr>
                      <w:trHeight w:val="189" w:hRule="exact"/>
                    </w:trPr>
                    <w:tc>
                      <w:tcPr>
                        <w:tcW w:w="684" w:type="dxa"/>
                        <w:tcBorders>
                          <w:top w:val="single" w:sz="4" w:space="0" w:color="000000"/>
                        </w:tcBorders>
                      </w:tcPr>
                      <w:p>
                        <w:pPr>
                          <w:pStyle w:val="TableParagraph"/>
                          <w:ind w:left="269"/>
                          <w:rPr>
                            <w:sz w:val="15"/>
                          </w:rPr>
                        </w:pPr>
                        <w:r>
                          <w:rPr>
                            <w:w w:val="100"/>
                            <w:sz w:val="15"/>
                          </w:rPr>
                          <w:t>H</w:t>
                        </w:r>
                      </w:p>
                    </w:tc>
                    <w:tc>
                      <w:tcPr>
                        <w:tcW w:w="662" w:type="dxa"/>
                        <w:tcBorders>
                          <w:top w:val="single" w:sz="4" w:space="0" w:color="000000"/>
                        </w:tcBorders>
                      </w:tcPr>
                      <w:p>
                        <w:pPr>
                          <w:pStyle w:val="TableParagraph"/>
                          <w:ind w:right="214"/>
                          <w:jc w:val="right"/>
                          <w:rPr>
                            <w:sz w:val="15"/>
                          </w:rPr>
                        </w:pPr>
                        <w:r>
                          <w:rPr>
                            <w:sz w:val="15"/>
                          </w:rPr>
                          <w:t>10</w:t>
                        </w:r>
                      </w:p>
                    </w:tc>
                    <w:tc>
                      <w:tcPr>
                        <w:tcW w:w="1054" w:type="dxa"/>
                        <w:tcBorders>
                          <w:top w:val="single" w:sz="4" w:space="0" w:color="000000"/>
                        </w:tcBorders>
                      </w:tcPr>
                      <w:p>
                        <w:pPr>
                          <w:pStyle w:val="TableParagraph"/>
                          <w:ind w:right="323"/>
                          <w:jc w:val="right"/>
                          <w:rPr>
                            <w:sz w:val="15"/>
                          </w:rPr>
                        </w:pPr>
                        <w:r>
                          <w:rPr>
                            <w:sz w:val="15"/>
                          </w:rPr>
                          <w:t>Poodle</w:t>
                        </w:r>
                      </w:p>
                    </w:tc>
                    <w:tc>
                      <w:tcPr>
                        <w:tcW w:w="546" w:type="dxa"/>
                        <w:tcBorders>
                          <w:top w:val="single" w:sz="4" w:space="0" w:color="000000"/>
                        </w:tcBorders>
                      </w:tcPr>
                      <w:p>
                        <w:pPr>
                          <w:pStyle w:val="TableParagraph"/>
                          <w:jc w:val="center"/>
                          <w:rPr>
                            <w:sz w:val="15"/>
                          </w:rPr>
                        </w:pPr>
                        <w:r>
                          <w:rPr>
                            <w:w w:val="100"/>
                            <w:sz w:val="15"/>
                          </w:rPr>
                          <w:t>5</w:t>
                        </w:r>
                      </w:p>
                    </w:tc>
                    <w:tc>
                      <w:tcPr>
                        <w:tcW w:w="2409" w:type="dxa"/>
                        <w:tcBorders>
                          <w:top w:val="single" w:sz="4" w:space="0" w:color="000000"/>
                        </w:tcBorders>
                      </w:tcPr>
                      <w:p>
                        <w:pPr>
                          <w:pStyle w:val="TableParagraph"/>
                          <w:ind w:left="235"/>
                          <w:rPr>
                            <w:sz w:val="15"/>
                          </w:rPr>
                        </w:pPr>
                        <w:r>
                          <w:rPr>
                            <w:sz w:val="15"/>
                          </w:rPr>
                          <w:t>Estudio cutáneo, dieta de</w:t>
                        </w:r>
                      </w:p>
                    </w:tc>
                    <w:tc>
                      <w:tcPr>
                        <w:tcW w:w="1811" w:type="dxa"/>
                        <w:tcBorders>
                          <w:top w:val="single" w:sz="4" w:space="0" w:color="000000"/>
                        </w:tcBorders>
                      </w:tcPr>
                      <w:p>
                        <w:pPr>
                          <w:pStyle w:val="TableParagraph"/>
                          <w:ind w:left="124" w:right="111"/>
                          <w:rPr>
                            <w:sz w:val="15"/>
                          </w:rPr>
                        </w:pPr>
                        <w:r>
                          <w:rPr>
                            <w:sz w:val="15"/>
                          </w:rPr>
                          <w:t>Dieta de eliminación,</w:t>
                        </w:r>
                      </w:p>
                    </w:tc>
                    <w:tc>
                      <w:tcPr>
                        <w:tcW w:w="1007" w:type="dxa"/>
                        <w:tcBorders>
                          <w:top w:val="single" w:sz="4" w:space="0" w:color="000000"/>
                        </w:tcBorders>
                      </w:tcPr>
                      <w:p>
                        <w:pPr>
                          <w:pStyle w:val="TableParagraph"/>
                          <w:ind w:right="262"/>
                          <w:jc w:val="right"/>
                          <w:rPr>
                            <w:sz w:val="15"/>
                          </w:rPr>
                        </w:pPr>
                        <w:r>
                          <w:rPr>
                            <w:sz w:val="15"/>
                          </w:rPr>
                          <w:t>241 a 145</w:t>
                        </w:r>
                      </w:p>
                    </w:tc>
                    <w:tc>
                      <w:tcPr>
                        <w:tcW w:w="797" w:type="dxa"/>
                        <w:tcBorders>
                          <w:top w:val="single" w:sz="4" w:space="0" w:color="000000"/>
                        </w:tcBorders>
                      </w:tcPr>
                      <w:p>
                        <w:pPr/>
                      </w:p>
                    </w:tc>
                    <w:tc>
                      <w:tcPr>
                        <w:tcW w:w="1137" w:type="dxa"/>
                        <w:tcBorders>
                          <w:top w:val="single" w:sz="4" w:space="0" w:color="000000"/>
                        </w:tcBorders>
                      </w:tcPr>
                      <w:p>
                        <w:pPr>
                          <w:pStyle w:val="TableParagraph"/>
                          <w:ind w:right="119"/>
                          <w:jc w:val="right"/>
                          <w:rPr>
                            <w:sz w:val="15"/>
                          </w:rPr>
                        </w:pPr>
                        <w:r>
                          <w:rPr>
                            <w:sz w:val="15"/>
                          </w:rPr>
                          <w:t>Ambientales</w:t>
                        </w:r>
                      </w:p>
                    </w:tc>
                  </w:tr>
                  <w:tr>
                    <w:trPr>
                      <w:trHeight w:val="346" w:hRule="exact"/>
                    </w:trPr>
                    <w:tc>
                      <w:tcPr>
                        <w:tcW w:w="684" w:type="dxa"/>
                        <w:tcBorders>
                          <w:bottom w:val="single" w:sz="4" w:space="0" w:color="000000"/>
                        </w:tcBorders>
                      </w:tcPr>
                      <w:p>
                        <w:pPr/>
                      </w:p>
                    </w:tc>
                    <w:tc>
                      <w:tcPr>
                        <w:tcW w:w="662" w:type="dxa"/>
                        <w:tcBorders>
                          <w:bottom w:val="single" w:sz="4" w:space="0" w:color="000000"/>
                        </w:tcBorders>
                      </w:tcPr>
                      <w:p>
                        <w:pPr/>
                      </w:p>
                    </w:tc>
                    <w:tc>
                      <w:tcPr>
                        <w:tcW w:w="1054" w:type="dxa"/>
                        <w:tcBorders>
                          <w:bottom w:val="single" w:sz="4" w:space="0" w:color="000000"/>
                        </w:tcBorders>
                      </w:tcPr>
                      <w:p>
                        <w:pPr/>
                      </w:p>
                    </w:tc>
                    <w:tc>
                      <w:tcPr>
                        <w:tcW w:w="546" w:type="dxa"/>
                        <w:tcBorders>
                          <w:bottom w:val="single" w:sz="4" w:space="0" w:color="000000"/>
                        </w:tcBorders>
                      </w:tcPr>
                      <w:p>
                        <w:pPr/>
                      </w:p>
                    </w:tc>
                    <w:tc>
                      <w:tcPr>
                        <w:tcW w:w="2409" w:type="dxa"/>
                        <w:tcBorders>
                          <w:bottom w:val="single" w:sz="4" w:space="0" w:color="000000"/>
                        </w:tcBorders>
                      </w:tcPr>
                      <w:p>
                        <w:pPr>
                          <w:pStyle w:val="TableParagraph"/>
                          <w:spacing w:line="168" w:lineRule="exact" w:before="0"/>
                          <w:ind w:left="235"/>
                          <w:rPr>
                            <w:sz w:val="15"/>
                          </w:rPr>
                        </w:pPr>
                        <w:r>
                          <w:rPr>
                            <w:sz w:val="15"/>
                          </w:rPr>
                          <w:t>eliminación</w:t>
                        </w:r>
                      </w:p>
                    </w:tc>
                    <w:tc>
                      <w:tcPr>
                        <w:tcW w:w="1811" w:type="dxa"/>
                        <w:tcBorders>
                          <w:bottom w:val="single" w:sz="4" w:space="0" w:color="000000"/>
                        </w:tcBorders>
                      </w:tcPr>
                      <w:p>
                        <w:pPr>
                          <w:pStyle w:val="TableParagraph"/>
                          <w:spacing w:line="242" w:lineRule="auto" w:before="0"/>
                          <w:ind w:left="124" w:right="111"/>
                          <w:rPr>
                            <w:sz w:val="15"/>
                          </w:rPr>
                        </w:pPr>
                        <w:r>
                          <w:rPr>
                            <w:sz w:val="15"/>
                          </w:rPr>
                          <w:t>Allermyl, epiotic, cortavance</w:t>
                        </w:r>
                      </w:p>
                    </w:tc>
                    <w:tc>
                      <w:tcPr>
                        <w:tcW w:w="1007" w:type="dxa"/>
                        <w:tcBorders>
                          <w:bottom w:val="single" w:sz="4" w:space="0" w:color="000000"/>
                        </w:tcBorders>
                      </w:tcPr>
                      <w:p>
                        <w:pPr>
                          <w:pStyle w:val="TableParagraph"/>
                          <w:spacing w:line="168" w:lineRule="exact" w:before="0"/>
                          <w:ind w:left="276"/>
                          <w:rPr>
                            <w:sz w:val="15"/>
                          </w:rPr>
                        </w:pPr>
                        <w:r>
                          <w:rPr>
                            <w:sz w:val="15"/>
                          </w:rPr>
                          <w:t>-40%</w:t>
                        </w:r>
                      </w:p>
                    </w:tc>
                    <w:tc>
                      <w:tcPr>
                        <w:tcW w:w="797" w:type="dxa"/>
                        <w:tcBorders>
                          <w:bottom w:val="single" w:sz="4" w:space="0" w:color="000000"/>
                        </w:tcBorders>
                      </w:tcPr>
                      <w:p>
                        <w:pPr>
                          <w:pStyle w:val="TableParagraph"/>
                          <w:spacing w:line="168" w:lineRule="exact" w:before="0"/>
                          <w:ind w:left="244" w:right="212"/>
                          <w:jc w:val="center"/>
                          <w:rPr>
                            <w:sz w:val="15"/>
                          </w:rPr>
                        </w:pPr>
                        <w:r>
                          <w:rPr>
                            <w:w w:val="100"/>
                            <w:sz w:val="15"/>
                          </w:rPr>
                          <w:t>6</w:t>
                        </w:r>
                        <w:r>
                          <w:rPr>
                            <w:rFonts w:ascii="Arial"/>
                            <w:spacing w:val="1"/>
                            <w:w w:val="355"/>
                            <w:sz w:val="15"/>
                          </w:rPr>
                          <w:t>!</w:t>
                        </w:r>
                        <w:r>
                          <w:rPr>
                            <w:w w:val="100"/>
                            <w:sz w:val="15"/>
                          </w:rPr>
                          <w:t>4</w:t>
                        </w:r>
                      </w:p>
                    </w:tc>
                    <w:tc>
                      <w:tcPr>
                        <w:tcW w:w="1137" w:type="dxa"/>
                        <w:tcBorders>
                          <w:bottom w:val="single" w:sz="4" w:space="0" w:color="000000"/>
                        </w:tcBorders>
                      </w:tcPr>
                      <w:p>
                        <w:pPr>
                          <w:pStyle w:val="TableParagraph"/>
                          <w:spacing w:line="168" w:lineRule="exact" w:before="0"/>
                          <w:ind w:right="107"/>
                          <w:jc w:val="right"/>
                          <w:rPr>
                            <w:sz w:val="15"/>
                          </w:rPr>
                        </w:pPr>
                        <w:r>
                          <w:rPr>
                            <w:sz w:val="15"/>
                          </w:rPr>
                          <w:t>Alimentarios</w:t>
                        </w:r>
                      </w:p>
                    </w:tc>
                  </w:tr>
                  <w:tr>
                    <w:trPr>
                      <w:trHeight w:val="189" w:hRule="exact"/>
                    </w:trPr>
                    <w:tc>
                      <w:tcPr>
                        <w:tcW w:w="684" w:type="dxa"/>
                        <w:tcBorders>
                          <w:top w:val="single" w:sz="4" w:space="0" w:color="000000"/>
                        </w:tcBorders>
                      </w:tcPr>
                      <w:p>
                        <w:pPr>
                          <w:pStyle w:val="TableParagraph"/>
                          <w:ind w:left="269"/>
                          <w:rPr>
                            <w:sz w:val="15"/>
                          </w:rPr>
                        </w:pPr>
                        <w:r>
                          <w:rPr>
                            <w:w w:val="100"/>
                            <w:sz w:val="15"/>
                          </w:rPr>
                          <w:t>H</w:t>
                        </w:r>
                      </w:p>
                    </w:tc>
                    <w:tc>
                      <w:tcPr>
                        <w:tcW w:w="662" w:type="dxa"/>
                        <w:tcBorders>
                          <w:top w:val="single" w:sz="4" w:space="0" w:color="000000"/>
                        </w:tcBorders>
                      </w:tcPr>
                      <w:p>
                        <w:pPr>
                          <w:pStyle w:val="TableParagraph"/>
                          <w:ind w:right="253"/>
                          <w:jc w:val="right"/>
                          <w:rPr>
                            <w:sz w:val="15"/>
                          </w:rPr>
                        </w:pPr>
                        <w:r>
                          <w:rPr>
                            <w:w w:val="100"/>
                            <w:sz w:val="15"/>
                          </w:rPr>
                          <w:t>1</w:t>
                        </w:r>
                      </w:p>
                    </w:tc>
                    <w:tc>
                      <w:tcPr>
                        <w:tcW w:w="1054" w:type="dxa"/>
                        <w:tcBorders>
                          <w:top w:val="single" w:sz="4" w:space="0" w:color="000000"/>
                        </w:tcBorders>
                      </w:tcPr>
                      <w:p>
                        <w:pPr>
                          <w:pStyle w:val="TableParagraph"/>
                          <w:ind w:left="369" w:right="386"/>
                          <w:jc w:val="center"/>
                          <w:rPr>
                            <w:sz w:val="15"/>
                          </w:rPr>
                        </w:pPr>
                        <w:r>
                          <w:rPr>
                            <w:sz w:val="15"/>
                          </w:rPr>
                          <w:t>Bull</w:t>
                        </w:r>
                      </w:p>
                    </w:tc>
                    <w:tc>
                      <w:tcPr>
                        <w:tcW w:w="546" w:type="dxa"/>
                        <w:tcBorders>
                          <w:top w:val="single" w:sz="4" w:space="0" w:color="000000"/>
                        </w:tcBorders>
                      </w:tcPr>
                      <w:p>
                        <w:pPr>
                          <w:pStyle w:val="TableParagraph"/>
                          <w:jc w:val="center"/>
                          <w:rPr>
                            <w:sz w:val="15"/>
                          </w:rPr>
                        </w:pPr>
                        <w:r>
                          <w:rPr>
                            <w:w w:val="100"/>
                            <w:sz w:val="15"/>
                          </w:rPr>
                          <w:t>5</w:t>
                        </w:r>
                      </w:p>
                    </w:tc>
                    <w:tc>
                      <w:tcPr>
                        <w:tcW w:w="2409" w:type="dxa"/>
                        <w:tcBorders>
                          <w:top w:val="single" w:sz="4" w:space="0" w:color="000000"/>
                        </w:tcBorders>
                      </w:tcPr>
                      <w:p>
                        <w:pPr>
                          <w:pStyle w:val="TableParagraph"/>
                          <w:ind w:left="235"/>
                          <w:rPr>
                            <w:sz w:val="15"/>
                          </w:rPr>
                        </w:pPr>
                        <w:r>
                          <w:rPr>
                            <w:sz w:val="15"/>
                          </w:rPr>
                          <w:t>Estudio cutáneo, tratamiento</w:t>
                        </w:r>
                      </w:p>
                    </w:tc>
                    <w:tc>
                      <w:tcPr>
                        <w:tcW w:w="1811" w:type="dxa"/>
                        <w:tcBorders>
                          <w:top w:val="single" w:sz="4" w:space="0" w:color="000000"/>
                        </w:tcBorders>
                      </w:tcPr>
                      <w:p>
                        <w:pPr>
                          <w:pStyle w:val="TableParagraph"/>
                          <w:ind w:left="124" w:right="111"/>
                          <w:rPr>
                            <w:sz w:val="15"/>
                          </w:rPr>
                        </w:pPr>
                        <w:r>
                          <w:rPr>
                            <w:sz w:val="15"/>
                          </w:rPr>
                          <w:t>Fipronil, desparasitación,</w:t>
                        </w:r>
                      </w:p>
                    </w:tc>
                    <w:tc>
                      <w:tcPr>
                        <w:tcW w:w="1007" w:type="dxa"/>
                        <w:tcBorders>
                          <w:top w:val="single" w:sz="4" w:space="0" w:color="000000"/>
                        </w:tcBorders>
                      </w:tcPr>
                      <w:p>
                        <w:pPr>
                          <w:pStyle w:val="TableParagraph"/>
                          <w:ind w:right="338"/>
                          <w:jc w:val="right"/>
                          <w:rPr>
                            <w:sz w:val="15"/>
                          </w:rPr>
                        </w:pPr>
                        <w:r>
                          <w:rPr>
                            <w:sz w:val="15"/>
                          </w:rPr>
                          <w:t>57 a 17</w:t>
                        </w:r>
                      </w:p>
                    </w:tc>
                    <w:tc>
                      <w:tcPr>
                        <w:tcW w:w="797" w:type="dxa"/>
                        <w:tcBorders>
                          <w:top w:val="single" w:sz="4" w:space="0" w:color="000000"/>
                        </w:tcBorders>
                      </w:tcPr>
                      <w:p>
                        <w:pPr/>
                      </w:p>
                    </w:tc>
                    <w:tc>
                      <w:tcPr>
                        <w:tcW w:w="1137" w:type="dxa"/>
                        <w:tcBorders>
                          <w:top w:val="single" w:sz="4" w:space="0" w:color="000000"/>
                        </w:tcBorders>
                      </w:tcPr>
                      <w:p>
                        <w:pPr>
                          <w:pStyle w:val="TableParagraph"/>
                          <w:ind w:right="191"/>
                          <w:jc w:val="right"/>
                          <w:rPr>
                            <w:sz w:val="15"/>
                          </w:rPr>
                        </w:pPr>
                        <w:r>
                          <w:rPr>
                            <w:sz w:val="15"/>
                          </w:rPr>
                          <w:t>Alérgenos</w:t>
                        </w:r>
                      </w:p>
                    </w:tc>
                  </w:tr>
                  <w:tr>
                    <w:trPr>
                      <w:trHeight w:val="346" w:hRule="exact"/>
                    </w:trPr>
                    <w:tc>
                      <w:tcPr>
                        <w:tcW w:w="684" w:type="dxa"/>
                        <w:tcBorders>
                          <w:bottom w:val="single" w:sz="4" w:space="0" w:color="000000"/>
                        </w:tcBorders>
                      </w:tcPr>
                      <w:p>
                        <w:pPr/>
                      </w:p>
                    </w:tc>
                    <w:tc>
                      <w:tcPr>
                        <w:tcW w:w="662" w:type="dxa"/>
                        <w:tcBorders>
                          <w:bottom w:val="single" w:sz="4" w:space="0" w:color="000000"/>
                        </w:tcBorders>
                      </w:tcPr>
                      <w:p>
                        <w:pPr/>
                      </w:p>
                    </w:tc>
                    <w:tc>
                      <w:tcPr>
                        <w:tcW w:w="1054" w:type="dxa"/>
                        <w:tcBorders>
                          <w:bottom w:val="single" w:sz="4" w:space="0" w:color="000000"/>
                        </w:tcBorders>
                      </w:tcPr>
                      <w:p>
                        <w:pPr>
                          <w:pStyle w:val="TableParagraph"/>
                          <w:spacing w:line="168" w:lineRule="exact" w:before="0"/>
                          <w:ind w:left="331"/>
                          <w:rPr>
                            <w:sz w:val="15"/>
                          </w:rPr>
                        </w:pPr>
                        <w:r>
                          <w:rPr>
                            <w:sz w:val="15"/>
                          </w:rPr>
                          <w:t>terrier</w:t>
                        </w:r>
                      </w:p>
                    </w:tc>
                    <w:tc>
                      <w:tcPr>
                        <w:tcW w:w="546" w:type="dxa"/>
                        <w:tcBorders>
                          <w:bottom w:val="single" w:sz="4" w:space="0" w:color="000000"/>
                        </w:tcBorders>
                      </w:tcPr>
                      <w:p>
                        <w:pPr/>
                      </w:p>
                    </w:tc>
                    <w:tc>
                      <w:tcPr>
                        <w:tcW w:w="2409" w:type="dxa"/>
                        <w:tcBorders>
                          <w:bottom w:val="single" w:sz="4" w:space="0" w:color="000000"/>
                        </w:tcBorders>
                      </w:tcPr>
                      <w:p>
                        <w:pPr>
                          <w:pStyle w:val="TableParagraph"/>
                          <w:spacing w:line="242" w:lineRule="auto" w:before="0"/>
                          <w:ind w:left="235"/>
                          <w:rPr>
                            <w:sz w:val="15"/>
                          </w:rPr>
                        </w:pPr>
                        <w:r>
                          <w:rPr>
                            <w:sz w:val="15"/>
                          </w:rPr>
                          <w:t>pulgas y ácaros externos, dieta de eliminación</w:t>
                        </w:r>
                      </w:p>
                    </w:tc>
                    <w:tc>
                      <w:tcPr>
                        <w:tcW w:w="1811" w:type="dxa"/>
                        <w:tcBorders>
                          <w:bottom w:val="single" w:sz="4" w:space="0" w:color="000000"/>
                        </w:tcBorders>
                      </w:tcPr>
                      <w:p>
                        <w:pPr>
                          <w:pStyle w:val="TableParagraph"/>
                          <w:spacing w:line="242" w:lineRule="auto" w:before="0"/>
                          <w:ind w:left="124" w:right="111"/>
                          <w:rPr>
                            <w:sz w:val="15"/>
                          </w:rPr>
                        </w:pPr>
                        <w:r>
                          <w:rPr>
                            <w:sz w:val="15"/>
                          </w:rPr>
                          <w:t>allergroom , dieta de eliminación</w:t>
                        </w:r>
                      </w:p>
                    </w:tc>
                    <w:tc>
                      <w:tcPr>
                        <w:tcW w:w="1007" w:type="dxa"/>
                        <w:tcBorders>
                          <w:bottom w:val="single" w:sz="4" w:space="0" w:color="000000"/>
                        </w:tcBorders>
                      </w:tcPr>
                      <w:p>
                        <w:pPr>
                          <w:pStyle w:val="TableParagraph"/>
                          <w:spacing w:line="168" w:lineRule="exact" w:before="0"/>
                          <w:ind w:left="238"/>
                          <w:rPr>
                            <w:sz w:val="15"/>
                          </w:rPr>
                        </w:pPr>
                        <w:r>
                          <w:rPr>
                            <w:sz w:val="15"/>
                          </w:rPr>
                          <w:t>-70  %</w:t>
                        </w:r>
                      </w:p>
                    </w:tc>
                    <w:tc>
                      <w:tcPr>
                        <w:tcW w:w="797" w:type="dxa"/>
                        <w:tcBorders>
                          <w:bottom w:val="single" w:sz="4" w:space="0" w:color="000000"/>
                        </w:tcBorders>
                      </w:tcPr>
                      <w:p>
                        <w:pPr>
                          <w:pStyle w:val="TableParagraph"/>
                          <w:spacing w:line="168" w:lineRule="exact" w:before="0"/>
                          <w:ind w:left="244" w:right="212"/>
                          <w:jc w:val="center"/>
                          <w:rPr>
                            <w:sz w:val="15"/>
                          </w:rPr>
                        </w:pPr>
                        <w:r>
                          <w:rPr>
                            <w:w w:val="100"/>
                            <w:sz w:val="15"/>
                          </w:rPr>
                          <w:t>6</w:t>
                        </w:r>
                        <w:r>
                          <w:rPr>
                            <w:rFonts w:ascii="Arial"/>
                            <w:spacing w:val="1"/>
                            <w:w w:val="355"/>
                            <w:sz w:val="15"/>
                          </w:rPr>
                          <w:t>!</w:t>
                        </w:r>
                        <w:r>
                          <w:rPr>
                            <w:w w:val="100"/>
                            <w:sz w:val="15"/>
                          </w:rPr>
                          <w:t>2</w:t>
                        </w:r>
                      </w:p>
                    </w:tc>
                    <w:tc>
                      <w:tcPr>
                        <w:tcW w:w="1137" w:type="dxa"/>
                        <w:tcBorders>
                          <w:bottom w:val="single" w:sz="4" w:space="0" w:color="000000"/>
                        </w:tcBorders>
                      </w:tcPr>
                      <w:p>
                        <w:pPr>
                          <w:pStyle w:val="TableParagraph"/>
                          <w:spacing w:line="168" w:lineRule="exact" w:before="0"/>
                          <w:ind w:right="107"/>
                          <w:jc w:val="right"/>
                          <w:rPr>
                            <w:sz w:val="15"/>
                          </w:rPr>
                        </w:pPr>
                        <w:r>
                          <w:rPr>
                            <w:sz w:val="15"/>
                          </w:rPr>
                          <w:t>Alimentarios</w:t>
                        </w:r>
                      </w:p>
                    </w:tc>
                  </w:tr>
                  <w:tr>
                    <w:trPr>
                      <w:trHeight w:val="189" w:hRule="exact"/>
                    </w:trPr>
                    <w:tc>
                      <w:tcPr>
                        <w:tcW w:w="684" w:type="dxa"/>
                        <w:tcBorders>
                          <w:top w:val="single" w:sz="4" w:space="0" w:color="000000"/>
                        </w:tcBorders>
                      </w:tcPr>
                      <w:p>
                        <w:pPr>
                          <w:pStyle w:val="TableParagraph"/>
                          <w:ind w:left="256"/>
                          <w:rPr>
                            <w:sz w:val="15"/>
                          </w:rPr>
                        </w:pPr>
                        <w:r>
                          <w:rPr>
                            <w:w w:val="100"/>
                            <w:sz w:val="15"/>
                          </w:rPr>
                          <w:t>M</w:t>
                        </w:r>
                      </w:p>
                    </w:tc>
                    <w:tc>
                      <w:tcPr>
                        <w:tcW w:w="662" w:type="dxa"/>
                        <w:tcBorders>
                          <w:top w:val="single" w:sz="4" w:space="0" w:color="000000"/>
                        </w:tcBorders>
                      </w:tcPr>
                      <w:p>
                        <w:pPr>
                          <w:pStyle w:val="TableParagraph"/>
                          <w:ind w:right="253"/>
                          <w:jc w:val="right"/>
                          <w:rPr>
                            <w:sz w:val="15"/>
                          </w:rPr>
                        </w:pPr>
                        <w:r>
                          <w:rPr>
                            <w:w w:val="100"/>
                            <w:sz w:val="15"/>
                          </w:rPr>
                          <w:t>3</w:t>
                        </w:r>
                      </w:p>
                    </w:tc>
                    <w:tc>
                      <w:tcPr>
                        <w:tcW w:w="1054" w:type="dxa"/>
                        <w:tcBorders>
                          <w:top w:val="single" w:sz="4" w:space="0" w:color="000000"/>
                        </w:tcBorders>
                      </w:tcPr>
                      <w:p>
                        <w:pPr>
                          <w:pStyle w:val="TableParagraph"/>
                          <w:ind w:right="233"/>
                          <w:jc w:val="right"/>
                          <w:rPr>
                            <w:sz w:val="15"/>
                          </w:rPr>
                        </w:pPr>
                        <w:r>
                          <w:rPr>
                            <w:sz w:val="15"/>
                          </w:rPr>
                          <w:t>Cocker S.</w:t>
                        </w:r>
                      </w:p>
                    </w:tc>
                    <w:tc>
                      <w:tcPr>
                        <w:tcW w:w="546" w:type="dxa"/>
                        <w:tcBorders>
                          <w:top w:val="single" w:sz="4" w:space="0" w:color="000000"/>
                        </w:tcBorders>
                      </w:tcPr>
                      <w:p>
                        <w:pPr>
                          <w:pStyle w:val="TableParagraph"/>
                          <w:jc w:val="center"/>
                          <w:rPr>
                            <w:sz w:val="15"/>
                          </w:rPr>
                        </w:pPr>
                        <w:r>
                          <w:rPr>
                            <w:w w:val="100"/>
                            <w:sz w:val="15"/>
                          </w:rPr>
                          <w:t>7</w:t>
                        </w:r>
                      </w:p>
                    </w:tc>
                    <w:tc>
                      <w:tcPr>
                        <w:tcW w:w="2409" w:type="dxa"/>
                        <w:tcBorders>
                          <w:top w:val="single" w:sz="4" w:space="0" w:color="000000"/>
                        </w:tcBorders>
                      </w:tcPr>
                      <w:p>
                        <w:pPr>
                          <w:pStyle w:val="TableParagraph"/>
                          <w:ind w:left="235"/>
                          <w:rPr>
                            <w:sz w:val="15"/>
                          </w:rPr>
                        </w:pPr>
                        <w:r>
                          <w:rPr>
                            <w:sz w:val="15"/>
                          </w:rPr>
                          <w:t>Estudio cutáneo, tratamiento</w:t>
                        </w:r>
                      </w:p>
                    </w:tc>
                    <w:tc>
                      <w:tcPr>
                        <w:tcW w:w="1811" w:type="dxa"/>
                        <w:tcBorders>
                          <w:top w:val="single" w:sz="4" w:space="0" w:color="000000"/>
                        </w:tcBorders>
                      </w:tcPr>
                      <w:p>
                        <w:pPr>
                          <w:pStyle w:val="TableParagraph"/>
                          <w:ind w:left="124" w:right="111"/>
                          <w:rPr>
                            <w:sz w:val="15"/>
                          </w:rPr>
                        </w:pPr>
                        <w:r>
                          <w:rPr>
                            <w:sz w:val="15"/>
                          </w:rPr>
                          <w:t>Itraconazol, cefalexina,</w:t>
                        </w:r>
                      </w:p>
                    </w:tc>
                    <w:tc>
                      <w:tcPr>
                        <w:tcW w:w="1007" w:type="dxa"/>
                        <w:tcBorders>
                          <w:top w:val="single" w:sz="4" w:space="0" w:color="000000"/>
                        </w:tcBorders>
                      </w:tcPr>
                      <w:p>
                        <w:pPr>
                          <w:pStyle w:val="TableParagraph"/>
                          <w:ind w:right="338"/>
                          <w:jc w:val="right"/>
                          <w:rPr>
                            <w:sz w:val="15"/>
                          </w:rPr>
                        </w:pPr>
                        <w:r>
                          <w:rPr>
                            <w:sz w:val="15"/>
                          </w:rPr>
                          <w:t>84 a 42</w:t>
                        </w:r>
                      </w:p>
                    </w:tc>
                    <w:tc>
                      <w:tcPr>
                        <w:tcW w:w="797" w:type="dxa"/>
                        <w:tcBorders>
                          <w:top w:val="single" w:sz="4" w:space="0" w:color="000000"/>
                        </w:tcBorders>
                      </w:tcPr>
                      <w:p>
                        <w:pPr/>
                      </w:p>
                    </w:tc>
                    <w:tc>
                      <w:tcPr>
                        <w:tcW w:w="1137" w:type="dxa"/>
                        <w:tcBorders>
                          <w:top w:val="single" w:sz="4" w:space="0" w:color="000000"/>
                        </w:tcBorders>
                      </w:tcPr>
                      <w:p>
                        <w:pPr>
                          <w:pStyle w:val="TableParagraph"/>
                          <w:ind w:right="119"/>
                          <w:jc w:val="right"/>
                          <w:rPr>
                            <w:sz w:val="15"/>
                          </w:rPr>
                        </w:pPr>
                        <w:r>
                          <w:rPr>
                            <w:sz w:val="15"/>
                          </w:rPr>
                          <w:t>Ambientales</w:t>
                        </w:r>
                      </w:p>
                    </w:tc>
                  </w:tr>
                  <w:tr>
                    <w:trPr>
                      <w:trHeight w:val="346" w:hRule="exact"/>
                    </w:trPr>
                    <w:tc>
                      <w:tcPr>
                        <w:tcW w:w="684" w:type="dxa"/>
                        <w:tcBorders>
                          <w:bottom w:val="single" w:sz="4" w:space="0" w:color="000000"/>
                        </w:tcBorders>
                      </w:tcPr>
                      <w:p>
                        <w:pPr/>
                      </w:p>
                    </w:tc>
                    <w:tc>
                      <w:tcPr>
                        <w:tcW w:w="662" w:type="dxa"/>
                        <w:tcBorders>
                          <w:bottom w:val="single" w:sz="4" w:space="0" w:color="000000"/>
                        </w:tcBorders>
                      </w:tcPr>
                      <w:p>
                        <w:pPr/>
                      </w:p>
                    </w:tc>
                    <w:tc>
                      <w:tcPr>
                        <w:tcW w:w="1054" w:type="dxa"/>
                        <w:tcBorders>
                          <w:bottom w:val="single" w:sz="4" w:space="0" w:color="000000"/>
                        </w:tcBorders>
                      </w:tcPr>
                      <w:p>
                        <w:pPr/>
                      </w:p>
                    </w:tc>
                    <w:tc>
                      <w:tcPr>
                        <w:tcW w:w="546" w:type="dxa"/>
                        <w:tcBorders>
                          <w:bottom w:val="single" w:sz="4" w:space="0" w:color="000000"/>
                        </w:tcBorders>
                      </w:tcPr>
                      <w:p>
                        <w:pPr/>
                      </w:p>
                    </w:tc>
                    <w:tc>
                      <w:tcPr>
                        <w:tcW w:w="2409" w:type="dxa"/>
                        <w:tcBorders>
                          <w:bottom w:val="single" w:sz="4" w:space="0" w:color="000000"/>
                        </w:tcBorders>
                      </w:tcPr>
                      <w:p>
                        <w:pPr>
                          <w:pStyle w:val="TableParagraph"/>
                          <w:spacing w:line="242" w:lineRule="auto" w:before="0"/>
                          <w:ind w:left="235"/>
                          <w:rPr>
                            <w:sz w:val="15"/>
                          </w:rPr>
                        </w:pPr>
                        <w:r>
                          <w:rPr>
                            <w:sz w:val="15"/>
                          </w:rPr>
                          <w:t>bacterias y levaduras, dieta de eliminación</w:t>
                        </w:r>
                      </w:p>
                    </w:tc>
                    <w:tc>
                      <w:tcPr>
                        <w:tcW w:w="1811" w:type="dxa"/>
                        <w:tcBorders>
                          <w:bottom w:val="single" w:sz="4" w:space="0" w:color="000000"/>
                        </w:tcBorders>
                      </w:tcPr>
                      <w:p>
                        <w:pPr>
                          <w:pStyle w:val="TableParagraph"/>
                          <w:spacing w:line="242" w:lineRule="auto" w:before="0"/>
                          <w:ind w:left="124" w:right="111"/>
                          <w:rPr>
                            <w:sz w:val="15"/>
                          </w:rPr>
                        </w:pPr>
                        <w:r>
                          <w:rPr>
                            <w:sz w:val="15"/>
                          </w:rPr>
                          <w:t>allergroom, dieta de eliminación</w:t>
                        </w:r>
                      </w:p>
                    </w:tc>
                    <w:tc>
                      <w:tcPr>
                        <w:tcW w:w="1007" w:type="dxa"/>
                        <w:tcBorders>
                          <w:bottom w:val="single" w:sz="4" w:space="0" w:color="000000"/>
                        </w:tcBorders>
                      </w:tcPr>
                      <w:p>
                        <w:pPr>
                          <w:pStyle w:val="TableParagraph"/>
                          <w:spacing w:line="168" w:lineRule="exact" w:before="0"/>
                          <w:ind w:left="276"/>
                          <w:rPr>
                            <w:sz w:val="15"/>
                          </w:rPr>
                        </w:pPr>
                        <w:r>
                          <w:rPr>
                            <w:sz w:val="15"/>
                          </w:rPr>
                          <w:t>-50%</w:t>
                        </w:r>
                      </w:p>
                    </w:tc>
                    <w:tc>
                      <w:tcPr>
                        <w:tcW w:w="797" w:type="dxa"/>
                        <w:tcBorders>
                          <w:bottom w:val="single" w:sz="4" w:space="0" w:color="000000"/>
                        </w:tcBorders>
                      </w:tcPr>
                      <w:p>
                        <w:pPr>
                          <w:pStyle w:val="TableParagraph"/>
                          <w:spacing w:line="168" w:lineRule="exact" w:before="0"/>
                          <w:ind w:left="244" w:right="212"/>
                          <w:jc w:val="center"/>
                          <w:rPr>
                            <w:sz w:val="15"/>
                          </w:rPr>
                        </w:pPr>
                        <w:r>
                          <w:rPr>
                            <w:w w:val="100"/>
                            <w:sz w:val="15"/>
                          </w:rPr>
                          <w:t>6</w:t>
                        </w:r>
                        <w:r>
                          <w:rPr>
                            <w:rFonts w:ascii="Arial"/>
                            <w:spacing w:val="1"/>
                            <w:w w:val="355"/>
                            <w:sz w:val="15"/>
                          </w:rPr>
                          <w:t>!</w:t>
                        </w:r>
                        <w:r>
                          <w:rPr>
                            <w:w w:val="100"/>
                            <w:sz w:val="15"/>
                          </w:rPr>
                          <w:t>3</w:t>
                        </w:r>
                      </w:p>
                    </w:tc>
                    <w:tc>
                      <w:tcPr>
                        <w:tcW w:w="1137" w:type="dxa"/>
                        <w:tcBorders>
                          <w:bottom w:val="single" w:sz="4" w:space="0" w:color="000000"/>
                        </w:tcBorders>
                      </w:tcPr>
                      <w:p>
                        <w:pPr>
                          <w:pStyle w:val="TableParagraph"/>
                          <w:spacing w:line="168" w:lineRule="exact" w:before="0"/>
                          <w:ind w:right="107"/>
                          <w:jc w:val="right"/>
                          <w:rPr>
                            <w:sz w:val="15"/>
                          </w:rPr>
                        </w:pPr>
                        <w:r>
                          <w:rPr>
                            <w:sz w:val="15"/>
                          </w:rPr>
                          <w:t>Alimentarios</w:t>
                        </w:r>
                      </w:p>
                    </w:tc>
                  </w:tr>
                  <w:tr>
                    <w:trPr>
                      <w:trHeight w:val="362" w:hRule="exact"/>
                    </w:trPr>
                    <w:tc>
                      <w:tcPr>
                        <w:tcW w:w="684" w:type="dxa"/>
                        <w:tcBorders>
                          <w:top w:val="single" w:sz="4" w:space="0" w:color="000000"/>
                          <w:bottom w:val="single" w:sz="4" w:space="0" w:color="000000"/>
                        </w:tcBorders>
                      </w:tcPr>
                      <w:p>
                        <w:pPr>
                          <w:pStyle w:val="TableParagraph"/>
                          <w:spacing w:before="6"/>
                          <w:ind w:left="269"/>
                          <w:rPr>
                            <w:sz w:val="15"/>
                          </w:rPr>
                        </w:pPr>
                        <w:r>
                          <w:rPr>
                            <w:w w:val="100"/>
                            <w:sz w:val="15"/>
                          </w:rPr>
                          <w:t>H</w:t>
                        </w:r>
                      </w:p>
                    </w:tc>
                    <w:tc>
                      <w:tcPr>
                        <w:tcW w:w="662" w:type="dxa"/>
                        <w:tcBorders>
                          <w:top w:val="single" w:sz="4" w:space="0" w:color="000000"/>
                          <w:bottom w:val="single" w:sz="4" w:space="0" w:color="000000"/>
                        </w:tcBorders>
                      </w:tcPr>
                      <w:p>
                        <w:pPr>
                          <w:pStyle w:val="TableParagraph"/>
                          <w:spacing w:before="6"/>
                          <w:ind w:right="253"/>
                          <w:jc w:val="right"/>
                          <w:rPr>
                            <w:sz w:val="15"/>
                          </w:rPr>
                        </w:pPr>
                        <w:r>
                          <w:rPr>
                            <w:w w:val="100"/>
                            <w:sz w:val="15"/>
                          </w:rPr>
                          <w:t>3</w:t>
                        </w:r>
                      </w:p>
                    </w:tc>
                    <w:tc>
                      <w:tcPr>
                        <w:tcW w:w="1054" w:type="dxa"/>
                        <w:tcBorders>
                          <w:top w:val="single" w:sz="4" w:space="0" w:color="000000"/>
                          <w:bottom w:val="single" w:sz="4" w:space="0" w:color="000000"/>
                        </w:tcBorders>
                      </w:tcPr>
                      <w:p>
                        <w:pPr>
                          <w:pStyle w:val="TableParagraph"/>
                          <w:spacing w:before="6"/>
                          <w:ind w:right="244"/>
                          <w:jc w:val="right"/>
                          <w:rPr>
                            <w:sz w:val="15"/>
                          </w:rPr>
                        </w:pPr>
                        <w:r>
                          <w:rPr>
                            <w:sz w:val="15"/>
                          </w:rPr>
                          <w:t>Akita Inu</w:t>
                        </w:r>
                      </w:p>
                    </w:tc>
                    <w:tc>
                      <w:tcPr>
                        <w:tcW w:w="546" w:type="dxa"/>
                        <w:tcBorders>
                          <w:top w:val="single" w:sz="4" w:space="0" w:color="000000"/>
                          <w:bottom w:val="single" w:sz="4" w:space="0" w:color="000000"/>
                        </w:tcBorders>
                      </w:tcPr>
                      <w:p>
                        <w:pPr>
                          <w:pStyle w:val="TableParagraph"/>
                          <w:spacing w:before="6"/>
                          <w:jc w:val="center"/>
                          <w:rPr>
                            <w:sz w:val="15"/>
                          </w:rPr>
                        </w:pPr>
                        <w:r>
                          <w:rPr>
                            <w:w w:val="100"/>
                            <w:sz w:val="15"/>
                          </w:rPr>
                          <w:t>5</w:t>
                        </w:r>
                      </w:p>
                    </w:tc>
                    <w:tc>
                      <w:tcPr>
                        <w:tcW w:w="2409" w:type="dxa"/>
                        <w:tcBorders>
                          <w:top w:val="single" w:sz="4" w:space="0" w:color="000000"/>
                          <w:bottom w:val="single" w:sz="4" w:space="0" w:color="000000"/>
                        </w:tcBorders>
                      </w:tcPr>
                      <w:p>
                        <w:pPr>
                          <w:pStyle w:val="TableParagraph"/>
                          <w:spacing w:before="6"/>
                          <w:ind w:left="235"/>
                          <w:rPr>
                            <w:sz w:val="15"/>
                          </w:rPr>
                        </w:pPr>
                        <w:r>
                          <w:rPr>
                            <w:sz w:val="15"/>
                          </w:rPr>
                          <w:t>Estudio cutáneo, dieta de eliminación</w:t>
                        </w:r>
                      </w:p>
                    </w:tc>
                    <w:tc>
                      <w:tcPr>
                        <w:tcW w:w="1811" w:type="dxa"/>
                        <w:tcBorders>
                          <w:top w:val="single" w:sz="4" w:space="0" w:color="000000"/>
                          <w:bottom w:val="single" w:sz="4" w:space="0" w:color="000000"/>
                        </w:tcBorders>
                      </w:tcPr>
                      <w:p>
                        <w:pPr>
                          <w:pStyle w:val="TableParagraph"/>
                          <w:spacing w:before="6"/>
                          <w:ind w:left="124" w:right="111"/>
                          <w:rPr>
                            <w:sz w:val="15"/>
                          </w:rPr>
                        </w:pPr>
                        <w:r>
                          <w:rPr>
                            <w:sz w:val="15"/>
                          </w:rPr>
                          <w:t>Avena coloidal, dieta de eliminación</w:t>
                        </w:r>
                      </w:p>
                    </w:tc>
                    <w:tc>
                      <w:tcPr>
                        <w:tcW w:w="1007" w:type="dxa"/>
                        <w:tcBorders>
                          <w:top w:val="single" w:sz="4" w:space="0" w:color="000000"/>
                          <w:bottom w:val="single" w:sz="4" w:space="0" w:color="000000"/>
                        </w:tcBorders>
                      </w:tcPr>
                      <w:p>
                        <w:pPr>
                          <w:pStyle w:val="TableParagraph"/>
                          <w:spacing w:before="6"/>
                          <w:ind w:left="217"/>
                          <w:rPr>
                            <w:sz w:val="15"/>
                          </w:rPr>
                        </w:pPr>
                        <w:r>
                          <w:rPr>
                            <w:sz w:val="15"/>
                          </w:rPr>
                          <w:t>38 a 31</w:t>
                        </w:r>
                      </w:p>
                      <w:p>
                        <w:pPr>
                          <w:pStyle w:val="TableParagraph"/>
                          <w:spacing w:before="1"/>
                          <w:ind w:left="276"/>
                          <w:rPr>
                            <w:sz w:val="15"/>
                          </w:rPr>
                        </w:pPr>
                        <w:r>
                          <w:rPr>
                            <w:sz w:val="15"/>
                          </w:rPr>
                          <w:t>-18%</w:t>
                        </w:r>
                      </w:p>
                    </w:tc>
                    <w:tc>
                      <w:tcPr>
                        <w:tcW w:w="797" w:type="dxa"/>
                        <w:tcBorders>
                          <w:top w:val="single" w:sz="4" w:space="0" w:color="000000"/>
                          <w:bottom w:val="single" w:sz="4" w:space="0" w:color="000000"/>
                        </w:tcBorders>
                      </w:tcPr>
                      <w:p>
                        <w:pPr>
                          <w:pStyle w:val="TableParagraph"/>
                          <w:spacing w:before="5"/>
                          <w:ind w:left="244" w:right="212"/>
                          <w:jc w:val="center"/>
                          <w:rPr>
                            <w:sz w:val="15"/>
                          </w:rPr>
                        </w:pPr>
                        <w:r>
                          <w:rPr>
                            <w:w w:val="100"/>
                            <w:sz w:val="15"/>
                          </w:rPr>
                          <w:t>6</w:t>
                        </w:r>
                        <w:r>
                          <w:rPr>
                            <w:rFonts w:ascii="Arial"/>
                            <w:spacing w:val="1"/>
                            <w:w w:val="355"/>
                            <w:sz w:val="15"/>
                          </w:rPr>
                          <w:t>!</w:t>
                        </w:r>
                        <w:r>
                          <w:rPr>
                            <w:w w:val="100"/>
                            <w:sz w:val="15"/>
                          </w:rPr>
                          <w:t>5</w:t>
                        </w:r>
                      </w:p>
                    </w:tc>
                    <w:tc>
                      <w:tcPr>
                        <w:tcW w:w="1137" w:type="dxa"/>
                        <w:tcBorders>
                          <w:top w:val="single" w:sz="4" w:space="0" w:color="000000"/>
                          <w:bottom w:val="single" w:sz="4" w:space="0" w:color="000000"/>
                        </w:tcBorders>
                      </w:tcPr>
                      <w:p>
                        <w:pPr>
                          <w:pStyle w:val="TableParagraph"/>
                          <w:spacing w:before="6"/>
                          <w:ind w:right="119"/>
                          <w:jc w:val="right"/>
                          <w:rPr>
                            <w:sz w:val="15"/>
                          </w:rPr>
                        </w:pPr>
                        <w:r>
                          <w:rPr>
                            <w:sz w:val="15"/>
                          </w:rPr>
                          <w:t>Ambientales</w:t>
                        </w:r>
                      </w:p>
                    </w:tc>
                  </w:tr>
                </w:tbl>
                <w:p>
                  <w:pPr>
                    <w:pStyle w:val="BodyText"/>
                  </w:pPr>
                </w:p>
              </w:txbxContent>
            </v:textbox>
            <w10:wrap type="none"/>
          </v:shape>
        </w:pict>
      </w:r>
      <w:r>
        <w:rPr>
          <w:sz w:val="15"/>
        </w:rPr>
        <w:t>-72%</w:t>
      </w:r>
    </w:p>
    <w:p>
      <w:pPr>
        <w:tabs>
          <w:tab w:pos="1128" w:val="left" w:leader="none"/>
        </w:tabs>
        <w:spacing w:before="170"/>
        <w:ind w:left="364" w:right="0" w:firstLine="0"/>
        <w:jc w:val="left"/>
        <w:rPr>
          <w:sz w:val="15"/>
        </w:rPr>
      </w:pPr>
      <w:r>
        <w:rPr/>
        <w:br w:type="column"/>
      </w:r>
      <w:r>
        <w:rPr>
          <w:w w:val="100"/>
          <w:sz w:val="15"/>
        </w:rPr>
        <w:t>6</w:t>
      </w:r>
      <w:r>
        <w:rPr>
          <w:rFonts w:ascii="Arial"/>
          <w:spacing w:val="1"/>
          <w:w w:val="355"/>
          <w:sz w:val="15"/>
        </w:rPr>
        <w:t>!</w:t>
      </w:r>
      <w:r>
        <w:rPr>
          <w:w w:val="100"/>
          <w:sz w:val="15"/>
        </w:rPr>
        <w:t>2</w:t>
      </w:r>
      <w:r>
        <w:rPr>
          <w:sz w:val="15"/>
        </w:rPr>
        <w:tab/>
      </w:r>
      <w:r>
        <w:rPr>
          <w:spacing w:val="1"/>
          <w:w w:val="100"/>
          <w:sz w:val="15"/>
        </w:rPr>
        <w:t>A</w:t>
      </w:r>
      <w:r>
        <w:rPr>
          <w:w w:val="100"/>
          <w:sz w:val="15"/>
        </w:rPr>
        <w:t>li</w:t>
      </w:r>
      <w:r>
        <w:rPr>
          <w:spacing w:val="1"/>
          <w:w w:val="100"/>
          <w:sz w:val="15"/>
        </w:rPr>
        <w:t>m</w:t>
      </w:r>
      <w:r>
        <w:rPr>
          <w:w w:val="100"/>
          <w:sz w:val="15"/>
        </w:rPr>
        <w:t>entarios</w:t>
      </w:r>
    </w:p>
    <w:p>
      <w:pPr>
        <w:spacing w:after="0"/>
        <w:jc w:val="left"/>
        <w:rPr>
          <w:sz w:val="15"/>
        </w:rPr>
        <w:sectPr>
          <w:type w:val="continuous"/>
          <w:pgSz w:w="12240" w:h="15840"/>
          <w:pgMar w:top="1500" w:bottom="280" w:left="1140" w:right="780"/>
          <w:cols w:num="5" w:equalWidth="0">
            <w:col w:w="2820" w:space="105"/>
            <w:col w:w="2414" w:space="40"/>
            <w:col w:w="1704" w:space="43"/>
            <w:col w:w="814" w:space="241"/>
            <w:col w:w="2139"/>
          </w:cols>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63" w:lineRule="exact" w:before="175"/>
        <w:ind w:left="785" w:right="0" w:firstLine="0"/>
        <w:jc w:val="both"/>
        <w:rPr>
          <w:b/>
          <w:sz w:val="23"/>
        </w:rPr>
      </w:pPr>
      <w:r>
        <w:rPr>
          <w:b/>
          <w:sz w:val="23"/>
        </w:rPr>
        <w:t>Discusión</w:t>
      </w:r>
    </w:p>
    <w:p>
      <w:pPr>
        <w:pStyle w:val="BodyText"/>
        <w:ind w:left="785" w:right="834"/>
        <w:jc w:val="both"/>
      </w:pPr>
      <w:r>
        <w:rPr/>
        <w:t>En los pacientes evaluados en el análisis retrospectivo, menos de la mitad tuvo un diagnóstico definitivo y no se evidenció una mejoría real, atribuido a la falta de un protocolo diagnóstico y de tratamiento que no permite la exclusión de otras enfermedades pruríticas, dando lugar a un aumento de variables, confusión diagnóstica, excesos o déficits terapéuticos.</w:t>
      </w:r>
    </w:p>
    <w:p>
      <w:pPr>
        <w:pStyle w:val="BodyText"/>
        <w:ind w:left="785" w:right="834"/>
        <w:jc w:val="both"/>
      </w:pPr>
      <w:r>
        <w:rPr/>
        <w:t>Los siete pacientes de nuevo ingreso estudiados fueron de razas y edades variables, con una edad media de 4 años, los criterios de inclusión utilizados en estos pacientes permitió aumentar la especificidad diagnóstica a un 85%; reduciendo considerablemente las variables en el diagnóstico (Favrot y col</w:t>
      </w:r>
      <w:r>
        <w:rPr>
          <w:spacing w:val="-22"/>
        </w:rPr>
        <w:t> </w:t>
      </w:r>
      <w:r>
        <w:rPr/>
        <w:t>2010).</w:t>
      </w:r>
    </w:p>
    <w:p>
      <w:pPr>
        <w:pStyle w:val="BodyText"/>
        <w:ind w:left="785" w:right="834"/>
        <w:jc w:val="both"/>
      </w:pPr>
      <w:r>
        <w:rPr/>
        <w:t>El protocolo diagnóstico establecido en todos los pacientes, al incluir el descarte de patologías infecciosas por medio del raspado cutáneo, tricografía y citología, así como el control de ecto y</w:t>
      </w:r>
      <w:r>
        <w:rPr>
          <w:spacing w:val="-3"/>
        </w:rPr>
        <w:t> </w:t>
      </w:r>
      <w:r>
        <w:rPr/>
        <w:t>endoparásitos</w:t>
      </w:r>
      <w:r>
        <w:rPr>
          <w:spacing w:val="-3"/>
        </w:rPr>
        <w:t> </w:t>
      </w:r>
      <w:r>
        <w:rPr/>
        <w:t>por</w:t>
      </w:r>
      <w:r>
        <w:rPr>
          <w:spacing w:val="-3"/>
        </w:rPr>
        <w:t> </w:t>
      </w:r>
      <w:r>
        <w:rPr/>
        <w:t>medio</w:t>
      </w:r>
      <w:r>
        <w:rPr>
          <w:spacing w:val="-3"/>
        </w:rPr>
        <w:t> </w:t>
      </w:r>
      <w:r>
        <w:rPr/>
        <w:t>de</w:t>
      </w:r>
      <w:r>
        <w:rPr>
          <w:spacing w:val="-3"/>
        </w:rPr>
        <w:t> </w:t>
      </w:r>
      <w:r>
        <w:rPr/>
        <w:t>desparasitantes</w:t>
      </w:r>
      <w:r>
        <w:rPr>
          <w:spacing w:val="-3"/>
        </w:rPr>
        <w:t> </w:t>
      </w:r>
      <w:r>
        <w:rPr/>
        <w:t>de</w:t>
      </w:r>
      <w:r>
        <w:rPr>
          <w:spacing w:val="-4"/>
        </w:rPr>
        <w:t> </w:t>
      </w:r>
      <w:r>
        <w:rPr/>
        <w:t>amplio</w:t>
      </w:r>
      <w:r>
        <w:rPr>
          <w:spacing w:val="-4"/>
        </w:rPr>
        <w:t> </w:t>
      </w:r>
      <w:r>
        <w:rPr/>
        <w:t>espectro</w:t>
      </w:r>
      <w:r>
        <w:rPr>
          <w:spacing w:val="-4"/>
        </w:rPr>
        <w:t> </w:t>
      </w:r>
      <w:r>
        <w:rPr/>
        <w:t>y</w:t>
      </w:r>
      <w:r>
        <w:rPr>
          <w:spacing w:val="-3"/>
        </w:rPr>
        <w:t> </w:t>
      </w:r>
      <w:r>
        <w:rPr/>
        <w:t>del</w:t>
      </w:r>
      <w:r>
        <w:rPr>
          <w:spacing w:val="-4"/>
        </w:rPr>
        <w:t> </w:t>
      </w:r>
      <w:r>
        <w:rPr/>
        <w:t>fipronil,</w:t>
      </w:r>
      <w:r>
        <w:rPr>
          <w:spacing w:val="-4"/>
        </w:rPr>
        <w:t> </w:t>
      </w:r>
      <w:r>
        <w:rPr/>
        <w:t>manteniendo</w:t>
      </w:r>
      <w:r>
        <w:rPr>
          <w:spacing w:val="-4"/>
        </w:rPr>
        <w:t> </w:t>
      </w:r>
      <w:r>
        <w:rPr/>
        <w:t>la higiene de la piel por medio de baños con shampoos no irritantes (Allermyl®, Allergroom®, Episoothe®) y exponiendo al paciente a dietas basadas en proteínas nuevas, se disminuye considerablemente la carga alergénica a la que el paciente se expone, por ello se observó una mejoría clínica en el 85% de los pacientes (Olivry y Marsellat 2007). Observaciones basadas en las recomendaciones del grupo de trabajo internacional de la dermatitis atópica canina, la escala de CADESI-03 proporciona un nivel aceptable de gravedad para la evaluación de signos de DA y una evaluación de numerosos sitios anatómicos afectados comúnmente por </w:t>
      </w:r>
      <w:r>
        <w:rPr>
          <w:spacing w:val="34"/>
        </w:rPr>
        <w:t> </w:t>
      </w:r>
      <w:r>
        <w:rPr/>
        <w:t>la</w:t>
      </w:r>
    </w:p>
    <w:p>
      <w:pPr>
        <w:pStyle w:val="BodyText"/>
        <w:rPr>
          <w:sz w:val="20"/>
        </w:rPr>
      </w:pPr>
    </w:p>
    <w:p>
      <w:pPr>
        <w:pStyle w:val="BodyText"/>
        <w:spacing w:before="3"/>
        <w:rPr>
          <w:sz w:val="22"/>
        </w:rPr>
      </w:pPr>
    </w:p>
    <w:p>
      <w:pPr>
        <w:spacing w:before="70"/>
        <w:ind w:left="0" w:right="834" w:firstLine="0"/>
        <w:jc w:val="right"/>
        <w:rPr>
          <w:rFonts w:ascii="Calibri"/>
          <w:sz w:val="20"/>
        </w:rPr>
      </w:pPr>
      <w:r>
        <w:rPr>
          <w:rFonts w:ascii="Calibri"/>
          <w:sz w:val="20"/>
        </w:rPr>
        <w:t>35</w:t>
      </w:r>
    </w:p>
    <w:p>
      <w:pPr>
        <w:spacing w:after="0"/>
        <w:jc w:val="right"/>
        <w:rPr>
          <w:rFonts w:ascii="Calibri"/>
          <w:sz w:val="20"/>
        </w:rPr>
        <w:sectPr>
          <w:type w:val="continuous"/>
          <w:pgSz w:w="12240" w:h="15840"/>
          <w:pgMar w:top="1500" w:bottom="280" w:left="1140" w:right="780"/>
        </w:sectPr>
      </w:pPr>
    </w:p>
    <w:p>
      <w:pPr>
        <w:pStyle w:val="BodyText"/>
        <w:spacing w:before="1"/>
        <w:rPr>
          <w:rFonts w:ascii="Calibri"/>
          <w:sz w:val="11"/>
        </w:rPr>
      </w:pPr>
    </w:p>
    <w:p>
      <w:pPr>
        <w:pStyle w:val="BodyText"/>
        <w:spacing w:before="69"/>
        <w:ind w:left="205" w:right="114"/>
        <w:jc w:val="both"/>
      </w:pPr>
      <w:r>
        <w:rPr/>
        <w:t>enfermedad. Para establecer la mejoría de los pacientes, se analizan los porcentajes de reducción del puntaje de los mismos, dichos porcentajes ya se encuentran establecidos para determinar la respuesta al tratamiento de los pacientes estudiados (Olivry y Marsellat 2007).</w:t>
      </w:r>
    </w:p>
    <w:p>
      <w:pPr>
        <w:pStyle w:val="BodyText"/>
        <w:spacing w:line="237" w:lineRule="auto" w:before="3"/>
        <w:ind w:left="205" w:right="114"/>
        <w:jc w:val="both"/>
      </w:pPr>
      <w:r>
        <w:rPr/>
        <w:t>La escala análoga visual del prurito es una herramienta simple para el conocimiento de la severidad del prurito con estimaciones ya validadas, por lo que la evaluación del paciente y su respuesta al tratamiento es evaluada objetivamente también por el propietario (Hill y col 2007).</w:t>
      </w:r>
    </w:p>
    <w:p>
      <w:pPr>
        <w:pStyle w:val="BodyText"/>
        <w:spacing w:before="1"/>
        <w:ind w:left="205" w:right="114"/>
        <w:jc w:val="both"/>
      </w:pPr>
      <w:r>
        <w:rPr/>
        <w:t>De acuerdo a lo reportado en la literatura, DA se exacerba más comúnmente con alérgenos ambientales, sin embargo con base a los resultados de este estudio, aparentemente el alimento resultó un factor importante como alérgeno inductor de la DA, ya que seis de siete pacientes (85%) tuvieron una respuesta clínicamente favorable al cambio de dieta. A la vista de los conocimientos sobre la DA, son múltiples los factores que pueden desencadenar o agravar</w:t>
      </w:r>
      <w:r>
        <w:rPr>
          <w:spacing w:val="-25"/>
        </w:rPr>
        <w:t> </w:t>
      </w:r>
      <w:r>
        <w:rPr/>
        <w:t>esta enfermedad y entre ellos es el factor alimentario, donde existe una sensibilización o puede ocurrir</w:t>
      </w:r>
      <w:r>
        <w:rPr>
          <w:spacing w:val="-4"/>
        </w:rPr>
        <w:t> </w:t>
      </w:r>
      <w:r>
        <w:rPr/>
        <w:t>que</w:t>
      </w:r>
      <w:r>
        <w:rPr>
          <w:spacing w:val="-4"/>
        </w:rPr>
        <w:t> </w:t>
      </w:r>
      <w:r>
        <w:rPr/>
        <w:t>favorezca</w:t>
      </w:r>
      <w:r>
        <w:rPr>
          <w:spacing w:val="-4"/>
        </w:rPr>
        <w:t> </w:t>
      </w:r>
      <w:r>
        <w:rPr/>
        <w:t>o</w:t>
      </w:r>
      <w:r>
        <w:rPr>
          <w:spacing w:val="-4"/>
        </w:rPr>
        <w:t> </w:t>
      </w:r>
      <w:r>
        <w:rPr/>
        <w:t>ponga</w:t>
      </w:r>
      <w:r>
        <w:rPr>
          <w:spacing w:val="-4"/>
        </w:rPr>
        <w:t> </w:t>
      </w:r>
      <w:r>
        <w:rPr/>
        <w:t>en</w:t>
      </w:r>
      <w:r>
        <w:rPr>
          <w:spacing w:val="-4"/>
        </w:rPr>
        <w:t> </w:t>
      </w:r>
      <w:r>
        <w:rPr/>
        <w:t>marcha</w:t>
      </w:r>
      <w:r>
        <w:rPr>
          <w:spacing w:val="-4"/>
        </w:rPr>
        <w:t> </w:t>
      </w:r>
      <w:r>
        <w:rPr/>
        <w:t>la</w:t>
      </w:r>
      <w:r>
        <w:rPr>
          <w:spacing w:val="-4"/>
        </w:rPr>
        <w:t> </w:t>
      </w:r>
      <w:r>
        <w:rPr/>
        <w:t>participación</w:t>
      </w:r>
      <w:r>
        <w:rPr>
          <w:spacing w:val="-4"/>
        </w:rPr>
        <w:t> </w:t>
      </w:r>
      <w:r>
        <w:rPr/>
        <w:t>de</w:t>
      </w:r>
      <w:r>
        <w:rPr>
          <w:spacing w:val="-4"/>
        </w:rPr>
        <w:t> </w:t>
      </w:r>
      <w:r>
        <w:rPr/>
        <w:t>otros</w:t>
      </w:r>
      <w:r>
        <w:rPr>
          <w:spacing w:val="-4"/>
        </w:rPr>
        <w:t> </w:t>
      </w:r>
      <w:r>
        <w:rPr/>
        <w:t>factores</w:t>
      </w:r>
      <w:r>
        <w:rPr>
          <w:spacing w:val="-4"/>
        </w:rPr>
        <w:t> </w:t>
      </w:r>
      <w:r>
        <w:rPr/>
        <w:t>(Fernández</w:t>
      </w:r>
      <w:r>
        <w:rPr>
          <w:spacing w:val="-4"/>
        </w:rPr>
        <w:t> </w:t>
      </w:r>
      <w:r>
        <w:rPr/>
        <w:t>2002).</w:t>
      </w:r>
    </w:p>
    <w:p>
      <w:pPr>
        <w:pStyle w:val="BodyText"/>
        <w:spacing w:before="8"/>
        <w:rPr>
          <w:sz w:val="22"/>
        </w:rPr>
      </w:pPr>
    </w:p>
    <w:p>
      <w:pPr>
        <w:spacing w:line="263" w:lineRule="exact" w:before="1"/>
        <w:ind w:left="205" w:right="0" w:firstLine="0"/>
        <w:jc w:val="both"/>
        <w:rPr>
          <w:b/>
          <w:sz w:val="23"/>
        </w:rPr>
      </w:pPr>
      <w:r>
        <w:rPr>
          <w:b/>
          <w:sz w:val="23"/>
        </w:rPr>
        <w:t>Conclusión</w:t>
      </w:r>
    </w:p>
    <w:p>
      <w:pPr>
        <w:pStyle w:val="BodyText"/>
        <w:ind w:left="205" w:right="114"/>
        <w:jc w:val="both"/>
      </w:pPr>
      <w:r>
        <w:rPr/>
        <w:t>La experiencia obtenida acerca de la evidencia de la efectividad del protocolo diagnóstico anteriormente mencionado es significativa, debido a que el 85% de los pacientes presentó mejoría real o parcial. En la escala de CADESI-03 se mostró que en los pacientes con dicha mejoría hubo una reducción mínima del 40%, por lo que se concluye que en los pacientes sospechosos de atopia, se debe de seguir rigurosamente el proceso de descarte y el control de factores agravantes para así llegar a un diagnóstico definitivo, conocer la carga alergénica causante de la DA y con ello una terapéutica individual y correctamente instaurada.</w:t>
      </w:r>
    </w:p>
    <w:p>
      <w:pPr>
        <w:pStyle w:val="BodyText"/>
        <w:spacing w:before="8"/>
        <w:rPr>
          <w:sz w:val="22"/>
        </w:rPr>
      </w:pPr>
    </w:p>
    <w:p>
      <w:pPr>
        <w:spacing w:before="1"/>
        <w:ind w:left="205" w:right="0" w:firstLine="0"/>
        <w:jc w:val="both"/>
        <w:rPr>
          <w:b/>
          <w:sz w:val="23"/>
        </w:rPr>
      </w:pPr>
      <w:r>
        <w:rPr>
          <w:b/>
          <w:sz w:val="23"/>
        </w:rPr>
        <w:t>Bibliografía</w:t>
      </w:r>
    </w:p>
    <w:p>
      <w:pPr>
        <w:pStyle w:val="ListParagraph"/>
        <w:numPr>
          <w:ilvl w:val="0"/>
          <w:numId w:val="4"/>
        </w:numPr>
        <w:tabs>
          <w:tab w:pos="892" w:val="left" w:leader="none"/>
        </w:tabs>
        <w:spacing w:line="260" w:lineRule="exact" w:before="7" w:after="0"/>
        <w:ind w:left="891" w:right="114" w:hanging="343"/>
        <w:jc w:val="both"/>
        <w:rPr>
          <w:sz w:val="23"/>
        </w:rPr>
      </w:pPr>
      <w:r>
        <w:rPr>
          <w:sz w:val="23"/>
        </w:rPr>
        <w:t>Olivry T, Deboer D, Food for thought: pondering the relationship between canine atopic</w:t>
      </w:r>
      <w:r>
        <w:rPr>
          <w:spacing w:val="-5"/>
          <w:sz w:val="23"/>
        </w:rPr>
        <w:t> </w:t>
      </w:r>
      <w:r>
        <w:rPr>
          <w:sz w:val="23"/>
        </w:rPr>
        <w:t>dermatitis</w:t>
      </w:r>
      <w:r>
        <w:rPr>
          <w:spacing w:val="-5"/>
          <w:sz w:val="23"/>
        </w:rPr>
        <w:t> </w:t>
      </w:r>
      <w:r>
        <w:rPr>
          <w:sz w:val="23"/>
        </w:rPr>
        <w:t>and</w:t>
      </w:r>
      <w:r>
        <w:rPr>
          <w:spacing w:val="-5"/>
          <w:sz w:val="23"/>
        </w:rPr>
        <w:t> </w:t>
      </w:r>
      <w:r>
        <w:rPr>
          <w:sz w:val="23"/>
        </w:rPr>
        <w:t>cutaneous</w:t>
      </w:r>
      <w:r>
        <w:rPr>
          <w:spacing w:val="-5"/>
          <w:sz w:val="23"/>
        </w:rPr>
        <w:t> </w:t>
      </w:r>
      <w:r>
        <w:rPr>
          <w:sz w:val="23"/>
        </w:rPr>
        <w:t>adverse</w:t>
      </w:r>
      <w:r>
        <w:rPr>
          <w:spacing w:val="-5"/>
          <w:sz w:val="23"/>
        </w:rPr>
        <w:t> </w:t>
      </w:r>
      <w:r>
        <w:rPr>
          <w:sz w:val="23"/>
        </w:rPr>
        <w:t>food</w:t>
      </w:r>
      <w:r>
        <w:rPr>
          <w:spacing w:val="-5"/>
          <w:sz w:val="23"/>
        </w:rPr>
        <w:t> </w:t>
      </w:r>
      <w:r>
        <w:rPr>
          <w:sz w:val="23"/>
        </w:rPr>
        <w:t>reactions</w:t>
      </w:r>
      <w:r>
        <w:rPr>
          <w:spacing w:val="-5"/>
          <w:sz w:val="23"/>
        </w:rPr>
        <w:t> </w:t>
      </w:r>
      <w:r>
        <w:rPr>
          <w:sz w:val="23"/>
        </w:rPr>
        <w:t>J</w:t>
      </w:r>
      <w:r>
        <w:rPr>
          <w:spacing w:val="-5"/>
          <w:sz w:val="23"/>
        </w:rPr>
        <w:t> </w:t>
      </w:r>
      <w:r>
        <w:rPr>
          <w:sz w:val="23"/>
        </w:rPr>
        <w:t>Vet</w:t>
      </w:r>
      <w:r>
        <w:rPr>
          <w:spacing w:val="-5"/>
          <w:sz w:val="23"/>
        </w:rPr>
        <w:t> </w:t>
      </w:r>
      <w:r>
        <w:rPr>
          <w:sz w:val="23"/>
        </w:rPr>
        <w:t>Dermatol</w:t>
      </w:r>
      <w:r>
        <w:rPr>
          <w:spacing w:val="-5"/>
          <w:sz w:val="23"/>
        </w:rPr>
        <w:t> </w:t>
      </w:r>
      <w:r>
        <w:rPr>
          <w:sz w:val="23"/>
        </w:rPr>
        <w:t>2007;18:390-1</w:t>
      </w:r>
    </w:p>
    <w:p>
      <w:pPr>
        <w:pStyle w:val="ListParagraph"/>
        <w:numPr>
          <w:ilvl w:val="0"/>
          <w:numId w:val="4"/>
        </w:numPr>
        <w:tabs>
          <w:tab w:pos="892" w:val="left" w:leader="none"/>
        </w:tabs>
        <w:spacing w:line="240" w:lineRule="auto" w:before="0" w:after="0"/>
        <w:ind w:left="891" w:right="114" w:hanging="343"/>
        <w:jc w:val="both"/>
        <w:rPr>
          <w:sz w:val="23"/>
        </w:rPr>
      </w:pPr>
      <w:r>
        <w:rPr>
          <w:sz w:val="23"/>
        </w:rPr>
        <w:t>Olivry T. Mueller R. Treatment of canine atopic dermatitis: 2010 clinical practice guidelines from the International Task Force on Canine Atopic Dermatitis, J Vet Dermatol</w:t>
      </w:r>
      <w:r>
        <w:rPr>
          <w:spacing w:val="-13"/>
          <w:sz w:val="23"/>
        </w:rPr>
        <w:t> </w:t>
      </w:r>
      <w:r>
        <w:rPr>
          <w:sz w:val="23"/>
        </w:rPr>
        <w:t>2010;21:233-48</w:t>
      </w:r>
    </w:p>
    <w:p>
      <w:pPr>
        <w:pStyle w:val="ListParagraph"/>
        <w:numPr>
          <w:ilvl w:val="0"/>
          <w:numId w:val="4"/>
        </w:numPr>
        <w:tabs>
          <w:tab w:pos="892" w:val="left" w:leader="none"/>
        </w:tabs>
        <w:spacing w:line="240" w:lineRule="auto" w:before="0" w:after="0"/>
        <w:ind w:left="891" w:right="114" w:hanging="343"/>
        <w:jc w:val="both"/>
        <w:rPr>
          <w:sz w:val="23"/>
        </w:rPr>
      </w:pPr>
      <w:r>
        <w:rPr>
          <w:sz w:val="23"/>
        </w:rPr>
        <w:t>Favrot C, Seewald y col. A prospective study on the clinical features of chronic canine atopic dermatitis and its diagnosis. J Vet Dermatol 2010; 21:</w:t>
      </w:r>
      <w:r>
        <w:rPr>
          <w:spacing w:val="-38"/>
          <w:sz w:val="23"/>
        </w:rPr>
        <w:t> </w:t>
      </w:r>
      <w:r>
        <w:rPr>
          <w:sz w:val="23"/>
        </w:rPr>
        <w:t>23–30.</w:t>
      </w:r>
    </w:p>
    <w:p>
      <w:pPr>
        <w:pStyle w:val="ListParagraph"/>
        <w:numPr>
          <w:ilvl w:val="0"/>
          <w:numId w:val="4"/>
        </w:numPr>
        <w:tabs>
          <w:tab w:pos="892" w:val="left" w:leader="none"/>
        </w:tabs>
        <w:spacing w:line="240" w:lineRule="auto" w:before="0" w:after="0"/>
        <w:ind w:left="891" w:right="114" w:hanging="343"/>
        <w:jc w:val="both"/>
        <w:rPr>
          <w:sz w:val="23"/>
        </w:rPr>
      </w:pPr>
      <w:r>
        <w:rPr>
          <w:sz w:val="23"/>
        </w:rPr>
        <w:t>Hill, P. Lau, J. Development of an owner-assessed scale to measure the severity of pruritus in dogs. J Vet Dermatol 2007; 18:</w:t>
      </w:r>
      <w:r>
        <w:rPr>
          <w:spacing w:val="-29"/>
          <w:sz w:val="23"/>
        </w:rPr>
        <w:t> </w:t>
      </w:r>
      <w:r>
        <w:rPr>
          <w:sz w:val="23"/>
        </w:rPr>
        <w:t>301-308.</w:t>
      </w:r>
    </w:p>
    <w:p>
      <w:pPr>
        <w:pStyle w:val="ListParagraph"/>
        <w:numPr>
          <w:ilvl w:val="0"/>
          <w:numId w:val="4"/>
        </w:numPr>
        <w:tabs>
          <w:tab w:pos="892" w:val="left" w:leader="none"/>
        </w:tabs>
        <w:spacing w:line="240" w:lineRule="auto" w:before="0" w:after="0"/>
        <w:ind w:left="891" w:right="114" w:hanging="343"/>
        <w:jc w:val="both"/>
        <w:rPr>
          <w:sz w:val="23"/>
        </w:rPr>
      </w:pPr>
      <w:r>
        <w:rPr>
          <w:sz w:val="23"/>
        </w:rPr>
        <w:t>Olivry T, Marsellat R. Validation of CADESI-03, a severity scale for clinical trials enrolling dogs with atopic dermatitis. J Vet Dermatol.</w:t>
      </w:r>
      <w:r>
        <w:rPr>
          <w:spacing w:val="-37"/>
          <w:sz w:val="23"/>
        </w:rPr>
        <w:t> </w:t>
      </w:r>
      <w:r>
        <w:rPr>
          <w:sz w:val="23"/>
        </w:rPr>
        <w:t>2007;18:78-86</w:t>
      </w:r>
    </w:p>
    <w:p>
      <w:pPr>
        <w:pStyle w:val="ListParagraph"/>
        <w:numPr>
          <w:ilvl w:val="0"/>
          <w:numId w:val="4"/>
        </w:numPr>
        <w:tabs>
          <w:tab w:pos="892" w:val="left" w:leader="none"/>
        </w:tabs>
        <w:spacing w:line="240" w:lineRule="auto" w:before="0" w:after="0"/>
        <w:ind w:left="891" w:right="114" w:hanging="343"/>
        <w:jc w:val="both"/>
        <w:rPr>
          <w:sz w:val="23"/>
        </w:rPr>
      </w:pPr>
      <w:r>
        <w:rPr>
          <w:sz w:val="23"/>
        </w:rPr>
        <w:t>Miller W., Griffin C. Et al. Muller &amp; Kirk's Small Animal Dermatology. 7th Ed. St Louis; Saunders-Elsevier,</w:t>
      </w:r>
      <w:r>
        <w:rPr>
          <w:spacing w:val="-16"/>
          <w:sz w:val="23"/>
        </w:rPr>
        <w:t> </w:t>
      </w:r>
      <w:r>
        <w:rPr>
          <w:sz w:val="23"/>
        </w:rPr>
        <w:t>2008.</w:t>
      </w:r>
    </w:p>
    <w:p>
      <w:pPr>
        <w:pStyle w:val="ListParagraph"/>
        <w:numPr>
          <w:ilvl w:val="0"/>
          <w:numId w:val="4"/>
        </w:numPr>
        <w:tabs>
          <w:tab w:pos="892" w:val="left" w:leader="none"/>
        </w:tabs>
        <w:spacing w:line="240" w:lineRule="auto" w:before="0" w:after="0"/>
        <w:ind w:left="891" w:right="114" w:hanging="343"/>
        <w:jc w:val="both"/>
        <w:rPr>
          <w:sz w:val="23"/>
        </w:rPr>
      </w:pPr>
      <w:r>
        <w:rPr>
          <w:sz w:val="23"/>
        </w:rPr>
        <w:t>Ricci R, Paps J. A comparison of the clinical manifestations of feeding whole and hydrolysed chicken to dogs with hypersensitivity to the native protein. J Vet Dermal. 2010; 4:</w:t>
      </w:r>
      <w:r>
        <w:rPr>
          <w:spacing w:val="-9"/>
          <w:sz w:val="23"/>
        </w:rPr>
        <w:t> </w:t>
      </w:r>
      <w:r>
        <w:rPr>
          <w:sz w:val="23"/>
        </w:rPr>
        <w:t>358-66</w:t>
      </w:r>
    </w:p>
    <w:p>
      <w:pPr>
        <w:pStyle w:val="ListParagraph"/>
        <w:numPr>
          <w:ilvl w:val="0"/>
          <w:numId w:val="4"/>
        </w:numPr>
        <w:tabs>
          <w:tab w:pos="892" w:val="left" w:leader="none"/>
        </w:tabs>
        <w:spacing w:line="260" w:lineRule="exact" w:before="7" w:after="0"/>
        <w:ind w:left="891" w:right="114" w:hanging="343"/>
        <w:jc w:val="both"/>
        <w:rPr>
          <w:sz w:val="23"/>
        </w:rPr>
      </w:pPr>
      <w:r>
        <w:rPr>
          <w:sz w:val="23"/>
        </w:rPr>
        <w:t>Kennis A. R. Alergias alimentarias: actualización de su patogénesis, diagnóstico y tratamiento, Vet J of small anim clin. 2006; 36:</w:t>
      </w:r>
      <w:r>
        <w:rPr>
          <w:spacing w:val="-32"/>
          <w:sz w:val="23"/>
        </w:rPr>
        <w:t> </w:t>
      </w:r>
      <w:r>
        <w:rPr>
          <w:sz w:val="23"/>
        </w:rPr>
        <w:t>175-184</w:t>
      </w:r>
    </w:p>
    <w:p>
      <w:pPr>
        <w:pStyle w:val="ListParagraph"/>
        <w:numPr>
          <w:ilvl w:val="0"/>
          <w:numId w:val="4"/>
        </w:numPr>
        <w:tabs>
          <w:tab w:pos="892" w:val="left" w:leader="none"/>
        </w:tabs>
        <w:spacing w:line="260" w:lineRule="exact" w:before="5" w:after="0"/>
        <w:ind w:left="891" w:right="114" w:hanging="343"/>
        <w:jc w:val="both"/>
        <w:rPr>
          <w:sz w:val="23"/>
        </w:rPr>
      </w:pPr>
      <w:r>
        <w:rPr>
          <w:sz w:val="23"/>
        </w:rPr>
        <w:t>Jeffers JG, Shanley KJ, Diagnostic testing of dogs for food hypersensitivity. J Am Vet Med Assoc. 199;</w:t>
      </w:r>
      <w:r>
        <w:rPr>
          <w:spacing w:val="-16"/>
          <w:sz w:val="23"/>
        </w:rPr>
        <w:t> </w:t>
      </w:r>
      <w:r>
        <w:rPr>
          <w:sz w:val="23"/>
        </w:rPr>
        <w:t>198:245-50.</w:t>
      </w:r>
    </w:p>
    <w:p>
      <w:pPr>
        <w:pStyle w:val="ListParagraph"/>
        <w:numPr>
          <w:ilvl w:val="0"/>
          <w:numId w:val="4"/>
        </w:numPr>
        <w:tabs>
          <w:tab w:pos="892" w:val="left" w:leader="none"/>
        </w:tabs>
        <w:spacing w:line="260" w:lineRule="exact" w:before="5" w:after="0"/>
        <w:ind w:left="891" w:right="114" w:hanging="343"/>
        <w:jc w:val="both"/>
        <w:rPr>
          <w:sz w:val="23"/>
        </w:rPr>
      </w:pPr>
      <w:r>
        <w:rPr>
          <w:sz w:val="23"/>
        </w:rPr>
        <w:t>Fernández M, Implicación etiológica de los alimentos en la dermatitis atópica: datos a favor, R de Allergologia et</w:t>
      </w:r>
      <w:r>
        <w:rPr>
          <w:spacing w:val="-31"/>
          <w:sz w:val="23"/>
        </w:rPr>
        <w:t> </w:t>
      </w:r>
      <w:r>
        <w:rPr>
          <w:sz w:val="23"/>
        </w:rPr>
        <w:t>Immunopathol,2002;l30:120-126</w:t>
      </w:r>
    </w:p>
    <w:p>
      <w:pPr>
        <w:pStyle w:val="BodyText"/>
        <w:rPr>
          <w:sz w:val="20"/>
        </w:rPr>
      </w:pPr>
    </w:p>
    <w:p>
      <w:pPr>
        <w:pStyle w:val="BodyText"/>
        <w:spacing w:before="2"/>
        <w:rPr>
          <w:sz w:val="20"/>
        </w:rPr>
      </w:pPr>
    </w:p>
    <w:p>
      <w:pPr>
        <w:spacing w:before="0"/>
        <w:ind w:left="0" w:right="114" w:firstLine="0"/>
        <w:jc w:val="right"/>
        <w:rPr>
          <w:rFonts w:ascii="Calibri"/>
          <w:sz w:val="20"/>
        </w:rPr>
      </w:pPr>
      <w:r>
        <w:rPr>
          <w:rFonts w:ascii="Calibri"/>
          <w:sz w:val="20"/>
        </w:rPr>
        <w:t>36</w:t>
      </w:r>
    </w:p>
    <w:sectPr>
      <w:pgSz w:w="12240" w:h="15840"/>
      <w:pgMar w:top="1500" w:bottom="280" w:left="1720" w:right="15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 w:name="Mongolian Baiti">
    <w:altName w:val="Mongolian Baiti"/>
    <w:charset w:val="0"/>
    <w:family w:val="script"/>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decimal"/>
      <w:lvlText w:val="%1."/>
      <w:lvlJc w:val="left"/>
      <w:pPr>
        <w:ind w:left="891" w:hanging="344"/>
        <w:jc w:val="left"/>
      </w:pPr>
      <w:rPr>
        <w:rFonts w:hint="default" w:ascii="Times New Roman" w:hAnsi="Times New Roman" w:eastAsia="Times New Roman" w:cs="Times New Roman"/>
        <w:w w:val="99"/>
        <w:sz w:val="23"/>
        <w:szCs w:val="23"/>
      </w:rPr>
    </w:lvl>
    <w:lvl w:ilvl="1">
      <w:start w:val="1"/>
      <w:numFmt w:val="bullet"/>
      <w:lvlText w:val="•"/>
      <w:lvlJc w:val="left"/>
      <w:pPr>
        <w:ind w:left="1712" w:hanging="344"/>
      </w:pPr>
      <w:rPr>
        <w:rFonts w:hint="default"/>
      </w:rPr>
    </w:lvl>
    <w:lvl w:ilvl="2">
      <w:start w:val="1"/>
      <w:numFmt w:val="bullet"/>
      <w:lvlText w:val="•"/>
      <w:lvlJc w:val="left"/>
      <w:pPr>
        <w:ind w:left="2524" w:hanging="344"/>
      </w:pPr>
      <w:rPr>
        <w:rFonts w:hint="default"/>
      </w:rPr>
    </w:lvl>
    <w:lvl w:ilvl="3">
      <w:start w:val="1"/>
      <w:numFmt w:val="bullet"/>
      <w:lvlText w:val="•"/>
      <w:lvlJc w:val="left"/>
      <w:pPr>
        <w:ind w:left="3336" w:hanging="344"/>
      </w:pPr>
      <w:rPr>
        <w:rFonts w:hint="default"/>
      </w:rPr>
    </w:lvl>
    <w:lvl w:ilvl="4">
      <w:start w:val="1"/>
      <w:numFmt w:val="bullet"/>
      <w:lvlText w:val="•"/>
      <w:lvlJc w:val="left"/>
      <w:pPr>
        <w:ind w:left="4148" w:hanging="344"/>
      </w:pPr>
      <w:rPr>
        <w:rFonts w:hint="default"/>
      </w:rPr>
    </w:lvl>
    <w:lvl w:ilvl="5">
      <w:start w:val="1"/>
      <w:numFmt w:val="bullet"/>
      <w:lvlText w:val="•"/>
      <w:lvlJc w:val="left"/>
      <w:pPr>
        <w:ind w:left="4960" w:hanging="344"/>
      </w:pPr>
      <w:rPr>
        <w:rFonts w:hint="default"/>
      </w:rPr>
    </w:lvl>
    <w:lvl w:ilvl="6">
      <w:start w:val="1"/>
      <w:numFmt w:val="bullet"/>
      <w:lvlText w:val="•"/>
      <w:lvlJc w:val="left"/>
      <w:pPr>
        <w:ind w:left="5772" w:hanging="344"/>
      </w:pPr>
      <w:rPr>
        <w:rFonts w:hint="default"/>
      </w:rPr>
    </w:lvl>
    <w:lvl w:ilvl="7">
      <w:start w:val="1"/>
      <w:numFmt w:val="bullet"/>
      <w:lvlText w:val="•"/>
      <w:lvlJc w:val="left"/>
      <w:pPr>
        <w:ind w:left="6584" w:hanging="344"/>
      </w:pPr>
      <w:rPr>
        <w:rFonts w:hint="default"/>
      </w:rPr>
    </w:lvl>
    <w:lvl w:ilvl="8">
      <w:start w:val="1"/>
      <w:numFmt w:val="bullet"/>
      <w:lvlText w:val="•"/>
      <w:lvlJc w:val="left"/>
      <w:pPr>
        <w:ind w:left="7396" w:hanging="344"/>
      </w:pPr>
      <w:rPr>
        <w:rFonts w:hint="default"/>
      </w:rPr>
    </w:lvl>
  </w:abstractNum>
  <w:abstractNum w:abstractNumId="2">
    <w:multiLevelType w:val="hybridMultilevel"/>
    <w:lvl w:ilvl="0">
      <w:start w:val="3"/>
      <w:numFmt w:val="decimal"/>
      <w:lvlText w:val="%1"/>
      <w:lvlJc w:val="left"/>
      <w:pPr>
        <w:ind w:left="2757" w:hanging="616"/>
        <w:jc w:val="left"/>
      </w:pPr>
      <w:rPr>
        <w:rFonts w:hint="default" w:ascii="Times New Roman" w:hAnsi="Times New Roman" w:eastAsia="Times New Roman" w:cs="Times New Roman"/>
        <w:w w:val="100"/>
        <w:sz w:val="15"/>
        <w:szCs w:val="15"/>
      </w:rPr>
    </w:lvl>
    <w:lvl w:ilvl="1">
      <w:start w:val="1"/>
      <w:numFmt w:val="bullet"/>
      <w:lvlText w:val="•"/>
      <w:lvlJc w:val="left"/>
      <w:pPr>
        <w:ind w:left="3260" w:hanging="616"/>
      </w:pPr>
      <w:rPr>
        <w:rFonts w:hint="default"/>
      </w:rPr>
    </w:lvl>
    <w:lvl w:ilvl="2">
      <w:start w:val="1"/>
      <w:numFmt w:val="bullet"/>
      <w:lvlText w:val="•"/>
      <w:lvlJc w:val="left"/>
      <w:pPr>
        <w:ind w:left="3760" w:hanging="616"/>
      </w:pPr>
      <w:rPr>
        <w:rFonts w:hint="default"/>
      </w:rPr>
    </w:lvl>
    <w:lvl w:ilvl="3">
      <w:start w:val="1"/>
      <w:numFmt w:val="bullet"/>
      <w:lvlText w:val="•"/>
      <w:lvlJc w:val="left"/>
      <w:pPr>
        <w:ind w:left="4260" w:hanging="616"/>
      </w:pPr>
      <w:rPr>
        <w:rFonts w:hint="default"/>
      </w:rPr>
    </w:lvl>
    <w:lvl w:ilvl="4">
      <w:start w:val="1"/>
      <w:numFmt w:val="bullet"/>
      <w:lvlText w:val="•"/>
      <w:lvlJc w:val="left"/>
      <w:pPr>
        <w:ind w:left="4760" w:hanging="616"/>
      </w:pPr>
      <w:rPr>
        <w:rFonts w:hint="default"/>
      </w:rPr>
    </w:lvl>
    <w:lvl w:ilvl="5">
      <w:start w:val="1"/>
      <w:numFmt w:val="bullet"/>
      <w:lvlText w:val="•"/>
      <w:lvlJc w:val="left"/>
      <w:pPr>
        <w:ind w:left="5260" w:hanging="616"/>
      </w:pPr>
      <w:rPr>
        <w:rFonts w:hint="default"/>
      </w:rPr>
    </w:lvl>
    <w:lvl w:ilvl="6">
      <w:start w:val="1"/>
      <w:numFmt w:val="bullet"/>
      <w:lvlText w:val="•"/>
      <w:lvlJc w:val="left"/>
      <w:pPr>
        <w:ind w:left="5759" w:hanging="616"/>
      </w:pPr>
      <w:rPr>
        <w:rFonts w:hint="default"/>
      </w:rPr>
    </w:lvl>
    <w:lvl w:ilvl="7">
      <w:start w:val="1"/>
      <w:numFmt w:val="bullet"/>
      <w:lvlText w:val="•"/>
      <w:lvlJc w:val="left"/>
      <w:pPr>
        <w:ind w:left="6259" w:hanging="616"/>
      </w:pPr>
      <w:rPr>
        <w:rFonts w:hint="default"/>
      </w:rPr>
    </w:lvl>
    <w:lvl w:ilvl="8">
      <w:start w:val="1"/>
      <w:numFmt w:val="bullet"/>
      <w:lvlText w:val="•"/>
      <w:lvlJc w:val="left"/>
      <w:pPr>
        <w:ind w:left="6759" w:hanging="616"/>
      </w:pPr>
      <w:rPr>
        <w:rFonts w:hint="default"/>
      </w:rPr>
    </w:lvl>
  </w:abstractNum>
  <w:abstractNum w:abstractNumId="1">
    <w:multiLevelType w:val="hybridMultilevel"/>
    <w:lvl w:ilvl="0">
      <w:start w:val="1"/>
      <w:numFmt w:val="bullet"/>
      <w:lvlText w:val=""/>
      <w:lvlJc w:val="left"/>
      <w:pPr>
        <w:ind w:left="448" w:hanging="344"/>
      </w:pPr>
      <w:rPr>
        <w:rFonts w:hint="default"/>
        <w:w w:val="102"/>
      </w:rPr>
    </w:lvl>
    <w:lvl w:ilvl="1">
      <w:start w:val="1"/>
      <w:numFmt w:val="bullet"/>
      <w:lvlText w:val="•"/>
      <w:lvlJc w:val="left"/>
      <w:pPr>
        <w:ind w:left="1322" w:hanging="344"/>
      </w:pPr>
      <w:rPr>
        <w:rFonts w:hint="default"/>
      </w:rPr>
    </w:lvl>
    <w:lvl w:ilvl="2">
      <w:start w:val="1"/>
      <w:numFmt w:val="bullet"/>
      <w:lvlText w:val="•"/>
      <w:lvlJc w:val="left"/>
      <w:pPr>
        <w:ind w:left="2204" w:hanging="344"/>
      </w:pPr>
      <w:rPr>
        <w:rFonts w:hint="default"/>
      </w:rPr>
    </w:lvl>
    <w:lvl w:ilvl="3">
      <w:start w:val="1"/>
      <w:numFmt w:val="bullet"/>
      <w:lvlText w:val="•"/>
      <w:lvlJc w:val="left"/>
      <w:pPr>
        <w:ind w:left="3086" w:hanging="344"/>
      </w:pPr>
      <w:rPr>
        <w:rFonts w:hint="default"/>
      </w:rPr>
    </w:lvl>
    <w:lvl w:ilvl="4">
      <w:start w:val="1"/>
      <w:numFmt w:val="bullet"/>
      <w:lvlText w:val="•"/>
      <w:lvlJc w:val="left"/>
      <w:pPr>
        <w:ind w:left="3968" w:hanging="344"/>
      </w:pPr>
      <w:rPr>
        <w:rFonts w:hint="default"/>
      </w:rPr>
    </w:lvl>
    <w:lvl w:ilvl="5">
      <w:start w:val="1"/>
      <w:numFmt w:val="bullet"/>
      <w:lvlText w:val="•"/>
      <w:lvlJc w:val="left"/>
      <w:pPr>
        <w:ind w:left="4850" w:hanging="344"/>
      </w:pPr>
      <w:rPr>
        <w:rFonts w:hint="default"/>
      </w:rPr>
    </w:lvl>
    <w:lvl w:ilvl="6">
      <w:start w:val="1"/>
      <w:numFmt w:val="bullet"/>
      <w:lvlText w:val="•"/>
      <w:lvlJc w:val="left"/>
      <w:pPr>
        <w:ind w:left="5732" w:hanging="344"/>
      </w:pPr>
      <w:rPr>
        <w:rFonts w:hint="default"/>
      </w:rPr>
    </w:lvl>
    <w:lvl w:ilvl="7">
      <w:start w:val="1"/>
      <w:numFmt w:val="bullet"/>
      <w:lvlText w:val="•"/>
      <w:lvlJc w:val="left"/>
      <w:pPr>
        <w:ind w:left="6614" w:hanging="344"/>
      </w:pPr>
      <w:rPr>
        <w:rFonts w:hint="default"/>
      </w:rPr>
    </w:lvl>
    <w:lvl w:ilvl="8">
      <w:start w:val="1"/>
      <w:numFmt w:val="bullet"/>
      <w:lvlText w:val="•"/>
      <w:lvlJc w:val="left"/>
      <w:pPr>
        <w:ind w:left="7496" w:hanging="344"/>
      </w:pPr>
      <w:rPr>
        <w:rFonts w:hint="default"/>
      </w:rPr>
    </w:lvl>
  </w:abstractNum>
  <w:abstractNum w:abstractNumId="0">
    <w:multiLevelType w:val="hybridMultilevel"/>
    <w:lvl w:ilvl="0">
      <w:start w:val="4"/>
      <w:numFmt w:val="upperLetter"/>
      <w:lvlText w:val="%1"/>
      <w:lvlJc w:val="left"/>
      <w:pPr>
        <w:ind w:left="105" w:hanging="745"/>
        <w:jc w:val="left"/>
      </w:pPr>
      <w:rPr>
        <w:rFonts w:hint="default"/>
      </w:rPr>
    </w:lvl>
    <w:lvl w:ilvl="1">
      <w:start w:val="18"/>
      <w:numFmt w:val="upperLetter"/>
      <w:lvlText w:val="%1.%2."/>
      <w:lvlJc w:val="left"/>
      <w:pPr>
        <w:ind w:left="105" w:hanging="745"/>
        <w:jc w:val="left"/>
      </w:pPr>
      <w:rPr>
        <w:rFonts w:hint="default" w:ascii="Times New Roman" w:hAnsi="Times New Roman" w:eastAsia="Times New Roman" w:cs="Times New Roman"/>
        <w:spacing w:val="0"/>
        <w:w w:val="100"/>
        <w:sz w:val="30"/>
        <w:szCs w:val="30"/>
      </w:rPr>
    </w:lvl>
    <w:lvl w:ilvl="2">
      <w:start w:val="1"/>
      <w:numFmt w:val="decimal"/>
      <w:lvlText w:val="%3."/>
      <w:lvlJc w:val="left"/>
      <w:pPr>
        <w:ind w:left="891" w:hanging="344"/>
        <w:jc w:val="left"/>
      </w:pPr>
      <w:rPr>
        <w:rFonts w:hint="default" w:ascii="Times New Roman" w:hAnsi="Times New Roman" w:eastAsia="Times New Roman" w:cs="Times New Roman"/>
        <w:w w:val="99"/>
        <w:sz w:val="23"/>
        <w:szCs w:val="23"/>
      </w:rPr>
    </w:lvl>
    <w:lvl w:ilvl="3">
      <w:start w:val="1"/>
      <w:numFmt w:val="bullet"/>
      <w:lvlText w:val="•"/>
      <w:lvlJc w:val="left"/>
      <w:pPr>
        <w:ind w:left="2704" w:hanging="344"/>
      </w:pPr>
      <w:rPr>
        <w:rFonts w:hint="default"/>
      </w:rPr>
    </w:lvl>
    <w:lvl w:ilvl="4">
      <w:start w:val="1"/>
      <w:numFmt w:val="bullet"/>
      <w:lvlText w:val="•"/>
      <w:lvlJc w:val="left"/>
      <w:pPr>
        <w:ind w:left="3606" w:hanging="344"/>
      </w:pPr>
      <w:rPr>
        <w:rFonts w:hint="default"/>
      </w:rPr>
    </w:lvl>
    <w:lvl w:ilvl="5">
      <w:start w:val="1"/>
      <w:numFmt w:val="bullet"/>
      <w:lvlText w:val="•"/>
      <w:lvlJc w:val="left"/>
      <w:pPr>
        <w:ind w:left="4508" w:hanging="344"/>
      </w:pPr>
      <w:rPr>
        <w:rFonts w:hint="default"/>
      </w:rPr>
    </w:lvl>
    <w:lvl w:ilvl="6">
      <w:start w:val="1"/>
      <w:numFmt w:val="bullet"/>
      <w:lvlText w:val="•"/>
      <w:lvlJc w:val="left"/>
      <w:pPr>
        <w:ind w:left="5411" w:hanging="344"/>
      </w:pPr>
      <w:rPr>
        <w:rFonts w:hint="default"/>
      </w:rPr>
    </w:lvl>
    <w:lvl w:ilvl="7">
      <w:start w:val="1"/>
      <w:numFmt w:val="bullet"/>
      <w:lvlText w:val="•"/>
      <w:lvlJc w:val="left"/>
      <w:pPr>
        <w:ind w:left="6313" w:hanging="344"/>
      </w:pPr>
      <w:rPr>
        <w:rFonts w:hint="default"/>
      </w:rPr>
    </w:lvl>
    <w:lvl w:ilvl="8">
      <w:start w:val="1"/>
      <w:numFmt w:val="bullet"/>
      <w:lvlText w:val="•"/>
      <w:lvlJc w:val="left"/>
      <w:pPr>
        <w:ind w:left="7215" w:hanging="344"/>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3"/>
      <w:szCs w:val="23"/>
    </w:rPr>
  </w:style>
  <w:style w:styleId="Heading1" w:type="paragraph">
    <w:name w:val="Heading 1"/>
    <w:basedOn w:val="Normal"/>
    <w:uiPriority w:val="1"/>
    <w:qFormat/>
    <w:pPr>
      <w:ind w:left="105"/>
      <w:outlineLvl w:val="1"/>
    </w:pPr>
    <w:rPr>
      <w:rFonts w:ascii="Times New Roman" w:hAnsi="Times New Roman" w:eastAsia="Times New Roman" w:cs="Times New Roman"/>
      <w:sz w:val="53"/>
      <w:szCs w:val="53"/>
    </w:rPr>
  </w:style>
  <w:style w:styleId="Heading2" w:type="paragraph">
    <w:name w:val="Heading 2"/>
    <w:basedOn w:val="Normal"/>
    <w:uiPriority w:val="1"/>
    <w:qFormat/>
    <w:pPr>
      <w:spacing w:before="9"/>
      <w:ind w:left="923" w:right="481"/>
      <w:jc w:val="center"/>
      <w:outlineLvl w:val="2"/>
    </w:pPr>
    <w:rPr>
      <w:rFonts w:ascii="Times New Roman" w:hAnsi="Times New Roman" w:eastAsia="Times New Roman" w:cs="Times New Roman"/>
      <w:i/>
      <w:sz w:val="41"/>
      <w:szCs w:val="41"/>
    </w:rPr>
  </w:style>
  <w:style w:styleId="Heading3" w:type="paragraph">
    <w:name w:val="Heading 3"/>
    <w:basedOn w:val="Normal"/>
    <w:uiPriority w:val="1"/>
    <w:qFormat/>
    <w:pPr>
      <w:spacing w:before="14"/>
      <w:ind w:left="728" w:right="483"/>
      <w:jc w:val="center"/>
      <w:outlineLvl w:val="3"/>
    </w:pPr>
    <w:rPr>
      <w:rFonts w:ascii="Times New Roman" w:hAnsi="Times New Roman" w:eastAsia="Times New Roman" w:cs="Times New Roman"/>
      <w:b/>
      <w:bCs/>
      <w:sz w:val="38"/>
      <w:szCs w:val="38"/>
    </w:rPr>
  </w:style>
  <w:style w:styleId="Heading4" w:type="paragraph">
    <w:name w:val="Heading 4"/>
    <w:basedOn w:val="Normal"/>
    <w:uiPriority w:val="1"/>
    <w:qFormat/>
    <w:pPr>
      <w:ind w:left="1022" w:right="982"/>
      <w:jc w:val="center"/>
      <w:outlineLvl w:val="4"/>
    </w:pPr>
    <w:rPr>
      <w:rFonts w:ascii="Times New Roman" w:hAnsi="Times New Roman" w:eastAsia="Times New Roman" w:cs="Times New Roman"/>
      <w:b/>
      <w:bCs/>
      <w:sz w:val="34"/>
      <w:szCs w:val="34"/>
    </w:rPr>
  </w:style>
  <w:style w:styleId="Heading5" w:type="paragraph">
    <w:name w:val="Heading 5"/>
    <w:basedOn w:val="Normal"/>
    <w:uiPriority w:val="1"/>
    <w:qFormat/>
    <w:pPr>
      <w:ind w:left="502" w:right="502"/>
      <w:jc w:val="center"/>
      <w:outlineLvl w:val="5"/>
    </w:pPr>
    <w:rPr>
      <w:rFonts w:ascii="Times New Roman" w:hAnsi="Times New Roman" w:eastAsia="Times New Roman" w:cs="Times New Roman"/>
      <w:sz w:val="30"/>
      <w:szCs w:val="30"/>
    </w:rPr>
  </w:style>
  <w:style w:styleId="Heading6" w:type="paragraph">
    <w:name w:val="Heading 6"/>
    <w:basedOn w:val="Normal"/>
    <w:uiPriority w:val="1"/>
    <w:qFormat/>
    <w:pPr>
      <w:spacing w:before="118"/>
      <w:ind w:left="1021" w:right="982"/>
      <w:jc w:val="center"/>
      <w:outlineLvl w:val="6"/>
    </w:pPr>
    <w:rPr>
      <w:rFonts w:ascii="Times New Roman" w:hAnsi="Times New Roman" w:eastAsia="Times New Roman" w:cs="Times New Roman"/>
      <w:i/>
      <w:sz w:val="30"/>
      <w:szCs w:val="30"/>
    </w:rPr>
  </w:style>
  <w:style w:styleId="ListParagraph" w:type="paragraph">
    <w:name w:val="List Paragraph"/>
    <w:basedOn w:val="Normal"/>
    <w:uiPriority w:val="1"/>
    <w:qFormat/>
    <w:pPr>
      <w:spacing w:before="240"/>
      <w:ind w:left="448" w:hanging="343"/>
    </w:pPr>
    <w:rPr>
      <w:rFonts w:ascii="Times New Roman" w:hAnsi="Times New Roman" w:eastAsia="Times New Roman" w:cs="Times New Roman"/>
    </w:rPr>
  </w:style>
  <w:style w:styleId="TableParagraph" w:type="paragraph">
    <w:name w:val="Table Paragraph"/>
    <w:basedOn w:val="Normal"/>
    <w:uiPriority w:val="1"/>
    <w:qFormat/>
    <w:pPr>
      <w:spacing w:before="2"/>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pn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hyperlink" Target="http://veterinaria.uaemex.mx/HVPE/index.php" TargetMode="External"/><Relationship Id="rId17" Type="http://schemas.openxmlformats.org/officeDocument/2006/relationships/hyperlink" Target="mailto:iaquijanoh@uaemex.mx" TargetMode="External"/><Relationship Id="rId1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2017-05-17T19:51:53Z</dcterms:created>
  <dcterms:modified xsi:type="dcterms:W3CDTF">2017-05-17T19:51:53Z</dcterms:modified>
</cp:coreProperties>
</file>