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183.5pt;margin-top:563.810974pt;width:29pt;height:20.3pt;mso-position-horizontal-relative:page;mso-position-vertical-relative:page;z-index:-8800" type="#_x0000_t202" filled="false" stroked="false">
            <v:textbox inset="0,0,0,0">
              <w:txbxContent>
                <w:p>
                  <w:pPr>
                    <w:spacing w:before="62"/>
                    <w:ind w:left="0" w:right="0" w:firstLine="0"/>
                    <w:jc w:val="center"/>
                    <w:rPr>
                      <w:b/>
                      <w:sz w:val="18"/>
                    </w:rPr>
                  </w:pPr>
                  <w:r>
                    <w:rPr>
                      <w:b/>
                      <w:color w:val="231F20"/>
                      <w:w w:val="166"/>
                      <w:sz w:val="18"/>
                    </w:rPr>
                    <w:t>1</w:t>
                  </w:r>
                </w:p>
              </w:txbxContent>
            </v:textbox>
            <w10:wrap type="none"/>
          </v:shape>
        </w:pict>
      </w:r>
      <w:r>
        <w:rPr/>
        <w:pict>
          <v:group style="position:absolute;margin-left:0pt;margin-top:.846pt;width:396pt;height:610.35pt;mso-position-horizontal-relative:page;mso-position-vertical-relative:page;z-index:-8776" coordorigin="0,17" coordsize="7920,12207">
            <v:rect style="position:absolute;left:3670;top:11276;width:580;height:405" filled="true" fillcolor="#ffffff" stroked="false">
              <v:fill type="solid"/>
            </v:rect>
            <v:shape style="position:absolute;left:0;top:17;width:7920;height:12206" type="#_x0000_t75" stroked="false">
              <v:imagedata r:id="rId5" o:title=""/>
            </v:shape>
            <w10:wrap type="none"/>
          </v:group>
        </w:pict>
      </w:r>
    </w:p>
    <w:p>
      <w:pPr>
        <w:spacing w:after="0"/>
        <w:rPr>
          <w:rFonts w:ascii="Times New Roman"/>
          <w:sz w:val="17"/>
        </w:rPr>
        <w:sectPr>
          <w:type w:val="continuous"/>
          <w:pgSz w:w="7920" w:h="12240"/>
          <w:pgMar w:top="1140" w:bottom="280" w:left="1080" w:right="1080"/>
        </w:sectPr>
      </w:pPr>
    </w:p>
    <w:p>
      <w:pPr>
        <w:pStyle w:val="BodyText"/>
        <w:rPr>
          <w:rFonts w:ascii="Times New Roman"/>
          <w:sz w:val="20"/>
        </w:rPr>
      </w:pPr>
    </w:p>
    <w:p>
      <w:pPr>
        <w:pStyle w:val="BodyText"/>
        <w:spacing w:before="3"/>
        <w:rPr>
          <w:rFonts w:ascii="Times New Roman"/>
          <w:sz w:val="27"/>
        </w:rPr>
      </w:pPr>
    </w:p>
    <w:p>
      <w:pPr>
        <w:pStyle w:val="Heading3"/>
        <w:spacing w:line="240" w:lineRule="auto" w:before="71"/>
        <w:ind w:left="1873"/>
        <w:jc w:val="both"/>
      </w:pPr>
      <w:r>
        <w:rPr/>
        <w:pict>
          <v:group style="position:absolute;margin-left:71.905518pt;margin-top:-8.251228pt;width:80.45pt;height:179.2pt;mso-position-horizontal-relative:page;mso-position-vertical-relative:paragraph;z-index:-8752" coordorigin="1438,-165" coordsize="1609,3584">
            <v:rect style="position:absolute;left:1468;top:-95;width:1296;height:1174" filled="true" fillcolor="#231f20" stroked="false">
              <v:fill opacity="49152f" type="solid"/>
            </v:rect>
            <v:shape style="position:absolute;left:1438;top:-125;width:1077;height:951" type="#_x0000_t75" stroked="false">
              <v:imagedata r:id="rId6" o:title=""/>
            </v:shape>
            <v:rect style="position:absolute;left:2751;top:-88;width:295;height:3506" filled="true" fillcolor="#231f20" stroked="false">
              <v:fill opacity="49152f" type="solid"/>
            </v:rect>
            <v:line style="position:absolute" from="2761,-125" to="2761,3172" stroked="true" strokeweight="4pt" strokecolor="#231f20"/>
            <w10:wrap type="none"/>
          </v:group>
        </w:pict>
      </w:r>
      <w:r>
        <w:rPr>
          <w:color w:val="231F20"/>
          <w:w w:val="105"/>
        </w:rPr>
        <w:t>Agradecimientos</w:t>
      </w:r>
    </w:p>
    <w:p>
      <w:pPr>
        <w:pStyle w:val="BodyText"/>
        <w:spacing w:before="11"/>
        <w:rPr>
          <w:b/>
          <w:sz w:val="19"/>
        </w:rPr>
      </w:pPr>
    </w:p>
    <w:p>
      <w:pPr>
        <w:spacing w:line="243" w:lineRule="exact" w:before="0"/>
        <w:ind w:left="1873" w:right="0" w:firstLine="0"/>
        <w:jc w:val="both"/>
        <w:rPr>
          <w:sz w:val="21"/>
        </w:rPr>
      </w:pPr>
      <w:r>
        <w:rPr>
          <w:color w:val="231F20"/>
          <w:w w:val="110"/>
          <w:sz w:val="21"/>
        </w:rPr>
        <w:t>Al </w:t>
      </w:r>
      <w:r>
        <w:rPr>
          <w:b/>
          <w:color w:val="231F20"/>
          <w:w w:val="110"/>
          <w:sz w:val="21"/>
        </w:rPr>
        <w:t>Dr. Jorge Olvera García</w:t>
      </w:r>
      <w:r>
        <w:rPr>
          <w:color w:val="231F20"/>
          <w:w w:val="110"/>
          <w:sz w:val="21"/>
        </w:rPr>
        <w:t>,</w:t>
      </w:r>
    </w:p>
    <w:p>
      <w:pPr>
        <w:pStyle w:val="BodyText"/>
        <w:spacing w:line="240" w:lineRule="exact" w:before="4"/>
        <w:ind w:left="1873" w:right="547"/>
        <w:jc w:val="both"/>
      </w:pPr>
      <w:r>
        <w:rPr>
          <w:color w:val="231F20"/>
        </w:rPr>
        <w:t>Rector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Autónoma</w:t>
      </w:r>
      <w:r>
        <w:rPr>
          <w:color w:val="231F20"/>
          <w:spacing w:val="-12"/>
        </w:rPr>
        <w:t> </w:t>
      </w:r>
      <w:r>
        <w:rPr>
          <w:color w:val="231F20"/>
        </w:rPr>
        <w:t>del Estado de México y a las instancias ad- ministrativas que realizaron la gestio- nes</w:t>
      </w:r>
      <w:r>
        <w:rPr>
          <w:color w:val="231F20"/>
          <w:spacing w:val="-9"/>
        </w:rPr>
        <w:t> </w:t>
      </w:r>
      <w:r>
        <w:rPr>
          <w:color w:val="231F20"/>
        </w:rPr>
        <w:t>correspondientes.</w:t>
      </w:r>
    </w:p>
    <w:p>
      <w:pPr>
        <w:pStyle w:val="BodyText"/>
        <w:spacing w:before="9"/>
        <w:rPr>
          <w:sz w:val="13"/>
        </w:rPr>
      </w:pPr>
    </w:p>
    <w:p>
      <w:pPr>
        <w:pStyle w:val="BodyText"/>
        <w:spacing w:before="71"/>
        <w:ind w:left="1873"/>
      </w:pPr>
      <w:r>
        <w:rPr>
          <w:color w:val="231F20"/>
        </w:rPr>
        <w:t>Se   agradecen,   también,   las valiosas</w:t>
      </w:r>
    </w:p>
    <w:p>
      <w:pPr>
        <w:pStyle w:val="BodyText"/>
        <w:spacing w:line="240" w:lineRule="exact" w:before="1"/>
        <w:ind w:left="1873" w:right="547"/>
        <w:jc w:val="both"/>
      </w:pPr>
      <w:r>
        <w:rPr>
          <w:color w:val="231F20"/>
        </w:rPr>
        <w:t>observaciones y corrección de estilo de Leopoldo Hernández Márquez, </w:t>
      </w:r>
      <w:r>
        <w:rPr>
          <w:color w:val="231F20"/>
          <w:spacing w:val="-3"/>
        </w:rPr>
        <w:t>Fer- </w:t>
      </w:r>
      <w:r>
        <w:rPr>
          <w:color w:val="231F20"/>
        </w:rPr>
        <w:t>nando Morales Garcilazo y María Elisa Salazar</w:t>
      </w:r>
      <w:r>
        <w:rPr>
          <w:color w:val="231F20"/>
          <w:spacing w:val="-2"/>
        </w:rPr>
        <w:t> </w:t>
      </w:r>
      <w:r>
        <w:rPr>
          <w:color w:val="231F20"/>
          <w:spacing w:val="-3"/>
        </w:rPr>
        <w:t>Moya.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spacing w:before="69"/>
        <w:ind w:left="113" w:right="0" w:firstLine="0"/>
        <w:jc w:val="left"/>
        <w:rPr>
          <w:rFonts w:ascii="Times New Roman" w:hAnsi="Times New Roman"/>
          <w:sz w:val="24"/>
        </w:rPr>
      </w:pPr>
      <w:r>
        <w:rPr>
          <w:rFonts w:ascii="Times New Roman" w:hAnsi="Times New Roman"/>
          <w:color w:val="231F20"/>
          <w:sz w:val="24"/>
        </w:rPr>
        <w:t>Primera Edición: Enero 2016</w:t>
      </w:r>
    </w:p>
    <w:p>
      <w:pPr>
        <w:spacing w:before="12"/>
        <w:ind w:left="113" w:right="0" w:firstLine="0"/>
        <w:jc w:val="left"/>
        <w:rPr>
          <w:rFonts w:ascii="Times New Roman" w:hAnsi="Times New Roman"/>
          <w:sz w:val="24"/>
        </w:rPr>
      </w:pPr>
      <w:r>
        <w:rPr>
          <w:rFonts w:ascii="Times New Roman" w:hAnsi="Times New Roman"/>
          <w:color w:val="231F20"/>
          <w:sz w:val="24"/>
        </w:rPr>
        <w:t>Diseño de portada: María Elisa Salazar</w:t>
      </w:r>
    </w:p>
    <w:p>
      <w:pPr>
        <w:pStyle w:val="BodyText"/>
        <w:spacing w:before="1"/>
        <w:rPr>
          <w:rFonts w:ascii="Times New Roman"/>
          <w:sz w:val="26"/>
        </w:rPr>
      </w:pPr>
    </w:p>
    <w:p>
      <w:pPr>
        <w:spacing w:before="0"/>
        <w:ind w:left="113" w:right="0" w:firstLine="0"/>
        <w:jc w:val="left"/>
        <w:rPr>
          <w:rFonts w:ascii="Times New Roman" w:hAnsi="Times New Roman"/>
          <w:sz w:val="24"/>
        </w:rPr>
      </w:pPr>
      <w:r>
        <w:rPr>
          <w:rFonts w:ascii="Times New Roman" w:hAnsi="Times New Roman"/>
          <w:color w:val="231F20"/>
          <w:sz w:val="24"/>
        </w:rPr>
        <w:t>© Silvia Padilla Loredo</w:t>
      </w:r>
    </w:p>
    <w:p>
      <w:pPr>
        <w:spacing w:before="12"/>
        <w:ind w:left="113" w:right="0" w:firstLine="0"/>
        <w:jc w:val="left"/>
        <w:rPr>
          <w:rFonts w:ascii="Times New Roman" w:hAnsi="Times New Roman"/>
          <w:sz w:val="24"/>
        </w:rPr>
      </w:pPr>
      <w:r>
        <w:rPr>
          <w:rFonts w:ascii="Times New Roman" w:hAnsi="Times New Roman"/>
          <w:color w:val="231F20"/>
          <w:sz w:val="24"/>
        </w:rPr>
        <w:t>© Universidad Autónoma del Estado de México</w:t>
      </w:r>
    </w:p>
    <w:p>
      <w:pPr>
        <w:spacing w:line="501" w:lineRule="auto" w:before="12"/>
        <w:ind w:left="113" w:right="1658" w:firstLine="0"/>
        <w:jc w:val="left"/>
        <w:rPr>
          <w:rFonts w:ascii="Times New Roman" w:hAnsi="Times New Roman"/>
          <w:sz w:val="24"/>
        </w:rPr>
      </w:pPr>
      <w:r>
        <w:rPr>
          <w:rFonts w:ascii="Times New Roman" w:hAnsi="Times New Roman"/>
          <w:color w:val="231F20"/>
          <w:sz w:val="24"/>
        </w:rPr>
        <w:t>© Castellanos editores, S.A. de C.V. ISBN: 968-5573-42-3</w:t>
      </w:r>
    </w:p>
    <w:p>
      <w:pPr>
        <w:spacing w:before="10"/>
        <w:ind w:left="113" w:right="0" w:firstLine="0"/>
        <w:jc w:val="left"/>
        <w:rPr>
          <w:rFonts w:ascii="Times New Roman"/>
          <w:sz w:val="24"/>
        </w:rPr>
      </w:pPr>
      <w:r>
        <w:rPr>
          <w:rFonts w:ascii="Times New Roman"/>
          <w:color w:val="231F20"/>
          <w:sz w:val="24"/>
        </w:rPr>
        <w:t>Todos los derechos reservados.</w:t>
      </w:r>
    </w:p>
    <w:p>
      <w:pPr>
        <w:pStyle w:val="BodyText"/>
        <w:spacing w:before="1"/>
        <w:rPr>
          <w:rFonts w:ascii="Times New Roman"/>
          <w:sz w:val="25"/>
        </w:rPr>
      </w:pPr>
    </w:p>
    <w:p>
      <w:pPr>
        <w:spacing w:line="249" w:lineRule="auto" w:before="1"/>
        <w:ind w:left="113" w:right="110" w:firstLine="396"/>
        <w:jc w:val="both"/>
        <w:rPr>
          <w:rFonts w:ascii="Times New Roman" w:hAnsi="Times New Roman"/>
          <w:sz w:val="20"/>
        </w:rPr>
      </w:pPr>
      <w:r>
        <w:rPr>
          <w:rFonts w:ascii="Times New Roman" w:hAnsi="Times New Roman"/>
          <w:color w:val="231F20"/>
          <w:spacing w:val="-4"/>
          <w:sz w:val="20"/>
        </w:rPr>
        <w:t>Todos</w:t>
      </w:r>
      <w:r>
        <w:rPr>
          <w:rFonts w:ascii="Times New Roman" w:hAnsi="Times New Roman"/>
          <w:color w:val="231F20"/>
          <w:spacing w:val="-26"/>
          <w:sz w:val="20"/>
        </w:rPr>
        <w:t> </w:t>
      </w:r>
      <w:r>
        <w:rPr>
          <w:rFonts w:ascii="Times New Roman" w:hAnsi="Times New Roman"/>
          <w:color w:val="231F20"/>
          <w:sz w:val="20"/>
        </w:rPr>
        <w:t>los</w:t>
      </w:r>
      <w:r>
        <w:rPr>
          <w:rFonts w:ascii="Times New Roman" w:hAnsi="Times New Roman"/>
          <w:color w:val="231F20"/>
          <w:spacing w:val="-26"/>
          <w:sz w:val="20"/>
        </w:rPr>
        <w:t> </w:t>
      </w:r>
      <w:r>
        <w:rPr>
          <w:rFonts w:ascii="Times New Roman" w:hAnsi="Times New Roman"/>
          <w:color w:val="231F20"/>
          <w:sz w:val="20"/>
        </w:rPr>
        <w:t>derechos</w:t>
      </w:r>
      <w:r>
        <w:rPr>
          <w:rFonts w:ascii="Times New Roman" w:hAnsi="Times New Roman"/>
          <w:color w:val="231F20"/>
          <w:spacing w:val="-26"/>
          <w:sz w:val="20"/>
        </w:rPr>
        <w:t> </w:t>
      </w:r>
      <w:r>
        <w:rPr>
          <w:rFonts w:ascii="Times New Roman" w:hAnsi="Times New Roman"/>
          <w:color w:val="231F20"/>
          <w:sz w:val="20"/>
        </w:rPr>
        <w:t>reservados.</w:t>
      </w:r>
      <w:r>
        <w:rPr>
          <w:rFonts w:ascii="Times New Roman" w:hAnsi="Times New Roman"/>
          <w:color w:val="231F20"/>
          <w:spacing w:val="-26"/>
          <w:sz w:val="20"/>
        </w:rPr>
        <w:t> </w:t>
      </w:r>
      <w:r>
        <w:rPr>
          <w:rFonts w:ascii="Times New Roman" w:hAnsi="Times New Roman"/>
          <w:color w:val="231F20"/>
          <w:sz w:val="20"/>
        </w:rPr>
        <w:t>Se</w:t>
      </w:r>
      <w:r>
        <w:rPr>
          <w:rFonts w:ascii="Times New Roman" w:hAnsi="Times New Roman"/>
          <w:color w:val="231F20"/>
          <w:spacing w:val="-26"/>
          <w:sz w:val="20"/>
        </w:rPr>
        <w:t> </w:t>
      </w:r>
      <w:r>
        <w:rPr>
          <w:rFonts w:ascii="Times New Roman" w:hAnsi="Times New Roman"/>
          <w:color w:val="231F20"/>
          <w:sz w:val="20"/>
        </w:rPr>
        <w:t>permite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reproducción</w:t>
      </w:r>
      <w:r>
        <w:rPr>
          <w:rFonts w:ascii="Times New Roman" w:hAnsi="Times New Roman"/>
          <w:color w:val="231F20"/>
          <w:spacing w:val="-26"/>
          <w:sz w:val="20"/>
        </w:rPr>
        <w:t> </w:t>
      </w:r>
      <w:r>
        <w:rPr>
          <w:rFonts w:ascii="Times New Roman" w:hAnsi="Times New Roman"/>
          <w:color w:val="231F20"/>
          <w:sz w:val="20"/>
        </w:rPr>
        <w:t>de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pre- sente</w:t>
      </w:r>
      <w:r>
        <w:rPr>
          <w:rFonts w:ascii="Times New Roman" w:hAnsi="Times New Roman"/>
          <w:color w:val="231F20"/>
          <w:spacing w:val="-19"/>
          <w:sz w:val="20"/>
        </w:rPr>
        <w:t> </w:t>
      </w:r>
      <w:r>
        <w:rPr>
          <w:rFonts w:ascii="Times New Roman" w:hAnsi="Times New Roman"/>
          <w:color w:val="231F20"/>
          <w:sz w:val="20"/>
        </w:rPr>
        <w:t>obra,</w:t>
      </w:r>
      <w:r>
        <w:rPr>
          <w:rFonts w:ascii="Times New Roman" w:hAnsi="Times New Roman"/>
          <w:color w:val="231F20"/>
          <w:spacing w:val="-18"/>
          <w:sz w:val="20"/>
        </w:rPr>
        <w:t> </w:t>
      </w:r>
      <w:r>
        <w:rPr>
          <w:rFonts w:ascii="Times New Roman" w:hAnsi="Times New Roman"/>
          <w:color w:val="231F20"/>
          <w:sz w:val="20"/>
        </w:rPr>
        <w:t>por</w:t>
      </w:r>
      <w:r>
        <w:rPr>
          <w:rFonts w:ascii="Times New Roman" w:hAnsi="Times New Roman"/>
          <w:color w:val="231F20"/>
          <w:spacing w:val="-18"/>
          <w:sz w:val="20"/>
        </w:rPr>
        <w:t> </w:t>
      </w:r>
      <w:r>
        <w:rPr>
          <w:rFonts w:ascii="Times New Roman" w:hAnsi="Times New Roman"/>
          <w:color w:val="231F20"/>
          <w:sz w:val="20"/>
        </w:rPr>
        <w:t>cualquier</w:t>
      </w:r>
      <w:r>
        <w:rPr>
          <w:rFonts w:ascii="Times New Roman" w:hAnsi="Times New Roman"/>
          <w:color w:val="231F20"/>
          <w:spacing w:val="-19"/>
          <w:sz w:val="20"/>
        </w:rPr>
        <w:t> </w:t>
      </w:r>
      <w:r>
        <w:rPr>
          <w:rFonts w:ascii="Times New Roman" w:hAnsi="Times New Roman"/>
          <w:color w:val="231F20"/>
          <w:sz w:val="20"/>
        </w:rPr>
        <w:t>medio</w:t>
      </w:r>
      <w:r>
        <w:rPr>
          <w:rFonts w:ascii="Times New Roman" w:hAnsi="Times New Roman"/>
          <w:color w:val="231F20"/>
          <w:spacing w:val="-19"/>
          <w:sz w:val="20"/>
        </w:rPr>
        <w:t> </w:t>
      </w:r>
      <w:r>
        <w:rPr>
          <w:rFonts w:ascii="Times New Roman" w:hAnsi="Times New Roman"/>
          <w:color w:val="231F20"/>
          <w:sz w:val="20"/>
        </w:rPr>
        <w:t>impreso,</w:t>
      </w:r>
      <w:r>
        <w:rPr>
          <w:rFonts w:ascii="Times New Roman" w:hAnsi="Times New Roman"/>
          <w:color w:val="231F20"/>
          <w:spacing w:val="-19"/>
          <w:sz w:val="20"/>
        </w:rPr>
        <w:t> </w:t>
      </w:r>
      <w:r>
        <w:rPr>
          <w:rFonts w:ascii="Times New Roman" w:hAnsi="Times New Roman"/>
          <w:color w:val="231F20"/>
          <w:sz w:val="20"/>
        </w:rPr>
        <w:t>electrónico,</w:t>
      </w:r>
      <w:r>
        <w:rPr>
          <w:rFonts w:ascii="Times New Roman" w:hAnsi="Times New Roman"/>
          <w:color w:val="231F20"/>
          <w:spacing w:val="-19"/>
          <w:sz w:val="20"/>
        </w:rPr>
        <w:t> </w:t>
      </w:r>
      <w:r>
        <w:rPr>
          <w:rFonts w:ascii="Times New Roman" w:hAnsi="Times New Roman"/>
          <w:color w:val="231F20"/>
          <w:spacing w:val="-3"/>
          <w:sz w:val="20"/>
        </w:rPr>
        <w:t>auditivo,</w:t>
      </w:r>
      <w:r>
        <w:rPr>
          <w:rFonts w:ascii="Times New Roman" w:hAnsi="Times New Roman"/>
          <w:color w:val="231F20"/>
          <w:spacing w:val="-19"/>
          <w:sz w:val="20"/>
        </w:rPr>
        <w:t> </w:t>
      </w:r>
      <w:r>
        <w:rPr>
          <w:rFonts w:ascii="Times New Roman" w:hAnsi="Times New Roman"/>
          <w:color w:val="231F20"/>
          <w:sz w:val="20"/>
        </w:rPr>
        <w:t>con</w:t>
      </w:r>
      <w:r>
        <w:rPr>
          <w:rFonts w:ascii="Times New Roman" w:hAnsi="Times New Roman"/>
          <w:color w:val="231F20"/>
          <w:spacing w:val="-19"/>
          <w:sz w:val="20"/>
        </w:rPr>
        <w:t> </w:t>
      </w:r>
      <w:r>
        <w:rPr>
          <w:rFonts w:ascii="Times New Roman" w:hAnsi="Times New Roman"/>
          <w:color w:val="231F20"/>
          <w:sz w:val="20"/>
        </w:rPr>
        <w:t>la</w:t>
      </w:r>
      <w:r>
        <w:rPr>
          <w:rFonts w:ascii="Times New Roman" w:hAnsi="Times New Roman"/>
          <w:color w:val="231F20"/>
          <w:spacing w:val="-19"/>
          <w:sz w:val="20"/>
        </w:rPr>
        <w:t> </w:t>
      </w:r>
      <w:r>
        <w:rPr>
          <w:rFonts w:ascii="Times New Roman" w:hAnsi="Times New Roman"/>
          <w:color w:val="231F20"/>
          <w:sz w:val="20"/>
        </w:rPr>
        <w:t>au- torización</w:t>
      </w:r>
      <w:r>
        <w:rPr>
          <w:rFonts w:ascii="Times New Roman" w:hAnsi="Times New Roman"/>
          <w:color w:val="231F20"/>
          <w:spacing w:val="-17"/>
          <w:sz w:val="20"/>
        </w:rPr>
        <w:t> </w:t>
      </w:r>
      <w:r>
        <w:rPr>
          <w:rFonts w:ascii="Times New Roman" w:hAnsi="Times New Roman"/>
          <w:color w:val="231F20"/>
          <w:sz w:val="20"/>
        </w:rPr>
        <w:t>por</w:t>
      </w:r>
      <w:r>
        <w:rPr>
          <w:rFonts w:ascii="Times New Roman" w:hAnsi="Times New Roman"/>
          <w:color w:val="231F20"/>
          <w:spacing w:val="-16"/>
          <w:sz w:val="20"/>
        </w:rPr>
        <w:t> </w:t>
      </w:r>
      <w:r>
        <w:rPr>
          <w:rFonts w:ascii="Times New Roman" w:hAnsi="Times New Roman"/>
          <w:color w:val="231F20"/>
          <w:sz w:val="20"/>
        </w:rPr>
        <w:t>escrito</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editores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el</w:t>
      </w:r>
      <w:r>
        <w:rPr>
          <w:rFonts w:ascii="Times New Roman" w:hAnsi="Times New Roman"/>
          <w:color w:val="231F20"/>
          <w:spacing w:val="-16"/>
          <w:sz w:val="20"/>
        </w:rPr>
        <w:t> </w:t>
      </w:r>
      <w:r>
        <w:rPr>
          <w:rFonts w:ascii="Times New Roman" w:hAnsi="Times New Roman"/>
          <w:color w:val="231F20"/>
          <w:sz w:val="20"/>
        </w:rPr>
        <w:t>titular</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derechos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citando </w:t>
      </w:r>
      <w:r>
        <w:rPr>
          <w:rFonts w:ascii="Times New Roman" w:hAnsi="Times New Roman"/>
          <w:color w:val="231F20"/>
          <w:w w:val="95"/>
          <w:sz w:val="20"/>
        </w:rPr>
        <w:t>la</w:t>
      </w:r>
      <w:r>
        <w:rPr>
          <w:rFonts w:ascii="Times New Roman" w:hAnsi="Times New Roman"/>
          <w:color w:val="231F20"/>
          <w:spacing w:val="-2"/>
          <w:w w:val="95"/>
          <w:sz w:val="20"/>
        </w:rPr>
        <w:t> </w:t>
      </w:r>
      <w:r>
        <w:rPr>
          <w:rFonts w:ascii="Times New Roman" w:hAnsi="Times New Roman"/>
          <w:color w:val="231F20"/>
          <w:w w:val="95"/>
          <w:sz w:val="20"/>
        </w:rPr>
        <w:t>fuente.</w:t>
      </w:r>
    </w:p>
    <w:p>
      <w:pPr>
        <w:pStyle w:val="BodyText"/>
        <w:rPr>
          <w:rFonts w:ascii="Times New Roman"/>
          <w:sz w:val="26"/>
        </w:rPr>
      </w:pPr>
    </w:p>
    <w:p>
      <w:pPr>
        <w:pStyle w:val="Heading2"/>
        <w:spacing w:before="1"/>
        <w:jc w:val="left"/>
        <w:rPr>
          <w:rFonts w:ascii="Times New Roman" w:hAnsi="Times New Roman"/>
        </w:rPr>
      </w:pPr>
      <w:r>
        <w:rPr>
          <w:rFonts w:ascii="Times New Roman" w:hAnsi="Times New Roman"/>
          <w:color w:val="231F20"/>
        </w:rPr>
        <w:t>Impreso en México</w:t>
      </w:r>
    </w:p>
    <w:p>
      <w:pPr>
        <w:spacing w:after="0"/>
        <w:jc w:val="left"/>
        <w:rPr>
          <w:rFonts w:ascii="Times New Roman" w:hAnsi="Times New Roman"/>
        </w:rPr>
        <w:sectPr>
          <w:pgSz w:w="7920" w:h="12240"/>
          <w:pgMar w:top="1140" w:bottom="280" w:left="1020" w:right="1020"/>
        </w:sectPr>
      </w:pPr>
    </w:p>
    <w:p>
      <w:pPr>
        <w:spacing w:line="227" w:lineRule="exact" w:before="59"/>
        <w:ind w:left="404" w:right="345" w:firstLine="0"/>
        <w:jc w:val="center"/>
        <w:rPr>
          <w:b/>
          <w:sz w:val="20"/>
        </w:rPr>
      </w:pPr>
      <w:r>
        <w:rPr>
          <w:b/>
          <w:color w:val="231F20"/>
          <w:sz w:val="20"/>
        </w:rPr>
        <w:t>EJE 4 POLÍTICAS GUBERNAMENTALES EN TORNO AL</w:t>
      </w:r>
    </w:p>
    <w:p>
      <w:pPr>
        <w:spacing w:line="227" w:lineRule="exact" w:before="0"/>
        <w:ind w:left="405" w:right="345" w:firstLine="0"/>
        <w:jc w:val="center"/>
        <w:rPr>
          <w:b/>
          <w:sz w:val="20"/>
        </w:rPr>
      </w:pPr>
      <w:r>
        <w:rPr>
          <w:b/>
          <w:color w:val="231F20"/>
          <w:sz w:val="20"/>
        </w:rPr>
        <w:t>PROBLEMA ALIMENTARIO</w:t>
      </w:r>
    </w:p>
    <w:p>
      <w:pPr>
        <w:tabs>
          <w:tab w:pos="5153" w:val="right" w:leader="dot"/>
        </w:tabs>
        <w:spacing w:line="227" w:lineRule="exact" w:before="205"/>
        <w:ind w:left="113" w:right="0" w:firstLine="0"/>
        <w:jc w:val="left"/>
        <w:rPr>
          <w:b/>
          <w:sz w:val="20"/>
        </w:rPr>
      </w:pPr>
      <w:r>
        <w:rPr>
          <w:b/>
          <w:color w:val="231F20"/>
          <w:sz w:val="20"/>
        </w:rPr>
        <w:t>CAPÍTULO</w:t>
      </w:r>
      <w:r>
        <w:rPr>
          <w:b/>
          <w:color w:val="231F20"/>
          <w:spacing w:val="-2"/>
          <w:sz w:val="20"/>
        </w:rPr>
        <w:t> </w:t>
      </w:r>
      <w:r>
        <w:rPr>
          <w:b/>
          <w:color w:val="231F20"/>
          <w:sz w:val="20"/>
        </w:rPr>
        <w:t>XI</w:t>
        <w:tab/>
        <w:t>205</w:t>
      </w:r>
    </w:p>
    <w:p>
      <w:pPr>
        <w:spacing w:line="220" w:lineRule="exact" w:before="0"/>
        <w:ind w:left="113" w:right="0" w:firstLine="0"/>
        <w:jc w:val="left"/>
        <w:rPr>
          <w:i/>
          <w:sz w:val="20"/>
        </w:rPr>
      </w:pPr>
      <w:r>
        <w:rPr>
          <w:i/>
          <w:color w:val="231F20"/>
          <w:sz w:val="20"/>
        </w:rPr>
        <w:t>Políticas gubernamentales en torno al problema alimentario.</w:t>
      </w:r>
    </w:p>
    <w:p>
      <w:pPr>
        <w:spacing w:line="227" w:lineRule="exact" w:before="0"/>
        <w:ind w:left="113" w:right="0" w:firstLine="0"/>
        <w:jc w:val="left"/>
        <w:rPr>
          <w:b/>
          <w:sz w:val="20"/>
        </w:rPr>
      </w:pPr>
      <w:r>
        <w:rPr>
          <w:b/>
          <w:color w:val="231F20"/>
          <w:w w:val="110"/>
          <w:sz w:val="20"/>
        </w:rPr>
        <w:t>Sara Torres Nakagawa</w:t>
      </w:r>
    </w:p>
    <w:p>
      <w:pPr>
        <w:pStyle w:val="BodyText"/>
        <w:rPr>
          <w:b/>
          <w:sz w:val="20"/>
        </w:rPr>
      </w:pPr>
    </w:p>
    <w:p>
      <w:pPr>
        <w:pStyle w:val="BodyText"/>
        <w:spacing w:before="5"/>
        <w:rPr>
          <w:b/>
          <w:sz w:val="17"/>
        </w:rPr>
      </w:pPr>
    </w:p>
    <w:p>
      <w:pPr>
        <w:spacing w:line="220" w:lineRule="exact" w:before="0"/>
        <w:ind w:left="406" w:right="345" w:firstLine="0"/>
        <w:jc w:val="center"/>
        <w:rPr>
          <w:b/>
          <w:sz w:val="20"/>
        </w:rPr>
      </w:pPr>
      <w:r>
        <w:rPr>
          <w:b/>
          <w:color w:val="231F20"/>
          <w:sz w:val="20"/>
        </w:rPr>
        <w:t>EJE 5 SOCIODEMOGRAFÍA, CRISIS ALIMENTARIAS Y SUS EFECTO EN LA SALUD</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w:t>
        <w:tab/>
        <w:t>219</w:t>
      </w:r>
    </w:p>
    <w:p>
      <w:pPr>
        <w:spacing w:line="220" w:lineRule="exact" w:before="7"/>
        <w:ind w:left="113" w:right="1378" w:firstLine="0"/>
        <w:jc w:val="left"/>
        <w:rPr>
          <w:i/>
          <w:sz w:val="20"/>
        </w:rPr>
      </w:pPr>
      <w:r>
        <w:rPr>
          <w:i/>
          <w:color w:val="231F20"/>
          <w:sz w:val="20"/>
        </w:rPr>
        <w:t>Cambios en la situación nutricional y alimentaria </w:t>
      </w:r>
      <w:r>
        <w:rPr>
          <w:i/>
          <w:color w:val="231F20"/>
          <w:sz w:val="20"/>
        </w:rPr>
        <w:t>de acuerdo al índice de riesgo nutricional del</w:t>
      </w:r>
      <w:r>
        <w:rPr>
          <w:i/>
          <w:color w:val="231F20"/>
          <w:spacing w:val="-30"/>
          <w:sz w:val="20"/>
        </w:rPr>
        <w:t> </w:t>
      </w:r>
      <w:r>
        <w:rPr>
          <w:i/>
          <w:color w:val="231F20"/>
          <w:sz w:val="20"/>
        </w:rPr>
        <w:t>Estado</w:t>
      </w:r>
    </w:p>
    <w:p>
      <w:pPr>
        <w:spacing w:line="213" w:lineRule="exact" w:before="0"/>
        <w:ind w:left="113" w:right="0" w:firstLine="0"/>
        <w:jc w:val="left"/>
        <w:rPr>
          <w:i/>
          <w:sz w:val="20"/>
        </w:rPr>
      </w:pPr>
      <w:r>
        <w:rPr>
          <w:i/>
          <w:color w:val="231F20"/>
          <w:sz w:val="20"/>
        </w:rPr>
        <w:t>de México en el quinquenio 2000-2005 y su representación</w:t>
      </w:r>
    </w:p>
    <w:p>
      <w:pPr>
        <w:spacing w:line="220" w:lineRule="exact" w:before="0"/>
        <w:ind w:left="113" w:right="0" w:firstLine="0"/>
        <w:jc w:val="left"/>
        <w:rPr>
          <w:i/>
          <w:sz w:val="20"/>
        </w:rPr>
      </w:pPr>
      <w:r>
        <w:rPr>
          <w:i/>
          <w:color w:val="231F20"/>
          <w:sz w:val="20"/>
        </w:rPr>
        <w:t>cartográfica.</w:t>
      </w:r>
    </w:p>
    <w:p>
      <w:pPr>
        <w:spacing w:line="220" w:lineRule="exact" w:before="7"/>
        <w:ind w:left="113" w:right="2665" w:firstLine="0"/>
        <w:jc w:val="left"/>
        <w:rPr>
          <w:b/>
          <w:sz w:val="20"/>
        </w:rPr>
      </w:pPr>
      <w:r>
        <w:rPr>
          <w:b/>
          <w:color w:val="231F20"/>
          <w:w w:val="105"/>
          <w:sz w:val="20"/>
        </w:rPr>
        <w:t>Fernando Carreto Guadarrama Fabiola Dorantes Ruiz Fernando  Carreto  Bernal María Teresa Rojas Rodríguez</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XIII</w:t>
        <w:tab/>
        <w:t>237</w:t>
      </w:r>
    </w:p>
    <w:p>
      <w:pPr>
        <w:spacing w:line="220" w:lineRule="exact" w:before="7"/>
        <w:ind w:left="113" w:right="1472" w:firstLine="0"/>
        <w:jc w:val="left"/>
        <w:rPr>
          <w:sz w:val="20"/>
        </w:rPr>
      </w:pPr>
      <w:r>
        <w:rPr>
          <w:i/>
          <w:color w:val="231F20"/>
          <w:sz w:val="20"/>
        </w:rPr>
        <w:t>Factores familiares y socioeconómicos que </w:t>
      </w:r>
      <w:r>
        <w:rPr>
          <w:i/>
          <w:color w:val="231F20"/>
          <w:sz w:val="20"/>
        </w:rPr>
        <w:t>propician la prevalencia de sobrepeso y obesidad en escolares de la escuela primaria Amado Nervo. Ciudad Nezahualcóyotl Estado de México</w:t>
      </w:r>
      <w:r>
        <w:rPr>
          <w:color w:val="231F20"/>
          <w:sz w:val="20"/>
        </w:rPr>
        <w:t>.</w:t>
      </w:r>
    </w:p>
    <w:p>
      <w:pPr>
        <w:spacing w:line="220" w:lineRule="exact" w:before="0"/>
        <w:ind w:left="113" w:right="2059" w:firstLine="0"/>
        <w:jc w:val="left"/>
        <w:rPr>
          <w:b/>
          <w:sz w:val="20"/>
        </w:rPr>
      </w:pPr>
      <w:r>
        <w:rPr>
          <w:b/>
          <w:color w:val="231F20"/>
          <w:w w:val="105"/>
          <w:sz w:val="20"/>
        </w:rPr>
        <w:t>Héctor Pedro González Zamudio María de los Ángeles Maya Martínez Ana María Durán Ibarra</w:t>
      </w:r>
    </w:p>
    <w:p>
      <w:pPr>
        <w:pStyle w:val="BodyText"/>
        <w:rPr>
          <w:b/>
          <w:sz w:val="20"/>
        </w:rPr>
      </w:pPr>
    </w:p>
    <w:p>
      <w:pPr>
        <w:pStyle w:val="BodyText"/>
        <w:spacing w:before="6"/>
        <w:rPr>
          <w:b/>
          <w:sz w:val="17"/>
        </w:rPr>
      </w:pPr>
    </w:p>
    <w:p>
      <w:pPr>
        <w:spacing w:line="220" w:lineRule="exact" w:before="0"/>
        <w:ind w:left="264" w:right="0" w:firstLine="413"/>
        <w:jc w:val="left"/>
        <w:rPr>
          <w:b/>
          <w:sz w:val="20"/>
        </w:rPr>
      </w:pPr>
      <w:r>
        <w:rPr>
          <w:b/>
          <w:color w:val="231F20"/>
          <w:sz w:val="20"/>
        </w:rPr>
        <w:t>EJE 6 DINÁMICA DE LA INDUSTRIA ALIMENTARIA, MEDIOS DE COMUNICACIÓN Y SISTEMAS DE INFORMACIÓN</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XIV</w:t>
        <w:tab/>
        <w:t>259</w:t>
      </w:r>
    </w:p>
    <w:p>
      <w:pPr>
        <w:spacing w:line="220" w:lineRule="exact" w:before="0"/>
        <w:ind w:left="113" w:right="0" w:firstLine="0"/>
        <w:jc w:val="left"/>
        <w:rPr>
          <w:i/>
          <w:sz w:val="20"/>
        </w:rPr>
      </w:pPr>
      <w:r>
        <w:rPr>
          <w:i/>
          <w:color w:val="231F20"/>
          <w:sz w:val="20"/>
        </w:rPr>
        <w:t>La alimentación, todo un tema.</w:t>
      </w:r>
    </w:p>
    <w:p>
      <w:pPr>
        <w:spacing w:line="227" w:lineRule="exact" w:before="0"/>
        <w:ind w:left="113" w:right="0" w:firstLine="0"/>
        <w:jc w:val="left"/>
        <w:rPr>
          <w:b/>
          <w:sz w:val="20"/>
        </w:rPr>
      </w:pPr>
      <w:r>
        <w:rPr>
          <w:b/>
          <w:color w:val="231F20"/>
          <w:w w:val="110"/>
          <w:sz w:val="20"/>
        </w:rPr>
        <w:t>Omar Bustani Barrientos</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w:t>
        <w:tab/>
        <w:t>281</w:t>
      </w:r>
    </w:p>
    <w:p>
      <w:pPr>
        <w:spacing w:line="220" w:lineRule="exact" w:before="0"/>
        <w:ind w:left="113" w:right="0" w:firstLine="0"/>
        <w:jc w:val="left"/>
        <w:rPr>
          <w:sz w:val="20"/>
        </w:rPr>
      </w:pPr>
      <w:r>
        <w:rPr>
          <w:i/>
          <w:color w:val="231F20"/>
          <w:sz w:val="20"/>
        </w:rPr>
        <w:t>El desdeño de una dieta: indagando a la obesidad</w:t>
      </w:r>
      <w:r>
        <w:rPr>
          <w:color w:val="231F20"/>
          <w:sz w:val="20"/>
        </w:rPr>
        <w:t>.</w:t>
      </w:r>
    </w:p>
    <w:p>
      <w:pPr>
        <w:spacing w:line="220" w:lineRule="exact" w:before="7"/>
        <w:ind w:left="113" w:right="2665" w:firstLine="0"/>
        <w:jc w:val="left"/>
        <w:rPr>
          <w:b/>
          <w:sz w:val="20"/>
        </w:rPr>
      </w:pPr>
      <w:r>
        <w:rPr>
          <w:b/>
          <w:color w:val="231F20"/>
          <w:w w:val="105"/>
          <w:sz w:val="20"/>
        </w:rPr>
        <w:t>Donovan Casas Patiño Alejandra Rodríguez Torres Ana María Durán Ibarra</w:t>
      </w:r>
    </w:p>
    <w:p>
      <w:pPr>
        <w:spacing w:line="220" w:lineRule="exact" w:before="0"/>
        <w:ind w:left="113" w:right="0" w:firstLine="0"/>
        <w:jc w:val="left"/>
        <w:rPr>
          <w:b/>
          <w:sz w:val="20"/>
        </w:rPr>
      </w:pPr>
      <w:r>
        <w:rPr>
          <w:b/>
          <w:color w:val="231F20"/>
          <w:w w:val="110"/>
          <w:sz w:val="20"/>
        </w:rPr>
        <w:t>María de los Ángeles Maya Martínez</w:t>
      </w:r>
    </w:p>
    <w:p>
      <w:pPr>
        <w:spacing w:after="0" w:line="220" w:lineRule="exact"/>
        <w:jc w:val="left"/>
        <w:rPr>
          <w:sz w:val="20"/>
        </w:rPr>
        <w:sectPr>
          <w:footerReference w:type="default" r:id="rId7"/>
          <w:pgSz w:w="7920" w:h="12240"/>
          <w:pgMar w:footer="676" w:header="0" w:top="1040" w:bottom="860" w:left="1020" w:right="1080"/>
        </w:sectPr>
      </w:pPr>
    </w:p>
    <w:p>
      <w:pPr>
        <w:pStyle w:val="BodyText"/>
        <w:rPr>
          <w:b/>
          <w:sz w:val="20"/>
        </w:rPr>
      </w:pPr>
    </w:p>
    <w:p>
      <w:pPr>
        <w:pStyle w:val="BodyText"/>
        <w:rPr>
          <w:b/>
          <w:sz w:val="20"/>
        </w:rPr>
      </w:pPr>
    </w:p>
    <w:p>
      <w:pPr>
        <w:pStyle w:val="Heading1"/>
        <w:spacing w:line="314" w:lineRule="exact" w:before="202"/>
      </w:pPr>
      <w:r>
        <w:rPr>
          <w:color w:val="231F20"/>
        </w:rPr>
        <w:t>CAPÍTULO XII</w:t>
      </w:r>
    </w:p>
    <w:p>
      <w:pPr>
        <w:spacing w:line="300" w:lineRule="exact" w:before="12"/>
        <w:ind w:left="231" w:right="229" w:firstLine="0"/>
        <w:jc w:val="center"/>
        <w:rPr>
          <w:b/>
          <w:sz w:val="28"/>
        </w:rPr>
      </w:pPr>
      <w:r>
        <w:rPr>
          <w:b/>
          <w:color w:val="231F20"/>
          <w:sz w:val="28"/>
        </w:rPr>
        <w:t>CAMBIOS EN LA SITUACIÓN NUTRICIONAL Y ALIMENTARIA DE ACUERDO AL ÍNDICE DE RIESGO NUTRICIONAL DEL ESTADO DE MÉXICO EN EL QUINQUENIO 2000-2005 Y SU REPRESENTACIÓN CARTOGRÁFICA.</w:t>
      </w:r>
    </w:p>
    <w:p>
      <w:pPr>
        <w:pStyle w:val="BodyText"/>
        <w:rPr>
          <w:b/>
          <w:sz w:val="28"/>
        </w:rPr>
      </w:pPr>
    </w:p>
    <w:p>
      <w:pPr>
        <w:pStyle w:val="Heading3"/>
        <w:spacing w:line="244" w:lineRule="auto" w:before="204"/>
        <w:ind w:right="2572"/>
      </w:pPr>
      <w:r>
        <w:rPr>
          <w:color w:val="231F20"/>
          <w:w w:val="105"/>
        </w:rPr>
        <w:t>Fernando Carreto Guadarrama Fabiola Dorantes Ruiz Fernando  Carreto  Bernal María Teresa Rojas Rodríguez.</w:t>
      </w:r>
    </w:p>
    <w:p>
      <w:pPr>
        <w:pStyle w:val="BodyText"/>
        <w:rPr>
          <w:b/>
          <w:sz w:val="20"/>
        </w:rPr>
      </w:pPr>
    </w:p>
    <w:p>
      <w:pPr>
        <w:pStyle w:val="BodyText"/>
        <w:rPr>
          <w:b/>
          <w:sz w:val="20"/>
        </w:rPr>
      </w:pPr>
    </w:p>
    <w:p>
      <w:pPr>
        <w:pStyle w:val="BodyText"/>
        <w:spacing w:before="5"/>
        <w:rPr>
          <w:b/>
          <w:sz w:val="20"/>
        </w:rPr>
      </w:pPr>
    </w:p>
    <w:p>
      <w:pPr>
        <w:pStyle w:val="BodyText"/>
        <w:ind w:left="113"/>
      </w:pPr>
      <w:r>
        <w:rPr>
          <w:color w:val="231F20"/>
        </w:rPr>
        <w:t>Abstract</w:t>
      </w:r>
    </w:p>
    <w:p>
      <w:pPr>
        <w:pStyle w:val="BodyText"/>
        <w:spacing w:before="6"/>
        <w:rPr>
          <w:sz w:val="20"/>
        </w:rPr>
      </w:pPr>
    </w:p>
    <w:p>
      <w:pPr>
        <w:pStyle w:val="BodyText"/>
        <w:spacing w:line="240" w:lineRule="exact" w:before="1"/>
        <w:ind w:left="113" w:right="112"/>
        <w:jc w:val="both"/>
      </w:pPr>
      <w:r>
        <w:rPr>
          <w:b/>
          <w:color w:val="231F20"/>
        </w:rPr>
        <w:t>Introduction: The updated </w:t>
      </w:r>
      <w:r>
        <w:rPr>
          <w:color w:val="231F20"/>
        </w:rPr>
        <w:t>information in Mexico about nu- tritional diseases is, principally, at a national level, which leads to local and state data. This also leads, talking about a nutritio- nal matter, not to detect the most affected areas.</w:t>
      </w:r>
    </w:p>
    <w:p>
      <w:pPr>
        <w:pStyle w:val="BodyText"/>
        <w:spacing w:line="240" w:lineRule="exact"/>
        <w:ind w:left="113" w:right="111" w:firstLine="396"/>
        <w:jc w:val="both"/>
      </w:pPr>
      <w:r>
        <w:rPr>
          <w:color w:val="231F20"/>
        </w:rPr>
        <w:t>Objective:</w:t>
      </w:r>
      <w:r>
        <w:rPr>
          <w:color w:val="231F20"/>
          <w:spacing w:val="-9"/>
        </w:rPr>
        <w:t> </w:t>
      </w:r>
      <w:r>
        <w:rPr>
          <w:color w:val="231F20"/>
        </w:rPr>
        <w:t>Describing</w:t>
      </w:r>
      <w:r>
        <w:rPr>
          <w:color w:val="231F20"/>
          <w:spacing w:val="-11"/>
        </w:rPr>
        <w:t> </w:t>
      </w:r>
      <w:r>
        <w:rPr>
          <w:color w:val="231F20"/>
        </w:rPr>
        <w:t>a</w:t>
      </w:r>
      <w:r>
        <w:rPr>
          <w:color w:val="231F20"/>
          <w:spacing w:val="-9"/>
        </w:rPr>
        <w:t> </w:t>
      </w:r>
      <w:r>
        <w:rPr>
          <w:color w:val="231F20"/>
        </w:rPr>
        <w:t>local</w:t>
      </w:r>
      <w:r>
        <w:rPr>
          <w:color w:val="231F20"/>
          <w:spacing w:val="-8"/>
        </w:rPr>
        <w:t> </w:t>
      </w:r>
      <w:r>
        <w:rPr>
          <w:color w:val="231F20"/>
        </w:rPr>
        <w:t>nutritional</w:t>
      </w:r>
      <w:r>
        <w:rPr>
          <w:color w:val="231F20"/>
          <w:spacing w:val="-9"/>
        </w:rPr>
        <w:t> </w:t>
      </w:r>
      <w:r>
        <w:rPr>
          <w:color w:val="231F20"/>
        </w:rPr>
        <w:t>status</w:t>
      </w:r>
      <w:r>
        <w:rPr>
          <w:color w:val="231F20"/>
          <w:spacing w:val="-10"/>
        </w:rPr>
        <w:t> </w:t>
      </w:r>
      <w:r>
        <w:rPr>
          <w:color w:val="231F20"/>
        </w:rPr>
        <w:t>in</w:t>
      </w:r>
      <w:r>
        <w:rPr>
          <w:color w:val="231F20"/>
          <w:spacing w:val="-9"/>
        </w:rPr>
        <w:t> </w:t>
      </w:r>
      <w:r>
        <w:rPr>
          <w:color w:val="231F20"/>
        </w:rPr>
        <w:t>every</w:t>
      </w:r>
      <w:r>
        <w:rPr>
          <w:color w:val="231F20"/>
          <w:spacing w:val="-9"/>
        </w:rPr>
        <w:t> </w:t>
      </w:r>
      <w:r>
        <w:rPr>
          <w:color w:val="231F20"/>
        </w:rPr>
        <w:t>mu- nicipality in the State of Mexico during the year 2005 through the IRN (Nutritional Risk Index; letters in</w:t>
      </w:r>
      <w:r>
        <w:rPr>
          <w:color w:val="231F20"/>
          <w:spacing w:val="-22"/>
        </w:rPr>
        <w:t> </w:t>
      </w:r>
      <w:r>
        <w:rPr>
          <w:color w:val="231F20"/>
        </w:rPr>
        <w:t>Spanish).</w:t>
      </w:r>
    </w:p>
    <w:p>
      <w:pPr>
        <w:pStyle w:val="BodyText"/>
        <w:spacing w:line="240" w:lineRule="exact"/>
        <w:ind w:left="113" w:right="111" w:firstLine="396"/>
        <w:jc w:val="both"/>
      </w:pPr>
      <w:r>
        <w:rPr>
          <w:color w:val="231F20"/>
        </w:rPr>
        <w:t>Methods: A descriptive, observational, transversal and re- trospective</w:t>
      </w:r>
      <w:r>
        <w:rPr>
          <w:color w:val="231F20"/>
          <w:spacing w:val="-12"/>
        </w:rPr>
        <w:t> </w:t>
      </w:r>
      <w:r>
        <w:rPr>
          <w:color w:val="231F20"/>
        </w:rPr>
        <w:t>study</w:t>
      </w:r>
      <w:r>
        <w:rPr>
          <w:color w:val="231F20"/>
          <w:spacing w:val="-12"/>
        </w:rPr>
        <w:t> </w:t>
      </w:r>
      <w:r>
        <w:rPr>
          <w:color w:val="231F20"/>
        </w:rPr>
        <w:t>was</w:t>
      </w:r>
      <w:r>
        <w:rPr>
          <w:color w:val="231F20"/>
          <w:spacing w:val="-12"/>
        </w:rPr>
        <w:t> </w:t>
      </w:r>
      <w:r>
        <w:rPr>
          <w:color w:val="231F20"/>
        </w:rPr>
        <w:t>made</w:t>
      </w:r>
      <w:r>
        <w:rPr>
          <w:color w:val="231F20"/>
          <w:spacing w:val="-12"/>
        </w:rPr>
        <w:t> </w:t>
      </w:r>
      <w:r>
        <w:rPr>
          <w:color w:val="231F20"/>
        </w:rPr>
        <w:t>within</w:t>
      </w:r>
      <w:r>
        <w:rPr>
          <w:color w:val="231F20"/>
          <w:spacing w:val="-11"/>
        </w:rPr>
        <w:t> </w:t>
      </w:r>
      <w:r>
        <w:rPr>
          <w:color w:val="231F20"/>
        </w:rPr>
        <w:t>the</w:t>
      </w:r>
      <w:r>
        <w:rPr>
          <w:color w:val="231F20"/>
          <w:spacing w:val="-11"/>
        </w:rPr>
        <w:t> </w:t>
      </w:r>
      <w:r>
        <w:rPr>
          <w:color w:val="231F20"/>
        </w:rPr>
        <w:t>125</w:t>
      </w:r>
      <w:r>
        <w:rPr>
          <w:color w:val="231F20"/>
          <w:spacing w:val="-12"/>
        </w:rPr>
        <w:t> </w:t>
      </w:r>
      <w:r>
        <w:rPr>
          <w:color w:val="231F20"/>
        </w:rPr>
        <w:t>municipalities</w:t>
      </w:r>
      <w:r>
        <w:rPr>
          <w:color w:val="231F20"/>
          <w:spacing w:val="-12"/>
        </w:rPr>
        <w:t> </w:t>
      </w:r>
      <w:r>
        <w:rPr>
          <w:color w:val="231F20"/>
        </w:rPr>
        <w:t>of</w:t>
      </w:r>
      <w:r>
        <w:rPr>
          <w:color w:val="231F20"/>
          <w:spacing w:val="-12"/>
        </w:rPr>
        <w:t> </w:t>
      </w:r>
      <w:r>
        <w:rPr>
          <w:color w:val="231F20"/>
        </w:rPr>
        <w:t>the State of Mexico between August of 2012 and June of 2013. The 2005</w:t>
      </w:r>
      <w:r>
        <w:rPr>
          <w:color w:val="231F20"/>
          <w:spacing w:val="-15"/>
        </w:rPr>
        <w:t> </w:t>
      </w:r>
      <w:r>
        <w:rPr>
          <w:color w:val="231F20"/>
        </w:rPr>
        <w:t>Nutritional</w:t>
      </w:r>
      <w:r>
        <w:rPr>
          <w:color w:val="231F20"/>
          <w:spacing w:val="-16"/>
        </w:rPr>
        <w:t> </w:t>
      </w:r>
      <w:r>
        <w:rPr>
          <w:color w:val="231F20"/>
        </w:rPr>
        <w:t>Risk</w:t>
      </w:r>
      <w:r>
        <w:rPr>
          <w:color w:val="231F20"/>
          <w:spacing w:val="-15"/>
        </w:rPr>
        <w:t> </w:t>
      </w:r>
      <w:r>
        <w:rPr>
          <w:color w:val="231F20"/>
        </w:rPr>
        <w:t>Index</w:t>
      </w:r>
      <w:r>
        <w:rPr>
          <w:color w:val="231F20"/>
          <w:spacing w:val="-15"/>
        </w:rPr>
        <w:t> </w:t>
      </w:r>
      <w:r>
        <w:rPr>
          <w:color w:val="231F20"/>
        </w:rPr>
        <w:t>is</w:t>
      </w:r>
      <w:r>
        <w:rPr>
          <w:color w:val="231F20"/>
          <w:spacing w:val="-15"/>
        </w:rPr>
        <w:t> </w:t>
      </w:r>
      <w:r>
        <w:rPr>
          <w:color w:val="231F20"/>
        </w:rPr>
        <w:t>comprehended</w:t>
      </w:r>
      <w:r>
        <w:rPr>
          <w:color w:val="231F20"/>
          <w:spacing w:val="-15"/>
        </w:rPr>
        <w:t> </w:t>
      </w:r>
      <w:r>
        <w:rPr>
          <w:color w:val="231F20"/>
        </w:rPr>
        <w:t>by</w:t>
      </w:r>
      <w:r>
        <w:rPr>
          <w:color w:val="231F20"/>
          <w:spacing w:val="-15"/>
        </w:rPr>
        <w:t> </w:t>
      </w:r>
      <w:r>
        <w:rPr>
          <w:color w:val="231F20"/>
        </w:rPr>
        <w:t>14</w:t>
      </w:r>
      <w:r>
        <w:rPr>
          <w:color w:val="231F20"/>
          <w:spacing w:val="-15"/>
        </w:rPr>
        <w:t> </w:t>
      </w:r>
      <w:r>
        <w:rPr>
          <w:color w:val="231F20"/>
        </w:rPr>
        <w:t>variabilities divided in three characteristics: Vital Statistics, Social Statistics and</w:t>
      </w:r>
      <w:r>
        <w:rPr>
          <w:color w:val="231F20"/>
          <w:spacing w:val="-8"/>
        </w:rPr>
        <w:t> </w:t>
      </w:r>
      <w:r>
        <w:rPr>
          <w:color w:val="231F20"/>
        </w:rPr>
        <w:t>the</w:t>
      </w:r>
      <w:r>
        <w:rPr>
          <w:color w:val="231F20"/>
          <w:spacing w:val="-8"/>
        </w:rPr>
        <w:t> </w:t>
      </w:r>
      <w:r>
        <w:rPr>
          <w:color w:val="231F20"/>
        </w:rPr>
        <w:t>anthropometric</w:t>
      </w:r>
      <w:r>
        <w:rPr>
          <w:color w:val="231F20"/>
          <w:spacing w:val="-9"/>
        </w:rPr>
        <w:t> </w:t>
      </w:r>
      <w:r>
        <w:rPr>
          <w:color w:val="231F20"/>
          <w:spacing w:val="-3"/>
        </w:rPr>
        <w:t>variability.</w:t>
      </w:r>
      <w:r>
        <w:rPr>
          <w:color w:val="231F20"/>
          <w:spacing w:val="-8"/>
        </w:rPr>
        <w:t> </w:t>
      </w:r>
      <w:r>
        <w:rPr>
          <w:color w:val="231F20"/>
        </w:rPr>
        <w:t>The</w:t>
      </w:r>
      <w:r>
        <w:rPr>
          <w:color w:val="231F20"/>
          <w:spacing w:val="-9"/>
        </w:rPr>
        <w:t> </w:t>
      </w:r>
      <w:r>
        <w:rPr>
          <w:color w:val="231F20"/>
        </w:rPr>
        <w:t>computer</w:t>
      </w:r>
      <w:r>
        <w:rPr>
          <w:color w:val="231F20"/>
          <w:spacing w:val="-9"/>
        </w:rPr>
        <w:t> </w:t>
      </w:r>
      <w:r>
        <w:rPr>
          <w:color w:val="231F20"/>
        </w:rPr>
        <w:t>programs</w:t>
      </w:r>
      <w:r>
        <w:rPr>
          <w:color w:val="231F20"/>
          <w:spacing w:val="-8"/>
        </w:rPr>
        <w:t> </w:t>
      </w:r>
      <w:r>
        <w:rPr>
          <w:color w:val="231F20"/>
        </w:rPr>
        <w:t>Mi- crosoft Excel 2013 and</w:t>
      </w:r>
      <w:r>
        <w:rPr>
          <w:color w:val="231F20"/>
          <w:spacing w:val="-15"/>
        </w:rPr>
        <w:t> </w:t>
      </w:r>
      <w:r>
        <w:rPr>
          <w:color w:val="231F20"/>
        </w:rPr>
        <w:t>SPSS</w:t>
      </w:r>
    </w:p>
    <w:p>
      <w:pPr>
        <w:pStyle w:val="BodyText"/>
        <w:spacing w:line="240" w:lineRule="exact"/>
        <w:ind w:left="113" w:right="111" w:firstLine="396"/>
        <w:jc w:val="both"/>
      </w:pPr>
      <w:r>
        <w:rPr>
          <w:color w:val="231F20"/>
        </w:rPr>
        <w:t>(Statistics Packages for the Social Sciences) were used for the statistical analysis.</w:t>
      </w:r>
    </w:p>
    <w:p>
      <w:pPr>
        <w:pStyle w:val="BodyText"/>
        <w:spacing w:line="240" w:lineRule="exact"/>
        <w:ind w:left="113" w:right="111" w:firstLine="396"/>
        <w:jc w:val="both"/>
      </w:pPr>
      <w:r>
        <w:rPr>
          <w:color w:val="231F20"/>
        </w:rPr>
        <w:t>Results: The situation in the State of Mexico became worse between 2000 and 2005 going from a low to a moderate IRN index.</w:t>
      </w:r>
      <w:r>
        <w:rPr>
          <w:color w:val="231F20"/>
          <w:spacing w:val="-5"/>
        </w:rPr>
        <w:t> </w:t>
      </w:r>
      <w:r>
        <w:rPr>
          <w:color w:val="231F20"/>
        </w:rPr>
        <w:t>The</w:t>
      </w:r>
      <w:r>
        <w:rPr>
          <w:color w:val="231F20"/>
          <w:spacing w:val="-5"/>
        </w:rPr>
        <w:t> </w:t>
      </w:r>
      <w:r>
        <w:rPr>
          <w:color w:val="231F20"/>
        </w:rPr>
        <w:t>2005</w:t>
      </w:r>
      <w:r>
        <w:rPr>
          <w:color w:val="231F20"/>
          <w:spacing w:val="-5"/>
        </w:rPr>
        <w:t> </w:t>
      </w:r>
      <w:r>
        <w:rPr>
          <w:color w:val="231F20"/>
        </w:rPr>
        <w:t>most</w:t>
      </w:r>
      <w:r>
        <w:rPr>
          <w:color w:val="231F20"/>
          <w:spacing w:val="-5"/>
        </w:rPr>
        <w:t> </w:t>
      </w:r>
      <w:r>
        <w:rPr>
          <w:color w:val="231F20"/>
        </w:rPr>
        <w:t>affected</w:t>
      </w:r>
      <w:r>
        <w:rPr>
          <w:color w:val="231F20"/>
          <w:spacing w:val="-5"/>
        </w:rPr>
        <w:t> </w:t>
      </w:r>
      <w:r>
        <w:rPr>
          <w:color w:val="231F20"/>
        </w:rPr>
        <w:t>municipalities</w:t>
      </w:r>
      <w:r>
        <w:rPr>
          <w:color w:val="231F20"/>
          <w:spacing w:val="-5"/>
        </w:rPr>
        <w:t> </w:t>
      </w:r>
      <w:r>
        <w:rPr>
          <w:color w:val="231F20"/>
        </w:rPr>
        <w:t>were:</w:t>
      </w:r>
      <w:r>
        <w:rPr>
          <w:color w:val="231F20"/>
          <w:spacing w:val="-5"/>
        </w:rPr>
        <w:t> </w:t>
      </w:r>
      <w:r>
        <w:rPr>
          <w:color w:val="231F20"/>
        </w:rPr>
        <w:t>San</w:t>
      </w:r>
      <w:r>
        <w:rPr>
          <w:color w:val="231F20"/>
          <w:spacing w:val="-5"/>
        </w:rPr>
        <w:t> </w:t>
      </w:r>
      <w:r>
        <w:rPr>
          <w:color w:val="231F20"/>
        </w:rPr>
        <w:t>José</w:t>
      </w:r>
      <w:r>
        <w:rPr>
          <w:color w:val="231F20"/>
          <w:spacing w:val="-5"/>
        </w:rPr>
        <w:t> </w:t>
      </w:r>
      <w:r>
        <w:rPr>
          <w:color w:val="231F20"/>
        </w:rPr>
        <w:t>del</w:t>
      </w:r>
    </w:p>
    <w:p>
      <w:pPr>
        <w:spacing w:after="0" w:line="240" w:lineRule="exact"/>
        <w:jc w:val="both"/>
        <w:sectPr>
          <w:footerReference w:type="default" r:id="rId8"/>
          <w:pgSz w:w="7920" w:h="12240"/>
          <w:pgMar w:footer="676" w:header="0" w:top="1140" w:bottom="860" w:left="1020" w:right="1020"/>
        </w:sectPr>
      </w:pPr>
    </w:p>
    <w:p>
      <w:pPr>
        <w:pStyle w:val="BodyText"/>
        <w:spacing w:line="240" w:lineRule="exact" w:before="65"/>
        <w:ind w:left="113" w:right="111"/>
        <w:jc w:val="both"/>
      </w:pPr>
      <w:r>
        <w:rPr>
          <w:color w:val="231F20"/>
        </w:rPr>
        <w:t>Rincón, Donato Guerra, Villa Victoria, San Felipe del Progreso and</w:t>
      </w:r>
      <w:r>
        <w:rPr>
          <w:color w:val="231F20"/>
          <w:spacing w:val="-8"/>
        </w:rPr>
        <w:t> </w:t>
      </w:r>
      <w:r>
        <w:rPr>
          <w:color w:val="231F20"/>
        </w:rPr>
        <w:t>Sultepec.</w:t>
      </w:r>
      <w:r>
        <w:rPr>
          <w:color w:val="231F20"/>
          <w:spacing w:val="-8"/>
        </w:rPr>
        <w:t> </w:t>
      </w:r>
      <w:r>
        <w:rPr>
          <w:color w:val="231F20"/>
          <w:spacing w:val="-4"/>
        </w:rPr>
        <w:t>Talking</w:t>
      </w:r>
      <w:r>
        <w:rPr>
          <w:color w:val="231F20"/>
          <w:spacing w:val="-7"/>
        </w:rPr>
        <w:t> </w:t>
      </w:r>
      <w:r>
        <w:rPr>
          <w:color w:val="231F20"/>
        </w:rPr>
        <w:t>about</w:t>
      </w:r>
      <w:r>
        <w:rPr>
          <w:color w:val="231F20"/>
          <w:spacing w:val="-7"/>
        </w:rPr>
        <w:t> </w:t>
      </w:r>
      <w:r>
        <w:rPr>
          <w:color w:val="231F20"/>
        </w:rPr>
        <w:t>the</w:t>
      </w:r>
      <w:r>
        <w:rPr>
          <w:color w:val="231F20"/>
          <w:spacing w:val="-7"/>
        </w:rPr>
        <w:t> </w:t>
      </w:r>
      <w:r>
        <w:rPr>
          <w:color w:val="231F20"/>
        </w:rPr>
        <w:t>nutritional</w:t>
      </w:r>
      <w:r>
        <w:rPr>
          <w:color w:val="231F20"/>
          <w:spacing w:val="-7"/>
        </w:rPr>
        <w:t> </w:t>
      </w:r>
      <w:r>
        <w:rPr>
          <w:color w:val="231F20"/>
        </w:rPr>
        <w:t>status,</w:t>
      </w:r>
      <w:r>
        <w:rPr>
          <w:color w:val="231F20"/>
          <w:spacing w:val="-8"/>
        </w:rPr>
        <w:t> </w:t>
      </w:r>
      <w:r>
        <w:rPr>
          <w:color w:val="231F20"/>
        </w:rPr>
        <w:t>three</w:t>
      </w:r>
      <w:r>
        <w:rPr>
          <w:color w:val="231F20"/>
          <w:spacing w:val="-8"/>
        </w:rPr>
        <w:t> </w:t>
      </w:r>
      <w:r>
        <w:rPr>
          <w:color w:val="231F20"/>
        </w:rPr>
        <w:t>munici- palities</w:t>
      </w:r>
      <w:r>
        <w:rPr>
          <w:color w:val="231F20"/>
          <w:spacing w:val="-11"/>
        </w:rPr>
        <w:t> </w:t>
      </w:r>
      <w:r>
        <w:rPr>
          <w:color w:val="231F20"/>
        </w:rPr>
        <w:t>became</w:t>
      </w:r>
      <w:r>
        <w:rPr>
          <w:color w:val="231F20"/>
          <w:spacing w:val="-12"/>
        </w:rPr>
        <w:t> </w:t>
      </w:r>
      <w:r>
        <w:rPr>
          <w:color w:val="231F20"/>
        </w:rPr>
        <w:t>better</w:t>
      </w:r>
      <w:r>
        <w:rPr>
          <w:color w:val="231F20"/>
          <w:spacing w:val="-12"/>
        </w:rPr>
        <w:t> </w:t>
      </w:r>
      <w:r>
        <w:rPr>
          <w:color w:val="231F20"/>
        </w:rPr>
        <w:t>(representing</w:t>
      </w:r>
      <w:r>
        <w:rPr>
          <w:color w:val="231F20"/>
          <w:spacing w:val="-12"/>
        </w:rPr>
        <w:t> </w:t>
      </w:r>
      <w:r>
        <w:rPr>
          <w:color w:val="231F20"/>
        </w:rPr>
        <w:t>the</w:t>
      </w:r>
      <w:r>
        <w:rPr>
          <w:color w:val="231F20"/>
          <w:spacing w:val="-12"/>
        </w:rPr>
        <w:t> </w:t>
      </w:r>
      <w:r>
        <w:rPr>
          <w:color w:val="231F20"/>
        </w:rPr>
        <w:t>18.25%</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State</w:t>
      </w:r>
      <w:r>
        <w:rPr>
          <w:color w:val="231F20"/>
          <w:spacing w:val="-12"/>
        </w:rPr>
        <w:t> </w:t>
      </w:r>
      <w:r>
        <w:rPr>
          <w:color w:val="231F20"/>
        </w:rPr>
        <w:t>Po- pulation),</w:t>
      </w:r>
      <w:r>
        <w:rPr>
          <w:color w:val="231F20"/>
          <w:spacing w:val="-10"/>
        </w:rPr>
        <w:t> </w:t>
      </w:r>
      <w:r>
        <w:rPr>
          <w:color w:val="231F20"/>
        </w:rPr>
        <w:t>but,</w:t>
      </w:r>
      <w:r>
        <w:rPr>
          <w:color w:val="231F20"/>
          <w:spacing w:val="-10"/>
        </w:rPr>
        <w:t> </w:t>
      </w:r>
      <w:r>
        <w:rPr>
          <w:color w:val="231F20"/>
        </w:rPr>
        <w:t>in</w:t>
      </w:r>
      <w:r>
        <w:rPr>
          <w:color w:val="231F20"/>
          <w:spacing w:val="-10"/>
        </w:rPr>
        <w:t> </w:t>
      </w:r>
      <w:r>
        <w:rPr>
          <w:color w:val="231F20"/>
        </w:rPr>
        <w:t>contrast,</w:t>
      </w:r>
      <w:r>
        <w:rPr>
          <w:color w:val="231F20"/>
          <w:spacing w:val="-10"/>
        </w:rPr>
        <w:t> </w:t>
      </w:r>
      <w:r>
        <w:rPr>
          <w:color w:val="231F20"/>
        </w:rPr>
        <w:t>thirteen</w:t>
      </w:r>
      <w:r>
        <w:rPr>
          <w:color w:val="231F20"/>
          <w:spacing w:val="-11"/>
        </w:rPr>
        <w:t> </w:t>
      </w:r>
      <w:r>
        <w:rPr>
          <w:color w:val="231F20"/>
        </w:rPr>
        <w:t>municipalities</w:t>
      </w:r>
      <w:r>
        <w:rPr>
          <w:color w:val="231F20"/>
          <w:spacing w:val="-10"/>
        </w:rPr>
        <w:t> </w:t>
      </w:r>
      <w:r>
        <w:rPr>
          <w:color w:val="231F20"/>
        </w:rPr>
        <w:t>(representing the 81.25% of the State Population)</w:t>
      </w:r>
      <w:r>
        <w:rPr>
          <w:color w:val="231F20"/>
          <w:spacing w:val="-15"/>
        </w:rPr>
        <w:t> </w:t>
      </w:r>
      <w:r>
        <w:rPr>
          <w:color w:val="231F20"/>
        </w:rPr>
        <w:t>becameworse.</w:t>
      </w:r>
    </w:p>
    <w:p>
      <w:pPr>
        <w:pStyle w:val="BodyText"/>
        <w:spacing w:line="240" w:lineRule="exact"/>
        <w:ind w:left="113" w:right="111" w:firstLine="396"/>
        <w:jc w:val="both"/>
      </w:pPr>
      <w:r>
        <w:rPr>
          <w:color w:val="231F20"/>
        </w:rPr>
        <w:t>Conclusions: A high amount of municipalities in the State of Mexico are in a moderate nutritional risk level. Due this, it’s important</w:t>
      </w:r>
      <w:r>
        <w:rPr>
          <w:color w:val="231F20"/>
          <w:spacing w:val="-12"/>
        </w:rPr>
        <w:t> </w:t>
      </w:r>
      <w:r>
        <w:rPr>
          <w:color w:val="231F20"/>
        </w:rPr>
        <w:t>to</w:t>
      </w:r>
      <w:r>
        <w:rPr>
          <w:color w:val="231F20"/>
          <w:spacing w:val="-12"/>
        </w:rPr>
        <w:t> </w:t>
      </w:r>
      <w:r>
        <w:rPr>
          <w:color w:val="231F20"/>
        </w:rPr>
        <w:t>focus</w:t>
      </w:r>
      <w:r>
        <w:rPr>
          <w:color w:val="231F20"/>
          <w:spacing w:val="-12"/>
        </w:rPr>
        <w:t> </w:t>
      </w:r>
      <w:r>
        <w:rPr>
          <w:color w:val="231F20"/>
        </w:rPr>
        <w:t>and</w:t>
      </w:r>
      <w:r>
        <w:rPr>
          <w:color w:val="231F20"/>
          <w:spacing w:val="-11"/>
        </w:rPr>
        <w:t> </w:t>
      </w:r>
      <w:r>
        <w:rPr>
          <w:color w:val="231F20"/>
        </w:rPr>
        <w:t>work</w:t>
      </w:r>
      <w:r>
        <w:rPr>
          <w:color w:val="231F20"/>
          <w:spacing w:val="-12"/>
        </w:rPr>
        <w:t> </w:t>
      </w:r>
      <w:r>
        <w:rPr>
          <w:color w:val="231F20"/>
        </w:rPr>
        <w:t>on</w:t>
      </w:r>
      <w:r>
        <w:rPr>
          <w:color w:val="231F20"/>
          <w:spacing w:val="-12"/>
        </w:rPr>
        <w:t> </w:t>
      </w:r>
      <w:r>
        <w:rPr>
          <w:color w:val="231F20"/>
        </w:rPr>
        <w:t>the</w:t>
      </w:r>
      <w:r>
        <w:rPr>
          <w:color w:val="231F20"/>
          <w:spacing w:val="-11"/>
        </w:rPr>
        <w:t> </w:t>
      </w:r>
      <w:r>
        <w:rPr>
          <w:color w:val="231F20"/>
        </w:rPr>
        <w:t>problem</w:t>
      </w:r>
      <w:r>
        <w:rPr>
          <w:color w:val="231F20"/>
          <w:spacing w:val="-12"/>
        </w:rPr>
        <w:t> </w:t>
      </w:r>
      <w:r>
        <w:rPr>
          <w:color w:val="231F20"/>
        </w:rPr>
        <w:t>and</w:t>
      </w:r>
      <w:r>
        <w:rPr>
          <w:color w:val="231F20"/>
          <w:spacing w:val="-11"/>
        </w:rPr>
        <w:t> </w:t>
      </w:r>
      <w:r>
        <w:rPr>
          <w:color w:val="231F20"/>
        </w:rPr>
        <w:t>make</w:t>
      </w:r>
      <w:r>
        <w:rPr>
          <w:color w:val="231F20"/>
          <w:spacing w:val="-12"/>
        </w:rPr>
        <w:t> </w:t>
      </w:r>
      <w:r>
        <w:rPr>
          <w:color w:val="231F20"/>
        </w:rPr>
        <w:t>efforts</w:t>
      </w:r>
      <w:r>
        <w:rPr>
          <w:color w:val="231F20"/>
          <w:spacing w:val="-12"/>
        </w:rPr>
        <w:t> </w:t>
      </w:r>
      <w:r>
        <w:rPr>
          <w:color w:val="231F20"/>
        </w:rPr>
        <w:t>to decrease the nutritional</w:t>
      </w:r>
      <w:r>
        <w:rPr>
          <w:color w:val="231F20"/>
          <w:spacing w:val="-17"/>
        </w:rPr>
        <w:t> </w:t>
      </w:r>
      <w:r>
        <w:rPr>
          <w:color w:val="231F20"/>
        </w:rPr>
        <w:t>diseases.</w:t>
      </w:r>
    </w:p>
    <w:p>
      <w:pPr>
        <w:pStyle w:val="BodyText"/>
        <w:spacing w:line="240" w:lineRule="exact"/>
        <w:ind w:left="113" w:right="110" w:firstLine="396"/>
        <w:jc w:val="both"/>
      </w:pPr>
      <w:r>
        <w:rPr>
          <w:b/>
          <w:color w:val="231F20"/>
        </w:rPr>
        <w:t>Key words: </w:t>
      </w:r>
      <w:r>
        <w:rPr>
          <w:color w:val="231F20"/>
        </w:rPr>
        <w:t>Nutritional Status, Municipalities, Nutritional Risk Index, Malnutrition.</w:t>
      </w:r>
    </w:p>
    <w:p>
      <w:pPr>
        <w:pStyle w:val="BodyText"/>
        <w:rPr>
          <w:sz w:val="20"/>
        </w:rPr>
      </w:pPr>
    </w:p>
    <w:p>
      <w:pPr>
        <w:pStyle w:val="BodyText"/>
        <w:rPr>
          <w:sz w:val="20"/>
        </w:rPr>
      </w:pPr>
    </w:p>
    <w:p>
      <w:pPr>
        <w:pStyle w:val="BodyText"/>
        <w:spacing w:before="4"/>
        <w:rPr>
          <w:sz w:val="22"/>
        </w:rPr>
      </w:pPr>
    </w:p>
    <w:p>
      <w:pPr>
        <w:spacing w:before="0"/>
        <w:ind w:left="113" w:right="0" w:firstLine="0"/>
        <w:jc w:val="both"/>
        <w:rPr>
          <w:b/>
          <w:sz w:val="24"/>
        </w:rPr>
      </w:pPr>
      <w:r>
        <w:rPr>
          <w:b/>
          <w:color w:val="231F20"/>
          <w:sz w:val="24"/>
        </w:rPr>
        <w:t>Resumen</w:t>
      </w:r>
    </w:p>
    <w:p>
      <w:pPr>
        <w:pStyle w:val="BodyText"/>
        <w:rPr>
          <w:b/>
          <w:sz w:val="20"/>
        </w:rPr>
      </w:pPr>
    </w:p>
    <w:p>
      <w:pPr>
        <w:pStyle w:val="BodyText"/>
        <w:spacing w:line="240" w:lineRule="exact"/>
        <w:ind w:left="32" w:right="113"/>
        <w:jc w:val="right"/>
      </w:pPr>
      <w:r>
        <w:rPr>
          <w:color w:val="231F20"/>
        </w:rPr>
        <w:t>Introducción: La información actual que existe en nuestro país sobre problemas nutricionales generalmente es a nivel nacional lo que diluye los datos a nivel municipal y local, lo cual conlleva a que no se detecten las zonas más afectadas nutricionalmente. Objetivo: Describir la situación nutricional a nivel  munici-</w:t>
      </w:r>
    </w:p>
    <w:p>
      <w:pPr>
        <w:pStyle w:val="BodyText"/>
        <w:spacing w:line="240" w:lineRule="exact"/>
        <w:ind w:left="113" w:right="111"/>
        <w:jc w:val="both"/>
      </w:pPr>
      <w:r>
        <w:rPr>
          <w:color w:val="231F20"/>
        </w:rPr>
        <w:t>pal en el Estado de México en el año 2005 a </w:t>
      </w:r>
      <w:r>
        <w:rPr>
          <w:color w:val="231F20"/>
          <w:spacing w:val="-3"/>
        </w:rPr>
        <w:t>través </w:t>
      </w:r>
      <w:r>
        <w:rPr>
          <w:color w:val="231F20"/>
        </w:rPr>
        <w:t>del Índice de Riesgo Nutricional (IRN).</w:t>
      </w:r>
    </w:p>
    <w:p>
      <w:pPr>
        <w:pStyle w:val="BodyText"/>
        <w:spacing w:line="240" w:lineRule="exact"/>
        <w:ind w:left="113" w:right="110" w:firstLine="396"/>
        <w:jc w:val="both"/>
      </w:pPr>
      <w:r>
        <w:rPr>
          <w:color w:val="231F20"/>
        </w:rPr>
        <w:t>Métodos:</w:t>
      </w:r>
      <w:r>
        <w:rPr>
          <w:color w:val="231F20"/>
          <w:spacing w:val="-6"/>
        </w:rPr>
        <w:t> </w:t>
      </w:r>
      <w:r>
        <w:rPr>
          <w:color w:val="231F20"/>
        </w:rPr>
        <w:t>Se</w:t>
      </w:r>
      <w:r>
        <w:rPr>
          <w:color w:val="231F20"/>
          <w:spacing w:val="-6"/>
        </w:rPr>
        <w:t> </w:t>
      </w:r>
      <w:r>
        <w:rPr>
          <w:color w:val="231F20"/>
        </w:rPr>
        <w:t>realizó</w:t>
      </w:r>
      <w:r>
        <w:rPr>
          <w:color w:val="231F20"/>
          <w:spacing w:val="-6"/>
        </w:rPr>
        <w:t> </w:t>
      </w:r>
      <w:r>
        <w:rPr>
          <w:color w:val="231F20"/>
        </w:rPr>
        <w:t>un</w:t>
      </w:r>
      <w:r>
        <w:rPr>
          <w:color w:val="231F20"/>
          <w:spacing w:val="-5"/>
        </w:rPr>
        <w:t> </w:t>
      </w:r>
      <w:r>
        <w:rPr>
          <w:color w:val="231F20"/>
        </w:rPr>
        <w:t>estudio</w:t>
      </w:r>
      <w:r>
        <w:rPr>
          <w:color w:val="231F20"/>
          <w:spacing w:val="-6"/>
        </w:rPr>
        <w:t> </w:t>
      </w:r>
      <w:r>
        <w:rPr>
          <w:color w:val="231F20"/>
        </w:rPr>
        <w:t>descriptivo,</w:t>
      </w:r>
      <w:r>
        <w:rPr>
          <w:color w:val="231F20"/>
          <w:spacing w:val="-6"/>
        </w:rPr>
        <w:t> </w:t>
      </w:r>
      <w:r>
        <w:rPr>
          <w:color w:val="231F20"/>
        </w:rPr>
        <w:t>transversal,</w:t>
      </w:r>
      <w:r>
        <w:rPr>
          <w:color w:val="231F20"/>
          <w:spacing w:val="-6"/>
        </w:rPr>
        <w:t> </w:t>
      </w:r>
      <w:r>
        <w:rPr>
          <w:color w:val="231F20"/>
        </w:rPr>
        <w:t>ob- servacional y retrospectivo en los 125 municipios del Estado de México durante agosto 2012 y julio 2013. El IRN 2005 está integrado por 14 variables que se dividen en tres: estadísticas vitales, estadísticas sociales y la variable antropométrica. </w:t>
      </w:r>
      <w:r>
        <w:rPr>
          <w:color w:val="231F20"/>
          <w:spacing w:val="-3"/>
        </w:rPr>
        <w:t>Para </w:t>
      </w:r>
      <w:r>
        <w:rPr>
          <w:color w:val="231F20"/>
        </w:rPr>
        <w:t>el</w:t>
      </w:r>
      <w:r>
        <w:rPr>
          <w:color w:val="231F20"/>
          <w:spacing w:val="-5"/>
        </w:rPr>
        <w:t> </w:t>
      </w:r>
      <w:r>
        <w:rPr>
          <w:color w:val="231F20"/>
        </w:rPr>
        <w:t>análisis</w:t>
      </w:r>
      <w:r>
        <w:rPr>
          <w:color w:val="231F20"/>
          <w:spacing w:val="-4"/>
        </w:rPr>
        <w:t> </w:t>
      </w:r>
      <w:r>
        <w:rPr>
          <w:color w:val="231F20"/>
        </w:rPr>
        <w:t>estadístico</w:t>
      </w:r>
      <w:r>
        <w:rPr>
          <w:color w:val="231F20"/>
          <w:spacing w:val="-5"/>
        </w:rPr>
        <w:t> </w:t>
      </w:r>
      <w:r>
        <w:rPr>
          <w:color w:val="231F20"/>
        </w:rPr>
        <w:t>se</w:t>
      </w:r>
      <w:r>
        <w:rPr>
          <w:color w:val="231F20"/>
          <w:spacing w:val="-5"/>
        </w:rPr>
        <w:t> </w:t>
      </w:r>
      <w:r>
        <w:rPr>
          <w:color w:val="231F20"/>
        </w:rPr>
        <w:t>usó</w:t>
      </w:r>
      <w:r>
        <w:rPr>
          <w:color w:val="231F20"/>
          <w:spacing w:val="-4"/>
        </w:rPr>
        <w:t> </w:t>
      </w:r>
      <w:r>
        <w:rPr>
          <w:color w:val="231F20"/>
        </w:rPr>
        <w:t>el</w:t>
      </w:r>
      <w:r>
        <w:rPr>
          <w:color w:val="231F20"/>
          <w:spacing w:val="-5"/>
        </w:rPr>
        <w:t> </w:t>
      </w:r>
      <w:r>
        <w:rPr>
          <w:color w:val="231F20"/>
        </w:rPr>
        <w:t>programa</w:t>
      </w:r>
      <w:r>
        <w:rPr>
          <w:color w:val="231F20"/>
          <w:spacing w:val="-4"/>
        </w:rPr>
        <w:t> </w:t>
      </w:r>
      <w:r>
        <w:rPr>
          <w:color w:val="231F20"/>
        </w:rPr>
        <w:t>SPSS</w:t>
      </w:r>
      <w:r>
        <w:rPr>
          <w:color w:val="231F20"/>
          <w:spacing w:val="-4"/>
        </w:rPr>
        <w:t> </w:t>
      </w:r>
      <w:r>
        <w:rPr>
          <w:color w:val="231F20"/>
        </w:rPr>
        <w:t>y</w:t>
      </w:r>
      <w:r>
        <w:rPr>
          <w:color w:val="231F20"/>
          <w:spacing w:val="-5"/>
        </w:rPr>
        <w:t> </w:t>
      </w:r>
      <w:r>
        <w:rPr>
          <w:color w:val="231F20"/>
        </w:rPr>
        <w:t>EXCEL.</w:t>
      </w:r>
    </w:p>
    <w:p>
      <w:pPr>
        <w:pStyle w:val="BodyText"/>
        <w:spacing w:line="240" w:lineRule="exact"/>
        <w:ind w:left="113" w:right="111" w:firstLine="396"/>
        <w:jc w:val="both"/>
      </w:pPr>
      <w:r>
        <w:rPr>
          <w:color w:val="231F20"/>
        </w:rPr>
        <w:t>Resultados: En el Estado de México entre 2000 y 2005 em- peoro la situación nutricional pasando de un IRN de bajo a mo- derado. Los municipios más afectados para 2005 fueron: San José del Rincón, Donato Guerra, Villa Victoria, San Felipe del Progreso</w:t>
      </w:r>
      <w:r>
        <w:rPr>
          <w:color w:val="231F20"/>
          <w:spacing w:val="-10"/>
        </w:rPr>
        <w:t> </w:t>
      </w:r>
      <w:r>
        <w:rPr>
          <w:color w:val="231F20"/>
        </w:rPr>
        <w:t>y</w:t>
      </w:r>
      <w:r>
        <w:rPr>
          <w:color w:val="231F20"/>
          <w:spacing w:val="-10"/>
        </w:rPr>
        <w:t> </w:t>
      </w:r>
      <w:r>
        <w:rPr>
          <w:color w:val="231F20"/>
        </w:rPr>
        <w:t>Sultepec.</w:t>
      </w:r>
      <w:r>
        <w:rPr>
          <w:color w:val="231F20"/>
          <w:spacing w:val="-10"/>
        </w:rPr>
        <w:t> </w:t>
      </w:r>
      <w:r>
        <w:rPr>
          <w:color w:val="231F20"/>
          <w:spacing w:val="-3"/>
        </w:rPr>
        <w:t>Tres</w:t>
      </w:r>
      <w:r>
        <w:rPr>
          <w:color w:val="231F20"/>
          <w:spacing w:val="-10"/>
        </w:rPr>
        <w:t> </w:t>
      </w:r>
      <w:r>
        <w:rPr>
          <w:color w:val="231F20"/>
        </w:rPr>
        <w:t>municipios</w:t>
      </w:r>
      <w:r>
        <w:rPr>
          <w:color w:val="231F20"/>
          <w:spacing w:val="-10"/>
        </w:rPr>
        <w:t> </w:t>
      </w:r>
      <w:r>
        <w:rPr>
          <w:color w:val="231F20"/>
        </w:rPr>
        <w:t>mejoraron</w:t>
      </w:r>
      <w:r>
        <w:rPr>
          <w:color w:val="231F20"/>
          <w:spacing w:val="-10"/>
        </w:rPr>
        <w:t> </w:t>
      </w:r>
      <w:r>
        <w:rPr>
          <w:color w:val="231F20"/>
        </w:rPr>
        <w:t>(18.25%)</w:t>
      </w:r>
      <w:r>
        <w:rPr>
          <w:color w:val="231F20"/>
          <w:spacing w:val="-10"/>
        </w:rPr>
        <w:t> </w:t>
      </w:r>
      <w:r>
        <w:rPr>
          <w:color w:val="231F20"/>
        </w:rPr>
        <w:t>y</w:t>
      </w:r>
      <w:r>
        <w:rPr>
          <w:color w:val="231F20"/>
          <w:spacing w:val="-10"/>
        </w:rPr>
        <w:t> </w:t>
      </w:r>
      <w:r>
        <w:rPr>
          <w:color w:val="231F20"/>
        </w:rPr>
        <w:t>tre- ce (81.25%) empeoraron su situación</w:t>
      </w:r>
      <w:r>
        <w:rPr>
          <w:color w:val="231F20"/>
          <w:spacing w:val="-14"/>
        </w:rPr>
        <w:t> </w:t>
      </w:r>
      <w:r>
        <w:rPr>
          <w:color w:val="231F20"/>
        </w:rPr>
        <w:t>nutricional.</w:t>
      </w:r>
    </w:p>
    <w:p>
      <w:pPr>
        <w:pStyle w:val="BodyText"/>
        <w:spacing w:line="240" w:lineRule="exact"/>
        <w:ind w:left="113" w:right="111" w:firstLine="396"/>
        <w:jc w:val="both"/>
      </w:pPr>
      <w:r>
        <w:rPr>
          <w:color w:val="231F20"/>
        </w:rPr>
        <w:t>Conclusiones: Un alto número de municipios del Estado de México se encuentran en una categoría de riesgo nutricional moderado. Por lo cual es importante no minimizar el problema y emprender esfuerzos para disminuir los problemas nutricio- nales.</w:t>
      </w:r>
    </w:p>
    <w:p>
      <w:pPr>
        <w:spacing w:after="0" w:line="240" w:lineRule="exact"/>
        <w:jc w:val="both"/>
        <w:sectPr>
          <w:footerReference w:type="default" r:id="rId9"/>
          <w:pgSz w:w="7920" w:h="12240"/>
          <w:pgMar w:footer="676" w:header="0" w:top="1040" w:bottom="860" w:left="1020" w:right="1020"/>
        </w:sectPr>
      </w:pPr>
    </w:p>
    <w:p>
      <w:pPr>
        <w:pStyle w:val="BodyText"/>
        <w:spacing w:line="240" w:lineRule="exact" w:before="65"/>
        <w:ind w:left="113" w:right="112" w:firstLine="396"/>
        <w:jc w:val="both"/>
      </w:pPr>
      <w:r>
        <w:rPr>
          <w:b/>
          <w:color w:val="231F20"/>
        </w:rPr>
        <w:t>Palabras Clave: </w:t>
      </w:r>
      <w:r>
        <w:rPr>
          <w:color w:val="231F20"/>
        </w:rPr>
        <w:t>Situación Nutricional; Municipios; Índice de Riesgo Nutricional;</w:t>
      </w:r>
    </w:p>
    <w:p>
      <w:pPr>
        <w:pStyle w:val="BodyText"/>
        <w:rPr>
          <w:sz w:val="20"/>
        </w:rPr>
      </w:pPr>
    </w:p>
    <w:p>
      <w:pPr>
        <w:pStyle w:val="BodyText"/>
        <w:rPr>
          <w:sz w:val="20"/>
        </w:rPr>
      </w:pPr>
    </w:p>
    <w:p>
      <w:pPr>
        <w:pStyle w:val="BodyText"/>
        <w:spacing w:before="5"/>
        <w:rPr>
          <w:sz w:val="22"/>
        </w:rPr>
      </w:pPr>
    </w:p>
    <w:p>
      <w:pPr>
        <w:pStyle w:val="Heading2"/>
      </w:pPr>
      <w:r>
        <w:rPr>
          <w:color w:val="231F20"/>
        </w:rPr>
        <w:t>Desnutrición.</w:t>
      </w:r>
    </w:p>
    <w:p>
      <w:pPr>
        <w:pStyle w:val="BodyText"/>
        <w:rPr>
          <w:b/>
          <w:sz w:val="24"/>
        </w:rPr>
      </w:pPr>
    </w:p>
    <w:p>
      <w:pPr>
        <w:spacing w:before="205"/>
        <w:ind w:left="113" w:right="0" w:firstLine="0"/>
        <w:jc w:val="both"/>
        <w:rPr>
          <w:b/>
          <w:sz w:val="24"/>
        </w:rPr>
      </w:pPr>
      <w:r>
        <w:rPr>
          <w:b/>
          <w:color w:val="231F20"/>
          <w:sz w:val="24"/>
        </w:rPr>
        <w:t>Introducción</w:t>
      </w:r>
    </w:p>
    <w:p>
      <w:pPr>
        <w:pStyle w:val="BodyText"/>
        <w:rPr>
          <w:b/>
          <w:sz w:val="20"/>
        </w:rPr>
      </w:pPr>
    </w:p>
    <w:p>
      <w:pPr>
        <w:pStyle w:val="BodyText"/>
        <w:spacing w:line="240" w:lineRule="exact"/>
        <w:ind w:left="113" w:right="111"/>
        <w:jc w:val="both"/>
      </w:pPr>
      <w:r>
        <w:rPr>
          <w:color w:val="231F20"/>
        </w:rPr>
        <w:t>Roldan, Carrasco y Guarneros, (2012) definen que la unidad política mínima del país, para un análisis confiable es el muni- cipio, que son las entidades políticas territoriales que integran a las entidades estatales. El estudio a ese </w:t>
      </w:r>
      <w:r>
        <w:rPr>
          <w:color w:val="231F20"/>
          <w:spacing w:val="-3"/>
        </w:rPr>
        <w:t>nivel </w:t>
      </w:r>
      <w:r>
        <w:rPr>
          <w:color w:val="231F20"/>
        </w:rPr>
        <w:t>permite una mayor precisión y brinda detalles de los cambios. (Roldan y otros, 2012: 34-83). De acuerdo a Roldan, Carrasco y Guarne- ros, (2012) la utilización del municipio como unidad de estudio de</w:t>
      </w:r>
      <w:r>
        <w:rPr>
          <w:color w:val="231F20"/>
          <w:spacing w:val="-7"/>
        </w:rPr>
        <w:t> </w:t>
      </w:r>
      <w:r>
        <w:rPr>
          <w:color w:val="231F20"/>
        </w:rPr>
        <w:t>la</w:t>
      </w:r>
      <w:r>
        <w:rPr>
          <w:color w:val="231F20"/>
          <w:spacing w:val="-7"/>
        </w:rPr>
        <w:t> </w:t>
      </w:r>
      <w:r>
        <w:rPr>
          <w:color w:val="231F20"/>
        </w:rPr>
        <w:t>desnutrición</w:t>
      </w:r>
      <w:r>
        <w:rPr>
          <w:color w:val="231F20"/>
          <w:spacing w:val="-8"/>
        </w:rPr>
        <w:t> </w:t>
      </w:r>
      <w:r>
        <w:rPr>
          <w:color w:val="231F20"/>
        </w:rPr>
        <w:t>permite</w:t>
      </w:r>
      <w:r>
        <w:rPr>
          <w:color w:val="231F20"/>
          <w:spacing w:val="-7"/>
        </w:rPr>
        <w:t> </w:t>
      </w:r>
      <w:r>
        <w:rPr>
          <w:color w:val="231F20"/>
        </w:rPr>
        <w:t>importantes</w:t>
      </w:r>
      <w:r>
        <w:rPr>
          <w:color w:val="231F20"/>
          <w:spacing w:val="-7"/>
        </w:rPr>
        <w:t> </w:t>
      </w:r>
      <w:r>
        <w:rPr>
          <w:color w:val="231F20"/>
        </w:rPr>
        <w:t>ventajas.</w:t>
      </w:r>
      <w:r>
        <w:rPr>
          <w:color w:val="231F20"/>
          <w:spacing w:val="-7"/>
        </w:rPr>
        <w:t> </w:t>
      </w:r>
      <w:r>
        <w:rPr>
          <w:color w:val="231F20"/>
        </w:rPr>
        <w:t>La</w:t>
      </w:r>
      <w:r>
        <w:rPr>
          <w:color w:val="231F20"/>
          <w:spacing w:val="-7"/>
        </w:rPr>
        <w:t> </w:t>
      </w:r>
      <w:r>
        <w:rPr>
          <w:color w:val="231F20"/>
        </w:rPr>
        <w:t>más</w:t>
      </w:r>
      <w:r>
        <w:rPr>
          <w:color w:val="231F20"/>
          <w:spacing w:val="-7"/>
        </w:rPr>
        <w:t> </w:t>
      </w:r>
      <w:r>
        <w:rPr>
          <w:color w:val="231F20"/>
        </w:rPr>
        <w:t>impor- tante es la desagregación de la información evitando las gran- des generalizaciones subjetivas. Los resultados en un solo dato unitario por estado son un promedio, por tanto los municipios pobres,</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mayoría</w:t>
      </w:r>
      <w:r>
        <w:rPr>
          <w:color w:val="231F20"/>
          <w:spacing w:val="-5"/>
        </w:rPr>
        <w:t> </w:t>
      </w:r>
      <w:r>
        <w:rPr>
          <w:color w:val="231F20"/>
        </w:rPr>
        <w:t>indígenas,</w:t>
      </w:r>
      <w:r>
        <w:rPr>
          <w:color w:val="231F20"/>
          <w:spacing w:val="-5"/>
        </w:rPr>
        <w:t> </w:t>
      </w:r>
      <w:r>
        <w:rPr>
          <w:color w:val="231F20"/>
        </w:rPr>
        <w:t>pasan</w:t>
      </w:r>
      <w:r>
        <w:rPr>
          <w:color w:val="231F20"/>
          <w:spacing w:val="-4"/>
        </w:rPr>
        <w:t> </w:t>
      </w:r>
      <w:r>
        <w:rPr>
          <w:color w:val="231F20"/>
        </w:rPr>
        <w:t>inadvertidos,</w:t>
      </w:r>
      <w:r>
        <w:rPr>
          <w:color w:val="231F20"/>
          <w:spacing w:val="-5"/>
        </w:rPr>
        <w:t> </w:t>
      </w:r>
      <w:r>
        <w:rPr>
          <w:color w:val="231F20"/>
        </w:rPr>
        <w:t>cuando</w:t>
      </w:r>
      <w:r>
        <w:rPr>
          <w:color w:val="231F20"/>
          <w:spacing w:val="-5"/>
        </w:rPr>
        <w:t> </w:t>
      </w:r>
      <w:r>
        <w:rPr>
          <w:color w:val="231F20"/>
        </w:rPr>
        <w:t>se encuentran rodeados de municipios y regiones sin problemas sociales. (Roldan y otros, 2012:</w:t>
      </w:r>
      <w:r>
        <w:rPr>
          <w:color w:val="231F20"/>
          <w:spacing w:val="-12"/>
        </w:rPr>
        <w:t> </w:t>
      </w:r>
      <w:r>
        <w:rPr>
          <w:color w:val="231F20"/>
        </w:rPr>
        <w:t>34-83).</w:t>
      </w:r>
    </w:p>
    <w:p>
      <w:pPr>
        <w:pStyle w:val="BodyText"/>
        <w:spacing w:line="240" w:lineRule="exact"/>
        <w:ind w:left="113" w:right="110" w:firstLine="396"/>
        <w:jc w:val="both"/>
      </w:pPr>
      <w:r>
        <w:rPr>
          <w:color w:val="231F20"/>
        </w:rPr>
        <w:t>A lo largo de los años se ha demostrado la relación que tie- ne</w:t>
      </w:r>
      <w:r>
        <w:rPr>
          <w:color w:val="231F20"/>
          <w:spacing w:val="-9"/>
        </w:rPr>
        <w:t> </w:t>
      </w:r>
      <w:r>
        <w:rPr>
          <w:color w:val="231F20"/>
        </w:rPr>
        <w:t>el</w:t>
      </w:r>
      <w:r>
        <w:rPr>
          <w:color w:val="231F20"/>
          <w:spacing w:val="-9"/>
        </w:rPr>
        <w:t> </w:t>
      </w:r>
      <w:r>
        <w:rPr>
          <w:color w:val="231F20"/>
        </w:rPr>
        <w:t>hambre</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desnutrición,</w:t>
      </w:r>
      <w:r>
        <w:rPr>
          <w:color w:val="231F20"/>
          <w:spacing w:val="-10"/>
        </w:rPr>
        <w:t> </w:t>
      </w:r>
      <w:r>
        <w:rPr>
          <w:color w:val="231F20"/>
        </w:rPr>
        <w:t>las</w:t>
      </w:r>
      <w:r>
        <w:rPr>
          <w:color w:val="231F20"/>
          <w:spacing w:val="-9"/>
        </w:rPr>
        <w:t> </w:t>
      </w:r>
      <w:r>
        <w:rPr>
          <w:color w:val="231F20"/>
        </w:rPr>
        <w:t>enfermedades</w:t>
      </w:r>
      <w:r>
        <w:rPr>
          <w:color w:val="231F20"/>
          <w:spacing w:val="-10"/>
        </w:rPr>
        <w:t> </w:t>
      </w:r>
      <w:r>
        <w:rPr>
          <w:color w:val="231F20"/>
        </w:rPr>
        <w:t>gastrointes- tinales y respiratorias, que causan un ciclo denominado desnu- trición</w:t>
      </w:r>
      <w:r>
        <w:rPr>
          <w:color w:val="231F20"/>
          <w:spacing w:val="-8"/>
        </w:rPr>
        <w:t> </w:t>
      </w:r>
      <w:r>
        <w:rPr>
          <w:color w:val="231F20"/>
        </w:rPr>
        <w:t>-</w:t>
      </w:r>
      <w:r>
        <w:rPr>
          <w:color w:val="231F20"/>
          <w:spacing w:val="-9"/>
        </w:rPr>
        <w:t> </w:t>
      </w:r>
      <w:r>
        <w:rPr>
          <w:color w:val="231F20"/>
        </w:rPr>
        <w:t>infección</w:t>
      </w:r>
      <w:r>
        <w:rPr>
          <w:color w:val="231F20"/>
          <w:spacing w:val="-9"/>
        </w:rPr>
        <w:t> </w:t>
      </w:r>
      <w:r>
        <w:rPr>
          <w:color w:val="231F20"/>
        </w:rPr>
        <w:t>que</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desnutrición</w:t>
      </w:r>
      <w:r>
        <w:rPr>
          <w:color w:val="231F20"/>
          <w:spacing w:val="-10"/>
        </w:rPr>
        <w:t> </w:t>
      </w:r>
      <w:r>
        <w:rPr>
          <w:color w:val="231F20"/>
          <w:spacing w:val="-3"/>
        </w:rPr>
        <w:t>grave,</w:t>
      </w:r>
      <w:r>
        <w:rPr>
          <w:color w:val="231F20"/>
          <w:spacing w:val="-9"/>
        </w:rPr>
        <w:t> </w:t>
      </w:r>
      <w:r>
        <w:rPr>
          <w:color w:val="231F20"/>
        </w:rPr>
        <w:t>ocasionando una</w:t>
      </w:r>
      <w:r>
        <w:rPr>
          <w:color w:val="231F20"/>
          <w:spacing w:val="-4"/>
        </w:rPr>
        <w:t> </w:t>
      </w:r>
      <w:r>
        <w:rPr>
          <w:color w:val="231F20"/>
        </w:rPr>
        <w:t>tasa</w:t>
      </w:r>
      <w:r>
        <w:rPr>
          <w:color w:val="231F20"/>
          <w:spacing w:val="-4"/>
        </w:rPr>
        <w:t> </w:t>
      </w:r>
      <w:r>
        <w:rPr>
          <w:color w:val="231F20"/>
        </w:rPr>
        <w:t>de</w:t>
      </w:r>
      <w:r>
        <w:rPr>
          <w:color w:val="231F20"/>
          <w:spacing w:val="-5"/>
        </w:rPr>
        <w:t> </w:t>
      </w:r>
      <w:r>
        <w:rPr>
          <w:color w:val="231F20"/>
        </w:rPr>
        <w:t>mortalidad</w:t>
      </w:r>
      <w:r>
        <w:rPr>
          <w:color w:val="231F20"/>
          <w:spacing w:val="-5"/>
        </w:rPr>
        <w:t> </w:t>
      </w:r>
      <w:r>
        <w:rPr>
          <w:color w:val="231F20"/>
        </w:rPr>
        <w:t>alta</w:t>
      </w:r>
      <w:r>
        <w:rPr>
          <w:color w:val="231F20"/>
          <w:spacing w:val="-4"/>
        </w:rPr>
        <w:t> </w:t>
      </w:r>
      <w:r>
        <w:rPr>
          <w:color w:val="231F20"/>
        </w:rPr>
        <w:t>especialmente</w:t>
      </w:r>
      <w:r>
        <w:rPr>
          <w:color w:val="231F20"/>
          <w:spacing w:val="-5"/>
        </w:rPr>
        <w:t> </w:t>
      </w:r>
      <w:r>
        <w:rPr>
          <w:color w:val="231F20"/>
        </w:rPr>
        <w:t>en</w:t>
      </w:r>
      <w:r>
        <w:rPr>
          <w:color w:val="231F20"/>
          <w:spacing w:val="-5"/>
        </w:rPr>
        <w:t> </w:t>
      </w:r>
      <w:r>
        <w:rPr>
          <w:color w:val="231F20"/>
        </w:rPr>
        <w:t>niños</w:t>
      </w:r>
      <w:r>
        <w:rPr>
          <w:color w:val="231F20"/>
          <w:spacing w:val="-4"/>
        </w:rPr>
        <w:t> </w:t>
      </w:r>
      <w:r>
        <w:rPr>
          <w:color w:val="231F20"/>
        </w:rPr>
        <w:t>menores</w:t>
      </w:r>
      <w:r>
        <w:rPr>
          <w:color w:val="231F20"/>
          <w:spacing w:val="-5"/>
        </w:rPr>
        <w:t> </w:t>
      </w:r>
      <w:r>
        <w:rPr>
          <w:color w:val="231F20"/>
        </w:rPr>
        <w:t>de cinco</w:t>
      </w:r>
      <w:r>
        <w:rPr>
          <w:color w:val="231F20"/>
          <w:spacing w:val="-8"/>
        </w:rPr>
        <w:t> </w:t>
      </w:r>
      <w:r>
        <w:rPr>
          <w:color w:val="231F20"/>
        </w:rPr>
        <w:t>años.</w:t>
      </w:r>
      <w:r>
        <w:rPr>
          <w:color w:val="231F20"/>
          <w:spacing w:val="-7"/>
        </w:rPr>
        <w:t> </w:t>
      </w:r>
      <w:r>
        <w:rPr>
          <w:color w:val="231F20"/>
        </w:rPr>
        <w:t>Es</w:t>
      </w:r>
      <w:r>
        <w:rPr>
          <w:color w:val="231F20"/>
          <w:spacing w:val="-7"/>
        </w:rPr>
        <w:t> </w:t>
      </w:r>
      <w:r>
        <w:rPr>
          <w:color w:val="231F20"/>
        </w:rPr>
        <w:t>fundamental</w:t>
      </w:r>
      <w:r>
        <w:rPr>
          <w:color w:val="231F20"/>
          <w:spacing w:val="-9"/>
        </w:rPr>
        <w:t> </w:t>
      </w:r>
      <w:r>
        <w:rPr>
          <w:color w:val="231F20"/>
        </w:rPr>
        <w:t>un</w:t>
      </w:r>
      <w:r>
        <w:rPr>
          <w:color w:val="231F20"/>
          <w:spacing w:val="-8"/>
        </w:rPr>
        <w:t> </w:t>
      </w:r>
      <w:r>
        <w:rPr>
          <w:color w:val="231F20"/>
        </w:rPr>
        <w:t>análisis</w:t>
      </w:r>
      <w:r>
        <w:rPr>
          <w:color w:val="231F20"/>
          <w:spacing w:val="-7"/>
        </w:rPr>
        <w:t> </w:t>
      </w:r>
      <w:r>
        <w:rPr>
          <w:color w:val="231F20"/>
        </w:rPr>
        <w:t>preciso</w:t>
      </w:r>
      <w:r>
        <w:rPr>
          <w:color w:val="231F20"/>
          <w:spacing w:val="-8"/>
        </w:rPr>
        <w:t> </w:t>
      </w:r>
      <w:r>
        <w:rPr>
          <w:color w:val="231F20"/>
        </w:rPr>
        <w:t>a</w:t>
      </w:r>
      <w:r>
        <w:rPr>
          <w:color w:val="231F20"/>
          <w:spacing w:val="-8"/>
        </w:rPr>
        <w:t> </w:t>
      </w:r>
      <w:r>
        <w:rPr>
          <w:color w:val="231F20"/>
          <w:spacing w:val="-3"/>
        </w:rPr>
        <w:t>nivel</w:t>
      </w:r>
      <w:r>
        <w:rPr>
          <w:color w:val="231F20"/>
          <w:spacing w:val="-8"/>
        </w:rPr>
        <w:t> </w:t>
      </w:r>
      <w:r>
        <w:rPr>
          <w:color w:val="231F20"/>
        </w:rPr>
        <w:t>municipal que brinde la seguridad de identificar las zonas críticas del es- tado para lograr una intervención específica a la población con carencias tanto alimentarias como sociales y que sea un pilar fundamental para la disminución de los problemas nutriciona- les, enfocado principalmente en la</w:t>
      </w:r>
      <w:r>
        <w:rPr>
          <w:color w:val="231F20"/>
          <w:spacing w:val="-23"/>
        </w:rPr>
        <w:t> </w:t>
      </w:r>
      <w:r>
        <w:rPr>
          <w:color w:val="231F20"/>
        </w:rPr>
        <w:t>desnutrición.</w:t>
      </w:r>
    </w:p>
    <w:p>
      <w:pPr>
        <w:pStyle w:val="BodyText"/>
        <w:spacing w:line="240" w:lineRule="exact"/>
        <w:ind w:left="113" w:right="111" w:firstLine="396"/>
        <w:jc w:val="both"/>
      </w:pPr>
      <w:r>
        <w:rPr>
          <w:color w:val="231F20"/>
        </w:rPr>
        <w:t>Este</w:t>
      </w:r>
      <w:r>
        <w:rPr>
          <w:color w:val="231F20"/>
          <w:spacing w:val="-7"/>
        </w:rPr>
        <w:t> </w:t>
      </w:r>
      <w:r>
        <w:rPr>
          <w:color w:val="231F20"/>
        </w:rPr>
        <w:t>índice</w:t>
      </w:r>
      <w:r>
        <w:rPr>
          <w:color w:val="231F20"/>
          <w:spacing w:val="-7"/>
        </w:rPr>
        <w:t> </w:t>
      </w:r>
      <w:r>
        <w:rPr>
          <w:color w:val="231F20"/>
        </w:rPr>
        <w:t>tiene</w:t>
      </w:r>
      <w:r>
        <w:rPr>
          <w:color w:val="231F20"/>
          <w:spacing w:val="-7"/>
        </w:rPr>
        <w:t> </w:t>
      </w:r>
      <w:r>
        <w:rPr>
          <w:color w:val="231F20"/>
        </w:rPr>
        <w:t>la</w:t>
      </w:r>
      <w:r>
        <w:rPr>
          <w:color w:val="231F20"/>
          <w:spacing w:val="-7"/>
        </w:rPr>
        <w:t> </w:t>
      </w:r>
      <w:r>
        <w:rPr>
          <w:color w:val="231F20"/>
        </w:rPr>
        <w:t>facultad</w:t>
      </w:r>
      <w:r>
        <w:rPr>
          <w:color w:val="231F20"/>
          <w:spacing w:val="-7"/>
        </w:rPr>
        <w:t> </w:t>
      </w:r>
      <w:r>
        <w:rPr>
          <w:color w:val="231F20"/>
        </w:rPr>
        <w:t>de</w:t>
      </w:r>
      <w:r>
        <w:rPr>
          <w:color w:val="231F20"/>
          <w:spacing w:val="-7"/>
        </w:rPr>
        <w:t> </w:t>
      </w:r>
      <w:r>
        <w:rPr>
          <w:color w:val="231F20"/>
        </w:rPr>
        <w:t>focalizar</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específica las</w:t>
      </w:r>
      <w:r>
        <w:rPr>
          <w:color w:val="231F20"/>
          <w:spacing w:val="-19"/>
        </w:rPr>
        <w:t> </w:t>
      </w:r>
      <w:r>
        <w:rPr>
          <w:color w:val="231F20"/>
        </w:rPr>
        <w:t>áreas</w:t>
      </w:r>
      <w:r>
        <w:rPr>
          <w:color w:val="231F20"/>
          <w:spacing w:val="-19"/>
        </w:rPr>
        <w:t> </w:t>
      </w:r>
      <w:r>
        <w:rPr>
          <w:color w:val="231F20"/>
        </w:rPr>
        <w:t>con</w:t>
      </w:r>
      <w:r>
        <w:rPr>
          <w:color w:val="231F20"/>
          <w:spacing w:val="-19"/>
        </w:rPr>
        <w:t> </w:t>
      </w:r>
      <w:r>
        <w:rPr>
          <w:color w:val="231F20"/>
        </w:rPr>
        <w:t>mayor</w:t>
      </w:r>
      <w:r>
        <w:rPr>
          <w:color w:val="231F20"/>
          <w:spacing w:val="-19"/>
        </w:rPr>
        <w:t> </w:t>
      </w:r>
      <w:r>
        <w:rPr>
          <w:color w:val="231F20"/>
        </w:rPr>
        <w:t>problema</w:t>
      </w:r>
      <w:r>
        <w:rPr>
          <w:color w:val="231F20"/>
          <w:spacing w:val="-19"/>
        </w:rPr>
        <w:t> </w:t>
      </w:r>
      <w:r>
        <w:rPr>
          <w:color w:val="231F20"/>
        </w:rPr>
        <w:t>y</w:t>
      </w:r>
      <w:r>
        <w:rPr>
          <w:color w:val="231F20"/>
          <w:spacing w:val="-19"/>
        </w:rPr>
        <w:t> </w:t>
      </w:r>
      <w:r>
        <w:rPr>
          <w:color w:val="231F20"/>
        </w:rPr>
        <w:t>ayudara</w:t>
      </w:r>
      <w:r>
        <w:rPr>
          <w:color w:val="231F20"/>
          <w:spacing w:val="-19"/>
        </w:rPr>
        <w:t> </w:t>
      </w:r>
      <w:r>
        <w:rPr>
          <w:color w:val="231F20"/>
        </w:rPr>
        <w:t>a</w:t>
      </w:r>
      <w:r>
        <w:rPr>
          <w:color w:val="231F20"/>
          <w:spacing w:val="-19"/>
        </w:rPr>
        <w:t> </w:t>
      </w:r>
      <w:r>
        <w:rPr>
          <w:color w:val="231F20"/>
        </w:rPr>
        <w:t>evaluar</w:t>
      </w:r>
      <w:r>
        <w:rPr>
          <w:color w:val="231F20"/>
          <w:spacing w:val="-19"/>
        </w:rPr>
        <w:t> </w:t>
      </w:r>
      <w:r>
        <w:rPr>
          <w:color w:val="231F20"/>
        </w:rPr>
        <w:t>los</w:t>
      </w:r>
      <w:r>
        <w:rPr>
          <w:color w:val="231F20"/>
          <w:spacing w:val="-19"/>
        </w:rPr>
        <w:t> </w:t>
      </w:r>
      <w:r>
        <w:rPr>
          <w:color w:val="231F20"/>
        </w:rPr>
        <w:t>programas sociales que se desarrollaron en ese periodo. </w:t>
      </w:r>
      <w:r>
        <w:rPr>
          <w:color w:val="231F20"/>
          <w:spacing w:val="-3"/>
        </w:rPr>
        <w:t>Volviendo </w:t>
      </w:r>
      <w:r>
        <w:rPr>
          <w:color w:val="231F20"/>
        </w:rPr>
        <w:t>a los programas</w:t>
      </w:r>
      <w:r>
        <w:rPr>
          <w:color w:val="231F20"/>
          <w:spacing w:val="-8"/>
        </w:rPr>
        <w:t> </w:t>
      </w:r>
      <w:r>
        <w:rPr>
          <w:color w:val="231F20"/>
        </w:rPr>
        <w:t>más</w:t>
      </w:r>
      <w:r>
        <w:rPr>
          <w:color w:val="231F20"/>
          <w:spacing w:val="-8"/>
        </w:rPr>
        <w:t> </w:t>
      </w:r>
      <w:r>
        <w:rPr>
          <w:color w:val="231F20"/>
        </w:rPr>
        <w:t>certeros</w:t>
      </w:r>
      <w:r>
        <w:rPr>
          <w:color w:val="231F20"/>
          <w:spacing w:val="-8"/>
        </w:rPr>
        <w:t> </w:t>
      </w:r>
      <w:r>
        <w:rPr>
          <w:color w:val="231F20"/>
          <w:spacing w:val="-3"/>
        </w:rPr>
        <w:t>ya</w:t>
      </w:r>
      <w:r>
        <w:rPr>
          <w:color w:val="231F20"/>
          <w:spacing w:val="-8"/>
        </w:rPr>
        <w:t> </w:t>
      </w:r>
      <w:r>
        <w:rPr>
          <w:color w:val="231F20"/>
        </w:rPr>
        <w:t>que</w:t>
      </w:r>
      <w:r>
        <w:rPr>
          <w:color w:val="231F20"/>
          <w:spacing w:val="-8"/>
        </w:rPr>
        <w:t> </w:t>
      </w:r>
      <w:r>
        <w:rPr>
          <w:color w:val="231F20"/>
        </w:rPr>
        <w:t>tendrán</w:t>
      </w:r>
      <w:r>
        <w:rPr>
          <w:color w:val="231F20"/>
          <w:spacing w:val="-8"/>
        </w:rPr>
        <w:t> </w:t>
      </w:r>
      <w:r>
        <w:rPr>
          <w:color w:val="231F20"/>
        </w:rPr>
        <w:t>el</w:t>
      </w:r>
      <w:r>
        <w:rPr>
          <w:color w:val="231F20"/>
          <w:spacing w:val="-8"/>
        </w:rPr>
        <w:t> </w:t>
      </w:r>
      <w:r>
        <w:rPr>
          <w:color w:val="231F20"/>
        </w:rPr>
        <w:t>acceso</w:t>
      </w:r>
      <w:r>
        <w:rPr>
          <w:color w:val="231F20"/>
          <w:spacing w:val="-7"/>
        </w:rPr>
        <w:t> </w:t>
      </w:r>
      <w:r>
        <w:rPr>
          <w:color w:val="231F20"/>
        </w:rPr>
        <w:t>a</w:t>
      </w:r>
      <w:r>
        <w:rPr>
          <w:color w:val="231F20"/>
          <w:spacing w:val="-8"/>
        </w:rPr>
        <w:t> </w:t>
      </w:r>
      <w:r>
        <w:rPr>
          <w:color w:val="231F20"/>
        </w:rPr>
        <w:t>información segura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municipios</w:t>
      </w:r>
      <w:r>
        <w:rPr>
          <w:color w:val="231F20"/>
          <w:spacing w:val="-9"/>
        </w:rPr>
        <w:t> </w:t>
      </w:r>
      <w:r>
        <w:rPr>
          <w:color w:val="231F20"/>
        </w:rPr>
        <w:t>más</w:t>
      </w:r>
      <w:r>
        <w:rPr>
          <w:color w:val="231F20"/>
          <w:spacing w:val="-9"/>
        </w:rPr>
        <w:t> </w:t>
      </w:r>
      <w:r>
        <w:rPr>
          <w:color w:val="231F20"/>
        </w:rPr>
        <w:t>afectados</w:t>
      </w:r>
      <w:r>
        <w:rPr>
          <w:color w:val="231F20"/>
          <w:spacing w:val="-9"/>
        </w:rPr>
        <w:t> </w:t>
      </w:r>
      <w:r>
        <w:rPr>
          <w:color w:val="231F20"/>
        </w:rPr>
        <w:t>y</w:t>
      </w:r>
      <w:r>
        <w:rPr>
          <w:color w:val="231F20"/>
          <w:spacing w:val="-9"/>
        </w:rPr>
        <w:t> </w:t>
      </w:r>
      <w:r>
        <w:rPr>
          <w:color w:val="231F20"/>
        </w:rPr>
        <w:t>tener</w:t>
      </w:r>
      <w:r>
        <w:rPr>
          <w:color w:val="231F20"/>
          <w:spacing w:val="-9"/>
        </w:rPr>
        <w:t> </w:t>
      </w:r>
      <w:r>
        <w:rPr>
          <w:color w:val="231F20"/>
        </w:rPr>
        <w:t>mejores</w:t>
      </w:r>
      <w:r>
        <w:rPr>
          <w:color w:val="231F20"/>
          <w:spacing w:val="-9"/>
        </w:rPr>
        <w:t> </w:t>
      </w:r>
      <w:r>
        <w:rPr>
          <w:color w:val="231F20"/>
        </w:rPr>
        <w:t>resulta- dos</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rPr>
        <w:t>intervención.</w:t>
      </w:r>
      <w:r>
        <w:rPr>
          <w:color w:val="231F20"/>
          <w:spacing w:val="-14"/>
        </w:rPr>
        <w:t> </w:t>
      </w:r>
      <w:r>
        <w:rPr>
          <w:color w:val="231F20"/>
        </w:rPr>
        <w:t>Esta</w:t>
      </w:r>
      <w:r>
        <w:rPr>
          <w:color w:val="231F20"/>
          <w:spacing w:val="-13"/>
        </w:rPr>
        <w:t> </w:t>
      </w:r>
      <w:r>
        <w:rPr>
          <w:color w:val="231F20"/>
        </w:rPr>
        <w:t>investigación</w:t>
      </w:r>
      <w:r>
        <w:rPr>
          <w:color w:val="231F20"/>
          <w:spacing w:val="-13"/>
        </w:rPr>
        <w:t> </w:t>
      </w:r>
      <w:r>
        <w:rPr>
          <w:color w:val="231F20"/>
        </w:rPr>
        <w:t>es</w:t>
      </w:r>
      <w:r>
        <w:rPr>
          <w:color w:val="231F20"/>
          <w:spacing w:val="-13"/>
        </w:rPr>
        <w:t> </w:t>
      </w:r>
      <w:r>
        <w:rPr>
          <w:color w:val="231F20"/>
        </w:rPr>
        <w:t>de</w:t>
      </w:r>
      <w:r>
        <w:rPr>
          <w:color w:val="231F20"/>
          <w:spacing w:val="-13"/>
        </w:rPr>
        <w:t> </w:t>
      </w:r>
      <w:r>
        <w:rPr>
          <w:color w:val="231F20"/>
        </w:rPr>
        <w:t>gran</w:t>
      </w:r>
      <w:r>
        <w:rPr>
          <w:color w:val="231F20"/>
          <w:spacing w:val="-13"/>
        </w:rPr>
        <w:t> </w:t>
      </w:r>
      <w:r>
        <w:rPr>
          <w:color w:val="231F20"/>
        </w:rPr>
        <w:t>importan-</w:t>
      </w:r>
    </w:p>
    <w:p>
      <w:pPr>
        <w:spacing w:after="0" w:line="240" w:lineRule="exact"/>
        <w:jc w:val="both"/>
        <w:sectPr>
          <w:footerReference w:type="default" r:id="rId10"/>
          <w:pgSz w:w="7920" w:h="12240"/>
          <w:pgMar w:footer="616" w:header="0" w:top="1040" w:bottom="800" w:left="1020" w:right="1020"/>
          <w:pgNumType w:start="221"/>
        </w:sectPr>
      </w:pPr>
    </w:p>
    <w:p>
      <w:pPr>
        <w:pStyle w:val="BodyText"/>
        <w:spacing w:line="240" w:lineRule="exact" w:before="65"/>
        <w:ind w:left="113" w:right="111"/>
        <w:jc w:val="both"/>
      </w:pPr>
      <w:r>
        <w:rPr>
          <w:color w:val="231F20"/>
        </w:rPr>
        <w:t>cia </w:t>
      </w:r>
      <w:r>
        <w:rPr>
          <w:color w:val="231F20"/>
          <w:spacing w:val="-3"/>
        </w:rPr>
        <w:t>ya </w:t>
      </w:r>
      <w:r>
        <w:rPr>
          <w:color w:val="231F20"/>
        </w:rPr>
        <w:t>que el estudio de los 125 municipios que comprenden el Estado de México del año 2005 será un pilar fundamental para poder desarrollar el índice de riesgo nutricional (IRN) 2010 el cual tendrá cambios en el contenido de sus variables, </w:t>
      </w:r>
      <w:r>
        <w:rPr>
          <w:color w:val="231F20"/>
          <w:spacing w:val="-3"/>
        </w:rPr>
        <w:t>ya </w:t>
      </w:r>
      <w:r>
        <w:rPr>
          <w:color w:val="231F20"/>
        </w:rPr>
        <w:t>que la información de las tasas de mortalidad preescolar y escolar no han sido publicadas por parte de la Secretaria de Salud y dicha información</w:t>
      </w:r>
      <w:r>
        <w:rPr>
          <w:color w:val="231F20"/>
          <w:spacing w:val="-11"/>
        </w:rPr>
        <w:t> </w:t>
      </w:r>
      <w:r>
        <w:rPr>
          <w:color w:val="231F20"/>
        </w:rPr>
        <w:t>es</w:t>
      </w:r>
      <w:r>
        <w:rPr>
          <w:color w:val="231F20"/>
          <w:spacing w:val="-10"/>
        </w:rPr>
        <w:t> </w:t>
      </w:r>
      <w:r>
        <w:rPr>
          <w:color w:val="231F20"/>
        </w:rPr>
        <w:t>fundamental</w:t>
      </w:r>
      <w:r>
        <w:rPr>
          <w:color w:val="231F20"/>
          <w:spacing w:val="-11"/>
        </w:rPr>
        <w:t> </w:t>
      </w:r>
      <w:r>
        <w:rPr>
          <w:color w:val="231F20"/>
        </w:rPr>
        <w:t>para</w:t>
      </w:r>
      <w:r>
        <w:rPr>
          <w:color w:val="231F20"/>
          <w:spacing w:val="-10"/>
        </w:rPr>
        <w:t> </w:t>
      </w:r>
      <w:r>
        <w:rPr>
          <w:color w:val="231F20"/>
        </w:rPr>
        <w:t>obtener</w:t>
      </w:r>
      <w:r>
        <w:rPr>
          <w:color w:val="231F20"/>
          <w:spacing w:val="-10"/>
        </w:rPr>
        <w:t> </w:t>
      </w:r>
      <w:r>
        <w:rPr>
          <w:color w:val="231F20"/>
        </w:rPr>
        <w:t>el</w:t>
      </w:r>
      <w:r>
        <w:rPr>
          <w:color w:val="231F20"/>
          <w:spacing w:val="-10"/>
        </w:rPr>
        <w:t> </w:t>
      </w:r>
      <w:r>
        <w:rPr>
          <w:color w:val="231F20"/>
        </w:rPr>
        <w:t>índice</w:t>
      </w:r>
      <w:r>
        <w:rPr>
          <w:color w:val="231F20"/>
          <w:spacing w:val="-10"/>
        </w:rPr>
        <w:t> </w:t>
      </w:r>
      <w:r>
        <w:rPr>
          <w:color w:val="231F20"/>
        </w:rPr>
        <w:t>y</w:t>
      </w:r>
      <w:r>
        <w:rPr>
          <w:color w:val="231F20"/>
          <w:spacing w:val="-10"/>
        </w:rPr>
        <w:t> </w:t>
      </w:r>
      <w:r>
        <w:rPr>
          <w:color w:val="231F20"/>
        </w:rPr>
        <w:t>sea</w:t>
      </w:r>
      <w:r>
        <w:rPr>
          <w:color w:val="231F20"/>
          <w:spacing w:val="-10"/>
        </w:rPr>
        <w:t> </w:t>
      </w:r>
      <w:r>
        <w:rPr>
          <w:color w:val="231F20"/>
        </w:rPr>
        <w:t>una</w:t>
      </w:r>
      <w:r>
        <w:rPr>
          <w:color w:val="231F20"/>
          <w:spacing w:val="-10"/>
        </w:rPr>
        <w:t> </w:t>
      </w:r>
      <w:r>
        <w:rPr>
          <w:color w:val="231F20"/>
        </w:rPr>
        <w:t>he- rramienta</w:t>
      </w:r>
      <w:r>
        <w:rPr>
          <w:color w:val="231F20"/>
          <w:spacing w:val="-5"/>
        </w:rPr>
        <w:t> </w:t>
      </w:r>
      <w:r>
        <w:rPr>
          <w:color w:val="231F20"/>
        </w:rPr>
        <w:t>confiable.</w:t>
      </w:r>
    </w:p>
    <w:p>
      <w:pPr>
        <w:pStyle w:val="BodyText"/>
        <w:spacing w:line="240" w:lineRule="exact"/>
        <w:ind w:left="113" w:right="111" w:firstLine="396"/>
        <w:jc w:val="both"/>
      </w:pPr>
      <w:r>
        <w:rPr>
          <w:color w:val="231F20"/>
        </w:rPr>
        <w:t>Es por eso que el IRN ayudará de manera directa a</w:t>
      </w:r>
      <w:r>
        <w:rPr>
          <w:color w:val="231F20"/>
          <w:spacing w:val="-13"/>
        </w:rPr>
        <w:t> </w:t>
      </w:r>
      <w:r>
        <w:rPr>
          <w:color w:val="231F20"/>
        </w:rPr>
        <w:t>identifi- car los municipios con mayor riesgo de desnutrición, los cuales también</w:t>
      </w:r>
      <w:r>
        <w:rPr>
          <w:color w:val="231F20"/>
          <w:spacing w:val="-8"/>
        </w:rPr>
        <w:t> </w:t>
      </w:r>
      <w:r>
        <w:rPr>
          <w:color w:val="231F20"/>
        </w:rPr>
        <w:t>tienen</w:t>
      </w:r>
      <w:r>
        <w:rPr>
          <w:color w:val="231F20"/>
          <w:spacing w:val="-8"/>
        </w:rPr>
        <w:t> </w:t>
      </w:r>
      <w:r>
        <w:rPr>
          <w:color w:val="231F20"/>
        </w:rPr>
        <w:t>una</w:t>
      </w:r>
      <w:r>
        <w:rPr>
          <w:color w:val="231F20"/>
          <w:spacing w:val="-9"/>
        </w:rPr>
        <w:t> </w:t>
      </w:r>
      <w:r>
        <w:rPr>
          <w:color w:val="231F20"/>
        </w:rPr>
        <w:t>presencia</w:t>
      </w:r>
      <w:r>
        <w:rPr>
          <w:color w:val="231F20"/>
          <w:spacing w:val="-10"/>
        </w:rPr>
        <w:t> </w:t>
      </w:r>
      <w:r>
        <w:rPr>
          <w:color w:val="231F20"/>
        </w:rPr>
        <w:t>mayoritaria</w:t>
      </w:r>
      <w:r>
        <w:rPr>
          <w:color w:val="231F20"/>
          <w:spacing w:val="-10"/>
        </w:rPr>
        <w:t> </w:t>
      </w:r>
      <w:r>
        <w:rPr>
          <w:color w:val="231F20"/>
        </w:rPr>
        <w:t>de</w:t>
      </w:r>
      <w:r>
        <w:rPr>
          <w:color w:val="231F20"/>
          <w:spacing w:val="-9"/>
        </w:rPr>
        <w:t> </w:t>
      </w:r>
      <w:r>
        <w:rPr>
          <w:color w:val="231F20"/>
        </w:rPr>
        <w:t>habitantes</w:t>
      </w:r>
      <w:r>
        <w:rPr>
          <w:color w:val="231F20"/>
          <w:spacing w:val="-9"/>
        </w:rPr>
        <w:t> </w:t>
      </w:r>
      <w:r>
        <w:rPr>
          <w:color w:val="231F20"/>
        </w:rPr>
        <w:t>indíge- nas</w:t>
      </w:r>
      <w:r>
        <w:rPr>
          <w:color w:val="231F20"/>
          <w:spacing w:val="-4"/>
        </w:rPr>
        <w:t> </w:t>
      </w:r>
      <w:r>
        <w:rPr>
          <w:color w:val="231F20"/>
        </w:rPr>
        <w:t>los</w:t>
      </w:r>
      <w:r>
        <w:rPr>
          <w:color w:val="231F20"/>
          <w:spacing w:val="-3"/>
        </w:rPr>
        <w:t> </w:t>
      </w:r>
      <w:r>
        <w:rPr>
          <w:color w:val="231F20"/>
        </w:rPr>
        <w:t>cuales</w:t>
      </w:r>
      <w:r>
        <w:rPr>
          <w:color w:val="231F20"/>
          <w:spacing w:val="-4"/>
        </w:rPr>
        <w:t> </w:t>
      </w:r>
      <w:r>
        <w:rPr>
          <w:color w:val="231F20"/>
        </w:rPr>
        <w:t>se</w:t>
      </w:r>
      <w:r>
        <w:rPr>
          <w:color w:val="231F20"/>
          <w:spacing w:val="-4"/>
        </w:rPr>
        <w:t> </w:t>
      </w:r>
      <w:r>
        <w:rPr>
          <w:color w:val="231F20"/>
        </w:rPr>
        <w:t>ven</w:t>
      </w:r>
      <w:r>
        <w:rPr>
          <w:color w:val="231F20"/>
          <w:spacing w:val="-4"/>
        </w:rPr>
        <w:t> </w:t>
      </w:r>
      <w:r>
        <w:rPr>
          <w:color w:val="231F20"/>
        </w:rPr>
        <w:t>más</w:t>
      </w:r>
      <w:r>
        <w:rPr>
          <w:color w:val="231F20"/>
          <w:spacing w:val="-4"/>
        </w:rPr>
        <w:t> </w:t>
      </w:r>
      <w:r>
        <w:rPr>
          <w:color w:val="231F20"/>
        </w:rPr>
        <w:t>afectados</w:t>
      </w:r>
      <w:r>
        <w:rPr>
          <w:color w:val="231F20"/>
          <w:spacing w:val="-4"/>
        </w:rPr>
        <w:t> </w:t>
      </w:r>
      <w:r>
        <w:rPr>
          <w:color w:val="231F20"/>
        </w:rPr>
        <w:t>por</w:t>
      </w:r>
      <w:r>
        <w:rPr>
          <w:color w:val="231F20"/>
          <w:spacing w:val="-3"/>
        </w:rPr>
        <w:t> </w:t>
      </w:r>
      <w:r>
        <w:rPr>
          <w:color w:val="231F20"/>
        </w:rPr>
        <w:t>el</w:t>
      </w:r>
      <w:r>
        <w:rPr>
          <w:color w:val="231F20"/>
          <w:spacing w:val="-4"/>
        </w:rPr>
        <w:t> </w:t>
      </w:r>
      <w:r>
        <w:rPr>
          <w:color w:val="231F20"/>
        </w:rPr>
        <w:t>ciclo</w:t>
      </w:r>
      <w:r>
        <w:rPr>
          <w:color w:val="231F20"/>
          <w:spacing w:val="-4"/>
        </w:rPr>
        <w:t> </w:t>
      </w:r>
      <w:r>
        <w:rPr>
          <w:color w:val="231F20"/>
        </w:rPr>
        <w:t>desnutrición-in- fección</w:t>
      </w:r>
      <w:r>
        <w:rPr>
          <w:color w:val="231F20"/>
          <w:spacing w:val="-10"/>
        </w:rPr>
        <w:t> </w:t>
      </w:r>
      <w:r>
        <w:rPr>
          <w:color w:val="231F20"/>
          <w:spacing w:val="-3"/>
        </w:rPr>
        <w:t>ya</w:t>
      </w:r>
      <w:r>
        <w:rPr>
          <w:color w:val="231F20"/>
          <w:spacing w:val="-9"/>
        </w:rPr>
        <w:t> </w:t>
      </w:r>
      <w:r>
        <w:rPr>
          <w:color w:val="231F20"/>
        </w:rPr>
        <w:t>mencionado,</w:t>
      </w:r>
      <w:r>
        <w:rPr>
          <w:color w:val="231F20"/>
          <w:spacing w:val="-9"/>
        </w:rPr>
        <w:t> </w:t>
      </w:r>
      <w:r>
        <w:rPr>
          <w:color w:val="231F20"/>
        </w:rPr>
        <w:t>con</w:t>
      </w:r>
      <w:r>
        <w:rPr>
          <w:color w:val="231F20"/>
          <w:spacing w:val="-10"/>
        </w:rPr>
        <w:t> </w:t>
      </w:r>
      <w:r>
        <w:rPr>
          <w:color w:val="231F20"/>
        </w:rPr>
        <w:t>la</w:t>
      </w:r>
      <w:r>
        <w:rPr>
          <w:color w:val="231F20"/>
          <w:spacing w:val="-9"/>
        </w:rPr>
        <w:t> </w:t>
      </w:r>
      <w:r>
        <w:rPr>
          <w:color w:val="231F20"/>
        </w:rPr>
        <w:t>culminación</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investigación se pretende la reducción de la mortalidad infantil a causa de la desnutrición.</w:t>
      </w:r>
    </w:p>
    <w:p>
      <w:pPr>
        <w:pStyle w:val="BodyText"/>
        <w:spacing w:line="240" w:lineRule="exact"/>
        <w:ind w:left="113" w:right="111" w:firstLine="396"/>
        <w:jc w:val="both"/>
      </w:pPr>
      <w:r>
        <w:rPr>
          <w:color w:val="231F20"/>
        </w:rPr>
        <w:t>Aquí se efectúa el índice de forma específica en el Estado de México, para posteriormente realizar la cobertura en toda la República</w:t>
      </w:r>
      <w:r>
        <w:rPr>
          <w:color w:val="231F20"/>
          <w:spacing w:val="-7"/>
        </w:rPr>
        <w:t> </w:t>
      </w:r>
      <w:r>
        <w:rPr>
          <w:color w:val="231F20"/>
        </w:rPr>
        <w:t>Mexicana</w:t>
      </w:r>
      <w:r>
        <w:rPr>
          <w:color w:val="231F20"/>
          <w:spacing w:val="-6"/>
        </w:rPr>
        <w:t> </w:t>
      </w:r>
      <w:r>
        <w:rPr>
          <w:color w:val="231F20"/>
        </w:rPr>
        <w:t>abarcando</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municipios</w:t>
      </w:r>
      <w:r>
        <w:rPr>
          <w:color w:val="231F20"/>
          <w:spacing w:val="-7"/>
        </w:rPr>
        <w:t> </w:t>
      </w:r>
      <w:r>
        <w:rPr>
          <w:color w:val="231F20"/>
        </w:rPr>
        <w:t>de</w:t>
      </w:r>
      <w:r>
        <w:rPr>
          <w:color w:val="231F20"/>
          <w:spacing w:val="-7"/>
        </w:rPr>
        <w:t> </w:t>
      </w:r>
      <w:r>
        <w:rPr>
          <w:color w:val="231F20"/>
        </w:rPr>
        <w:t>nuestro país y enriquecer la información, logrando elaborar un indica- dor nutricional a </w:t>
      </w:r>
      <w:r>
        <w:rPr>
          <w:color w:val="231F20"/>
          <w:spacing w:val="-3"/>
        </w:rPr>
        <w:t>nivel </w:t>
      </w:r>
      <w:r>
        <w:rPr>
          <w:color w:val="231F20"/>
        </w:rPr>
        <w:t>nacional. Gutiérrez, </w:t>
      </w:r>
      <w:r>
        <w:rPr>
          <w:color w:val="231F20"/>
          <w:spacing w:val="-3"/>
        </w:rPr>
        <w:t>Rivera, </w:t>
      </w:r>
      <w:r>
        <w:rPr>
          <w:color w:val="231F20"/>
        </w:rPr>
        <w:t>y Shamah, (2012) en 1988 se realizó la primera Encuesta Nacional de Nu- trición</w:t>
      </w:r>
      <w:r>
        <w:rPr>
          <w:color w:val="231F20"/>
          <w:spacing w:val="-9"/>
        </w:rPr>
        <w:t> </w:t>
      </w:r>
      <w:r>
        <w:rPr>
          <w:color w:val="231F20"/>
        </w:rPr>
        <w:t>(ENN-88)</w:t>
      </w:r>
      <w:r>
        <w:rPr>
          <w:color w:val="231F20"/>
          <w:spacing w:val="-9"/>
        </w:rPr>
        <w:t> </w:t>
      </w:r>
      <w:r>
        <w:rPr>
          <w:color w:val="231F20"/>
        </w:rPr>
        <w:t>con</w:t>
      </w:r>
      <w:r>
        <w:rPr>
          <w:color w:val="231F20"/>
          <w:spacing w:val="-8"/>
        </w:rPr>
        <w:t> </w:t>
      </w:r>
      <w:r>
        <w:rPr>
          <w:color w:val="231F20"/>
        </w:rPr>
        <w:t>cobertura</w:t>
      </w:r>
      <w:r>
        <w:rPr>
          <w:color w:val="231F20"/>
          <w:spacing w:val="-8"/>
        </w:rPr>
        <w:t> </w:t>
      </w:r>
      <w:r>
        <w:rPr>
          <w:color w:val="231F20"/>
        </w:rPr>
        <w:t>nacional</w:t>
      </w:r>
      <w:r>
        <w:rPr>
          <w:color w:val="231F20"/>
          <w:spacing w:val="-8"/>
        </w:rPr>
        <w:t> </w:t>
      </w:r>
      <w:r>
        <w:rPr>
          <w:color w:val="231F20"/>
        </w:rPr>
        <w:t>y</w:t>
      </w:r>
      <w:r>
        <w:rPr>
          <w:color w:val="231F20"/>
          <w:spacing w:val="-8"/>
        </w:rPr>
        <w:t> </w:t>
      </w:r>
      <w:r>
        <w:rPr>
          <w:color w:val="231F20"/>
        </w:rPr>
        <w:t>diseño</w:t>
      </w:r>
      <w:r>
        <w:rPr>
          <w:color w:val="231F20"/>
          <w:spacing w:val="-9"/>
        </w:rPr>
        <w:t> </w:t>
      </w:r>
      <w:r>
        <w:rPr>
          <w:color w:val="231F20"/>
        </w:rPr>
        <w:t>probabilístico en</w:t>
      </w:r>
      <w:r>
        <w:rPr>
          <w:color w:val="231F20"/>
          <w:spacing w:val="-10"/>
        </w:rPr>
        <w:t> </w:t>
      </w:r>
      <w:r>
        <w:rPr>
          <w:color w:val="231F20"/>
        </w:rPr>
        <w:t>México.</w:t>
      </w:r>
    </w:p>
    <w:p>
      <w:pPr>
        <w:pStyle w:val="BodyText"/>
        <w:spacing w:line="240" w:lineRule="exact"/>
        <w:ind w:left="113" w:right="111" w:firstLine="396"/>
        <w:jc w:val="both"/>
      </w:pPr>
      <w:r>
        <w:rPr>
          <w:color w:val="231F20"/>
        </w:rPr>
        <w:t>Esta encuesta reveló la existencia de elevadas</w:t>
      </w:r>
      <w:r>
        <w:rPr>
          <w:color w:val="231F20"/>
          <w:spacing w:val="-26"/>
        </w:rPr>
        <w:t> </w:t>
      </w:r>
      <w:r>
        <w:rPr>
          <w:color w:val="231F20"/>
        </w:rPr>
        <w:t>prevalencias de desnutrición aguda (emaciación) y de desnutrición crónica (baja talla) en niños menores de cinco años, además, de una gran inequidad en el estado nutricio de la población entre re- giones; zonas urbanas y rurales, categorías de condiciones de </w:t>
      </w:r>
      <w:r>
        <w:rPr>
          <w:color w:val="231F20"/>
          <w:spacing w:val="-3"/>
        </w:rPr>
        <w:t>bienestar,</w:t>
      </w:r>
      <w:r>
        <w:rPr>
          <w:color w:val="231F20"/>
          <w:spacing w:val="-7"/>
        </w:rPr>
        <w:t> </w:t>
      </w:r>
      <w:r>
        <w:rPr>
          <w:color w:val="231F20"/>
        </w:rPr>
        <w:t>y</w:t>
      </w:r>
      <w:r>
        <w:rPr>
          <w:color w:val="231F20"/>
          <w:spacing w:val="-7"/>
        </w:rPr>
        <w:t> </w:t>
      </w:r>
      <w:r>
        <w:rPr>
          <w:color w:val="231F20"/>
        </w:rPr>
        <w:t>dietas</w:t>
      </w:r>
      <w:r>
        <w:rPr>
          <w:color w:val="231F20"/>
          <w:spacing w:val="-7"/>
        </w:rPr>
        <w:t> </w:t>
      </w:r>
      <w:r>
        <w:rPr>
          <w:color w:val="231F20"/>
        </w:rPr>
        <w:t>deficientes</w:t>
      </w:r>
      <w:r>
        <w:rPr>
          <w:color w:val="231F20"/>
          <w:spacing w:val="-7"/>
        </w:rPr>
        <w:t> </w:t>
      </w:r>
      <w:r>
        <w:rPr>
          <w:color w:val="231F20"/>
        </w:rPr>
        <w:t>en</w:t>
      </w:r>
      <w:r>
        <w:rPr>
          <w:color w:val="231F20"/>
          <w:spacing w:val="-7"/>
        </w:rPr>
        <w:t> </w:t>
      </w:r>
      <w:r>
        <w:rPr>
          <w:color w:val="231F20"/>
        </w:rPr>
        <w:t>varios</w:t>
      </w:r>
      <w:r>
        <w:rPr>
          <w:color w:val="231F20"/>
          <w:spacing w:val="-7"/>
        </w:rPr>
        <w:t> </w:t>
      </w:r>
      <w:r>
        <w:rPr>
          <w:color w:val="231F20"/>
        </w:rPr>
        <w:t>micronutrimentos</w:t>
      </w:r>
      <w:r>
        <w:rPr>
          <w:color w:val="231F20"/>
          <w:spacing w:val="-7"/>
        </w:rPr>
        <w:t> </w:t>
      </w:r>
      <w:r>
        <w:rPr>
          <w:color w:val="231F20"/>
        </w:rPr>
        <w:t>tanto en niños como en mujeres. (Gutiérrez y otros, 2012:</w:t>
      </w:r>
      <w:r>
        <w:rPr>
          <w:color w:val="231F20"/>
          <w:spacing w:val="-20"/>
        </w:rPr>
        <w:t> </w:t>
      </w:r>
      <w:r>
        <w:rPr>
          <w:color w:val="231F20"/>
        </w:rPr>
        <w:t>130-168).</w:t>
      </w:r>
    </w:p>
    <w:p>
      <w:pPr>
        <w:pStyle w:val="BodyText"/>
        <w:spacing w:line="240" w:lineRule="exact"/>
        <w:ind w:left="113" w:right="110" w:firstLine="396"/>
        <w:jc w:val="both"/>
      </w:pPr>
      <w:r>
        <w:rPr>
          <w:color w:val="231F20"/>
        </w:rPr>
        <w:t>Ávila, Shamah y Galindo, (2013) en la Encuesta Nacional de Alimentación en el Medio Rural Mexicano (ENAL-96) señala que</w:t>
      </w:r>
      <w:r>
        <w:rPr>
          <w:color w:val="231F20"/>
          <w:spacing w:val="-7"/>
        </w:rPr>
        <w:t> </w:t>
      </w:r>
      <w:r>
        <w:rPr>
          <w:color w:val="231F20"/>
        </w:rPr>
        <w:t>la</w:t>
      </w:r>
      <w:r>
        <w:rPr>
          <w:color w:val="231F20"/>
          <w:spacing w:val="-7"/>
        </w:rPr>
        <w:t> </w:t>
      </w:r>
      <w:r>
        <w:rPr>
          <w:color w:val="231F20"/>
        </w:rPr>
        <w:t>prevalencia</w:t>
      </w:r>
      <w:r>
        <w:rPr>
          <w:color w:val="231F20"/>
          <w:spacing w:val="-7"/>
        </w:rPr>
        <w:t> </w:t>
      </w:r>
      <w:r>
        <w:rPr>
          <w:color w:val="231F20"/>
        </w:rPr>
        <w:t>de</w:t>
      </w:r>
      <w:r>
        <w:rPr>
          <w:color w:val="231F20"/>
          <w:spacing w:val="-7"/>
        </w:rPr>
        <w:t> </w:t>
      </w:r>
      <w:r>
        <w:rPr>
          <w:color w:val="231F20"/>
        </w:rPr>
        <w:t>desnutrición</w:t>
      </w:r>
      <w:r>
        <w:rPr>
          <w:color w:val="231F20"/>
          <w:spacing w:val="-9"/>
        </w:rPr>
        <w:t> </w:t>
      </w:r>
      <w:r>
        <w:rPr>
          <w:color w:val="231F20"/>
        </w:rPr>
        <w:t>en</w:t>
      </w:r>
      <w:r>
        <w:rPr>
          <w:color w:val="231F20"/>
          <w:spacing w:val="-7"/>
        </w:rPr>
        <w:t> </w:t>
      </w:r>
      <w:r>
        <w:rPr>
          <w:color w:val="231F20"/>
        </w:rPr>
        <w:t>población</w:t>
      </w:r>
      <w:r>
        <w:rPr>
          <w:color w:val="231F20"/>
          <w:spacing w:val="-7"/>
        </w:rPr>
        <w:t> </w:t>
      </w:r>
      <w:r>
        <w:rPr>
          <w:color w:val="231F20"/>
        </w:rPr>
        <w:t>menor</w:t>
      </w:r>
      <w:r>
        <w:rPr>
          <w:color w:val="231F20"/>
          <w:spacing w:val="-7"/>
        </w:rPr>
        <w:t> </w:t>
      </w:r>
      <w:r>
        <w:rPr>
          <w:color w:val="231F20"/>
        </w:rPr>
        <w:t>de</w:t>
      </w:r>
      <w:r>
        <w:rPr>
          <w:color w:val="231F20"/>
          <w:spacing w:val="-7"/>
        </w:rPr>
        <w:t> </w:t>
      </w:r>
      <w:r>
        <w:rPr>
          <w:color w:val="231F20"/>
        </w:rPr>
        <w:t>cinco años de acuerdo al indicador de peso para edad a </w:t>
      </w:r>
      <w:r>
        <w:rPr>
          <w:color w:val="231F20"/>
          <w:spacing w:val="-3"/>
        </w:rPr>
        <w:t>nivel </w:t>
      </w:r>
      <w:r>
        <w:rPr>
          <w:color w:val="231F20"/>
        </w:rPr>
        <w:t>nacio- nal</w:t>
      </w:r>
      <w:r>
        <w:rPr>
          <w:color w:val="231F20"/>
          <w:spacing w:val="-6"/>
        </w:rPr>
        <w:t> </w:t>
      </w:r>
      <w:r>
        <w:rPr>
          <w:color w:val="231F20"/>
        </w:rPr>
        <w:t>es</w:t>
      </w:r>
      <w:r>
        <w:rPr>
          <w:color w:val="231F20"/>
          <w:spacing w:val="-6"/>
        </w:rPr>
        <w:t> </w:t>
      </w:r>
      <w:r>
        <w:rPr>
          <w:color w:val="231F20"/>
        </w:rPr>
        <w:t>de</w:t>
      </w:r>
      <w:r>
        <w:rPr>
          <w:color w:val="231F20"/>
          <w:spacing w:val="-6"/>
        </w:rPr>
        <w:t> </w:t>
      </w:r>
      <w:r>
        <w:rPr>
          <w:color w:val="231F20"/>
        </w:rPr>
        <w:t>42.7%,</w:t>
      </w:r>
      <w:r>
        <w:rPr>
          <w:color w:val="231F20"/>
          <w:spacing w:val="-6"/>
        </w:rPr>
        <w:t> </w:t>
      </w:r>
      <w:r>
        <w:rPr>
          <w:color w:val="231F20"/>
        </w:rPr>
        <w:t>25.9%</w:t>
      </w:r>
      <w:r>
        <w:rPr>
          <w:color w:val="231F20"/>
          <w:spacing w:val="-6"/>
        </w:rPr>
        <w:t> </w:t>
      </w:r>
      <w:r>
        <w:rPr>
          <w:color w:val="231F20"/>
        </w:rPr>
        <w:t>es</w:t>
      </w:r>
      <w:r>
        <w:rPr>
          <w:color w:val="231F20"/>
          <w:spacing w:val="-6"/>
        </w:rPr>
        <w:t> </w:t>
      </w:r>
      <w:r>
        <w:rPr>
          <w:color w:val="231F20"/>
        </w:rPr>
        <w:t>leve,</w:t>
      </w:r>
      <w:r>
        <w:rPr>
          <w:color w:val="231F20"/>
          <w:spacing w:val="-6"/>
        </w:rPr>
        <w:t> </w:t>
      </w:r>
      <w:r>
        <w:rPr>
          <w:color w:val="231F20"/>
        </w:rPr>
        <w:t>12.7%</w:t>
      </w:r>
      <w:r>
        <w:rPr>
          <w:color w:val="231F20"/>
          <w:spacing w:val="-6"/>
        </w:rPr>
        <w:t> </w:t>
      </w:r>
      <w:r>
        <w:rPr>
          <w:color w:val="231F20"/>
        </w:rPr>
        <w:t>moderada</w:t>
      </w:r>
      <w:r>
        <w:rPr>
          <w:color w:val="231F20"/>
          <w:spacing w:val="-5"/>
        </w:rPr>
        <w:t> </w:t>
      </w:r>
      <w:r>
        <w:rPr>
          <w:color w:val="231F20"/>
        </w:rPr>
        <w:t>y</w:t>
      </w:r>
      <w:r>
        <w:rPr>
          <w:color w:val="231F20"/>
          <w:spacing w:val="-6"/>
        </w:rPr>
        <w:t> </w:t>
      </w:r>
      <w:r>
        <w:rPr>
          <w:color w:val="231F20"/>
        </w:rPr>
        <w:t>4.2%</w:t>
      </w:r>
      <w:r>
        <w:rPr>
          <w:color w:val="231F20"/>
          <w:spacing w:val="-6"/>
        </w:rPr>
        <w:t> </w:t>
      </w:r>
      <w:r>
        <w:rPr>
          <w:color w:val="231F20"/>
        </w:rPr>
        <w:t>severa. (Ávila y otros, 2013). De acuerdo a Shamah, Villalpando y Rive- ra, 2007 describen que en 1999, el Instituto Nacional de Salud Pública (INSP) realizó la segunda encuesta nacional probabilís- tica, Encuesta Nacional de Nutrición (ENN-99). Los resultados de la encuesta de 1999 mostraron una disminución marcada</w:t>
      </w:r>
      <w:r>
        <w:rPr>
          <w:color w:val="231F20"/>
          <w:spacing w:val="-29"/>
        </w:rPr>
        <w:t> </w:t>
      </w:r>
      <w:r>
        <w:rPr>
          <w:color w:val="231F20"/>
        </w:rPr>
        <w:t>de la desnutrición aguda en niños y mujeres y una reducción de</w:t>
      </w:r>
      <w:r>
        <w:rPr>
          <w:color w:val="231F20"/>
          <w:spacing w:val="21"/>
        </w:rPr>
        <w:t> </w:t>
      </w:r>
      <w:r>
        <w:rPr>
          <w:color w:val="231F20"/>
        </w:rPr>
        <w:t>la</w:t>
      </w:r>
    </w:p>
    <w:p>
      <w:pPr>
        <w:spacing w:after="0" w:line="240" w:lineRule="exact"/>
        <w:jc w:val="both"/>
        <w:sectPr>
          <w:pgSz w:w="7920" w:h="12240"/>
          <w:pgMar w:header="0" w:footer="616" w:top="1040" w:bottom="860" w:left="1020" w:right="1020"/>
        </w:sectPr>
      </w:pPr>
    </w:p>
    <w:p>
      <w:pPr>
        <w:pStyle w:val="BodyText"/>
        <w:spacing w:line="240" w:lineRule="exact" w:before="65"/>
        <w:ind w:left="113" w:right="111"/>
        <w:jc w:val="both"/>
      </w:pPr>
      <w:r>
        <w:rPr>
          <w:color w:val="231F20"/>
        </w:rPr>
        <w:t>desnutrición</w:t>
      </w:r>
      <w:r>
        <w:rPr>
          <w:color w:val="231F20"/>
          <w:spacing w:val="-9"/>
        </w:rPr>
        <w:t> </w:t>
      </w:r>
      <w:r>
        <w:rPr>
          <w:color w:val="231F20"/>
        </w:rPr>
        <w:t>crónica</w:t>
      </w:r>
      <w:r>
        <w:rPr>
          <w:color w:val="231F20"/>
          <w:spacing w:val="-8"/>
        </w:rPr>
        <w:t> </w:t>
      </w:r>
      <w:r>
        <w:rPr>
          <w:color w:val="231F20"/>
        </w:rPr>
        <w:t>inferior</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lograda</w:t>
      </w:r>
      <w:r>
        <w:rPr>
          <w:color w:val="231F20"/>
          <w:spacing w:val="-7"/>
        </w:rPr>
        <w:t> </w:t>
      </w:r>
      <w:r>
        <w:rPr>
          <w:color w:val="231F20"/>
        </w:rPr>
        <w:t>por</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ingresos similares. (Shamah y otros, 2007:</w:t>
      </w:r>
      <w:r>
        <w:rPr>
          <w:color w:val="231F20"/>
          <w:spacing w:val="-13"/>
        </w:rPr>
        <w:t> </w:t>
      </w:r>
      <w:r>
        <w:rPr>
          <w:color w:val="231F20"/>
        </w:rPr>
        <w:t>11).</w:t>
      </w:r>
    </w:p>
    <w:p>
      <w:pPr>
        <w:pStyle w:val="BodyText"/>
        <w:spacing w:line="240" w:lineRule="exact"/>
        <w:ind w:left="113" w:right="111" w:firstLine="396"/>
        <w:jc w:val="both"/>
      </w:pPr>
      <w:r>
        <w:rPr>
          <w:color w:val="231F20"/>
        </w:rPr>
        <w:t>Ávila, Galindo, y Chávez (2005) determinan en la Encuesta Nacional de Alimentación en el Medio Rural Mexicano (ENAL- 2005) que entre 1996 y 2005 se observa una disminución de la desnutrición en los niños menores de cinco años de las comu- nidades rurales del Estado de México. La prevalencia de desnu- trición de alto riesgo de acuerdo al indicador peso para la edad, disminuyó de 13.5% en 1996 a 7.7% en 2005.</w:t>
      </w:r>
    </w:p>
    <w:p>
      <w:pPr>
        <w:pStyle w:val="BodyText"/>
        <w:spacing w:line="240" w:lineRule="exact"/>
        <w:ind w:left="113" w:right="111" w:firstLine="396"/>
        <w:jc w:val="both"/>
      </w:pPr>
      <w:r>
        <w:rPr>
          <w:color w:val="231F20"/>
          <w:spacing w:val="-3"/>
        </w:rPr>
        <w:t>Para </w:t>
      </w:r>
      <w:r>
        <w:rPr>
          <w:color w:val="231F20"/>
        </w:rPr>
        <w:t>el indicador talla para la edad, el déficit de talla pasó de 33% a 22.3%. A este ritmo de disminución de la desnutri- ción, el bajo peso quedaría erradicado de la entidad para el año 2018 y el déficit de talla para el año 2023. (Ávila y otros, 2005: 45). Gutiérrez, </w:t>
      </w:r>
      <w:r>
        <w:rPr>
          <w:color w:val="231F20"/>
          <w:spacing w:val="-3"/>
        </w:rPr>
        <w:t>Rivera, </w:t>
      </w:r>
      <w:r>
        <w:rPr>
          <w:color w:val="231F20"/>
        </w:rPr>
        <w:t>y Shamah, (2012) en la Encuesta Nacio- nal de Salud y Nutrición 2006 (ENSANUT 2006), que abordó el estudio del estado nutricio de la población a la par que el de la situación de salud e inquirió también sobre la respuesta social organizada</w:t>
      </w:r>
      <w:r>
        <w:rPr>
          <w:color w:val="231F20"/>
          <w:spacing w:val="-8"/>
        </w:rPr>
        <w:t> </w:t>
      </w:r>
      <w:r>
        <w:rPr>
          <w:color w:val="231F20"/>
        </w:rPr>
        <w:t>frente</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problemas</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y</w:t>
      </w:r>
      <w:r>
        <w:rPr>
          <w:color w:val="231F20"/>
          <w:spacing w:val="-9"/>
        </w:rPr>
        <w:t> </w:t>
      </w:r>
      <w:r>
        <w:rPr>
          <w:color w:val="231F20"/>
        </w:rPr>
        <w:t>nutrición.</w:t>
      </w:r>
      <w:r>
        <w:rPr>
          <w:color w:val="231F20"/>
          <w:spacing w:val="-9"/>
        </w:rPr>
        <w:t> </w:t>
      </w:r>
      <w:r>
        <w:rPr>
          <w:color w:val="231F20"/>
        </w:rPr>
        <w:t>Los</w:t>
      </w:r>
      <w:r>
        <w:rPr>
          <w:color w:val="231F20"/>
          <w:spacing w:val="-9"/>
        </w:rPr>
        <w:t> </w:t>
      </w:r>
      <w:r>
        <w:rPr>
          <w:color w:val="231F20"/>
        </w:rPr>
        <w:t>aná- lisis para el ámbito nacional, regional y para las zonas urbanas y rurales mostraron un descenso de la desnutrición crónica en el</w:t>
      </w:r>
      <w:r>
        <w:rPr>
          <w:color w:val="231F20"/>
          <w:spacing w:val="-5"/>
        </w:rPr>
        <w:t> </w:t>
      </w:r>
      <w:r>
        <w:rPr>
          <w:color w:val="231F20"/>
        </w:rPr>
        <w:t>ámbito</w:t>
      </w:r>
      <w:r>
        <w:rPr>
          <w:color w:val="231F20"/>
          <w:spacing w:val="-5"/>
        </w:rPr>
        <w:t> </w:t>
      </w:r>
      <w:r>
        <w:rPr>
          <w:color w:val="231F20"/>
        </w:rPr>
        <w:t>nacional,</w:t>
      </w:r>
      <w:r>
        <w:rPr>
          <w:color w:val="231F20"/>
          <w:spacing w:val="-4"/>
        </w:rPr>
        <w:t> </w:t>
      </w:r>
      <w:r>
        <w:rPr>
          <w:color w:val="231F20"/>
        </w:rPr>
        <w:t>entre</w:t>
      </w:r>
      <w:r>
        <w:rPr>
          <w:color w:val="231F20"/>
          <w:spacing w:val="-5"/>
        </w:rPr>
        <w:t> </w:t>
      </w:r>
      <w:r>
        <w:rPr>
          <w:color w:val="231F20"/>
        </w:rPr>
        <w:t>1999</w:t>
      </w:r>
      <w:r>
        <w:rPr>
          <w:color w:val="231F20"/>
          <w:spacing w:val="-5"/>
        </w:rPr>
        <w:t> </w:t>
      </w:r>
      <w:r>
        <w:rPr>
          <w:color w:val="231F20"/>
        </w:rPr>
        <w:t>y</w:t>
      </w:r>
      <w:r>
        <w:rPr>
          <w:color w:val="231F20"/>
          <w:spacing w:val="-5"/>
        </w:rPr>
        <w:t> </w:t>
      </w:r>
      <w:r>
        <w:rPr>
          <w:color w:val="231F20"/>
        </w:rPr>
        <w:t>2006.</w:t>
      </w:r>
      <w:r>
        <w:rPr>
          <w:color w:val="231F20"/>
          <w:spacing w:val="-5"/>
        </w:rPr>
        <w:t> </w:t>
      </w:r>
      <w:r>
        <w:rPr>
          <w:color w:val="231F20"/>
        </w:rPr>
        <w:t>(Gutiérrez</w:t>
      </w:r>
      <w:r>
        <w:rPr>
          <w:color w:val="231F20"/>
          <w:spacing w:val="-5"/>
        </w:rPr>
        <w:t> </w:t>
      </w:r>
      <w:r>
        <w:rPr>
          <w:color w:val="231F20"/>
        </w:rPr>
        <w:t>y</w:t>
      </w:r>
      <w:r>
        <w:rPr>
          <w:color w:val="231F20"/>
          <w:spacing w:val="-5"/>
        </w:rPr>
        <w:t> </w:t>
      </w:r>
      <w:r>
        <w:rPr>
          <w:color w:val="231F20"/>
        </w:rPr>
        <w:t>otros,</w:t>
      </w:r>
      <w:r>
        <w:rPr>
          <w:color w:val="231F20"/>
          <w:spacing w:val="-5"/>
        </w:rPr>
        <w:t> </w:t>
      </w:r>
      <w:r>
        <w:rPr>
          <w:color w:val="231F20"/>
        </w:rPr>
        <w:t>2012: 130-168). Gutiérrez, Rivera, y Shamah, (2012) en la ENSANUT (2012) reportó una disminución en desnutrición aguda (bajo peso</w:t>
      </w:r>
      <w:r>
        <w:rPr>
          <w:color w:val="231F20"/>
          <w:spacing w:val="-10"/>
        </w:rPr>
        <w:t> </w:t>
      </w:r>
      <w:r>
        <w:rPr>
          <w:color w:val="231F20"/>
        </w:rPr>
        <w:t>para</w:t>
      </w:r>
      <w:r>
        <w:rPr>
          <w:color w:val="231F20"/>
          <w:spacing w:val="-10"/>
        </w:rPr>
        <w:t> </w:t>
      </w:r>
      <w:r>
        <w:rPr>
          <w:color w:val="231F20"/>
        </w:rPr>
        <w:t>talla)</w:t>
      </w:r>
      <w:r>
        <w:rPr>
          <w:color w:val="231F20"/>
          <w:spacing w:val="-10"/>
        </w:rPr>
        <w:t> </w:t>
      </w:r>
      <w:r>
        <w:rPr>
          <w:color w:val="231F20"/>
        </w:rPr>
        <w:t>que</w:t>
      </w:r>
      <w:r>
        <w:rPr>
          <w:color w:val="231F20"/>
          <w:spacing w:val="-10"/>
        </w:rPr>
        <w:t> </w:t>
      </w:r>
      <w:r>
        <w:rPr>
          <w:color w:val="231F20"/>
        </w:rPr>
        <w:t>alcanzó</w:t>
      </w:r>
      <w:r>
        <w:rPr>
          <w:color w:val="231F20"/>
          <w:spacing w:val="-10"/>
        </w:rPr>
        <w:t> </w:t>
      </w:r>
      <w:r>
        <w:rPr>
          <w:color w:val="231F20"/>
          <w:spacing w:val="-3"/>
        </w:rPr>
        <w:t>ya</w:t>
      </w:r>
      <w:r>
        <w:rPr>
          <w:color w:val="231F20"/>
          <w:spacing w:val="-10"/>
        </w:rPr>
        <w:t> </w:t>
      </w:r>
      <w:r>
        <w:rPr>
          <w:color w:val="231F20"/>
        </w:rPr>
        <w:t>valores</w:t>
      </w:r>
      <w:r>
        <w:rPr>
          <w:color w:val="231F20"/>
          <w:spacing w:val="-10"/>
        </w:rPr>
        <w:t> </w:t>
      </w:r>
      <w:r>
        <w:rPr>
          <w:color w:val="231F20"/>
        </w:rPr>
        <w:t>compatibles</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elimi- nación</w:t>
      </w:r>
      <w:r>
        <w:rPr>
          <w:color w:val="231F20"/>
          <w:spacing w:val="-10"/>
        </w:rPr>
        <w:t> </w:t>
      </w:r>
      <w:r>
        <w:rPr>
          <w:color w:val="231F20"/>
        </w:rPr>
        <w:t>como</w:t>
      </w:r>
      <w:r>
        <w:rPr>
          <w:color w:val="231F20"/>
          <w:spacing w:val="-10"/>
        </w:rPr>
        <w:t> </w:t>
      </w:r>
      <w:r>
        <w:rPr>
          <w:color w:val="231F20"/>
        </w:rPr>
        <w:t>problema</w:t>
      </w:r>
      <w:r>
        <w:rPr>
          <w:color w:val="231F20"/>
          <w:spacing w:val="-10"/>
        </w:rPr>
        <w:t> </w:t>
      </w:r>
      <w:r>
        <w:rPr>
          <w:color w:val="231F20"/>
        </w:rPr>
        <w:t>de</w:t>
      </w:r>
      <w:r>
        <w:rPr>
          <w:color w:val="231F20"/>
          <w:spacing w:val="-10"/>
        </w:rPr>
        <w:t> </w:t>
      </w:r>
      <w:r>
        <w:rPr>
          <w:color w:val="231F20"/>
        </w:rPr>
        <w:t>salud</w:t>
      </w:r>
      <w:r>
        <w:rPr>
          <w:color w:val="231F20"/>
          <w:spacing w:val="-10"/>
        </w:rPr>
        <w:t> </w:t>
      </w:r>
      <w:r>
        <w:rPr>
          <w:color w:val="231F20"/>
        </w:rPr>
        <w:t>pública,</w:t>
      </w:r>
      <w:r>
        <w:rPr>
          <w:color w:val="231F20"/>
          <w:spacing w:val="-9"/>
        </w:rPr>
        <w:t> </w:t>
      </w:r>
      <w:r>
        <w:rPr>
          <w:color w:val="231F20"/>
        </w:rPr>
        <w:t>aunque</w:t>
      </w:r>
      <w:r>
        <w:rPr>
          <w:color w:val="231F20"/>
          <w:spacing w:val="-9"/>
        </w:rPr>
        <w:t> </w:t>
      </w:r>
      <w:r>
        <w:rPr>
          <w:color w:val="231F20"/>
        </w:rPr>
        <w:t>persisten</w:t>
      </w:r>
      <w:r>
        <w:rPr>
          <w:color w:val="231F20"/>
          <w:spacing w:val="-10"/>
        </w:rPr>
        <w:t> </w:t>
      </w:r>
      <w:r>
        <w:rPr>
          <w:color w:val="231F20"/>
        </w:rPr>
        <w:t>focos de desnutrición aguda en ciertas regiones y grupos de</w:t>
      </w:r>
      <w:r>
        <w:rPr>
          <w:color w:val="231F20"/>
          <w:spacing w:val="-21"/>
        </w:rPr>
        <w:t> </w:t>
      </w:r>
      <w:r>
        <w:rPr>
          <w:color w:val="231F20"/>
        </w:rPr>
        <w:t>edad.</w:t>
      </w:r>
    </w:p>
    <w:p>
      <w:pPr>
        <w:pStyle w:val="BodyText"/>
        <w:spacing w:line="240" w:lineRule="exact"/>
        <w:ind w:left="113" w:right="111" w:firstLine="396"/>
        <w:jc w:val="both"/>
      </w:pPr>
      <w:r>
        <w:rPr>
          <w:color w:val="231F20"/>
        </w:rPr>
        <w:t>La desnutrición crónica (baja talla para edad) disminuyó a la mitad de la encontrada en 1988. A pesar de esta tendencia sostenida</w:t>
      </w:r>
      <w:r>
        <w:rPr>
          <w:color w:val="231F20"/>
          <w:spacing w:val="-9"/>
        </w:rPr>
        <w:t> </w:t>
      </w:r>
      <w:r>
        <w:rPr>
          <w:color w:val="231F20"/>
        </w:rPr>
        <w:t>de</w:t>
      </w:r>
      <w:r>
        <w:rPr>
          <w:color w:val="231F20"/>
          <w:spacing w:val="-9"/>
        </w:rPr>
        <w:t> </w:t>
      </w:r>
      <w:r>
        <w:rPr>
          <w:color w:val="231F20"/>
        </w:rPr>
        <w:t>disminución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prevalencia</w:t>
      </w:r>
      <w:r>
        <w:rPr>
          <w:color w:val="231F20"/>
          <w:spacing w:val="-8"/>
        </w:rPr>
        <w:t> </w:t>
      </w:r>
      <w:r>
        <w:rPr>
          <w:color w:val="231F20"/>
        </w:rPr>
        <w:t>de</w:t>
      </w:r>
      <w:r>
        <w:rPr>
          <w:color w:val="231F20"/>
          <w:spacing w:val="-9"/>
        </w:rPr>
        <w:t> </w:t>
      </w:r>
      <w:r>
        <w:rPr>
          <w:color w:val="231F20"/>
        </w:rPr>
        <w:t>desnutrición</w:t>
      </w:r>
      <w:r>
        <w:rPr>
          <w:color w:val="231F20"/>
          <w:spacing w:val="-9"/>
        </w:rPr>
        <w:t> </w:t>
      </w:r>
      <w:r>
        <w:rPr>
          <w:color w:val="231F20"/>
        </w:rPr>
        <w:t>cró- nica, actualmente casi 14 de cada 100 preescolares tienen baja talla para la edad, lo que representa casi 1.5 millones de meno- res de cinco años. (Gutiérrez y otros, 20 12:</w:t>
      </w:r>
      <w:r>
        <w:rPr>
          <w:color w:val="231F20"/>
          <w:spacing w:val="-20"/>
        </w:rPr>
        <w:t> </w:t>
      </w:r>
      <w:r>
        <w:rPr>
          <w:color w:val="231F20"/>
        </w:rPr>
        <w:t>130-168).</w:t>
      </w:r>
    </w:p>
    <w:p>
      <w:pPr>
        <w:pStyle w:val="BodyText"/>
        <w:rPr>
          <w:sz w:val="20"/>
        </w:rPr>
      </w:pPr>
    </w:p>
    <w:p>
      <w:pPr>
        <w:pStyle w:val="BodyText"/>
        <w:rPr>
          <w:sz w:val="20"/>
        </w:rPr>
      </w:pPr>
    </w:p>
    <w:p>
      <w:pPr>
        <w:pStyle w:val="BodyText"/>
        <w:spacing w:before="4"/>
        <w:rPr>
          <w:sz w:val="22"/>
        </w:rPr>
      </w:pPr>
    </w:p>
    <w:p>
      <w:pPr>
        <w:pStyle w:val="Heading2"/>
      </w:pPr>
      <w:r>
        <w:rPr>
          <w:color w:val="231F20"/>
        </w:rPr>
        <w:t>Análisis de la situación nutricional en el estado de</w:t>
      </w:r>
    </w:p>
    <w:p>
      <w:pPr>
        <w:spacing w:before="6"/>
        <w:ind w:left="113" w:right="0" w:firstLine="0"/>
        <w:jc w:val="both"/>
        <w:rPr>
          <w:b/>
          <w:sz w:val="24"/>
        </w:rPr>
      </w:pPr>
      <w:r>
        <w:rPr>
          <w:b/>
          <w:color w:val="231F20"/>
          <w:sz w:val="24"/>
        </w:rPr>
        <w:t>México</w:t>
      </w:r>
    </w:p>
    <w:p>
      <w:pPr>
        <w:pStyle w:val="BodyText"/>
        <w:rPr>
          <w:b/>
          <w:sz w:val="20"/>
        </w:rPr>
      </w:pPr>
    </w:p>
    <w:p>
      <w:pPr>
        <w:pStyle w:val="BodyText"/>
        <w:spacing w:line="240" w:lineRule="exact"/>
        <w:ind w:left="113" w:right="111"/>
        <w:jc w:val="both"/>
      </w:pPr>
      <w:r>
        <w:rPr>
          <w:color w:val="231F20"/>
          <w:spacing w:val="-3"/>
        </w:rPr>
        <w:t>Para</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cartografía</w:t>
      </w:r>
      <w:r>
        <w:rPr>
          <w:color w:val="231F20"/>
          <w:spacing w:val="-10"/>
        </w:rPr>
        <w:t> </w:t>
      </w:r>
      <w:r>
        <w:rPr>
          <w:color w:val="231F20"/>
        </w:rPr>
        <w:t>se</w:t>
      </w:r>
      <w:r>
        <w:rPr>
          <w:color w:val="231F20"/>
          <w:spacing w:val="-10"/>
        </w:rPr>
        <w:t> </w:t>
      </w:r>
      <w:r>
        <w:rPr>
          <w:color w:val="231F20"/>
        </w:rPr>
        <w:t>utilizó</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mapa digital 5 del Instituto Nacional de Estadística y Geografía (INE- GI). A continuación se presentan los resultados obtenidos de</w:t>
      </w:r>
      <w:r>
        <w:rPr>
          <w:color w:val="231F20"/>
          <w:spacing w:val="31"/>
        </w:rPr>
        <w:t> </w:t>
      </w:r>
      <w:r>
        <w:rPr>
          <w:color w:val="231F20"/>
        </w:rPr>
        <w:t>la</w:t>
      </w:r>
    </w:p>
    <w:p>
      <w:pPr>
        <w:spacing w:after="0" w:line="240" w:lineRule="exact"/>
        <w:jc w:val="both"/>
        <w:sectPr>
          <w:pgSz w:w="7920" w:h="12240"/>
          <w:pgMar w:header="0" w:footer="616" w:top="1040" w:bottom="860" w:left="1020" w:right="1020"/>
        </w:sectPr>
      </w:pPr>
    </w:p>
    <w:p>
      <w:pPr>
        <w:pStyle w:val="BodyText"/>
        <w:spacing w:line="240" w:lineRule="exact" w:before="65"/>
        <w:ind w:left="113" w:right="110"/>
        <w:jc w:val="both"/>
      </w:pPr>
      <w:r>
        <w:rPr>
          <w:color w:val="231F20"/>
        </w:rPr>
        <w:t>situación</w:t>
      </w:r>
      <w:r>
        <w:rPr>
          <w:color w:val="231F20"/>
          <w:spacing w:val="-11"/>
        </w:rPr>
        <w:t> </w:t>
      </w:r>
      <w:r>
        <w:rPr>
          <w:color w:val="231F20"/>
        </w:rPr>
        <w:t>nutricional</w:t>
      </w:r>
      <w:r>
        <w:rPr>
          <w:color w:val="231F20"/>
          <w:spacing w:val="-9"/>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125</w:t>
      </w:r>
      <w:r>
        <w:rPr>
          <w:color w:val="231F20"/>
          <w:spacing w:val="-10"/>
        </w:rPr>
        <w:t> </w:t>
      </w:r>
      <w:r>
        <w:rPr>
          <w:color w:val="231F20"/>
        </w:rPr>
        <w:t>municipios en el año 2005, a partir de un IRN que evalúa las siguientes va- riables: déficit de talla, mortalidad por enfermedades diarrei- cas agudas (EDAS), mortalidad </w:t>
      </w:r>
      <w:r>
        <w:rPr>
          <w:color w:val="231F20"/>
          <w:spacing w:val="-3"/>
        </w:rPr>
        <w:t>preescolar, </w:t>
      </w:r>
      <w:r>
        <w:rPr>
          <w:color w:val="231F20"/>
        </w:rPr>
        <w:t>mortalidad infantil según el método Brass, lengua indígena , ocupantes en vivien- das sin agua entubada, ocupantes en viviendas sin drenaje ni excusado, ocupantes en viviendas con piso de tierra, ocupantes en viviendas sin piso de tierra, viviendas con algún </w:t>
      </w:r>
      <w:r>
        <w:rPr>
          <w:color w:val="231F20"/>
          <w:spacing w:val="-3"/>
        </w:rPr>
        <w:t>nivel </w:t>
      </w:r>
      <w:r>
        <w:rPr>
          <w:color w:val="231F20"/>
        </w:rPr>
        <w:t>de ha- cinamiento, población ocupada con ingresos hasta dos salarios mínimos, población analfabeta, población de 15 años y más sin primaria completa y población en localidades con menos de 5000</w:t>
      </w:r>
      <w:r>
        <w:rPr>
          <w:color w:val="231F20"/>
          <w:spacing w:val="-4"/>
        </w:rPr>
        <w:t> </w:t>
      </w:r>
      <w:r>
        <w:rPr>
          <w:color w:val="231F20"/>
        </w:rPr>
        <w:t>habitantes.</w:t>
      </w:r>
    </w:p>
    <w:p>
      <w:pPr>
        <w:pStyle w:val="BodyText"/>
        <w:rPr>
          <w:sz w:val="20"/>
        </w:rPr>
      </w:pPr>
    </w:p>
    <w:p>
      <w:pPr>
        <w:pStyle w:val="BodyText"/>
        <w:rPr>
          <w:sz w:val="20"/>
        </w:rPr>
      </w:pPr>
    </w:p>
    <w:p>
      <w:pPr>
        <w:pStyle w:val="BodyText"/>
        <w:spacing w:before="4"/>
        <w:rPr>
          <w:sz w:val="22"/>
        </w:rPr>
      </w:pPr>
    </w:p>
    <w:p>
      <w:pPr>
        <w:pStyle w:val="Heading2"/>
      </w:pPr>
      <w:r>
        <w:rPr>
          <w:color w:val="231F20"/>
        </w:rPr>
        <w:t>Escala municipal</w:t>
      </w:r>
    </w:p>
    <w:p>
      <w:pPr>
        <w:pStyle w:val="BodyText"/>
        <w:rPr>
          <w:b/>
          <w:sz w:val="20"/>
        </w:rPr>
      </w:pPr>
    </w:p>
    <w:p>
      <w:pPr>
        <w:pStyle w:val="BodyText"/>
        <w:spacing w:line="240" w:lineRule="exact"/>
        <w:ind w:left="113" w:right="111"/>
        <w:jc w:val="both"/>
      </w:pPr>
      <w:r>
        <w:rPr>
          <w:color w:val="231F20"/>
        </w:rPr>
        <w:t>De manera general en el Estado de México para el año 2005 la población</w:t>
      </w:r>
      <w:r>
        <w:rPr>
          <w:color w:val="231F20"/>
          <w:spacing w:val="-3"/>
        </w:rPr>
        <w:t> </w:t>
      </w:r>
      <w:r>
        <w:rPr>
          <w:color w:val="231F20"/>
        </w:rPr>
        <w:t>total</w:t>
      </w:r>
      <w:r>
        <w:rPr>
          <w:color w:val="231F20"/>
          <w:spacing w:val="-4"/>
        </w:rPr>
        <w:t> </w:t>
      </w:r>
      <w:r>
        <w:rPr>
          <w:color w:val="231F20"/>
        </w:rPr>
        <w:t>era</w:t>
      </w:r>
      <w:r>
        <w:rPr>
          <w:color w:val="231F20"/>
          <w:spacing w:val="-4"/>
        </w:rPr>
        <w:t> </w:t>
      </w:r>
      <w:r>
        <w:rPr>
          <w:color w:val="231F20"/>
        </w:rPr>
        <w:t>de</w:t>
      </w:r>
      <w:r>
        <w:rPr>
          <w:color w:val="231F20"/>
          <w:spacing w:val="-4"/>
        </w:rPr>
        <w:t> </w:t>
      </w:r>
      <w:r>
        <w:rPr>
          <w:color w:val="231F20"/>
        </w:rPr>
        <w:t>14,</w:t>
      </w:r>
      <w:r>
        <w:rPr>
          <w:color w:val="231F20"/>
          <w:spacing w:val="-4"/>
        </w:rPr>
        <w:t> </w:t>
      </w:r>
      <w:r>
        <w:rPr>
          <w:color w:val="231F20"/>
        </w:rPr>
        <w:t>007,</w:t>
      </w:r>
      <w:r>
        <w:rPr>
          <w:color w:val="231F20"/>
          <w:spacing w:val="-4"/>
        </w:rPr>
        <w:t> </w:t>
      </w:r>
      <w:r>
        <w:rPr>
          <w:color w:val="231F20"/>
        </w:rPr>
        <w:t>495</w:t>
      </w:r>
      <w:r>
        <w:rPr>
          <w:color w:val="231F20"/>
          <w:spacing w:val="-4"/>
        </w:rPr>
        <w:t> </w:t>
      </w:r>
      <w:r>
        <w:rPr>
          <w:color w:val="231F20"/>
        </w:rPr>
        <w:t>de</w:t>
      </w:r>
      <w:r>
        <w:rPr>
          <w:color w:val="231F20"/>
          <w:spacing w:val="-4"/>
        </w:rPr>
        <w:t> </w:t>
      </w:r>
      <w:r>
        <w:rPr>
          <w:color w:val="231F20"/>
        </w:rPr>
        <w:t>habitantes,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encon- traba</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categoría</w:t>
      </w:r>
      <w:r>
        <w:rPr>
          <w:color w:val="231F20"/>
          <w:spacing w:val="-8"/>
        </w:rPr>
        <w:t> </w:t>
      </w:r>
      <w:r>
        <w:rPr>
          <w:color w:val="231F20"/>
        </w:rPr>
        <w:t>de</w:t>
      </w:r>
      <w:r>
        <w:rPr>
          <w:color w:val="231F20"/>
          <w:spacing w:val="-7"/>
        </w:rPr>
        <w:t> </w:t>
      </w:r>
      <w:r>
        <w:rPr>
          <w:color w:val="231F20"/>
        </w:rPr>
        <w:t>riesgo</w:t>
      </w:r>
      <w:r>
        <w:rPr>
          <w:color w:val="231F20"/>
          <w:spacing w:val="-8"/>
        </w:rPr>
        <w:t> </w:t>
      </w:r>
      <w:r>
        <w:rPr>
          <w:color w:val="231F20"/>
        </w:rPr>
        <w:t>nutricional</w:t>
      </w:r>
      <w:r>
        <w:rPr>
          <w:color w:val="231F20"/>
          <w:spacing w:val="-7"/>
        </w:rPr>
        <w:t> </w:t>
      </w:r>
      <w:r>
        <w:rPr>
          <w:color w:val="231F20"/>
        </w:rPr>
        <w:t>moderado,</w:t>
      </w:r>
      <w:r>
        <w:rPr>
          <w:color w:val="231F20"/>
          <w:spacing w:val="-7"/>
        </w:rPr>
        <w:t> </w:t>
      </w:r>
      <w:r>
        <w:rPr>
          <w:color w:val="231F20"/>
        </w:rPr>
        <w:t>según</w:t>
      </w:r>
      <w:r>
        <w:rPr>
          <w:color w:val="231F20"/>
          <w:spacing w:val="-8"/>
        </w:rPr>
        <w:t> </w:t>
      </w:r>
      <w:r>
        <w:rPr>
          <w:color w:val="231F20"/>
        </w:rPr>
        <w:t>el IRN. </w:t>
      </w:r>
      <w:r>
        <w:rPr>
          <w:color w:val="231F20"/>
          <w:spacing w:val="-4"/>
        </w:rPr>
        <w:t>(Ver </w:t>
      </w:r>
      <w:r>
        <w:rPr>
          <w:color w:val="231F20"/>
        </w:rPr>
        <w:t>Mapa</w:t>
      </w:r>
      <w:r>
        <w:rPr>
          <w:color w:val="231F20"/>
          <w:spacing w:val="-4"/>
        </w:rPr>
        <w:t> </w:t>
      </w:r>
      <w:r>
        <w:rPr>
          <w:color w:val="231F20"/>
        </w:rPr>
        <w:t>1)</w:t>
      </w:r>
    </w:p>
    <w:p>
      <w:pPr>
        <w:pStyle w:val="BodyText"/>
        <w:spacing w:before="1"/>
        <w:rPr>
          <w:sz w:val="12"/>
        </w:rPr>
      </w:pPr>
      <w:r>
        <w:rPr/>
        <w:drawing>
          <wp:anchor distT="0" distB="0" distL="0" distR="0" allowOverlap="1" layoutInCell="1" locked="0" behindDoc="0" simplePos="0" relativeHeight="1096">
            <wp:simplePos x="0" y="0"/>
            <wp:positionH relativeFrom="page">
              <wp:posOffset>960018</wp:posOffset>
            </wp:positionH>
            <wp:positionV relativeFrom="paragraph">
              <wp:posOffset>115179</wp:posOffset>
            </wp:positionV>
            <wp:extent cx="2965102" cy="2474976"/>
            <wp:effectExtent l="0" t="0" r="0" b="0"/>
            <wp:wrapTopAndBottom/>
            <wp:docPr id="1" name="image3.png" descr=""/>
            <wp:cNvGraphicFramePr>
              <a:graphicFrameLocks noChangeAspect="1"/>
            </wp:cNvGraphicFramePr>
            <a:graphic>
              <a:graphicData uri="http://schemas.openxmlformats.org/drawingml/2006/picture">
                <pic:pic>
                  <pic:nvPicPr>
                    <pic:cNvPr id="2" name="image3.png"/>
                    <pic:cNvPicPr/>
                  </pic:nvPicPr>
                  <pic:blipFill>
                    <a:blip r:embed="rId11" cstate="print"/>
                    <a:stretch>
                      <a:fillRect/>
                    </a:stretch>
                  </pic:blipFill>
                  <pic:spPr>
                    <a:xfrm>
                      <a:off x="0" y="0"/>
                      <a:ext cx="2965102" cy="2474976"/>
                    </a:xfrm>
                    <a:prstGeom prst="rect">
                      <a:avLst/>
                    </a:prstGeom>
                  </pic:spPr>
                </pic:pic>
              </a:graphicData>
            </a:graphic>
          </wp:anchor>
        </w:drawing>
      </w:r>
    </w:p>
    <w:p>
      <w:pPr>
        <w:spacing w:after="0"/>
        <w:rPr>
          <w:sz w:val="12"/>
        </w:rPr>
        <w:sectPr>
          <w:pgSz w:w="7920" w:h="12240"/>
          <w:pgMar w:header="0" w:footer="616" w:top="1040" w:bottom="860" w:left="1020" w:right="1020"/>
        </w:sectPr>
      </w:pPr>
    </w:p>
    <w:p>
      <w:pPr>
        <w:pStyle w:val="BodyText"/>
        <w:spacing w:line="240" w:lineRule="exact" w:before="65"/>
        <w:ind w:left="113" w:right="111" w:firstLine="396"/>
        <w:jc w:val="both"/>
      </w:pPr>
      <w:r>
        <w:rPr>
          <w:color w:val="231F20"/>
        </w:rPr>
        <w:t>De la población total del Estado de México el 6.1%(864, 888 habitantes) se encuentra en la categoría de muy alto</w:t>
      </w:r>
      <w:r>
        <w:rPr>
          <w:color w:val="231F20"/>
          <w:spacing w:val="-16"/>
        </w:rPr>
        <w:t> </w:t>
      </w:r>
      <w:r>
        <w:rPr>
          <w:color w:val="231F20"/>
        </w:rPr>
        <w:t>riesgo nutricional, el 6.75%(926, 201 habitantes) en alto riesgo nutri- cional, el 20.5%(2, 875, 545 habitantes) en moderado riesgo nutricional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66.7%(9,</w:t>
      </w:r>
      <w:r>
        <w:rPr>
          <w:color w:val="231F20"/>
          <w:spacing w:val="-9"/>
        </w:rPr>
        <w:t> </w:t>
      </w:r>
      <w:r>
        <w:rPr>
          <w:color w:val="231F20"/>
        </w:rPr>
        <w:t>340,</w:t>
      </w:r>
      <w:r>
        <w:rPr>
          <w:color w:val="231F20"/>
          <w:spacing w:val="-9"/>
        </w:rPr>
        <w:t> </w:t>
      </w:r>
      <w:r>
        <w:rPr>
          <w:color w:val="231F20"/>
        </w:rPr>
        <w:t>861habitantes)</w:t>
      </w:r>
      <w:r>
        <w:rPr>
          <w:color w:val="231F20"/>
          <w:spacing w:val="-8"/>
        </w:rPr>
        <w:t> </w:t>
      </w:r>
      <w:r>
        <w:rPr>
          <w:color w:val="231F20"/>
        </w:rPr>
        <w:t>en</w:t>
      </w:r>
      <w:r>
        <w:rPr>
          <w:color w:val="231F20"/>
          <w:spacing w:val="-8"/>
        </w:rPr>
        <w:t> </w:t>
      </w:r>
      <w:r>
        <w:rPr>
          <w:color w:val="231F20"/>
        </w:rPr>
        <w:t>bajo</w:t>
      </w:r>
      <w:r>
        <w:rPr>
          <w:color w:val="231F20"/>
          <w:spacing w:val="-8"/>
        </w:rPr>
        <w:t> </w:t>
      </w:r>
      <w:r>
        <w:rPr>
          <w:color w:val="231F20"/>
        </w:rPr>
        <w:t>riesgo</w:t>
      </w:r>
      <w:r>
        <w:rPr>
          <w:color w:val="231F20"/>
          <w:spacing w:val="-9"/>
        </w:rPr>
        <w:t> </w:t>
      </w:r>
      <w:r>
        <w:rPr>
          <w:color w:val="231F20"/>
        </w:rPr>
        <w:t>nu- tricional </w:t>
      </w:r>
      <w:r>
        <w:rPr>
          <w:color w:val="231F20"/>
          <w:spacing w:val="-4"/>
        </w:rPr>
        <w:t>(Ver </w:t>
      </w:r>
      <w:r>
        <w:rPr>
          <w:color w:val="231F20"/>
        </w:rPr>
        <w:t>Gráfica</w:t>
      </w:r>
      <w:r>
        <w:rPr>
          <w:color w:val="231F20"/>
          <w:spacing w:val="-2"/>
        </w:rPr>
        <w:t> </w:t>
      </w:r>
      <w:r>
        <w:rPr>
          <w:color w:val="231F20"/>
        </w:rPr>
        <w:t>1).</w:t>
      </w:r>
    </w:p>
    <w:p>
      <w:pPr>
        <w:pStyle w:val="BodyText"/>
        <w:spacing w:before="9"/>
        <w:rPr>
          <w:sz w:val="10"/>
        </w:rPr>
      </w:pPr>
      <w:r>
        <w:rPr/>
        <w:drawing>
          <wp:anchor distT="0" distB="0" distL="0" distR="0" allowOverlap="1" layoutInCell="1" locked="0" behindDoc="0" simplePos="0" relativeHeight="1120">
            <wp:simplePos x="0" y="0"/>
            <wp:positionH relativeFrom="page">
              <wp:posOffset>1067119</wp:posOffset>
            </wp:positionH>
            <wp:positionV relativeFrom="paragraph">
              <wp:posOffset>105198</wp:posOffset>
            </wp:positionV>
            <wp:extent cx="2875787" cy="1293876"/>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12" cstate="print"/>
                    <a:stretch>
                      <a:fillRect/>
                    </a:stretch>
                  </pic:blipFill>
                  <pic:spPr>
                    <a:xfrm>
                      <a:off x="0" y="0"/>
                      <a:ext cx="2875787" cy="1293876"/>
                    </a:xfrm>
                    <a:prstGeom prst="rect">
                      <a:avLst/>
                    </a:prstGeom>
                  </pic:spPr>
                </pic:pic>
              </a:graphicData>
            </a:graphic>
          </wp:anchor>
        </w:drawing>
      </w:r>
    </w:p>
    <w:p>
      <w:pPr>
        <w:pStyle w:val="BodyText"/>
        <w:rPr>
          <w:sz w:val="20"/>
        </w:rPr>
      </w:pPr>
    </w:p>
    <w:p>
      <w:pPr>
        <w:pStyle w:val="BodyText"/>
        <w:spacing w:line="240" w:lineRule="exact" w:before="173"/>
        <w:ind w:left="113" w:right="111" w:firstLine="396"/>
        <w:jc w:val="both"/>
      </w:pPr>
      <w:r>
        <w:rPr>
          <w:color w:val="231F20"/>
        </w:rPr>
        <w:t>El Estado de México cuenta con 125 municipios de los cua- les</w:t>
      </w:r>
      <w:r>
        <w:rPr>
          <w:color w:val="231F20"/>
          <w:spacing w:val="-4"/>
        </w:rPr>
        <w:t> </w:t>
      </w:r>
      <w:r>
        <w:rPr>
          <w:color w:val="231F20"/>
        </w:rPr>
        <w:t>el</w:t>
      </w:r>
      <w:r>
        <w:rPr>
          <w:color w:val="231F20"/>
          <w:spacing w:val="-4"/>
        </w:rPr>
        <w:t> </w:t>
      </w:r>
      <w:r>
        <w:rPr>
          <w:color w:val="231F20"/>
        </w:rPr>
        <w:t>20.0%(25)</w:t>
      </w:r>
      <w:r>
        <w:rPr>
          <w:color w:val="231F20"/>
          <w:spacing w:val="-5"/>
        </w:rPr>
        <w:t> </w:t>
      </w:r>
      <w:r>
        <w:rPr>
          <w:color w:val="231F20"/>
        </w:rPr>
        <w:t>se</w:t>
      </w:r>
      <w:r>
        <w:rPr>
          <w:color w:val="231F20"/>
          <w:spacing w:val="-4"/>
        </w:rPr>
        <w:t> </w:t>
      </w:r>
      <w:r>
        <w:rPr>
          <w:color w:val="231F20"/>
        </w:rPr>
        <w:t>encuentran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categoría</w:t>
      </w:r>
      <w:r>
        <w:rPr>
          <w:color w:val="231F20"/>
          <w:spacing w:val="-5"/>
        </w:rPr>
        <w:t> </w:t>
      </w:r>
      <w:r>
        <w:rPr>
          <w:color w:val="231F20"/>
        </w:rPr>
        <w:t>de</w:t>
      </w:r>
      <w:r>
        <w:rPr>
          <w:color w:val="231F20"/>
          <w:spacing w:val="-4"/>
        </w:rPr>
        <w:t> </w:t>
      </w:r>
      <w:r>
        <w:rPr>
          <w:color w:val="231F20"/>
        </w:rPr>
        <w:t>muy</w:t>
      </w:r>
      <w:r>
        <w:rPr>
          <w:color w:val="231F20"/>
          <w:spacing w:val="-4"/>
        </w:rPr>
        <w:t> </w:t>
      </w:r>
      <w:r>
        <w:rPr>
          <w:color w:val="231F20"/>
        </w:rPr>
        <w:t>alto</w:t>
      </w:r>
      <w:r>
        <w:rPr>
          <w:color w:val="231F20"/>
          <w:spacing w:val="-4"/>
        </w:rPr>
        <w:t> </w:t>
      </w:r>
      <w:r>
        <w:rPr>
          <w:color w:val="231F20"/>
        </w:rPr>
        <w:t>ries- go nutricional, el 16.0%(20) en alto, el 40.8%(51) en</w:t>
      </w:r>
      <w:r>
        <w:rPr>
          <w:color w:val="231F20"/>
          <w:spacing w:val="-25"/>
        </w:rPr>
        <w:t> </w:t>
      </w:r>
      <w:r>
        <w:rPr>
          <w:color w:val="231F20"/>
        </w:rPr>
        <w:t>moderado y 23.2%(29) se encuentra en la categoría de bajo riesgo nutri- cional </w:t>
      </w:r>
      <w:r>
        <w:rPr>
          <w:color w:val="231F20"/>
          <w:spacing w:val="-4"/>
        </w:rPr>
        <w:t>(Ver </w:t>
      </w:r>
      <w:r>
        <w:rPr>
          <w:color w:val="231F20"/>
        </w:rPr>
        <w:t>Gráfica</w:t>
      </w:r>
      <w:r>
        <w:rPr>
          <w:color w:val="231F20"/>
          <w:spacing w:val="-2"/>
        </w:rPr>
        <w:t> </w:t>
      </w:r>
      <w:r>
        <w:rPr>
          <w:color w:val="231F20"/>
        </w:rPr>
        <w:t>2).</w:t>
      </w:r>
    </w:p>
    <w:p>
      <w:pPr>
        <w:pStyle w:val="BodyText"/>
        <w:spacing w:before="11"/>
        <w:rPr>
          <w:sz w:val="12"/>
        </w:rPr>
      </w:pPr>
      <w:r>
        <w:rPr/>
        <w:drawing>
          <wp:anchor distT="0" distB="0" distL="0" distR="0" allowOverlap="1" layoutInCell="1" locked="0" behindDoc="0" simplePos="0" relativeHeight="1144">
            <wp:simplePos x="0" y="0"/>
            <wp:positionH relativeFrom="page">
              <wp:posOffset>1187999</wp:posOffset>
            </wp:positionH>
            <wp:positionV relativeFrom="paragraph">
              <wp:posOffset>121262</wp:posOffset>
            </wp:positionV>
            <wp:extent cx="2724150" cy="1362075"/>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13" cstate="print"/>
                    <a:stretch>
                      <a:fillRect/>
                    </a:stretch>
                  </pic:blipFill>
                  <pic:spPr>
                    <a:xfrm>
                      <a:off x="0" y="0"/>
                      <a:ext cx="2724150" cy="1362075"/>
                    </a:xfrm>
                    <a:prstGeom prst="rect">
                      <a:avLst/>
                    </a:prstGeom>
                  </pic:spPr>
                </pic:pic>
              </a:graphicData>
            </a:graphic>
          </wp:anchor>
        </w:drawing>
      </w:r>
    </w:p>
    <w:p>
      <w:pPr>
        <w:pStyle w:val="BodyText"/>
        <w:rPr>
          <w:sz w:val="20"/>
        </w:rPr>
      </w:pPr>
    </w:p>
    <w:p>
      <w:pPr>
        <w:pStyle w:val="BodyText"/>
        <w:rPr>
          <w:sz w:val="20"/>
        </w:rPr>
      </w:pPr>
    </w:p>
    <w:p>
      <w:pPr>
        <w:pStyle w:val="BodyText"/>
        <w:spacing w:before="4"/>
        <w:rPr>
          <w:sz w:val="25"/>
        </w:rPr>
      </w:pPr>
    </w:p>
    <w:p>
      <w:pPr>
        <w:pStyle w:val="Heading2"/>
        <w:jc w:val="left"/>
      </w:pPr>
      <w:r>
        <w:rPr>
          <w:color w:val="231F20"/>
        </w:rPr>
        <w:t>Escala regional</w:t>
      </w:r>
    </w:p>
    <w:p>
      <w:pPr>
        <w:pStyle w:val="BodyText"/>
        <w:spacing w:before="1"/>
        <w:rPr>
          <w:b/>
          <w:sz w:val="24"/>
        </w:rPr>
      </w:pPr>
    </w:p>
    <w:p>
      <w:pPr>
        <w:pStyle w:val="BodyText"/>
        <w:spacing w:line="240" w:lineRule="exact"/>
        <w:ind w:left="113" w:right="111" w:firstLine="396"/>
        <w:jc w:val="both"/>
      </w:pPr>
      <w:r>
        <w:rPr>
          <w:color w:val="231F20"/>
          <w:spacing w:val="-3"/>
        </w:rPr>
        <w:t>Para </w:t>
      </w:r>
      <w:r>
        <w:rPr>
          <w:color w:val="231F20"/>
        </w:rPr>
        <w:t>fines de esta investigación se dividió al Estado de Mé- xico</w:t>
      </w:r>
      <w:r>
        <w:rPr>
          <w:color w:val="231F20"/>
          <w:spacing w:val="-9"/>
        </w:rPr>
        <w:t> </w:t>
      </w:r>
      <w:r>
        <w:rPr>
          <w:color w:val="231F20"/>
        </w:rPr>
        <w:t>en</w:t>
      </w:r>
      <w:r>
        <w:rPr>
          <w:color w:val="231F20"/>
          <w:spacing w:val="-9"/>
        </w:rPr>
        <w:t> </w:t>
      </w:r>
      <w:r>
        <w:rPr>
          <w:color w:val="231F20"/>
        </w:rPr>
        <w:t>cuatro</w:t>
      </w:r>
      <w:r>
        <w:rPr>
          <w:color w:val="231F20"/>
          <w:spacing w:val="-9"/>
        </w:rPr>
        <w:t> </w:t>
      </w:r>
      <w:r>
        <w:rPr>
          <w:color w:val="231F20"/>
        </w:rPr>
        <w:t>regiones</w:t>
      </w:r>
      <w:r>
        <w:rPr>
          <w:color w:val="231F20"/>
          <w:spacing w:val="-9"/>
        </w:rPr>
        <w:t> </w:t>
      </w:r>
      <w:r>
        <w:rPr>
          <w:color w:val="231F20"/>
        </w:rPr>
        <w:t>para</w:t>
      </w:r>
      <w:r>
        <w:rPr>
          <w:color w:val="231F20"/>
          <w:spacing w:val="-9"/>
        </w:rPr>
        <w:t> </w:t>
      </w:r>
      <w:r>
        <w:rPr>
          <w:color w:val="231F20"/>
        </w:rPr>
        <w:t>identificar</w:t>
      </w:r>
      <w:r>
        <w:rPr>
          <w:color w:val="231F20"/>
          <w:spacing w:val="-9"/>
        </w:rPr>
        <w:t> </w:t>
      </w:r>
      <w:r>
        <w:rPr>
          <w:color w:val="231F20"/>
        </w:rPr>
        <w:t>las</w:t>
      </w:r>
      <w:r>
        <w:rPr>
          <w:color w:val="231F20"/>
          <w:spacing w:val="-9"/>
        </w:rPr>
        <w:t> </w:t>
      </w:r>
      <w:r>
        <w:rPr>
          <w:color w:val="231F20"/>
        </w:rPr>
        <w:t>zonas</w:t>
      </w:r>
      <w:r>
        <w:rPr>
          <w:color w:val="231F20"/>
          <w:spacing w:val="-9"/>
        </w:rPr>
        <w:t> </w:t>
      </w:r>
      <w:r>
        <w:rPr>
          <w:color w:val="231F20"/>
        </w:rPr>
        <w:t>más</w:t>
      </w:r>
      <w:r>
        <w:rPr>
          <w:color w:val="231F20"/>
          <w:spacing w:val="-9"/>
        </w:rPr>
        <w:t> </w:t>
      </w:r>
      <w:r>
        <w:rPr>
          <w:color w:val="231F20"/>
        </w:rPr>
        <w:t>afectadas: zona noroeste, zona suroeste, zona noreste y zona sureste. </w:t>
      </w:r>
      <w:r>
        <w:rPr>
          <w:color w:val="231F20"/>
          <w:spacing w:val="-4"/>
        </w:rPr>
        <w:t>(Ver Tabla</w:t>
      </w:r>
      <w:r>
        <w:rPr>
          <w:color w:val="231F20"/>
        </w:rPr>
        <w:t> 1)</w:t>
      </w:r>
    </w:p>
    <w:p>
      <w:pPr>
        <w:spacing w:after="0" w:line="240" w:lineRule="exact"/>
        <w:jc w:val="both"/>
        <w:sectPr>
          <w:pgSz w:w="7920" w:h="12240"/>
          <w:pgMar w:header="0" w:footer="616" w:top="1040" w:bottom="860" w:left="1020" w:right="1020"/>
        </w:sectPr>
      </w:pPr>
    </w:p>
    <w:p>
      <w:pPr>
        <w:pStyle w:val="BodyText"/>
        <w:spacing w:before="10"/>
        <w:rPr>
          <w:rFonts w:ascii="Times New Roman"/>
          <w:sz w:val="19"/>
        </w:rPr>
      </w:pPr>
    </w:p>
    <w:p>
      <w:pPr>
        <w:pStyle w:val="BodyText"/>
        <w:ind w:left="928"/>
        <w:rPr>
          <w:rFonts w:ascii="Times New Roman"/>
          <w:sz w:val="20"/>
        </w:rPr>
      </w:pPr>
      <w:r>
        <w:rPr>
          <w:rFonts w:ascii="Times New Roman"/>
          <w:sz w:val="20"/>
        </w:rPr>
        <w:drawing>
          <wp:inline distT="0" distB="0" distL="0" distR="0">
            <wp:extent cx="2416492" cy="6004369"/>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4" cstate="print"/>
                    <a:stretch>
                      <a:fillRect/>
                    </a:stretch>
                  </pic:blipFill>
                  <pic:spPr>
                    <a:xfrm>
                      <a:off x="0" y="0"/>
                      <a:ext cx="2416492" cy="6004369"/>
                    </a:xfrm>
                    <a:prstGeom prst="rect">
                      <a:avLst/>
                    </a:prstGeom>
                  </pic:spPr>
                </pic:pic>
              </a:graphicData>
            </a:graphic>
          </wp:inline>
        </w:drawing>
      </w:r>
      <w:r>
        <w:rPr>
          <w:rFonts w:ascii="Times New Roman"/>
          <w:sz w:val="20"/>
        </w:rPr>
      </w:r>
    </w:p>
    <w:p>
      <w:pPr>
        <w:spacing w:after="0"/>
        <w:rPr>
          <w:rFonts w:ascii="Times New Roman"/>
          <w:sz w:val="20"/>
        </w:rPr>
        <w:sectPr>
          <w:pgSz w:w="7920" w:h="12240"/>
          <w:pgMar w:header="0" w:footer="616" w:top="1140" w:bottom="800" w:left="1080" w:right="1080"/>
        </w:sectPr>
      </w:pPr>
    </w:p>
    <w:p>
      <w:pPr>
        <w:pStyle w:val="BodyText"/>
        <w:spacing w:line="240" w:lineRule="exact" w:before="65"/>
        <w:ind w:left="113" w:right="111" w:firstLine="433"/>
        <w:jc w:val="both"/>
      </w:pPr>
      <w:r>
        <w:rPr>
          <w:color w:val="231F20"/>
        </w:rPr>
        <w:t>La</w:t>
      </w:r>
      <w:r>
        <w:rPr>
          <w:color w:val="231F20"/>
          <w:spacing w:val="-12"/>
        </w:rPr>
        <w:t> </w:t>
      </w:r>
      <w:r>
        <w:rPr>
          <w:color w:val="231F20"/>
        </w:rPr>
        <w:t>zona</w:t>
      </w:r>
      <w:r>
        <w:rPr>
          <w:color w:val="231F20"/>
          <w:spacing w:val="-13"/>
        </w:rPr>
        <w:t> </w:t>
      </w:r>
      <w:r>
        <w:rPr>
          <w:color w:val="231F20"/>
        </w:rPr>
        <w:t>noroeste</w:t>
      </w:r>
      <w:r>
        <w:rPr>
          <w:color w:val="231F20"/>
          <w:spacing w:val="-12"/>
        </w:rPr>
        <w:t> </w:t>
      </w:r>
      <w:r>
        <w:rPr>
          <w:color w:val="231F20"/>
        </w:rPr>
        <w:t>contempla</w:t>
      </w:r>
      <w:r>
        <w:rPr>
          <w:color w:val="231F20"/>
          <w:spacing w:val="-13"/>
        </w:rPr>
        <w:t> </w:t>
      </w:r>
      <w:r>
        <w:rPr>
          <w:color w:val="231F20"/>
        </w:rPr>
        <w:t>21</w:t>
      </w:r>
      <w:r>
        <w:rPr>
          <w:color w:val="231F20"/>
          <w:spacing w:val="-12"/>
        </w:rPr>
        <w:t> </w:t>
      </w:r>
      <w:r>
        <w:rPr>
          <w:color w:val="231F20"/>
        </w:rPr>
        <w:t>municipios</w:t>
      </w:r>
      <w:r>
        <w:rPr>
          <w:color w:val="231F20"/>
          <w:spacing w:val="-12"/>
        </w:rPr>
        <w:t> </w:t>
      </w:r>
      <w:r>
        <w:rPr>
          <w:color w:val="231F20"/>
          <w:spacing w:val="-4"/>
        </w:rPr>
        <w:t>(Ver</w:t>
      </w:r>
      <w:r>
        <w:rPr>
          <w:color w:val="231F20"/>
          <w:spacing w:val="-12"/>
        </w:rPr>
        <w:t> </w:t>
      </w:r>
      <w:r>
        <w:rPr>
          <w:color w:val="231F20"/>
        </w:rPr>
        <w:t>Mapa</w:t>
      </w:r>
      <w:r>
        <w:rPr>
          <w:color w:val="231F20"/>
          <w:spacing w:val="-12"/>
        </w:rPr>
        <w:t> </w:t>
      </w:r>
      <w:r>
        <w:rPr>
          <w:color w:val="231F20"/>
        </w:rPr>
        <w:t>2)</w:t>
      </w:r>
      <w:r>
        <w:rPr>
          <w:color w:val="231F20"/>
          <w:spacing w:val="-12"/>
        </w:rPr>
        <w:t> </w:t>
      </w:r>
      <w:r>
        <w:rPr>
          <w:color w:val="231F20"/>
        </w:rPr>
        <w:t>de los</w:t>
      </w:r>
      <w:r>
        <w:rPr>
          <w:color w:val="231F20"/>
          <w:spacing w:val="-8"/>
        </w:rPr>
        <w:t> </w:t>
      </w:r>
      <w:r>
        <w:rPr>
          <w:color w:val="231F20"/>
        </w:rPr>
        <w:t>cuales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47.6%(10)</w:t>
      </w:r>
      <w:r>
        <w:rPr>
          <w:color w:val="231F20"/>
          <w:spacing w:val="-8"/>
        </w:rPr>
        <w:t> </w:t>
      </w:r>
      <w:r>
        <w:rPr>
          <w:color w:val="231F20"/>
        </w:rPr>
        <w:t>se</w:t>
      </w:r>
      <w:r>
        <w:rPr>
          <w:color w:val="231F20"/>
          <w:spacing w:val="-8"/>
        </w:rPr>
        <w:t> </w:t>
      </w:r>
      <w:r>
        <w:rPr>
          <w:color w:val="231F20"/>
        </w:rPr>
        <w:t>encuentran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categoría de riesgo nutricional muy alto, 47.6%(10) en alto y 4.7%(1) se encuentra en</w:t>
      </w:r>
      <w:r>
        <w:rPr>
          <w:color w:val="231F20"/>
          <w:spacing w:val="-14"/>
        </w:rPr>
        <w:t> </w:t>
      </w:r>
      <w:r>
        <w:rPr>
          <w:color w:val="231F20"/>
        </w:rPr>
        <w:t>moderado.</w:t>
      </w:r>
    </w:p>
    <w:p>
      <w:pPr>
        <w:pStyle w:val="BodyText"/>
        <w:spacing w:before="11"/>
        <w:rPr>
          <w:sz w:val="13"/>
        </w:rPr>
      </w:pPr>
      <w:r>
        <w:rPr/>
        <w:drawing>
          <wp:anchor distT="0" distB="0" distL="0" distR="0" allowOverlap="1" layoutInCell="1" locked="0" behindDoc="0" simplePos="0" relativeHeight="1168">
            <wp:simplePos x="0" y="0"/>
            <wp:positionH relativeFrom="page">
              <wp:posOffset>1371803</wp:posOffset>
            </wp:positionH>
            <wp:positionV relativeFrom="paragraph">
              <wp:posOffset>128538</wp:posOffset>
            </wp:positionV>
            <wp:extent cx="2260282" cy="1148143"/>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15" cstate="print"/>
                    <a:stretch>
                      <a:fillRect/>
                    </a:stretch>
                  </pic:blipFill>
                  <pic:spPr>
                    <a:xfrm>
                      <a:off x="0" y="0"/>
                      <a:ext cx="2260282" cy="1148143"/>
                    </a:xfrm>
                    <a:prstGeom prst="rect">
                      <a:avLst/>
                    </a:prstGeom>
                  </pic:spPr>
                </pic:pic>
              </a:graphicData>
            </a:graphic>
          </wp:anchor>
        </w:drawing>
      </w:r>
    </w:p>
    <w:p>
      <w:pPr>
        <w:pStyle w:val="BodyText"/>
        <w:spacing w:line="240" w:lineRule="exact" w:before="120"/>
        <w:ind w:left="113" w:right="111" w:firstLine="396"/>
        <w:jc w:val="both"/>
      </w:pPr>
      <w:r>
        <w:rPr>
          <w:color w:val="231F20"/>
        </w:rPr>
        <w:t>La zona suroeste está compuesta por 17 municipios (Ver Mapa 3) de los cuales 76.4%(13) se encuentran en la categoría de riesgo nutricional muy alto, 17.6%(3) en alto y 5.8%(1) en riesgo moderado.</w:t>
      </w:r>
    </w:p>
    <w:p>
      <w:pPr>
        <w:pStyle w:val="BodyText"/>
        <w:spacing w:before="5"/>
        <w:rPr>
          <w:sz w:val="14"/>
        </w:rPr>
      </w:pPr>
      <w:r>
        <w:rPr/>
        <w:drawing>
          <wp:anchor distT="0" distB="0" distL="0" distR="0" allowOverlap="1" layoutInCell="1" locked="0" behindDoc="0" simplePos="0" relativeHeight="1192">
            <wp:simplePos x="0" y="0"/>
            <wp:positionH relativeFrom="page">
              <wp:posOffset>1395205</wp:posOffset>
            </wp:positionH>
            <wp:positionV relativeFrom="paragraph">
              <wp:posOffset>132624</wp:posOffset>
            </wp:positionV>
            <wp:extent cx="2260282" cy="1172146"/>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16" cstate="print"/>
                    <a:stretch>
                      <a:fillRect/>
                    </a:stretch>
                  </pic:blipFill>
                  <pic:spPr>
                    <a:xfrm>
                      <a:off x="0" y="0"/>
                      <a:ext cx="2260282" cy="1172146"/>
                    </a:xfrm>
                    <a:prstGeom prst="rect">
                      <a:avLst/>
                    </a:prstGeom>
                  </pic:spPr>
                </pic:pic>
              </a:graphicData>
            </a:graphic>
          </wp:anchor>
        </w:drawing>
      </w:r>
    </w:p>
    <w:p>
      <w:pPr>
        <w:pStyle w:val="BodyText"/>
        <w:spacing w:line="243" w:lineRule="exact" w:before="68"/>
        <w:ind w:left="510"/>
      </w:pPr>
      <w:r>
        <w:rPr>
          <w:color w:val="231F20"/>
        </w:rPr>
        <w:t>La</w:t>
      </w:r>
      <w:r>
        <w:rPr>
          <w:color w:val="231F20"/>
          <w:spacing w:val="-17"/>
        </w:rPr>
        <w:t> </w:t>
      </w:r>
      <w:r>
        <w:rPr>
          <w:color w:val="231F20"/>
        </w:rPr>
        <w:t>zona</w:t>
      </w:r>
      <w:r>
        <w:rPr>
          <w:color w:val="231F20"/>
          <w:spacing w:val="-17"/>
        </w:rPr>
        <w:t> </w:t>
      </w:r>
      <w:r>
        <w:rPr>
          <w:color w:val="231F20"/>
        </w:rPr>
        <w:t>noreste</w:t>
      </w:r>
      <w:r>
        <w:rPr>
          <w:color w:val="231F20"/>
          <w:spacing w:val="-17"/>
        </w:rPr>
        <w:t> </w:t>
      </w:r>
      <w:r>
        <w:rPr>
          <w:color w:val="231F20"/>
        </w:rPr>
        <w:t>está</w:t>
      </w:r>
      <w:r>
        <w:rPr>
          <w:color w:val="231F20"/>
          <w:spacing w:val="-17"/>
        </w:rPr>
        <w:t> </w:t>
      </w:r>
      <w:r>
        <w:rPr>
          <w:color w:val="231F20"/>
        </w:rPr>
        <w:t>integrada</w:t>
      </w:r>
      <w:r>
        <w:rPr>
          <w:color w:val="231F20"/>
          <w:spacing w:val="-16"/>
        </w:rPr>
        <w:t> </w:t>
      </w:r>
      <w:r>
        <w:rPr>
          <w:color w:val="231F20"/>
        </w:rPr>
        <w:t>por</w:t>
      </w:r>
      <w:r>
        <w:rPr>
          <w:color w:val="231F20"/>
          <w:spacing w:val="-16"/>
        </w:rPr>
        <w:t> </w:t>
      </w:r>
      <w:r>
        <w:rPr>
          <w:color w:val="231F20"/>
        </w:rPr>
        <w:t>53</w:t>
      </w:r>
      <w:r>
        <w:rPr>
          <w:color w:val="231F20"/>
          <w:spacing w:val="-17"/>
        </w:rPr>
        <w:t> </w:t>
      </w:r>
      <w:r>
        <w:rPr>
          <w:color w:val="231F20"/>
        </w:rPr>
        <w:t>municipios</w:t>
      </w:r>
      <w:r>
        <w:rPr>
          <w:color w:val="231F20"/>
          <w:spacing w:val="-16"/>
        </w:rPr>
        <w:t> </w:t>
      </w:r>
      <w:r>
        <w:rPr>
          <w:color w:val="231F20"/>
          <w:spacing w:val="-4"/>
        </w:rPr>
        <w:t>(Ver</w:t>
      </w:r>
      <w:r>
        <w:rPr>
          <w:color w:val="231F20"/>
          <w:spacing w:val="-17"/>
        </w:rPr>
        <w:t> </w:t>
      </w:r>
      <w:r>
        <w:rPr>
          <w:color w:val="231F20"/>
        </w:rPr>
        <w:t>Mapa</w:t>
      </w:r>
    </w:p>
    <w:p>
      <w:pPr>
        <w:pStyle w:val="BodyText"/>
        <w:spacing w:line="240" w:lineRule="exact" w:before="4"/>
        <w:ind w:left="113" w:right="111"/>
        <w:jc w:val="both"/>
      </w:pPr>
      <w:r>
        <w:rPr/>
        <w:drawing>
          <wp:anchor distT="0" distB="0" distL="0" distR="0" allowOverlap="1" layoutInCell="1" locked="0" behindDoc="0" simplePos="0" relativeHeight="1216">
            <wp:simplePos x="0" y="0"/>
            <wp:positionH relativeFrom="page">
              <wp:posOffset>1395205</wp:posOffset>
            </wp:positionH>
            <wp:positionV relativeFrom="paragraph">
              <wp:posOffset>537087</wp:posOffset>
            </wp:positionV>
            <wp:extent cx="2196274" cy="1084135"/>
            <wp:effectExtent l="0" t="0" r="0" b="0"/>
            <wp:wrapTopAndBottom/>
            <wp:docPr id="13" name="image9.png" descr=""/>
            <wp:cNvGraphicFramePr>
              <a:graphicFrameLocks noChangeAspect="1"/>
            </wp:cNvGraphicFramePr>
            <a:graphic>
              <a:graphicData uri="http://schemas.openxmlformats.org/drawingml/2006/picture">
                <pic:pic>
                  <pic:nvPicPr>
                    <pic:cNvPr id="14" name="image9.png"/>
                    <pic:cNvPicPr/>
                  </pic:nvPicPr>
                  <pic:blipFill>
                    <a:blip r:embed="rId17" cstate="print"/>
                    <a:stretch>
                      <a:fillRect/>
                    </a:stretch>
                  </pic:blipFill>
                  <pic:spPr>
                    <a:xfrm>
                      <a:off x="0" y="0"/>
                      <a:ext cx="2196274" cy="1084135"/>
                    </a:xfrm>
                    <a:prstGeom prst="rect">
                      <a:avLst/>
                    </a:prstGeom>
                  </pic:spPr>
                </pic:pic>
              </a:graphicData>
            </a:graphic>
          </wp:anchor>
        </w:drawing>
      </w:r>
      <w:r>
        <w:rPr>
          <w:color w:val="231F20"/>
        </w:rPr>
        <w:t>4) de los cuales el 1.8%(1) se encuentra en la categoría de ries- go nutricional alto, el 58.4%(31) en moderado y el 39.6%(21) en riesgo bajo.</w:t>
      </w:r>
    </w:p>
    <w:p>
      <w:pPr>
        <w:spacing w:after="0" w:line="240" w:lineRule="exact"/>
        <w:jc w:val="both"/>
        <w:sectPr>
          <w:pgSz w:w="7920" w:h="12240"/>
          <w:pgMar w:header="0" w:footer="616" w:top="1040" w:bottom="800" w:left="1020" w:right="1020"/>
        </w:sectPr>
      </w:pPr>
    </w:p>
    <w:p>
      <w:pPr>
        <w:pStyle w:val="BodyText"/>
        <w:spacing w:line="240" w:lineRule="exact" w:before="65"/>
        <w:ind w:left="113" w:right="111" w:firstLine="396"/>
        <w:jc w:val="both"/>
      </w:pPr>
      <w:r>
        <w:rPr>
          <w:color w:val="231F20"/>
        </w:rPr>
        <w:t>La zona sureste está compuesta por 35 municipios </w:t>
      </w:r>
      <w:r>
        <w:rPr>
          <w:color w:val="231F20"/>
          <w:spacing w:val="-4"/>
        </w:rPr>
        <w:t>(Ver </w:t>
      </w:r>
      <w:r>
        <w:rPr>
          <w:color w:val="231F20"/>
        </w:rPr>
        <w:t>Mapa 5) de los cuales el 5.7%(2) se encuentran en la categoría de</w:t>
      </w:r>
      <w:r>
        <w:rPr>
          <w:color w:val="231F20"/>
          <w:spacing w:val="-11"/>
        </w:rPr>
        <w:t> </w:t>
      </w:r>
      <w:r>
        <w:rPr>
          <w:color w:val="231F20"/>
        </w:rPr>
        <w:t>riesgo</w:t>
      </w:r>
      <w:r>
        <w:rPr>
          <w:color w:val="231F20"/>
          <w:spacing w:val="-11"/>
        </w:rPr>
        <w:t> </w:t>
      </w:r>
      <w:r>
        <w:rPr>
          <w:color w:val="231F20"/>
        </w:rPr>
        <w:t>nutricional</w:t>
      </w:r>
      <w:r>
        <w:rPr>
          <w:color w:val="231F20"/>
          <w:spacing w:val="-11"/>
        </w:rPr>
        <w:t> </w:t>
      </w:r>
      <w:r>
        <w:rPr>
          <w:color w:val="231F20"/>
        </w:rPr>
        <w:t>muy</w:t>
      </w:r>
      <w:r>
        <w:rPr>
          <w:color w:val="231F20"/>
          <w:spacing w:val="-11"/>
        </w:rPr>
        <w:t> </w:t>
      </w:r>
      <w:r>
        <w:rPr>
          <w:color w:val="231F20"/>
        </w:rPr>
        <w:t>alto,</w:t>
      </w:r>
      <w:r>
        <w:rPr>
          <w:color w:val="231F20"/>
          <w:spacing w:val="-11"/>
        </w:rPr>
        <w:t> </w:t>
      </w:r>
      <w:r>
        <w:rPr>
          <w:color w:val="231F20"/>
        </w:rPr>
        <w:t>el</w:t>
      </w:r>
      <w:r>
        <w:rPr>
          <w:color w:val="231F20"/>
          <w:spacing w:val="-11"/>
        </w:rPr>
        <w:t> </w:t>
      </w:r>
      <w:r>
        <w:rPr>
          <w:color w:val="231F20"/>
        </w:rPr>
        <w:t>17.1%(6)</w:t>
      </w:r>
      <w:r>
        <w:rPr>
          <w:color w:val="231F20"/>
          <w:spacing w:val="-11"/>
        </w:rPr>
        <w:t> </w:t>
      </w:r>
      <w:r>
        <w:rPr>
          <w:color w:val="231F20"/>
        </w:rPr>
        <w:t>en</w:t>
      </w:r>
      <w:r>
        <w:rPr>
          <w:color w:val="231F20"/>
          <w:spacing w:val="-11"/>
        </w:rPr>
        <w:t> </w:t>
      </w:r>
      <w:r>
        <w:rPr>
          <w:color w:val="231F20"/>
        </w:rPr>
        <w:t>alto,</w:t>
      </w:r>
      <w:r>
        <w:rPr>
          <w:color w:val="231F20"/>
          <w:spacing w:val="-11"/>
        </w:rPr>
        <w:t> </w:t>
      </w:r>
      <w:r>
        <w:rPr>
          <w:color w:val="231F20"/>
        </w:rPr>
        <w:t>el</w:t>
      </w:r>
      <w:r>
        <w:rPr>
          <w:color w:val="231F20"/>
          <w:spacing w:val="-11"/>
        </w:rPr>
        <w:t> </w:t>
      </w:r>
      <w:r>
        <w:rPr>
          <w:color w:val="231F20"/>
        </w:rPr>
        <w:t>54.2%(19) en moderado y el 22.8%(8) en riesgo</w:t>
      </w:r>
      <w:r>
        <w:rPr>
          <w:color w:val="231F20"/>
          <w:spacing w:val="-11"/>
        </w:rPr>
        <w:t> </w:t>
      </w:r>
      <w:r>
        <w:rPr>
          <w:color w:val="231F20"/>
        </w:rPr>
        <w:t>bajo.</w:t>
      </w:r>
    </w:p>
    <w:p>
      <w:pPr>
        <w:pStyle w:val="BodyText"/>
        <w:spacing w:before="1"/>
        <w:rPr>
          <w:sz w:val="15"/>
        </w:rPr>
      </w:pPr>
      <w:r>
        <w:rPr/>
        <w:drawing>
          <wp:anchor distT="0" distB="0" distL="0" distR="0" allowOverlap="1" layoutInCell="1" locked="0" behindDoc="0" simplePos="0" relativeHeight="1240">
            <wp:simplePos x="0" y="0"/>
            <wp:positionH relativeFrom="page">
              <wp:posOffset>1087199</wp:posOffset>
            </wp:positionH>
            <wp:positionV relativeFrom="paragraph">
              <wp:posOffset>137538</wp:posOffset>
            </wp:positionV>
            <wp:extent cx="2747962" cy="1271587"/>
            <wp:effectExtent l="0" t="0" r="0" b="0"/>
            <wp:wrapTopAndBottom/>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18" cstate="print"/>
                    <a:stretch>
                      <a:fillRect/>
                    </a:stretch>
                  </pic:blipFill>
                  <pic:spPr>
                    <a:xfrm>
                      <a:off x="0" y="0"/>
                      <a:ext cx="2747962" cy="1271587"/>
                    </a:xfrm>
                    <a:prstGeom prst="rect">
                      <a:avLst/>
                    </a:prstGeom>
                  </pic:spPr>
                </pic:pic>
              </a:graphicData>
            </a:graphic>
          </wp:anchor>
        </w:drawing>
      </w:r>
    </w:p>
    <w:p>
      <w:pPr>
        <w:pStyle w:val="BodyText"/>
        <w:spacing w:line="240" w:lineRule="exact" w:before="152"/>
        <w:ind w:left="113" w:right="111" w:firstLine="396"/>
        <w:jc w:val="both"/>
      </w:pPr>
      <w:r>
        <w:rPr>
          <w:color w:val="231F20"/>
        </w:rPr>
        <w:t>En la gráfica 3 se muestra la distribución por regiones</w:t>
      </w:r>
      <w:r>
        <w:rPr>
          <w:color w:val="231F20"/>
          <w:spacing w:val="-32"/>
        </w:rPr>
        <w:t> </w:t>
      </w:r>
      <w:r>
        <w:rPr>
          <w:color w:val="231F20"/>
        </w:rPr>
        <w:t>don- de</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que</w:t>
      </w:r>
      <w:r>
        <w:rPr>
          <w:color w:val="231F20"/>
          <w:spacing w:val="-4"/>
        </w:rPr>
        <w:t> </w:t>
      </w:r>
      <w:r>
        <w:rPr>
          <w:color w:val="231F20"/>
        </w:rPr>
        <w:t>las</w:t>
      </w:r>
      <w:r>
        <w:rPr>
          <w:color w:val="231F20"/>
          <w:spacing w:val="-3"/>
        </w:rPr>
        <w:t> </w:t>
      </w:r>
      <w:r>
        <w:rPr>
          <w:color w:val="231F20"/>
        </w:rPr>
        <w:t>zonas</w:t>
      </w:r>
      <w:r>
        <w:rPr>
          <w:color w:val="231F20"/>
          <w:spacing w:val="-5"/>
        </w:rPr>
        <w:t> </w:t>
      </w:r>
      <w:r>
        <w:rPr>
          <w:color w:val="231F20"/>
        </w:rPr>
        <w:t>donde</w:t>
      </w:r>
      <w:r>
        <w:rPr>
          <w:color w:val="231F20"/>
          <w:spacing w:val="-4"/>
        </w:rPr>
        <w:t> </w:t>
      </w:r>
      <w:r>
        <w:rPr>
          <w:color w:val="231F20"/>
        </w:rPr>
        <w:t>se</w:t>
      </w:r>
      <w:r>
        <w:rPr>
          <w:color w:val="231F20"/>
          <w:spacing w:val="-4"/>
        </w:rPr>
        <w:t> </w:t>
      </w:r>
      <w:r>
        <w:rPr>
          <w:color w:val="231F20"/>
        </w:rPr>
        <w:t>presentan</w:t>
      </w:r>
      <w:r>
        <w:rPr>
          <w:color w:val="231F20"/>
          <w:spacing w:val="-4"/>
        </w:rPr>
        <w:t> </w:t>
      </w:r>
      <w:r>
        <w:rPr>
          <w:color w:val="231F20"/>
        </w:rPr>
        <w:t>más</w:t>
      </w:r>
      <w:r>
        <w:rPr>
          <w:color w:val="231F20"/>
          <w:spacing w:val="-4"/>
        </w:rPr>
        <w:t> </w:t>
      </w:r>
      <w:r>
        <w:rPr>
          <w:color w:val="231F20"/>
        </w:rPr>
        <w:t>problemas nutricionales son la zona noroeste y la suroeste, mientras que las regiones donde hay una mejor situación nutricional son las zonas noreste y sureste </w:t>
      </w:r>
      <w:r>
        <w:rPr>
          <w:color w:val="231F20"/>
          <w:spacing w:val="-4"/>
        </w:rPr>
        <w:t>(Ver </w:t>
      </w:r>
      <w:r>
        <w:rPr>
          <w:color w:val="231F20"/>
        </w:rPr>
        <w:t>Gráfica</w:t>
      </w:r>
      <w:r>
        <w:rPr>
          <w:color w:val="231F20"/>
          <w:spacing w:val="-16"/>
        </w:rPr>
        <w:t> </w:t>
      </w:r>
      <w:r>
        <w:rPr>
          <w:color w:val="231F20"/>
        </w:rPr>
        <w:t>3).</w:t>
      </w:r>
    </w:p>
    <w:p>
      <w:pPr>
        <w:pStyle w:val="BodyText"/>
        <w:spacing w:before="8"/>
        <w:rPr>
          <w:sz w:val="18"/>
        </w:rPr>
      </w:pPr>
      <w:r>
        <w:rPr/>
        <w:drawing>
          <wp:anchor distT="0" distB="0" distL="0" distR="0" allowOverlap="1" layoutInCell="1" locked="0" behindDoc="0" simplePos="0" relativeHeight="1264">
            <wp:simplePos x="0" y="0"/>
            <wp:positionH relativeFrom="page">
              <wp:posOffset>1087199</wp:posOffset>
            </wp:positionH>
            <wp:positionV relativeFrom="paragraph">
              <wp:posOffset>164385</wp:posOffset>
            </wp:positionV>
            <wp:extent cx="2734913" cy="2054828"/>
            <wp:effectExtent l="0" t="0" r="0" b="0"/>
            <wp:wrapTopAndBottom/>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9" cstate="print"/>
                    <a:stretch>
                      <a:fillRect/>
                    </a:stretch>
                  </pic:blipFill>
                  <pic:spPr>
                    <a:xfrm>
                      <a:off x="0" y="0"/>
                      <a:ext cx="2734913" cy="2054828"/>
                    </a:xfrm>
                    <a:prstGeom prst="rect">
                      <a:avLst/>
                    </a:prstGeom>
                  </pic:spPr>
                </pic:pic>
              </a:graphicData>
            </a:graphic>
          </wp:anchor>
        </w:drawing>
      </w:r>
    </w:p>
    <w:p>
      <w:pPr>
        <w:pStyle w:val="BodyText"/>
        <w:spacing w:line="240" w:lineRule="exact" w:before="76"/>
        <w:ind w:left="113" w:right="111" w:firstLine="396"/>
        <w:jc w:val="both"/>
      </w:pPr>
      <w:r>
        <w:rPr>
          <w:color w:val="231F20"/>
        </w:rPr>
        <w:t>Se construyó la cartografía de cada uno de los municipios 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5"/>
        </w:rPr>
        <w:t> </w:t>
      </w:r>
      <w:r>
        <w:rPr>
          <w:color w:val="231F20"/>
        </w:rPr>
        <w:t>en</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muestra</w:t>
      </w:r>
      <w:r>
        <w:rPr>
          <w:color w:val="231F20"/>
          <w:spacing w:val="-6"/>
        </w:rPr>
        <w:t> </w:t>
      </w:r>
      <w:r>
        <w:rPr>
          <w:color w:val="231F20"/>
        </w:rPr>
        <w:t>la</w:t>
      </w:r>
      <w:r>
        <w:rPr>
          <w:color w:val="231F20"/>
          <w:spacing w:val="-5"/>
        </w:rPr>
        <w:t> </w:t>
      </w:r>
      <w:r>
        <w:rPr>
          <w:color w:val="231F20"/>
        </w:rPr>
        <w:t>clave</w:t>
      </w:r>
      <w:r>
        <w:rPr>
          <w:color w:val="231F20"/>
          <w:spacing w:val="-6"/>
        </w:rPr>
        <w:t> </w:t>
      </w:r>
      <w:r>
        <w:rPr>
          <w:color w:val="231F20"/>
        </w:rPr>
        <w:t>municipal,</w:t>
      </w:r>
      <w:r>
        <w:rPr>
          <w:color w:val="231F20"/>
          <w:spacing w:val="-5"/>
        </w:rPr>
        <w:t> </w:t>
      </w:r>
      <w:r>
        <w:rPr>
          <w:color w:val="231F20"/>
        </w:rPr>
        <w:t>la población municipal, el riesgo nutricional (índice y categoría). Así también se analizaron y ordenaron los municipios en forma ascendente según el grado de riesgo nutricional </w:t>
      </w:r>
      <w:r>
        <w:rPr>
          <w:color w:val="231F20"/>
          <w:spacing w:val="-4"/>
        </w:rPr>
        <w:t>(Ver Tabla</w:t>
      </w:r>
      <w:r>
        <w:rPr>
          <w:color w:val="231F20"/>
          <w:spacing w:val="-26"/>
        </w:rPr>
        <w:t> </w:t>
      </w:r>
      <w:r>
        <w:rPr>
          <w:color w:val="231F20"/>
        </w:rPr>
        <w:t>2).</w:t>
      </w:r>
    </w:p>
    <w:p>
      <w:pPr>
        <w:spacing w:after="0" w:line="240" w:lineRule="exact"/>
        <w:jc w:val="both"/>
        <w:sectPr>
          <w:pgSz w:w="7920" w:h="12240"/>
          <w:pgMar w:header="0" w:footer="616" w:top="1040" w:bottom="860" w:left="1020" w:right="1020"/>
        </w:sectPr>
      </w:pPr>
    </w:p>
    <w:p>
      <w:pPr>
        <w:pStyle w:val="BodyText"/>
        <w:ind w:left="113"/>
        <w:rPr>
          <w:sz w:val="20"/>
        </w:rPr>
      </w:pPr>
      <w:r>
        <w:rPr>
          <w:sz w:val="20"/>
        </w:rPr>
        <w:drawing>
          <wp:inline distT="0" distB="0" distL="0" distR="0">
            <wp:extent cx="3569112" cy="3367182"/>
            <wp:effectExtent l="0" t="0" r="0" b="0"/>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20" cstate="print"/>
                    <a:stretch>
                      <a:fillRect/>
                    </a:stretch>
                  </pic:blipFill>
                  <pic:spPr>
                    <a:xfrm>
                      <a:off x="0" y="0"/>
                      <a:ext cx="3569112" cy="3367182"/>
                    </a:xfrm>
                    <a:prstGeom prst="rect">
                      <a:avLst/>
                    </a:prstGeom>
                  </pic:spPr>
                </pic:pic>
              </a:graphicData>
            </a:graphic>
          </wp:inline>
        </w:drawing>
      </w:r>
      <w:r>
        <w:rPr>
          <w:sz w:val="20"/>
        </w:rPr>
      </w:r>
    </w:p>
    <w:p>
      <w:pPr>
        <w:spacing w:after="0"/>
        <w:rPr>
          <w:sz w:val="20"/>
        </w:rPr>
        <w:sectPr>
          <w:pgSz w:w="7920" w:h="12240"/>
          <w:pgMar w:header="0" w:footer="616" w:top="1140" w:bottom="800" w:left="1020" w:right="1020"/>
        </w:sectPr>
      </w:pPr>
    </w:p>
    <w:p>
      <w:pPr>
        <w:pStyle w:val="BodyText"/>
        <w:ind w:left="116"/>
        <w:rPr>
          <w:sz w:val="20"/>
        </w:rPr>
      </w:pPr>
      <w:r>
        <w:rPr>
          <w:sz w:val="20"/>
        </w:rPr>
        <w:drawing>
          <wp:inline distT="0" distB="0" distL="0" distR="0">
            <wp:extent cx="3564447" cy="4193095"/>
            <wp:effectExtent l="0" t="0" r="0" b="0"/>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2" cstate="print"/>
                    <a:stretch>
                      <a:fillRect/>
                    </a:stretch>
                  </pic:blipFill>
                  <pic:spPr>
                    <a:xfrm>
                      <a:off x="0" y="0"/>
                      <a:ext cx="3564447" cy="4193095"/>
                    </a:xfrm>
                    <a:prstGeom prst="rect">
                      <a:avLst/>
                    </a:prstGeom>
                  </pic:spPr>
                </pic:pic>
              </a:graphicData>
            </a:graphic>
          </wp:inline>
        </w:drawing>
      </w:r>
      <w:r>
        <w:rPr>
          <w:sz w:val="20"/>
        </w:rPr>
      </w:r>
    </w:p>
    <w:p>
      <w:pPr>
        <w:spacing w:after="0"/>
        <w:rPr>
          <w:sz w:val="20"/>
        </w:rPr>
        <w:sectPr>
          <w:footerReference w:type="default" r:id="rId21"/>
          <w:pgSz w:w="7920" w:h="12240"/>
          <w:pgMar w:footer="616" w:header="0" w:top="1140" w:bottom="800" w:left="1000" w:right="1020"/>
        </w:sectPr>
      </w:pPr>
    </w:p>
    <w:p>
      <w:pPr>
        <w:pStyle w:val="BodyText"/>
        <w:ind w:left="113"/>
        <w:rPr>
          <w:sz w:val="20"/>
        </w:rPr>
      </w:pPr>
      <w:r>
        <w:rPr>
          <w:sz w:val="20"/>
        </w:rPr>
        <w:drawing>
          <wp:inline distT="0" distB="0" distL="0" distR="0">
            <wp:extent cx="3585257" cy="6160293"/>
            <wp:effectExtent l="0" t="0" r="0" b="0"/>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24" cstate="print"/>
                    <a:stretch>
                      <a:fillRect/>
                    </a:stretch>
                  </pic:blipFill>
                  <pic:spPr>
                    <a:xfrm>
                      <a:off x="0" y="0"/>
                      <a:ext cx="3585257" cy="6160293"/>
                    </a:xfrm>
                    <a:prstGeom prst="rect">
                      <a:avLst/>
                    </a:prstGeom>
                  </pic:spPr>
                </pic:pic>
              </a:graphicData>
            </a:graphic>
          </wp:inline>
        </w:drawing>
      </w:r>
      <w:r>
        <w:rPr>
          <w:sz w:val="20"/>
        </w:rPr>
      </w:r>
    </w:p>
    <w:p>
      <w:pPr>
        <w:spacing w:after="0"/>
        <w:rPr>
          <w:sz w:val="20"/>
        </w:rPr>
        <w:sectPr>
          <w:footerReference w:type="default" r:id="rId23"/>
          <w:pgSz w:w="7920" w:h="12240"/>
          <w:pgMar w:footer="616" w:header="0" w:top="1140" w:bottom="800" w:left="1020" w:right="1020"/>
          <w:pgNumType w:start="231"/>
        </w:sectPr>
      </w:pPr>
    </w:p>
    <w:p>
      <w:pPr>
        <w:pStyle w:val="BodyText"/>
        <w:spacing w:line="240" w:lineRule="exact" w:before="65"/>
        <w:ind w:left="113" w:right="111" w:firstLine="396"/>
        <w:jc w:val="both"/>
      </w:pPr>
      <w:r>
        <w:rPr>
          <w:color w:val="231F20"/>
        </w:rPr>
        <w:t>En la tabla 2 se muestran los cinco municipios que tienen un riesgo nutricional muy alto son: San José del Rincón (surge como municipio en el año 2001), Donato Guerra, Villa Victoria, San</w:t>
      </w:r>
      <w:r>
        <w:rPr>
          <w:color w:val="231F20"/>
          <w:spacing w:val="-11"/>
        </w:rPr>
        <w:t> </w:t>
      </w:r>
      <w:r>
        <w:rPr>
          <w:color w:val="231F20"/>
        </w:rPr>
        <w:t>Felipe</w:t>
      </w:r>
      <w:r>
        <w:rPr>
          <w:color w:val="231F20"/>
          <w:spacing w:val="-12"/>
        </w:rPr>
        <w:t> </w:t>
      </w:r>
      <w:r>
        <w:rPr>
          <w:color w:val="231F20"/>
        </w:rPr>
        <w:t>del</w:t>
      </w:r>
      <w:r>
        <w:rPr>
          <w:color w:val="231F20"/>
          <w:spacing w:val="-12"/>
        </w:rPr>
        <w:t> </w:t>
      </w:r>
      <w:r>
        <w:rPr>
          <w:color w:val="231F20"/>
        </w:rPr>
        <w:t>Progreso</w:t>
      </w:r>
      <w:r>
        <w:rPr>
          <w:color w:val="231F20"/>
          <w:spacing w:val="-12"/>
        </w:rPr>
        <w:t> </w:t>
      </w:r>
      <w:r>
        <w:rPr>
          <w:color w:val="231F20"/>
        </w:rPr>
        <w:t>y</w:t>
      </w:r>
      <w:r>
        <w:rPr>
          <w:color w:val="231F20"/>
          <w:spacing w:val="-11"/>
        </w:rPr>
        <w:t> </w:t>
      </w:r>
      <w:r>
        <w:rPr>
          <w:color w:val="231F20"/>
        </w:rPr>
        <w:t>Sultepec.</w:t>
      </w:r>
      <w:r>
        <w:rPr>
          <w:color w:val="231F20"/>
          <w:spacing w:val="-12"/>
        </w:rPr>
        <w:t> </w:t>
      </w:r>
      <w:r>
        <w:rPr>
          <w:color w:val="231F20"/>
        </w:rPr>
        <w:t>De</w:t>
      </w:r>
      <w:r>
        <w:rPr>
          <w:color w:val="231F20"/>
          <w:spacing w:val="-12"/>
        </w:rPr>
        <w:t> </w:t>
      </w:r>
      <w:r>
        <w:rPr>
          <w:color w:val="231F20"/>
        </w:rPr>
        <w:t>igual</w:t>
      </w:r>
      <w:r>
        <w:rPr>
          <w:color w:val="231F20"/>
          <w:spacing w:val="-12"/>
        </w:rPr>
        <w:t> </w:t>
      </w:r>
      <w:r>
        <w:rPr>
          <w:color w:val="231F20"/>
        </w:rPr>
        <w:t>manera</w:t>
      </w:r>
      <w:r>
        <w:rPr>
          <w:color w:val="231F20"/>
          <w:spacing w:val="-11"/>
        </w:rPr>
        <w:t> </w:t>
      </w:r>
      <w:r>
        <w:rPr>
          <w:color w:val="231F20"/>
        </w:rPr>
        <w:t>se</w:t>
      </w:r>
      <w:r>
        <w:rPr>
          <w:color w:val="231F20"/>
          <w:spacing w:val="-12"/>
        </w:rPr>
        <w:t> </w:t>
      </w:r>
      <w:r>
        <w:rPr>
          <w:color w:val="231F20"/>
        </w:rPr>
        <w:t>muestran los cinco municipios que tienen un riesgo nutricional bajo son: Coacalco de Berriozábal, Metepec, Cuautitlán Izcalli, Cuautitlán y Jaltenco </w:t>
      </w:r>
      <w:r>
        <w:rPr>
          <w:color w:val="231F20"/>
          <w:spacing w:val="-4"/>
        </w:rPr>
        <w:t>(Ver Tabla </w:t>
      </w:r>
      <w:r>
        <w:rPr>
          <w:color w:val="231F20"/>
        </w:rPr>
        <w:t>2). Finalmente se compararon los resul- tados del IRN 2005 con el del año 2000 donde se observó que hubo un cambio de categoría a </w:t>
      </w:r>
      <w:r>
        <w:rPr>
          <w:color w:val="231F20"/>
          <w:spacing w:val="-3"/>
        </w:rPr>
        <w:t>nivel </w:t>
      </w:r>
      <w:r>
        <w:rPr>
          <w:color w:val="231F20"/>
        </w:rPr>
        <w:t>estatal </w:t>
      </w:r>
      <w:r>
        <w:rPr>
          <w:color w:val="231F20"/>
          <w:spacing w:val="-3"/>
        </w:rPr>
        <w:t>ya </w:t>
      </w:r>
      <w:r>
        <w:rPr>
          <w:color w:val="231F20"/>
        </w:rPr>
        <w:t>que paso de ries- go nutricional bajo a moderado en este quinquenio, es decir a </w:t>
      </w:r>
      <w:r>
        <w:rPr>
          <w:color w:val="231F20"/>
          <w:spacing w:val="-3"/>
        </w:rPr>
        <w:t>nivel </w:t>
      </w:r>
      <w:r>
        <w:rPr>
          <w:color w:val="231F20"/>
        </w:rPr>
        <w:t>estatal la situación del estado de nutrición según el IRN se deterioró. Por otro lado se presentaron cambios de categoría a </w:t>
      </w:r>
      <w:r>
        <w:rPr>
          <w:color w:val="231F20"/>
          <w:spacing w:val="-3"/>
        </w:rPr>
        <w:t>nivel</w:t>
      </w:r>
      <w:r>
        <w:rPr>
          <w:color w:val="231F20"/>
          <w:spacing w:val="-6"/>
        </w:rPr>
        <w:t> </w:t>
      </w:r>
      <w:r>
        <w:rPr>
          <w:color w:val="231F20"/>
        </w:rPr>
        <w:t>municipal</w:t>
      </w:r>
      <w:r>
        <w:rPr>
          <w:color w:val="231F20"/>
          <w:spacing w:val="-6"/>
        </w:rPr>
        <w:t> </w:t>
      </w:r>
      <w:r>
        <w:rPr>
          <w:color w:val="231F20"/>
          <w:spacing w:val="-4"/>
        </w:rPr>
        <w:t>(Ver</w:t>
      </w:r>
      <w:r>
        <w:rPr>
          <w:color w:val="231F20"/>
          <w:spacing w:val="-6"/>
        </w:rPr>
        <w:t> </w:t>
      </w:r>
      <w:r>
        <w:rPr>
          <w:color w:val="231F20"/>
          <w:spacing w:val="-4"/>
        </w:rPr>
        <w:t>Tabla</w:t>
      </w:r>
      <w:r>
        <w:rPr>
          <w:color w:val="231F20"/>
          <w:spacing w:val="-5"/>
        </w:rPr>
        <w:t> </w:t>
      </w:r>
      <w:r>
        <w:rPr>
          <w:color w:val="231F20"/>
        </w:rPr>
        <w:t>3)</w:t>
      </w:r>
      <w:r>
        <w:rPr>
          <w:color w:val="231F20"/>
          <w:spacing w:val="-6"/>
        </w:rPr>
        <w:t> </w:t>
      </w:r>
      <w:r>
        <w:rPr>
          <w:color w:val="231F20"/>
        </w:rPr>
        <w:t>y</w:t>
      </w:r>
      <w:r>
        <w:rPr>
          <w:color w:val="231F20"/>
          <w:spacing w:val="-6"/>
        </w:rPr>
        <w:t> </w:t>
      </w:r>
      <w:r>
        <w:rPr>
          <w:color w:val="231F20"/>
        </w:rPr>
        <w:t>muestra</w:t>
      </w:r>
      <w:r>
        <w:rPr>
          <w:color w:val="231F20"/>
          <w:spacing w:val="-6"/>
        </w:rPr>
        <w:t> </w:t>
      </w:r>
      <w:r>
        <w:rPr>
          <w:color w:val="231F20"/>
        </w:rPr>
        <w:t>el</w:t>
      </w:r>
      <w:r>
        <w:rPr>
          <w:color w:val="231F20"/>
          <w:spacing w:val="-6"/>
        </w:rPr>
        <w:t> </w:t>
      </w:r>
      <w:r>
        <w:rPr>
          <w:color w:val="231F20"/>
        </w:rPr>
        <w:t>porcentaje</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mu- nicipios que cambiaron de categoría de riesgo bajo a moderado y de muy alto a alto </w:t>
      </w:r>
      <w:r>
        <w:rPr>
          <w:color w:val="231F20"/>
          <w:spacing w:val="-4"/>
        </w:rPr>
        <w:t>(Ver </w:t>
      </w:r>
      <w:r>
        <w:rPr>
          <w:color w:val="231F20"/>
        </w:rPr>
        <w:t>Gráfica</w:t>
      </w:r>
      <w:r>
        <w:rPr>
          <w:color w:val="231F20"/>
          <w:spacing w:val="-16"/>
        </w:rPr>
        <w:t> </w:t>
      </w:r>
      <w:r>
        <w:rPr>
          <w:color w:val="231F20"/>
        </w:rPr>
        <w:t>4)</w:t>
      </w:r>
    </w:p>
    <w:p>
      <w:pPr>
        <w:pStyle w:val="BodyText"/>
        <w:rPr>
          <w:sz w:val="20"/>
        </w:rPr>
      </w:pPr>
    </w:p>
    <w:p>
      <w:pPr>
        <w:pStyle w:val="BodyText"/>
        <w:spacing w:before="8"/>
        <w:rPr>
          <w:sz w:val="12"/>
        </w:rPr>
      </w:pPr>
      <w:r>
        <w:rPr/>
        <w:drawing>
          <wp:anchor distT="0" distB="0" distL="0" distR="0" allowOverlap="1" layoutInCell="1" locked="0" behindDoc="0" simplePos="0" relativeHeight="1288">
            <wp:simplePos x="0" y="0"/>
            <wp:positionH relativeFrom="page">
              <wp:posOffset>1087199</wp:posOffset>
            </wp:positionH>
            <wp:positionV relativeFrom="paragraph">
              <wp:posOffset>119238</wp:posOffset>
            </wp:positionV>
            <wp:extent cx="2721006" cy="3468147"/>
            <wp:effectExtent l="0" t="0" r="0" b="0"/>
            <wp:wrapTopAndBottom/>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25" cstate="print"/>
                    <a:stretch>
                      <a:fillRect/>
                    </a:stretch>
                  </pic:blipFill>
                  <pic:spPr>
                    <a:xfrm>
                      <a:off x="0" y="0"/>
                      <a:ext cx="2721006" cy="3468147"/>
                    </a:xfrm>
                    <a:prstGeom prst="rect">
                      <a:avLst/>
                    </a:prstGeom>
                  </pic:spPr>
                </pic:pic>
              </a:graphicData>
            </a:graphic>
          </wp:anchor>
        </w:drawing>
      </w:r>
    </w:p>
    <w:p>
      <w:pPr>
        <w:spacing w:after="0"/>
        <w:rPr>
          <w:sz w:val="12"/>
        </w:rPr>
        <w:sectPr>
          <w:pgSz w:w="7920" w:h="12240"/>
          <w:pgMar w:header="0" w:footer="616" w:top="1040" w:bottom="800" w:left="1020" w:right="1020"/>
        </w:sectPr>
      </w:pPr>
    </w:p>
    <w:p>
      <w:pPr>
        <w:pStyle w:val="Heading2"/>
        <w:spacing w:before="52"/>
      </w:pPr>
      <w:r>
        <w:rPr>
          <w:color w:val="231F20"/>
        </w:rPr>
        <w:t>Conclusiones</w:t>
      </w:r>
    </w:p>
    <w:p>
      <w:pPr>
        <w:pStyle w:val="BodyText"/>
        <w:spacing w:before="1"/>
        <w:rPr>
          <w:b/>
          <w:sz w:val="24"/>
        </w:rPr>
      </w:pPr>
    </w:p>
    <w:p>
      <w:pPr>
        <w:pStyle w:val="BodyText"/>
        <w:spacing w:line="240" w:lineRule="exact"/>
        <w:ind w:left="113" w:right="111"/>
        <w:jc w:val="both"/>
      </w:pP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resultados</w:t>
      </w:r>
      <w:r>
        <w:rPr>
          <w:color w:val="231F20"/>
          <w:spacing w:val="-9"/>
        </w:rPr>
        <w:t> </w:t>
      </w:r>
      <w:r>
        <w:rPr>
          <w:color w:val="231F20"/>
        </w:rPr>
        <w:t>del</w:t>
      </w:r>
      <w:r>
        <w:rPr>
          <w:color w:val="231F20"/>
          <w:spacing w:val="-9"/>
        </w:rPr>
        <w:t> </w:t>
      </w:r>
      <w:r>
        <w:rPr>
          <w:color w:val="231F20"/>
        </w:rPr>
        <w:t>IRN</w:t>
      </w:r>
      <w:r>
        <w:rPr>
          <w:color w:val="231F20"/>
          <w:spacing w:val="-8"/>
        </w:rPr>
        <w:t> </w:t>
      </w:r>
      <w:r>
        <w:rPr>
          <w:color w:val="231F20"/>
        </w:rPr>
        <w:t>1990</w:t>
      </w:r>
      <w:r>
        <w:rPr>
          <w:color w:val="231F20"/>
          <w:spacing w:val="-9"/>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 tenía un promedio estatal de riesgo nutricional bajo, en 1995 cambio a moderado y en el año 2000 regresó a bajo, conforme  a lo obtenido en dicha investigación se observa nuevamente un cambio </w:t>
      </w:r>
      <w:r>
        <w:rPr>
          <w:color w:val="231F20"/>
          <w:spacing w:val="-3"/>
        </w:rPr>
        <w:t>ya </w:t>
      </w:r>
      <w:r>
        <w:rPr>
          <w:color w:val="231F20"/>
        </w:rPr>
        <w:t>que para el IRN 2005 el Estado de México tiene un promedio estatal de riesgo nutricional moderado, es decir en ese quinquenio según el IRN el Estado de México</w:t>
      </w:r>
      <w:r>
        <w:rPr>
          <w:color w:val="231F20"/>
          <w:spacing w:val="-24"/>
        </w:rPr>
        <w:t> </w:t>
      </w:r>
      <w:r>
        <w:rPr>
          <w:color w:val="231F20"/>
        </w:rPr>
        <w:t>empeoró.</w:t>
      </w:r>
    </w:p>
    <w:p>
      <w:pPr>
        <w:pStyle w:val="BodyText"/>
        <w:spacing w:line="240" w:lineRule="exact"/>
        <w:ind w:left="113" w:right="111" w:firstLine="396"/>
        <w:jc w:val="both"/>
      </w:pPr>
      <w:r>
        <w:rPr>
          <w:color w:val="231F20"/>
        </w:rPr>
        <w:t>Según</w:t>
      </w:r>
      <w:r>
        <w:rPr>
          <w:color w:val="231F20"/>
          <w:spacing w:val="-13"/>
        </w:rPr>
        <w:t> </w:t>
      </w:r>
      <w:r>
        <w:rPr>
          <w:color w:val="231F20"/>
        </w:rPr>
        <w:t>el</w:t>
      </w:r>
      <w:r>
        <w:rPr>
          <w:color w:val="231F20"/>
          <w:spacing w:val="-13"/>
        </w:rPr>
        <w:t> </w:t>
      </w:r>
      <w:r>
        <w:rPr>
          <w:color w:val="231F20"/>
        </w:rPr>
        <w:t>IRN</w:t>
      </w:r>
      <w:r>
        <w:rPr>
          <w:color w:val="231F20"/>
          <w:spacing w:val="-13"/>
        </w:rPr>
        <w:t> </w:t>
      </w:r>
      <w:r>
        <w:rPr>
          <w:color w:val="231F20"/>
        </w:rPr>
        <w:t>2005</w:t>
      </w:r>
      <w:r>
        <w:rPr>
          <w:color w:val="231F20"/>
          <w:spacing w:val="-13"/>
        </w:rPr>
        <w:t> </w:t>
      </w:r>
      <w:r>
        <w:rPr>
          <w:color w:val="231F20"/>
        </w:rPr>
        <w:t>se</w:t>
      </w:r>
      <w:r>
        <w:rPr>
          <w:color w:val="231F20"/>
          <w:spacing w:val="-13"/>
        </w:rPr>
        <w:t> </w:t>
      </w:r>
      <w:r>
        <w:rPr>
          <w:color w:val="231F20"/>
        </w:rPr>
        <w:t>observaron</w:t>
      </w:r>
      <w:r>
        <w:rPr>
          <w:color w:val="231F20"/>
          <w:spacing w:val="-13"/>
        </w:rPr>
        <w:t> </w:t>
      </w:r>
      <w:r>
        <w:rPr>
          <w:color w:val="231F20"/>
        </w:rPr>
        <w:t>cambios</w:t>
      </w:r>
      <w:r>
        <w:rPr>
          <w:color w:val="231F20"/>
          <w:spacing w:val="-13"/>
        </w:rPr>
        <w:t> </w:t>
      </w:r>
      <w:r>
        <w:rPr>
          <w:color w:val="231F20"/>
        </w:rPr>
        <w:t>muy</w:t>
      </w:r>
      <w:r>
        <w:rPr>
          <w:color w:val="231F20"/>
          <w:spacing w:val="-13"/>
        </w:rPr>
        <w:t> </w:t>
      </w:r>
      <w:r>
        <w:rPr>
          <w:color w:val="231F20"/>
        </w:rPr>
        <w:t>importantes en</w:t>
      </w:r>
      <w:r>
        <w:rPr>
          <w:color w:val="231F20"/>
          <w:spacing w:val="-6"/>
        </w:rPr>
        <w:t> </w:t>
      </w:r>
      <w:r>
        <w:rPr>
          <w:color w:val="231F20"/>
        </w:rPr>
        <w:t>comparación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año</w:t>
      </w:r>
      <w:r>
        <w:rPr>
          <w:color w:val="231F20"/>
          <w:spacing w:val="-6"/>
        </w:rPr>
        <w:t> </w:t>
      </w:r>
      <w:r>
        <w:rPr>
          <w:color w:val="231F20"/>
        </w:rPr>
        <w:t>2000</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Índice</w:t>
      </w:r>
      <w:r>
        <w:rPr>
          <w:color w:val="231F20"/>
          <w:spacing w:val="-6"/>
        </w:rPr>
        <w:t> </w:t>
      </w:r>
      <w:r>
        <w:rPr>
          <w:color w:val="231F20"/>
        </w:rPr>
        <w:t>de</w:t>
      </w:r>
      <w:r>
        <w:rPr>
          <w:color w:val="231F20"/>
          <w:spacing w:val="-6"/>
        </w:rPr>
        <w:t> </w:t>
      </w:r>
      <w:r>
        <w:rPr>
          <w:color w:val="231F20"/>
        </w:rPr>
        <w:t>Riesgo Nutricional 2005 el total de la población es de 14, 007, 495 ha- bitantes de la cual: 864, 888 habitantes se encontraban en una categoría</w:t>
      </w:r>
      <w:r>
        <w:rPr>
          <w:color w:val="231F20"/>
          <w:spacing w:val="-6"/>
        </w:rPr>
        <w:t> </w:t>
      </w:r>
      <w:r>
        <w:rPr>
          <w:color w:val="231F20"/>
        </w:rPr>
        <w:t>de</w:t>
      </w:r>
      <w:r>
        <w:rPr>
          <w:color w:val="231F20"/>
          <w:spacing w:val="-6"/>
        </w:rPr>
        <w:t> </w:t>
      </w:r>
      <w:r>
        <w:rPr>
          <w:color w:val="231F20"/>
        </w:rPr>
        <w:t>riesgo</w:t>
      </w:r>
      <w:r>
        <w:rPr>
          <w:color w:val="231F20"/>
          <w:spacing w:val="-6"/>
        </w:rPr>
        <w:t> </w:t>
      </w:r>
      <w:r>
        <w:rPr>
          <w:color w:val="231F20"/>
        </w:rPr>
        <w:t>nutricional</w:t>
      </w:r>
      <w:r>
        <w:rPr>
          <w:color w:val="231F20"/>
          <w:spacing w:val="-6"/>
        </w:rPr>
        <w:t> </w:t>
      </w:r>
      <w:r>
        <w:rPr>
          <w:color w:val="231F20"/>
        </w:rPr>
        <w:t>muy</w:t>
      </w:r>
      <w:r>
        <w:rPr>
          <w:color w:val="231F20"/>
          <w:spacing w:val="-6"/>
        </w:rPr>
        <w:t> </w:t>
      </w:r>
      <w:r>
        <w:rPr>
          <w:color w:val="231F20"/>
        </w:rPr>
        <w:t>alto,</w:t>
      </w:r>
      <w:r>
        <w:rPr>
          <w:color w:val="231F20"/>
          <w:spacing w:val="-6"/>
        </w:rPr>
        <w:t> </w:t>
      </w:r>
      <w:r>
        <w:rPr>
          <w:color w:val="231F20"/>
        </w:rPr>
        <w:t>926,</w:t>
      </w:r>
      <w:r>
        <w:rPr>
          <w:color w:val="231F20"/>
          <w:spacing w:val="-6"/>
        </w:rPr>
        <w:t> </w:t>
      </w:r>
      <w:r>
        <w:rPr>
          <w:color w:val="231F20"/>
        </w:rPr>
        <w:t>201</w:t>
      </w:r>
      <w:r>
        <w:rPr>
          <w:color w:val="231F20"/>
          <w:spacing w:val="-7"/>
        </w:rPr>
        <w:t> </w:t>
      </w:r>
      <w:r>
        <w:rPr>
          <w:color w:val="231F20"/>
        </w:rPr>
        <w:t>habitantes</w:t>
      </w:r>
      <w:r>
        <w:rPr>
          <w:color w:val="231F20"/>
          <w:spacing w:val="-6"/>
        </w:rPr>
        <w:t> </w:t>
      </w:r>
      <w:r>
        <w:rPr>
          <w:color w:val="231F20"/>
        </w:rPr>
        <w:t>en riesgo nutricional alto, 2, 875, 545 habitantes en riesgo nutri- cional moderado y 9, 340, 861 habitantes en riesgo nutricional bajo. </w:t>
      </w:r>
      <w:r>
        <w:rPr>
          <w:color w:val="231F20"/>
          <w:spacing w:val="-3"/>
        </w:rPr>
        <w:t>Para </w:t>
      </w:r>
      <w:r>
        <w:rPr>
          <w:color w:val="231F20"/>
        </w:rPr>
        <w:t>el año 2000 el número de municipios que</w:t>
      </w:r>
      <w:r>
        <w:rPr>
          <w:color w:val="231F20"/>
          <w:spacing w:val="-28"/>
        </w:rPr>
        <w:t> </w:t>
      </w:r>
      <w:r>
        <w:rPr>
          <w:color w:val="231F20"/>
        </w:rPr>
        <w:t>constituían al Estado de México era de 122 de los cuales: 26 municipios se encontraba en una categoría de riesgo nutricional muy alto, 17 municipios se encontraba en una categoría de riesgo nutricio- nal</w:t>
      </w:r>
      <w:r>
        <w:rPr>
          <w:color w:val="231F20"/>
          <w:spacing w:val="-7"/>
        </w:rPr>
        <w:t> </w:t>
      </w:r>
      <w:r>
        <w:rPr>
          <w:color w:val="231F20"/>
        </w:rPr>
        <w:t>alto,</w:t>
      </w:r>
      <w:r>
        <w:rPr>
          <w:color w:val="231F20"/>
          <w:spacing w:val="-8"/>
        </w:rPr>
        <w:t> </w:t>
      </w:r>
      <w:r>
        <w:rPr>
          <w:color w:val="231F20"/>
        </w:rPr>
        <w:t>38</w:t>
      </w:r>
      <w:r>
        <w:rPr>
          <w:color w:val="231F20"/>
          <w:spacing w:val="-8"/>
        </w:rPr>
        <w:t> </w:t>
      </w:r>
      <w:r>
        <w:rPr>
          <w:color w:val="231F20"/>
        </w:rPr>
        <w:t>municipios</w:t>
      </w:r>
      <w:r>
        <w:rPr>
          <w:color w:val="231F20"/>
          <w:spacing w:val="-8"/>
        </w:rPr>
        <w:t> </w:t>
      </w:r>
      <w:r>
        <w:rPr>
          <w:color w:val="231F20"/>
        </w:rPr>
        <w:t>se</w:t>
      </w:r>
      <w:r>
        <w:rPr>
          <w:color w:val="231F20"/>
          <w:spacing w:val="-8"/>
        </w:rPr>
        <w:t> </w:t>
      </w:r>
      <w:r>
        <w:rPr>
          <w:color w:val="231F20"/>
        </w:rPr>
        <w:t>encontraba</w:t>
      </w:r>
      <w:r>
        <w:rPr>
          <w:color w:val="231F20"/>
          <w:spacing w:val="-7"/>
        </w:rPr>
        <w:t> </w:t>
      </w:r>
      <w:r>
        <w:rPr>
          <w:color w:val="231F20"/>
        </w:rPr>
        <w:t>en</w:t>
      </w:r>
      <w:r>
        <w:rPr>
          <w:color w:val="231F20"/>
          <w:spacing w:val="-8"/>
        </w:rPr>
        <w:t> </w:t>
      </w:r>
      <w:r>
        <w:rPr>
          <w:color w:val="231F20"/>
        </w:rPr>
        <w:t>una</w:t>
      </w:r>
      <w:r>
        <w:rPr>
          <w:color w:val="231F20"/>
          <w:spacing w:val="-8"/>
        </w:rPr>
        <w:t> </w:t>
      </w:r>
      <w:r>
        <w:rPr>
          <w:color w:val="231F20"/>
        </w:rPr>
        <w:t>categoría</w:t>
      </w:r>
      <w:r>
        <w:rPr>
          <w:color w:val="231F20"/>
          <w:spacing w:val="-8"/>
        </w:rPr>
        <w:t> </w:t>
      </w:r>
      <w:r>
        <w:rPr>
          <w:color w:val="231F20"/>
        </w:rPr>
        <w:t>de</w:t>
      </w:r>
      <w:r>
        <w:rPr>
          <w:color w:val="231F20"/>
          <w:spacing w:val="-8"/>
        </w:rPr>
        <w:t> </w:t>
      </w:r>
      <w:r>
        <w:rPr>
          <w:color w:val="231F20"/>
        </w:rPr>
        <w:t>riesgo nutricional</w:t>
      </w:r>
      <w:r>
        <w:rPr>
          <w:color w:val="231F20"/>
          <w:spacing w:val="-7"/>
        </w:rPr>
        <w:t> </w:t>
      </w:r>
      <w:r>
        <w:rPr>
          <w:color w:val="231F20"/>
        </w:rPr>
        <w:t>moderado</w:t>
      </w:r>
      <w:r>
        <w:rPr>
          <w:color w:val="231F20"/>
          <w:spacing w:val="-7"/>
        </w:rPr>
        <w:t> </w:t>
      </w:r>
      <w:r>
        <w:rPr>
          <w:color w:val="231F20"/>
        </w:rPr>
        <w:t>y</w:t>
      </w:r>
      <w:r>
        <w:rPr>
          <w:color w:val="231F20"/>
          <w:spacing w:val="-7"/>
        </w:rPr>
        <w:t> </w:t>
      </w:r>
      <w:r>
        <w:rPr>
          <w:color w:val="231F20"/>
        </w:rPr>
        <w:t>41</w:t>
      </w:r>
      <w:r>
        <w:rPr>
          <w:color w:val="231F20"/>
          <w:spacing w:val="-7"/>
        </w:rPr>
        <w:t> </w:t>
      </w:r>
      <w:r>
        <w:rPr>
          <w:color w:val="231F20"/>
        </w:rPr>
        <w:t>municipios</w:t>
      </w:r>
      <w:r>
        <w:rPr>
          <w:color w:val="231F20"/>
          <w:spacing w:val="-7"/>
        </w:rPr>
        <w:t> </w:t>
      </w:r>
      <w:r>
        <w:rPr>
          <w:color w:val="231F20"/>
        </w:rPr>
        <w:t>se</w:t>
      </w:r>
      <w:r>
        <w:rPr>
          <w:color w:val="231F20"/>
          <w:spacing w:val="-7"/>
        </w:rPr>
        <w:t> </w:t>
      </w:r>
      <w:r>
        <w:rPr>
          <w:color w:val="231F20"/>
        </w:rPr>
        <w:t>encontraba</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ca- tegoría de riesgo nutricional</w:t>
      </w:r>
      <w:r>
        <w:rPr>
          <w:color w:val="231F20"/>
          <w:spacing w:val="-20"/>
        </w:rPr>
        <w:t> </w:t>
      </w:r>
      <w:r>
        <w:rPr>
          <w:color w:val="231F20"/>
        </w:rPr>
        <w:t>bajo.</w:t>
      </w:r>
    </w:p>
    <w:p>
      <w:pPr>
        <w:pStyle w:val="BodyText"/>
        <w:spacing w:line="240" w:lineRule="exact"/>
        <w:ind w:left="113" w:right="111" w:firstLine="396"/>
        <w:jc w:val="both"/>
      </w:pPr>
      <w:r>
        <w:rPr>
          <w:color w:val="231F20"/>
          <w:spacing w:val="-3"/>
        </w:rPr>
        <w:t>Para </w:t>
      </w:r>
      <w:r>
        <w:rPr>
          <w:color w:val="231F20"/>
        </w:rPr>
        <w:t>el IRN 2005 se presentaron cambios a </w:t>
      </w:r>
      <w:r>
        <w:rPr>
          <w:color w:val="231F20"/>
          <w:spacing w:val="-3"/>
        </w:rPr>
        <w:t>nivel </w:t>
      </w:r>
      <w:r>
        <w:rPr>
          <w:color w:val="231F20"/>
        </w:rPr>
        <w:t>munici- pal importantes, para este año los municipios que integran al Estado de México son 125. Donde surgieron tres nuevos muni- cipios: San José del Rincón que se forma en el año 2001 y es     el municipio que encabeza la lista de municipios más afectados nutricionalmente, Luvianos creado en el año 2002 y por ultimo Tonanitla que se forma en el año</w:t>
      </w:r>
      <w:r>
        <w:rPr>
          <w:color w:val="231F20"/>
          <w:spacing w:val="-29"/>
        </w:rPr>
        <w:t> </w:t>
      </w:r>
      <w:r>
        <w:rPr>
          <w:color w:val="231F20"/>
        </w:rPr>
        <w:t>2003.</w:t>
      </w:r>
    </w:p>
    <w:p>
      <w:pPr>
        <w:pStyle w:val="BodyText"/>
        <w:spacing w:line="240" w:lineRule="exact"/>
        <w:ind w:left="113" w:right="111" w:firstLine="396"/>
        <w:jc w:val="both"/>
      </w:pPr>
      <w:r>
        <w:rPr>
          <w:color w:val="231F20"/>
        </w:rPr>
        <w:t>En comparación con el IRN del año 2000 se consideran cambios importantes, los municipios que encabezan la lista con mayor riesgo nutricional en orden descendente son: Donato Guerra con un IRN de 8.41, Villa Victoria con un IRN de 7.53, San</w:t>
      </w:r>
      <w:r>
        <w:rPr>
          <w:color w:val="231F20"/>
          <w:spacing w:val="-8"/>
        </w:rPr>
        <w:t> </w:t>
      </w:r>
      <w:r>
        <w:rPr>
          <w:color w:val="231F20"/>
        </w:rPr>
        <w:t>Felipe</w:t>
      </w:r>
      <w:r>
        <w:rPr>
          <w:color w:val="231F20"/>
          <w:spacing w:val="-9"/>
        </w:rPr>
        <w:t> </w:t>
      </w:r>
      <w:r>
        <w:rPr>
          <w:color w:val="231F20"/>
        </w:rPr>
        <w:t>del</w:t>
      </w:r>
      <w:r>
        <w:rPr>
          <w:color w:val="231F20"/>
          <w:spacing w:val="-8"/>
        </w:rPr>
        <w:t> </w:t>
      </w:r>
      <w:r>
        <w:rPr>
          <w:color w:val="231F20"/>
        </w:rPr>
        <w:t>Progreso</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w:t>
      </w:r>
      <w:r>
        <w:rPr>
          <w:color w:val="231F20"/>
          <w:spacing w:val="-8"/>
        </w:rPr>
        <w:t> </w:t>
      </w:r>
      <w:r>
        <w:rPr>
          <w:color w:val="231F20"/>
        </w:rPr>
        <w:t>de</w:t>
      </w:r>
      <w:r>
        <w:rPr>
          <w:color w:val="231F20"/>
          <w:spacing w:val="-8"/>
        </w:rPr>
        <w:t> </w:t>
      </w:r>
      <w:r>
        <w:rPr>
          <w:color w:val="231F20"/>
        </w:rPr>
        <w:t>7.49,</w:t>
      </w:r>
      <w:r>
        <w:rPr>
          <w:color w:val="231F20"/>
          <w:spacing w:val="-9"/>
        </w:rPr>
        <w:t> </w:t>
      </w:r>
      <w:r>
        <w:rPr>
          <w:color w:val="231F20"/>
        </w:rPr>
        <w:t>Sultepec</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 de</w:t>
      </w:r>
      <w:r>
        <w:rPr>
          <w:color w:val="231F20"/>
          <w:spacing w:val="-10"/>
        </w:rPr>
        <w:t> </w:t>
      </w:r>
      <w:r>
        <w:rPr>
          <w:color w:val="231F20"/>
        </w:rPr>
        <w:t>5.80</w:t>
      </w:r>
      <w:r>
        <w:rPr>
          <w:color w:val="231F20"/>
          <w:spacing w:val="-10"/>
        </w:rPr>
        <w:t> </w:t>
      </w:r>
      <w:r>
        <w:rPr>
          <w:color w:val="231F20"/>
        </w:rPr>
        <w:t>y</w:t>
      </w:r>
      <w:r>
        <w:rPr>
          <w:color w:val="231F20"/>
          <w:spacing w:val="-10"/>
        </w:rPr>
        <w:t> </w:t>
      </w:r>
      <w:r>
        <w:rPr>
          <w:color w:val="231F20"/>
        </w:rPr>
        <w:t>Amanalco</w:t>
      </w:r>
      <w:r>
        <w:rPr>
          <w:color w:val="231F20"/>
          <w:spacing w:val="-9"/>
        </w:rPr>
        <w:t> </w:t>
      </w:r>
      <w:r>
        <w:rPr>
          <w:color w:val="231F20"/>
        </w:rPr>
        <w:t>con</w:t>
      </w:r>
      <w:r>
        <w:rPr>
          <w:color w:val="231F20"/>
          <w:spacing w:val="-10"/>
        </w:rPr>
        <w:t> </w:t>
      </w:r>
      <w:r>
        <w:rPr>
          <w:color w:val="231F20"/>
        </w:rPr>
        <w:t>un</w:t>
      </w:r>
      <w:r>
        <w:rPr>
          <w:color w:val="231F20"/>
          <w:spacing w:val="-10"/>
        </w:rPr>
        <w:t> </w:t>
      </w:r>
      <w:r>
        <w:rPr>
          <w:color w:val="231F20"/>
        </w:rPr>
        <w:t>IRN</w:t>
      </w:r>
      <w:r>
        <w:rPr>
          <w:color w:val="231F20"/>
          <w:spacing w:val="-10"/>
        </w:rPr>
        <w:t> </w:t>
      </w:r>
      <w:r>
        <w:rPr>
          <w:color w:val="231F20"/>
        </w:rPr>
        <w:t>de</w:t>
      </w:r>
      <w:r>
        <w:rPr>
          <w:color w:val="231F20"/>
          <w:spacing w:val="-10"/>
        </w:rPr>
        <w:t> </w:t>
      </w:r>
      <w:r>
        <w:rPr>
          <w:color w:val="231F20"/>
        </w:rPr>
        <w:t>4.67.</w:t>
      </w:r>
      <w:r>
        <w:rPr>
          <w:color w:val="231F20"/>
          <w:spacing w:val="-10"/>
        </w:rPr>
        <w:t> </w:t>
      </w:r>
      <w:r>
        <w:rPr>
          <w:color w:val="231F20"/>
          <w:spacing w:val="-3"/>
        </w:rPr>
        <w:t>Para</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2005</w:t>
      </w:r>
      <w:r>
        <w:rPr>
          <w:color w:val="231F20"/>
          <w:spacing w:val="-10"/>
        </w:rPr>
        <w:t> </w:t>
      </w:r>
      <w:r>
        <w:rPr>
          <w:color w:val="231F20"/>
        </w:rPr>
        <w:t>los</w:t>
      </w:r>
      <w:r>
        <w:rPr>
          <w:color w:val="231F20"/>
          <w:spacing w:val="-10"/>
        </w:rPr>
        <w:t> </w:t>
      </w:r>
      <w:r>
        <w:rPr>
          <w:color w:val="231F20"/>
        </w:rPr>
        <w:t>mu- nicipios con el mayor IRN en el mismo orden son: San José del Rincón con un IRN de 7.24, Donato Guerra con un IRN de 6.12, Villa</w:t>
      </w:r>
      <w:r>
        <w:rPr>
          <w:color w:val="231F20"/>
          <w:spacing w:val="-8"/>
        </w:rPr>
        <w:t> </w:t>
      </w:r>
      <w:r>
        <w:rPr>
          <w:color w:val="231F20"/>
        </w:rPr>
        <w:t>Victoria</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IRN</w:t>
      </w:r>
      <w:r>
        <w:rPr>
          <w:color w:val="231F20"/>
          <w:spacing w:val="-8"/>
        </w:rPr>
        <w:t> </w:t>
      </w:r>
      <w:r>
        <w:rPr>
          <w:color w:val="231F20"/>
        </w:rPr>
        <w:t>de</w:t>
      </w:r>
      <w:r>
        <w:rPr>
          <w:color w:val="231F20"/>
          <w:spacing w:val="-8"/>
        </w:rPr>
        <w:t> </w:t>
      </w:r>
      <w:r>
        <w:rPr>
          <w:color w:val="231F20"/>
        </w:rPr>
        <w:t>6.16,</w:t>
      </w:r>
      <w:r>
        <w:rPr>
          <w:color w:val="231F20"/>
          <w:spacing w:val="-8"/>
        </w:rPr>
        <w:t> </w:t>
      </w:r>
      <w:r>
        <w:rPr>
          <w:color w:val="231F20"/>
        </w:rPr>
        <w:t>San</w:t>
      </w:r>
      <w:r>
        <w:rPr>
          <w:color w:val="231F20"/>
          <w:spacing w:val="-8"/>
        </w:rPr>
        <w:t> </w:t>
      </w:r>
      <w:r>
        <w:rPr>
          <w:color w:val="231F20"/>
        </w:rPr>
        <w:t>Felipe</w:t>
      </w:r>
      <w:r>
        <w:rPr>
          <w:color w:val="231F20"/>
          <w:spacing w:val="-8"/>
        </w:rPr>
        <w:t> </w:t>
      </w:r>
      <w:r>
        <w:rPr>
          <w:color w:val="231F20"/>
        </w:rPr>
        <w:t>del</w:t>
      </w:r>
      <w:r>
        <w:rPr>
          <w:color w:val="231F20"/>
          <w:spacing w:val="-8"/>
        </w:rPr>
        <w:t> </w:t>
      </w:r>
      <w:r>
        <w:rPr>
          <w:color w:val="231F20"/>
        </w:rPr>
        <w:t>Progreso</w:t>
      </w:r>
      <w:r>
        <w:rPr>
          <w:color w:val="231F20"/>
          <w:spacing w:val="-8"/>
        </w:rPr>
        <w:t> </w:t>
      </w:r>
      <w:r>
        <w:rPr>
          <w:color w:val="231F20"/>
        </w:rPr>
        <w:t>con</w:t>
      </w:r>
      <w:r>
        <w:rPr>
          <w:color w:val="231F20"/>
          <w:spacing w:val="-8"/>
        </w:rPr>
        <w:t> </w:t>
      </w:r>
      <w:r>
        <w:rPr>
          <w:color w:val="231F20"/>
        </w:rPr>
        <w:t>un IRN de 5.34 y Sultepec con un IRN de</w:t>
      </w:r>
      <w:r>
        <w:rPr>
          <w:color w:val="231F20"/>
          <w:spacing w:val="-11"/>
        </w:rPr>
        <w:t> </w:t>
      </w:r>
      <w:r>
        <w:rPr>
          <w:color w:val="231F20"/>
        </w:rPr>
        <w:t>5.28.</w:t>
      </w:r>
    </w:p>
    <w:p>
      <w:pPr>
        <w:spacing w:after="0" w:line="240" w:lineRule="exact"/>
        <w:jc w:val="both"/>
        <w:sectPr>
          <w:pgSz w:w="7920" w:h="12240"/>
          <w:pgMar w:header="0" w:footer="616" w:top="1040" w:bottom="860" w:left="1020" w:right="1020"/>
        </w:sectPr>
      </w:pPr>
    </w:p>
    <w:p>
      <w:pPr>
        <w:pStyle w:val="BodyText"/>
        <w:spacing w:line="240" w:lineRule="exact" w:before="65"/>
        <w:ind w:left="113" w:right="110" w:firstLine="396"/>
        <w:jc w:val="both"/>
      </w:pPr>
      <w:r>
        <w:rPr>
          <w:color w:val="231F20"/>
          <w:spacing w:val="-4"/>
        </w:rPr>
        <w:t>También </w:t>
      </w:r>
      <w:r>
        <w:rPr>
          <w:color w:val="231F20"/>
        </w:rPr>
        <w:t>se presentaron cambios de acuerdo a los Índices del 2000 y 2005 en los 5 municipios con menor riesgo</w:t>
      </w:r>
      <w:r>
        <w:rPr>
          <w:color w:val="231F20"/>
          <w:spacing w:val="-22"/>
        </w:rPr>
        <w:t> </w:t>
      </w:r>
      <w:r>
        <w:rPr>
          <w:color w:val="231F20"/>
        </w:rPr>
        <w:t>nutricio- nal, para el año 2000 son: Coacalco de Berriozábal con un IRN de -14.92, Metepec con un IRN de -14.19, Cuautitlán Izcalli con un IRN de -14.18, Tlalnepantla de Baz con un IRN de -13.06 y Cuautitlán</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IRN</w:t>
      </w:r>
      <w:r>
        <w:rPr>
          <w:color w:val="231F20"/>
          <w:spacing w:val="-6"/>
        </w:rPr>
        <w:t> </w:t>
      </w:r>
      <w:r>
        <w:rPr>
          <w:color w:val="231F20"/>
        </w:rPr>
        <w:t>de</w:t>
      </w:r>
      <w:r>
        <w:rPr>
          <w:color w:val="231F20"/>
          <w:spacing w:val="-6"/>
        </w:rPr>
        <w:t> </w:t>
      </w:r>
      <w:r>
        <w:rPr>
          <w:color w:val="231F20"/>
        </w:rPr>
        <w:t>-12.95.</w:t>
      </w:r>
      <w:r>
        <w:rPr>
          <w:color w:val="231F20"/>
          <w:spacing w:val="-7"/>
        </w:rPr>
        <w:t> </w:t>
      </w:r>
      <w:r>
        <w:rPr>
          <w:color w:val="231F20"/>
          <w:spacing w:val="-3"/>
        </w:rPr>
        <w:t>Para</w:t>
      </w:r>
      <w:r>
        <w:rPr>
          <w:color w:val="231F20"/>
          <w:spacing w:val="-6"/>
        </w:rPr>
        <w:t> </w:t>
      </w:r>
      <w:r>
        <w:rPr>
          <w:color w:val="231F20"/>
        </w:rPr>
        <w:t>el</w:t>
      </w:r>
      <w:r>
        <w:rPr>
          <w:color w:val="231F20"/>
          <w:spacing w:val="-6"/>
        </w:rPr>
        <w:t> </w:t>
      </w:r>
      <w:r>
        <w:rPr>
          <w:color w:val="231F20"/>
        </w:rPr>
        <w:t>año</w:t>
      </w:r>
      <w:r>
        <w:rPr>
          <w:color w:val="231F20"/>
          <w:spacing w:val="-6"/>
        </w:rPr>
        <w:t> </w:t>
      </w:r>
      <w:r>
        <w:rPr>
          <w:color w:val="231F20"/>
        </w:rPr>
        <w:t>2005</w:t>
      </w:r>
      <w:r>
        <w:rPr>
          <w:color w:val="231F20"/>
          <w:spacing w:val="-7"/>
        </w:rPr>
        <w:t> </w:t>
      </w:r>
      <w:r>
        <w:rPr>
          <w:color w:val="231F20"/>
        </w:rPr>
        <w:t>son:</w:t>
      </w:r>
      <w:r>
        <w:rPr>
          <w:color w:val="231F20"/>
          <w:spacing w:val="-7"/>
        </w:rPr>
        <w:t> </w:t>
      </w:r>
      <w:r>
        <w:rPr>
          <w:color w:val="231F20"/>
        </w:rPr>
        <w:t>Coacalco de</w:t>
      </w:r>
      <w:r>
        <w:rPr>
          <w:color w:val="231F20"/>
          <w:spacing w:val="22"/>
        </w:rPr>
        <w:t> </w:t>
      </w:r>
      <w:r>
        <w:rPr>
          <w:color w:val="231F20"/>
        </w:rPr>
        <w:t>Berriozábal</w:t>
      </w:r>
      <w:r>
        <w:rPr>
          <w:color w:val="231F20"/>
          <w:spacing w:val="23"/>
        </w:rPr>
        <w:t> </w:t>
      </w:r>
      <w:r>
        <w:rPr>
          <w:color w:val="231F20"/>
        </w:rPr>
        <w:t>con</w:t>
      </w:r>
      <w:r>
        <w:rPr>
          <w:color w:val="231F20"/>
          <w:spacing w:val="22"/>
        </w:rPr>
        <w:t> </w:t>
      </w:r>
      <w:r>
        <w:rPr>
          <w:color w:val="231F20"/>
        </w:rPr>
        <w:t>un</w:t>
      </w:r>
      <w:r>
        <w:rPr>
          <w:color w:val="231F20"/>
          <w:spacing w:val="22"/>
        </w:rPr>
        <w:t> </w:t>
      </w:r>
      <w:r>
        <w:rPr>
          <w:color w:val="231F20"/>
        </w:rPr>
        <w:t>IRN</w:t>
      </w:r>
      <w:r>
        <w:rPr>
          <w:color w:val="231F20"/>
          <w:spacing w:val="22"/>
        </w:rPr>
        <w:t> </w:t>
      </w:r>
      <w:r>
        <w:rPr>
          <w:color w:val="231F20"/>
        </w:rPr>
        <w:t>de</w:t>
      </w:r>
      <w:r>
        <w:rPr>
          <w:color w:val="231F20"/>
          <w:spacing w:val="22"/>
        </w:rPr>
        <w:t> </w:t>
      </w:r>
      <w:r>
        <w:rPr>
          <w:color w:val="231F20"/>
        </w:rPr>
        <w:t>-13.72,</w:t>
      </w:r>
      <w:r>
        <w:rPr>
          <w:color w:val="231F20"/>
          <w:spacing w:val="22"/>
        </w:rPr>
        <w:t> </w:t>
      </w:r>
      <w:r>
        <w:rPr>
          <w:color w:val="231F20"/>
        </w:rPr>
        <w:t>Metepec</w:t>
      </w:r>
      <w:r>
        <w:rPr>
          <w:color w:val="231F20"/>
          <w:spacing w:val="22"/>
        </w:rPr>
        <w:t> </w:t>
      </w:r>
      <w:r>
        <w:rPr>
          <w:color w:val="231F20"/>
        </w:rPr>
        <w:t>con</w:t>
      </w:r>
      <w:r>
        <w:rPr>
          <w:color w:val="231F20"/>
          <w:spacing w:val="22"/>
        </w:rPr>
        <w:t> </w:t>
      </w:r>
      <w:r>
        <w:rPr>
          <w:color w:val="231F20"/>
        </w:rPr>
        <w:t>un</w:t>
      </w:r>
      <w:r>
        <w:rPr>
          <w:color w:val="231F20"/>
          <w:spacing w:val="22"/>
        </w:rPr>
        <w:t> </w:t>
      </w:r>
      <w:r>
        <w:rPr>
          <w:color w:val="231F20"/>
        </w:rPr>
        <w:t>IRN</w:t>
      </w:r>
      <w:r>
        <w:rPr>
          <w:color w:val="231F20"/>
          <w:spacing w:val="22"/>
        </w:rPr>
        <w:t> </w:t>
      </w:r>
      <w:r>
        <w:rPr>
          <w:color w:val="231F20"/>
        </w:rPr>
        <w:t>de</w:t>
      </w:r>
    </w:p>
    <w:p>
      <w:pPr>
        <w:pStyle w:val="BodyText"/>
        <w:spacing w:line="236" w:lineRule="exact"/>
        <w:ind w:left="113"/>
      </w:pPr>
      <w:r>
        <w:rPr>
          <w:color w:val="231F20"/>
        </w:rPr>
        <w:t>-13.04, Cuautitlán Izcalli con un IRN de -13.02, Cuautitlán    con</w:t>
      </w:r>
    </w:p>
    <w:p>
      <w:pPr>
        <w:pStyle w:val="BodyText"/>
        <w:spacing w:line="240" w:lineRule="exact"/>
        <w:ind w:left="113"/>
      </w:pPr>
      <w:r>
        <w:rPr>
          <w:color w:val="231F20"/>
        </w:rPr>
        <w:t>un IRN de - 12.16 y Jaltenco con un IRN de -12.15.</w:t>
      </w:r>
    </w:p>
    <w:p>
      <w:pPr>
        <w:pStyle w:val="BodyText"/>
        <w:spacing w:line="240" w:lineRule="exact" w:before="4"/>
        <w:ind w:left="113" w:right="111" w:firstLine="396"/>
        <w:jc w:val="both"/>
      </w:pPr>
      <w:r>
        <w:rPr>
          <w:color w:val="231F20"/>
        </w:rPr>
        <w:t>De acuerdo con el IRN 2005 se observa un deterioro en la situación</w:t>
      </w:r>
      <w:r>
        <w:rPr>
          <w:color w:val="231F20"/>
          <w:spacing w:val="-6"/>
        </w:rPr>
        <w:t> </w:t>
      </w:r>
      <w:r>
        <w:rPr>
          <w:color w:val="231F20"/>
        </w:rPr>
        <w:t>nutricional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considerando</w:t>
      </w:r>
      <w:r>
        <w:rPr>
          <w:color w:val="231F20"/>
          <w:spacing w:val="-5"/>
        </w:rPr>
        <w:t> </w:t>
      </w:r>
      <w:r>
        <w:rPr>
          <w:color w:val="231F20"/>
        </w:rPr>
        <w:t>los</w:t>
      </w:r>
      <w:r>
        <w:rPr>
          <w:color w:val="231F20"/>
          <w:spacing w:val="-5"/>
        </w:rPr>
        <w:t> </w:t>
      </w:r>
      <w:r>
        <w:rPr>
          <w:color w:val="231F20"/>
        </w:rPr>
        <w:t>re- sultado del IRN 2000 a </w:t>
      </w:r>
      <w:r>
        <w:rPr>
          <w:color w:val="231F20"/>
          <w:spacing w:val="-3"/>
        </w:rPr>
        <w:t>nivel </w:t>
      </w:r>
      <w:r>
        <w:rPr>
          <w:color w:val="231F20"/>
        </w:rPr>
        <w:t>estatal, se encontraba en una cate- goría</w:t>
      </w:r>
      <w:r>
        <w:rPr>
          <w:color w:val="231F20"/>
          <w:spacing w:val="-6"/>
        </w:rPr>
        <w:t> </w:t>
      </w:r>
      <w:r>
        <w:rPr>
          <w:color w:val="231F20"/>
        </w:rPr>
        <w:t>de</w:t>
      </w:r>
      <w:r>
        <w:rPr>
          <w:color w:val="231F20"/>
          <w:spacing w:val="-6"/>
        </w:rPr>
        <w:t> </w:t>
      </w:r>
      <w:r>
        <w:rPr>
          <w:color w:val="231F20"/>
        </w:rPr>
        <w:t>riesgo</w:t>
      </w:r>
      <w:r>
        <w:rPr>
          <w:color w:val="231F20"/>
          <w:spacing w:val="-7"/>
        </w:rPr>
        <w:t> </w:t>
      </w:r>
      <w:r>
        <w:rPr>
          <w:color w:val="231F20"/>
        </w:rPr>
        <w:t>bajo</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quinquenio</w:t>
      </w:r>
      <w:r>
        <w:rPr>
          <w:color w:val="231F20"/>
          <w:spacing w:val="-7"/>
        </w:rPr>
        <w:t> </w:t>
      </w:r>
      <w:r>
        <w:rPr>
          <w:color w:val="231F20"/>
        </w:rPr>
        <w:t>del</w:t>
      </w:r>
      <w:r>
        <w:rPr>
          <w:color w:val="231F20"/>
          <w:spacing w:val="-7"/>
        </w:rPr>
        <w:t> </w:t>
      </w:r>
      <w:r>
        <w:rPr>
          <w:color w:val="231F20"/>
        </w:rPr>
        <w:t>2005</w:t>
      </w:r>
      <w:r>
        <w:rPr>
          <w:color w:val="231F20"/>
          <w:spacing w:val="-7"/>
        </w:rPr>
        <w:t> </w:t>
      </w:r>
      <w:r>
        <w:rPr>
          <w:color w:val="231F20"/>
        </w:rPr>
        <w:t>cambia</w:t>
      </w:r>
      <w:r>
        <w:rPr>
          <w:color w:val="231F20"/>
          <w:spacing w:val="-6"/>
        </w:rPr>
        <w:t> </w:t>
      </w:r>
      <w:r>
        <w:rPr>
          <w:color w:val="231F20"/>
        </w:rPr>
        <w:t>a</w:t>
      </w:r>
      <w:r>
        <w:rPr>
          <w:color w:val="231F20"/>
          <w:spacing w:val="-6"/>
        </w:rPr>
        <w:t> </w:t>
      </w:r>
      <w:r>
        <w:rPr>
          <w:color w:val="231F20"/>
        </w:rPr>
        <w:t>una categoría de riesgo moderado observándose un cambio negati- </w:t>
      </w:r>
      <w:r>
        <w:rPr>
          <w:color w:val="231F20"/>
          <w:spacing w:val="-3"/>
        </w:rPr>
        <w:t>vo </w:t>
      </w:r>
      <w:r>
        <w:rPr>
          <w:color w:val="231F20"/>
        </w:rPr>
        <w:t>y que la situación del Estado de México empeoro, dejando a toda la población vulnerable a ser afectada en su situación nu- tricional y alimentaria de manera colectiva e individualmente, por factores como una baja disponibilidad de los alimentos ne- cesarios y la dificultad las necesidades</w:t>
      </w:r>
      <w:r>
        <w:rPr>
          <w:color w:val="231F20"/>
          <w:spacing w:val="-6"/>
        </w:rPr>
        <w:t> </w:t>
      </w:r>
      <w:r>
        <w:rPr>
          <w:color w:val="231F20"/>
        </w:rPr>
        <w:t>vitales.</w:t>
      </w:r>
    </w:p>
    <w:p>
      <w:pPr>
        <w:pStyle w:val="BodyText"/>
        <w:spacing w:line="240" w:lineRule="exact"/>
        <w:ind w:left="113" w:right="111" w:firstLine="396"/>
        <w:jc w:val="both"/>
      </w:pPr>
      <w:r>
        <w:rPr>
          <w:color w:val="231F20"/>
        </w:rPr>
        <w:t>Considerando las dificultades para  seguir  desarrollando el IRN, son principalmente los datos de las tasas de mortalidad preescolar e infantil, </w:t>
      </w:r>
      <w:r>
        <w:rPr>
          <w:color w:val="231F20"/>
          <w:spacing w:val="-3"/>
        </w:rPr>
        <w:t>ya </w:t>
      </w:r>
      <w:r>
        <w:rPr>
          <w:color w:val="231F20"/>
        </w:rPr>
        <w:t>que son dos de las variables fundamen- tales para llevar a cabo el análisis del mismo. Es fundamental unir esfuerzos para que el IRN se siga actualizando y a partir de poder identificar la zonas más críticas del Estado de México, tomando en cuenta que es una herramienta fundamental y cer- tera para identificar de manera precisa a los municipios que se encuentren</w:t>
      </w:r>
      <w:r>
        <w:rPr>
          <w:color w:val="231F20"/>
          <w:spacing w:val="-8"/>
        </w:rPr>
        <w:t> </w:t>
      </w:r>
      <w:r>
        <w:rPr>
          <w:color w:val="231F20"/>
        </w:rPr>
        <w:t>en</w:t>
      </w:r>
      <w:r>
        <w:rPr>
          <w:color w:val="231F20"/>
          <w:spacing w:val="-8"/>
        </w:rPr>
        <w:t> </w:t>
      </w:r>
      <w:r>
        <w:rPr>
          <w:color w:val="231F20"/>
        </w:rPr>
        <w:t>algún</w:t>
      </w:r>
      <w:r>
        <w:rPr>
          <w:color w:val="231F20"/>
          <w:spacing w:val="-8"/>
        </w:rPr>
        <w:t> </w:t>
      </w:r>
      <w:r>
        <w:rPr>
          <w:color w:val="231F20"/>
        </w:rPr>
        <w:t>riesgo</w:t>
      </w:r>
      <w:r>
        <w:rPr>
          <w:color w:val="231F20"/>
          <w:spacing w:val="-9"/>
        </w:rPr>
        <w:t> </w:t>
      </w:r>
      <w:r>
        <w:rPr>
          <w:color w:val="231F20"/>
        </w:rPr>
        <w:t>nutricional,</w:t>
      </w:r>
      <w:r>
        <w:rPr>
          <w:color w:val="231F20"/>
          <w:spacing w:val="-8"/>
        </w:rPr>
        <w:t> </w:t>
      </w:r>
      <w:r>
        <w:rPr>
          <w:color w:val="231F20"/>
          <w:spacing w:val="-3"/>
        </w:rPr>
        <w:t>ya</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spacing w:val="-3"/>
        </w:rPr>
        <w:t>nivel</w:t>
      </w:r>
      <w:r>
        <w:rPr>
          <w:color w:val="231F20"/>
          <w:spacing w:val="-8"/>
        </w:rPr>
        <w:t> </w:t>
      </w:r>
      <w:r>
        <w:rPr>
          <w:color w:val="231F20"/>
        </w:rPr>
        <w:t>municipal se desagrega la información que generaliza la situación a un ni- vel</w:t>
      </w:r>
      <w:r>
        <w:rPr>
          <w:color w:val="231F20"/>
          <w:spacing w:val="-6"/>
        </w:rPr>
        <w:t> </w:t>
      </w:r>
      <w:r>
        <w:rPr>
          <w:color w:val="231F20"/>
        </w:rPr>
        <w:t>estatal.</w:t>
      </w:r>
    </w:p>
    <w:p>
      <w:pPr>
        <w:pStyle w:val="BodyText"/>
        <w:spacing w:line="240" w:lineRule="exact"/>
        <w:ind w:left="113" w:right="111" w:firstLine="454"/>
        <w:jc w:val="both"/>
      </w:pPr>
      <w:r>
        <w:rPr>
          <w:color w:val="231F20"/>
        </w:rPr>
        <w:t>Se está en espera de las tasas de mortalidad para realizar el análisis del quinquenio 2010 y posteriormente actualizarse al 2015.</w:t>
      </w:r>
    </w:p>
    <w:p>
      <w:pPr>
        <w:spacing w:after="0" w:line="240" w:lineRule="exact"/>
        <w:jc w:val="both"/>
        <w:sectPr>
          <w:pgSz w:w="7920" w:h="12240"/>
          <w:pgMar w:header="0" w:footer="616" w:top="1040" w:bottom="860" w:left="1020" w:right="1020"/>
        </w:sectPr>
      </w:pPr>
    </w:p>
    <w:p>
      <w:pPr>
        <w:pStyle w:val="BodyText"/>
        <w:spacing w:before="8"/>
        <w:rPr>
          <w:sz w:val="15"/>
        </w:rPr>
      </w:pPr>
    </w:p>
    <w:p>
      <w:pPr>
        <w:pStyle w:val="Heading1"/>
        <w:spacing w:before="61"/>
      </w:pPr>
      <w:r>
        <w:rPr>
          <w:color w:val="231F20"/>
        </w:rPr>
        <w:t>BIBLIOGRAFÍA</w:t>
      </w:r>
    </w:p>
    <w:p>
      <w:pPr>
        <w:pStyle w:val="Heading3"/>
        <w:spacing w:line="240" w:lineRule="auto" w:before="218"/>
      </w:pPr>
      <w:r>
        <w:rPr>
          <w:color w:val="231F20"/>
        </w:rPr>
        <w:t>Ávila, A.; Galindo, C. y A. Chávez, (2005).</w:t>
      </w:r>
    </w:p>
    <w:p>
      <w:pPr>
        <w:spacing w:line="256" w:lineRule="auto" w:before="1"/>
        <w:ind w:left="510" w:right="112" w:firstLine="0"/>
        <w:jc w:val="both"/>
        <w:rPr>
          <w:sz w:val="16"/>
        </w:rPr>
      </w:pPr>
      <w:r>
        <w:rPr>
          <w:i/>
          <w:color w:val="231F20"/>
          <w:sz w:val="16"/>
        </w:rPr>
        <w:t>Encuesta</w:t>
      </w:r>
      <w:r>
        <w:rPr>
          <w:i/>
          <w:color w:val="231F20"/>
          <w:spacing w:val="-3"/>
          <w:sz w:val="16"/>
        </w:rPr>
        <w:t> </w:t>
      </w:r>
      <w:r>
        <w:rPr>
          <w:i/>
          <w:color w:val="231F20"/>
          <w:sz w:val="16"/>
        </w:rPr>
        <w:t>Nacional</w:t>
      </w:r>
      <w:r>
        <w:rPr>
          <w:i/>
          <w:color w:val="231F20"/>
          <w:spacing w:val="-3"/>
          <w:sz w:val="16"/>
        </w:rPr>
        <w:t> </w:t>
      </w:r>
      <w:r>
        <w:rPr>
          <w:i/>
          <w:color w:val="231F20"/>
          <w:sz w:val="16"/>
        </w:rPr>
        <w:t>de</w:t>
      </w:r>
      <w:r>
        <w:rPr>
          <w:i/>
          <w:color w:val="231F20"/>
          <w:spacing w:val="-3"/>
          <w:sz w:val="16"/>
        </w:rPr>
        <w:t> </w:t>
      </w:r>
      <w:r>
        <w:rPr>
          <w:i/>
          <w:color w:val="231F20"/>
          <w:sz w:val="16"/>
        </w:rPr>
        <w:t>Alimentación</w:t>
      </w:r>
      <w:r>
        <w:rPr>
          <w:i/>
          <w:color w:val="231F20"/>
          <w:spacing w:val="-3"/>
          <w:sz w:val="16"/>
        </w:rPr>
        <w:t> </w:t>
      </w:r>
      <w:r>
        <w:rPr>
          <w:i/>
          <w:color w:val="231F20"/>
          <w:sz w:val="16"/>
        </w:rPr>
        <w:t>y</w:t>
      </w:r>
      <w:r>
        <w:rPr>
          <w:i/>
          <w:color w:val="231F20"/>
          <w:spacing w:val="-3"/>
          <w:sz w:val="16"/>
        </w:rPr>
        <w:t> </w:t>
      </w:r>
      <w:r>
        <w:rPr>
          <w:i/>
          <w:color w:val="231F20"/>
          <w:sz w:val="16"/>
        </w:rPr>
        <w:t>Nutrición</w:t>
      </w:r>
      <w:r>
        <w:rPr>
          <w:i/>
          <w:color w:val="231F20"/>
          <w:spacing w:val="-3"/>
          <w:sz w:val="16"/>
        </w:rPr>
        <w:t> </w:t>
      </w:r>
      <w:r>
        <w:rPr>
          <w:i/>
          <w:color w:val="231F20"/>
          <w:sz w:val="16"/>
        </w:rPr>
        <w:t>en</w:t>
      </w:r>
      <w:r>
        <w:rPr>
          <w:i/>
          <w:color w:val="231F20"/>
          <w:spacing w:val="-3"/>
          <w:sz w:val="16"/>
        </w:rPr>
        <w:t> </w:t>
      </w:r>
      <w:r>
        <w:rPr>
          <w:i/>
          <w:color w:val="231F20"/>
          <w:sz w:val="16"/>
        </w:rPr>
        <w:t>el</w:t>
      </w:r>
      <w:r>
        <w:rPr>
          <w:i/>
          <w:color w:val="231F20"/>
          <w:spacing w:val="-3"/>
          <w:sz w:val="16"/>
        </w:rPr>
        <w:t> </w:t>
      </w:r>
      <w:r>
        <w:rPr>
          <w:i/>
          <w:color w:val="231F20"/>
          <w:sz w:val="16"/>
        </w:rPr>
        <w:t>Medio</w:t>
      </w:r>
      <w:r>
        <w:rPr>
          <w:i/>
          <w:color w:val="231F20"/>
          <w:spacing w:val="-3"/>
          <w:sz w:val="16"/>
        </w:rPr>
        <w:t> </w:t>
      </w:r>
      <w:r>
        <w:rPr>
          <w:i/>
          <w:color w:val="231F20"/>
          <w:sz w:val="16"/>
        </w:rPr>
        <w:t>Rural.</w:t>
      </w:r>
      <w:r>
        <w:rPr>
          <w:i/>
          <w:color w:val="231F20"/>
          <w:spacing w:val="-3"/>
          <w:sz w:val="16"/>
        </w:rPr>
        <w:t> </w:t>
      </w:r>
      <w:r>
        <w:rPr>
          <w:color w:val="231F20"/>
          <w:sz w:val="16"/>
        </w:rPr>
        <w:t>Instituto</w:t>
      </w:r>
      <w:r>
        <w:rPr>
          <w:color w:val="231F20"/>
          <w:spacing w:val="-3"/>
          <w:sz w:val="16"/>
        </w:rPr>
        <w:t> </w:t>
      </w:r>
      <w:r>
        <w:rPr>
          <w:color w:val="231F20"/>
          <w:sz w:val="16"/>
        </w:rPr>
        <w:t>Na- cional</w:t>
      </w:r>
      <w:r>
        <w:rPr>
          <w:color w:val="231F20"/>
          <w:spacing w:val="-6"/>
          <w:sz w:val="16"/>
        </w:rPr>
        <w:t> </w:t>
      </w:r>
      <w:r>
        <w:rPr>
          <w:color w:val="231F20"/>
          <w:sz w:val="16"/>
        </w:rPr>
        <w:t>de</w:t>
      </w:r>
      <w:r>
        <w:rPr>
          <w:color w:val="231F20"/>
          <w:spacing w:val="-6"/>
          <w:sz w:val="16"/>
        </w:rPr>
        <w:t> </w:t>
      </w:r>
      <w:r>
        <w:rPr>
          <w:color w:val="231F20"/>
          <w:sz w:val="16"/>
        </w:rPr>
        <w:t>Ciencias</w:t>
      </w:r>
      <w:r>
        <w:rPr>
          <w:color w:val="231F20"/>
          <w:spacing w:val="-6"/>
          <w:sz w:val="16"/>
        </w:rPr>
        <w:t> </w:t>
      </w:r>
      <w:r>
        <w:rPr>
          <w:color w:val="231F20"/>
          <w:sz w:val="16"/>
        </w:rPr>
        <w:t>Médicas</w:t>
      </w:r>
      <w:r>
        <w:rPr>
          <w:color w:val="231F20"/>
          <w:spacing w:val="-5"/>
          <w:sz w:val="16"/>
        </w:rPr>
        <w:t> </w:t>
      </w:r>
      <w:r>
        <w:rPr>
          <w:color w:val="231F20"/>
          <w:sz w:val="16"/>
        </w:rPr>
        <w:t>y</w:t>
      </w:r>
      <w:r>
        <w:rPr>
          <w:color w:val="231F20"/>
          <w:spacing w:val="-5"/>
          <w:sz w:val="16"/>
        </w:rPr>
        <w:t> </w:t>
      </w:r>
      <w:r>
        <w:rPr>
          <w:color w:val="231F20"/>
          <w:sz w:val="16"/>
        </w:rPr>
        <w:t>Nutrición</w:t>
      </w:r>
      <w:r>
        <w:rPr>
          <w:color w:val="231F20"/>
          <w:spacing w:val="-6"/>
          <w:sz w:val="16"/>
        </w:rPr>
        <w:t> </w:t>
      </w:r>
      <w:r>
        <w:rPr>
          <w:color w:val="231F20"/>
          <w:sz w:val="16"/>
        </w:rPr>
        <w:t>Salvador</w:t>
      </w:r>
      <w:r>
        <w:rPr>
          <w:color w:val="231F20"/>
          <w:spacing w:val="-5"/>
          <w:sz w:val="16"/>
        </w:rPr>
        <w:t> </w:t>
      </w:r>
      <w:r>
        <w:rPr>
          <w:color w:val="231F20"/>
          <w:sz w:val="16"/>
        </w:rPr>
        <w:t>Zubirán.</w:t>
      </w:r>
      <w:r>
        <w:rPr>
          <w:color w:val="231F20"/>
          <w:spacing w:val="-5"/>
          <w:sz w:val="16"/>
        </w:rPr>
        <w:t> </w:t>
      </w:r>
      <w:r>
        <w:rPr>
          <w:color w:val="231F20"/>
          <w:sz w:val="16"/>
        </w:rPr>
        <w:t>México.</w:t>
      </w:r>
    </w:p>
    <w:p>
      <w:pPr>
        <w:pStyle w:val="Heading3"/>
      </w:pPr>
      <w:r>
        <w:rPr>
          <w:color w:val="231F20"/>
        </w:rPr>
        <w:t>Ávila, A.; Shamah, T. y C. Galindo, (2013).</w:t>
      </w:r>
    </w:p>
    <w:p>
      <w:pPr>
        <w:spacing w:line="256" w:lineRule="auto" w:before="1"/>
        <w:ind w:left="510" w:right="111" w:firstLine="0"/>
        <w:jc w:val="both"/>
        <w:rPr>
          <w:sz w:val="16"/>
        </w:rPr>
      </w:pPr>
      <w:r>
        <w:rPr>
          <w:i/>
          <w:color w:val="231F20"/>
          <w:sz w:val="16"/>
        </w:rPr>
        <w:t>La Desnutrición en el Medio Rural Mexicano. Desnutrición Infantil. </w:t>
      </w:r>
      <w:r>
        <w:rPr>
          <w:color w:val="231F20"/>
          <w:sz w:val="16"/>
        </w:rPr>
        <w:t>[En Línea]. México, disponible en: </w:t>
      </w:r>
      <w:hyperlink r:id="rId26">
        <w:r>
          <w:rPr>
            <w:color w:val="231F20"/>
            <w:sz w:val="16"/>
          </w:rPr>
          <w:t>http://kepler.uag.mx/uagwbt/nutriv10/guias/desnu-</w:t>
        </w:r>
      </w:hyperlink>
      <w:r>
        <w:rPr>
          <w:color w:val="231F20"/>
          <w:sz w:val="16"/>
        </w:rPr>
        <w:t> tricioninfantil.pdf. [Fecha de acceso el día 04 de febrero de 2013]</w:t>
      </w:r>
    </w:p>
    <w:p>
      <w:pPr>
        <w:pStyle w:val="Heading3"/>
      </w:pPr>
      <w:r>
        <w:rPr>
          <w:color w:val="231F20"/>
        </w:rPr>
        <w:t>Gutiérrez, J.P.; Rivera, J. y T. Shamah, (2012).</w:t>
      </w:r>
    </w:p>
    <w:p>
      <w:pPr>
        <w:spacing w:line="256" w:lineRule="auto" w:before="1"/>
        <w:ind w:left="510" w:right="112" w:firstLine="0"/>
        <w:jc w:val="both"/>
        <w:rPr>
          <w:sz w:val="16"/>
        </w:rPr>
      </w:pPr>
      <w:r>
        <w:rPr>
          <w:color w:val="231F20"/>
          <w:sz w:val="16"/>
        </w:rPr>
        <w:t>Encuesta</w:t>
      </w:r>
      <w:r>
        <w:rPr>
          <w:color w:val="231F20"/>
          <w:spacing w:val="-10"/>
          <w:sz w:val="16"/>
        </w:rPr>
        <w:t> </w:t>
      </w:r>
      <w:r>
        <w:rPr>
          <w:color w:val="231F20"/>
          <w:sz w:val="16"/>
        </w:rPr>
        <w:t>Nacional</w:t>
      </w:r>
      <w:r>
        <w:rPr>
          <w:color w:val="231F20"/>
          <w:spacing w:val="-11"/>
          <w:sz w:val="16"/>
        </w:rPr>
        <w:t> </w:t>
      </w:r>
      <w:r>
        <w:rPr>
          <w:color w:val="231F20"/>
          <w:sz w:val="16"/>
        </w:rPr>
        <w:t>de</w:t>
      </w:r>
      <w:r>
        <w:rPr>
          <w:color w:val="231F20"/>
          <w:spacing w:val="-10"/>
          <w:sz w:val="16"/>
        </w:rPr>
        <w:t> </w:t>
      </w:r>
      <w:r>
        <w:rPr>
          <w:color w:val="231F20"/>
          <w:sz w:val="16"/>
        </w:rPr>
        <w:t>Salud</w:t>
      </w:r>
      <w:r>
        <w:rPr>
          <w:color w:val="231F20"/>
          <w:spacing w:val="-10"/>
          <w:sz w:val="16"/>
        </w:rPr>
        <w:t> </w:t>
      </w:r>
      <w:r>
        <w:rPr>
          <w:color w:val="231F20"/>
          <w:sz w:val="16"/>
        </w:rPr>
        <w:t>y</w:t>
      </w:r>
      <w:r>
        <w:rPr>
          <w:color w:val="231F20"/>
          <w:spacing w:val="-10"/>
          <w:sz w:val="16"/>
        </w:rPr>
        <w:t> </w:t>
      </w:r>
      <w:r>
        <w:rPr>
          <w:color w:val="231F20"/>
          <w:sz w:val="16"/>
        </w:rPr>
        <w:t>Nutrición.</w:t>
      </w:r>
      <w:r>
        <w:rPr>
          <w:color w:val="231F20"/>
          <w:spacing w:val="-10"/>
          <w:sz w:val="16"/>
        </w:rPr>
        <w:t> </w:t>
      </w:r>
      <w:r>
        <w:rPr>
          <w:color w:val="231F20"/>
          <w:sz w:val="16"/>
        </w:rPr>
        <w:t>Resultados</w:t>
      </w:r>
      <w:r>
        <w:rPr>
          <w:color w:val="231F20"/>
          <w:spacing w:val="-11"/>
          <w:sz w:val="16"/>
        </w:rPr>
        <w:t> </w:t>
      </w:r>
      <w:r>
        <w:rPr>
          <w:color w:val="231F20"/>
          <w:sz w:val="16"/>
        </w:rPr>
        <w:t>Nacionales</w:t>
      </w:r>
      <w:r>
        <w:rPr>
          <w:color w:val="231F20"/>
          <w:spacing w:val="-11"/>
          <w:sz w:val="16"/>
        </w:rPr>
        <w:t> </w:t>
      </w:r>
      <w:r>
        <w:rPr>
          <w:color w:val="231F20"/>
          <w:sz w:val="16"/>
        </w:rPr>
        <w:t>2012.</w:t>
      </w:r>
      <w:r>
        <w:rPr>
          <w:color w:val="231F20"/>
          <w:spacing w:val="-10"/>
          <w:sz w:val="16"/>
        </w:rPr>
        <w:t> </w:t>
      </w:r>
      <w:r>
        <w:rPr>
          <w:color w:val="231F20"/>
          <w:sz w:val="16"/>
        </w:rPr>
        <w:t>Instituto Nacional</w:t>
      </w:r>
      <w:r>
        <w:rPr>
          <w:color w:val="231F20"/>
          <w:spacing w:val="-7"/>
          <w:sz w:val="16"/>
        </w:rPr>
        <w:t> </w:t>
      </w:r>
      <w:r>
        <w:rPr>
          <w:color w:val="231F20"/>
          <w:sz w:val="16"/>
        </w:rPr>
        <w:t>de</w:t>
      </w:r>
      <w:r>
        <w:rPr>
          <w:color w:val="231F20"/>
          <w:spacing w:val="-7"/>
          <w:sz w:val="16"/>
        </w:rPr>
        <w:t> </w:t>
      </w:r>
      <w:r>
        <w:rPr>
          <w:color w:val="231F20"/>
          <w:sz w:val="16"/>
        </w:rPr>
        <w:t>Salud</w:t>
      </w:r>
      <w:r>
        <w:rPr>
          <w:color w:val="231F20"/>
          <w:spacing w:val="-7"/>
          <w:sz w:val="16"/>
        </w:rPr>
        <w:t> </w:t>
      </w:r>
      <w:r>
        <w:rPr>
          <w:color w:val="231F20"/>
          <w:sz w:val="16"/>
        </w:rPr>
        <w:t>Pública.</w:t>
      </w:r>
      <w:r>
        <w:rPr>
          <w:color w:val="231F20"/>
          <w:spacing w:val="-7"/>
          <w:sz w:val="16"/>
        </w:rPr>
        <w:t> </w:t>
      </w:r>
      <w:r>
        <w:rPr>
          <w:color w:val="231F20"/>
          <w:sz w:val="16"/>
        </w:rPr>
        <w:t>Cuernavaca</w:t>
      </w:r>
      <w:r>
        <w:rPr>
          <w:color w:val="231F20"/>
          <w:spacing w:val="-6"/>
          <w:sz w:val="16"/>
        </w:rPr>
        <w:t> </w:t>
      </w:r>
      <w:r>
        <w:rPr>
          <w:color w:val="231F20"/>
          <w:sz w:val="16"/>
        </w:rPr>
        <w:t>México.</w:t>
      </w:r>
    </w:p>
    <w:p>
      <w:pPr>
        <w:pStyle w:val="Heading3"/>
      </w:pPr>
      <w:r>
        <w:rPr>
          <w:color w:val="231F20"/>
        </w:rPr>
        <w:t>Roldan, J.A.; Carrasco, R. y N. Guarneros, (2012).</w:t>
      </w:r>
    </w:p>
    <w:p>
      <w:pPr>
        <w:spacing w:line="256" w:lineRule="auto" w:before="1"/>
        <w:ind w:left="510" w:right="111" w:firstLine="0"/>
        <w:jc w:val="both"/>
        <w:rPr>
          <w:sz w:val="16"/>
        </w:rPr>
      </w:pPr>
      <w:r>
        <w:rPr>
          <w:i/>
          <w:color w:val="231F20"/>
          <w:sz w:val="16"/>
        </w:rPr>
        <w:t>El hambre, parte de la cultura en los hogares marginales de México: los casos </w:t>
      </w:r>
      <w:r>
        <w:rPr>
          <w:i/>
          <w:color w:val="231F20"/>
          <w:sz w:val="16"/>
        </w:rPr>
        <w:t>de</w:t>
      </w:r>
      <w:r>
        <w:rPr>
          <w:i/>
          <w:color w:val="231F20"/>
          <w:spacing w:val="-6"/>
          <w:sz w:val="16"/>
        </w:rPr>
        <w:t> </w:t>
      </w:r>
      <w:r>
        <w:rPr>
          <w:i/>
          <w:color w:val="231F20"/>
          <w:sz w:val="16"/>
        </w:rPr>
        <w:t>la</w:t>
      </w:r>
      <w:r>
        <w:rPr>
          <w:i/>
          <w:color w:val="231F20"/>
          <w:spacing w:val="-6"/>
          <w:sz w:val="16"/>
        </w:rPr>
        <w:t> </w:t>
      </w:r>
      <w:r>
        <w:rPr>
          <w:i/>
          <w:color w:val="231F20"/>
          <w:sz w:val="16"/>
        </w:rPr>
        <w:t>Huasteca</w:t>
      </w:r>
      <w:r>
        <w:rPr>
          <w:i/>
          <w:color w:val="231F20"/>
          <w:spacing w:val="-6"/>
          <w:sz w:val="16"/>
        </w:rPr>
        <w:t> </w:t>
      </w:r>
      <w:r>
        <w:rPr>
          <w:i/>
          <w:color w:val="231F20"/>
          <w:sz w:val="16"/>
        </w:rPr>
        <w:t>Potosina</w:t>
      </w:r>
      <w:r>
        <w:rPr>
          <w:i/>
          <w:color w:val="231F20"/>
          <w:spacing w:val="-6"/>
          <w:sz w:val="16"/>
        </w:rPr>
        <w:t> </w:t>
      </w:r>
      <w:r>
        <w:rPr>
          <w:i/>
          <w:color w:val="231F20"/>
          <w:sz w:val="16"/>
        </w:rPr>
        <w:t>y</w:t>
      </w:r>
      <w:r>
        <w:rPr>
          <w:i/>
          <w:color w:val="231F20"/>
          <w:spacing w:val="-6"/>
          <w:sz w:val="16"/>
        </w:rPr>
        <w:t> </w:t>
      </w:r>
      <w:r>
        <w:rPr>
          <w:i/>
          <w:color w:val="231F20"/>
          <w:sz w:val="16"/>
        </w:rPr>
        <w:t>la</w:t>
      </w:r>
      <w:r>
        <w:rPr>
          <w:i/>
          <w:color w:val="231F20"/>
          <w:spacing w:val="-6"/>
          <w:sz w:val="16"/>
        </w:rPr>
        <w:t> </w:t>
      </w:r>
      <w:r>
        <w:rPr>
          <w:i/>
          <w:color w:val="231F20"/>
          <w:sz w:val="16"/>
        </w:rPr>
        <w:t>Sierra</w:t>
      </w:r>
      <w:r>
        <w:rPr>
          <w:i/>
          <w:color w:val="231F20"/>
          <w:spacing w:val="-6"/>
          <w:sz w:val="16"/>
        </w:rPr>
        <w:t> </w:t>
      </w:r>
      <w:r>
        <w:rPr>
          <w:i/>
          <w:color w:val="231F20"/>
          <w:sz w:val="16"/>
        </w:rPr>
        <w:t>Tarahumara.</w:t>
      </w:r>
      <w:r>
        <w:rPr>
          <w:i/>
          <w:color w:val="231F20"/>
          <w:spacing w:val="-6"/>
          <w:sz w:val="16"/>
        </w:rPr>
        <w:t> </w:t>
      </w:r>
      <w:r>
        <w:rPr>
          <w:color w:val="231F20"/>
          <w:sz w:val="16"/>
        </w:rPr>
        <w:t>Editorial</w:t>
      </w:r>
      <w:r>
        <w:rPr>
          <w:color w:val="231F20"/>
          <w:spacing w:val="-6"/>
          <w:sz w:val="16"/>
        </w:rPr>
        <w:t> </w:t>
      </w:r>
      <w:r>
        <w:rPr>
          <w:color w:val="231F20"/>
          <w:sz w:val="16"/>
        </w:rPr>
        <w:t>académica</w:t>
      </w:r>
      <w:r>
        <w:rPr>
          <w:color w:val="231F20"/>
          <w:spacing w:val="-5"/>
          <w:sz w:val="16"/>
        </w:rPr>
        <w:t> </w:t>
      </w:r>
      <w:r>
        <w:rPr>
          <w:color w:val="231F20"/>
          <w:sz w:val="16"/>
        </w:rPr>
        <w:t>española.</w:t>
      </w:r>
    </w:p>
    <w:p>
      <w:pPr>
        <w:pStyle w:val="Heading3"/>
        <w:spacing w:line="232" w:lineRule="auto"/>
      </w:pPr>
      <w:r>
        <w:rPr>
          <w:color w:val="231F20"/>
        </w:rPr>
        <w:t>Alemania 2012. Shamah, T.; Villalpando, S. y J.A. Rivera, (2007).</w:t>
      </w:r>
    </w:p>
    <w:p>
      <w:pPr>
        <w:spacing w:line="256" w:lineRule="auto" w:before="2"/>
        <w:ind w:left="510" w:right="111" w:firstLine="0"/>
        <w:jc w:val="both"/>
        <w:rPr>
          <w:sz w:val="16"/>
        </w:rPr>
      </w:pPr>
      <w:r>
        <w:rPr>
          <w:i/>
          <w:color w:val="231F20"/>
          <w:sz w:val="16"/>
        </w:rPr>
        <w:t>Resultados</w:t>
      </w:r>
      <w:r>
        <w:rPr>
          <w:i/>
          <w:color w:val="231F20"/>
          <w:spacing w:val="-5"/>
          <w:sz w:val="16"/>
        </w:rPr>
        <w:t> </w:t>
      </w:r>
      <w:r>
        <w:rPr>
          <w:i/>
          <w:color w:val="231F20"/>
          <w:sz w:val="16"/>
        </w:rPr>
        <w:t>de</w:t>
      </w:r>
      <w:r>
        <w:rPr>
          <w:i/>
          <w:color w:val="231F20"/>
          <w:spacing w:val="-5"/>
          <w:sz w:val="16"/>
        </w:rPr>
        <w:t> </w:t>
      </w:r>
      <w:r>
        <w:rPr>
          <w:i/>
          <w:color w:val="231F20"/>
          <w:sz w:val="16"/>
        </w:rPr>
        <w:t>nutrición</w:t>
      </w:r>
      <w:r>
        <w:rPr>
          <w:i/>
          <w:color w:val="231F20"/>
          <w:spacing w:val="-5"/>
          <w:sz w:val="16"/>
        </w:rPr>
        <w:t> </w:t>
      </w:r>
      <w:r>
        <w:rPr>
          <w:i/>
          <w:color w:val="231F20"/>
          <w:sz w:val="16"/>
        </w:rPr>
        <w:t>de</w:t>
      </w:r>
      <w:r>
        <w:rPr>
          <w:i/>
          <w:color w:val="231F20"/>
          <w:spacing w:val="-5"/>
          <w:sz w:val="16"/>
        </w:rPr>
        <w:t> </w:t>
      </w:r>
      <w:r>
        <w:rPr>
          <w:i/>
          <w:color w:val="231F20"/>
          <w:sz w:val="16"/>
        </w:rPr>
        <w:t>la</w:t>
      </w:r>
      <w:r>
        <w:rPr>
          <w:i/>
          <w:color w:val="231F20"/>
          <w:spacing w:val="-5"/>
          <w:sz w:val="16"/>
        </w:rPr>
        <w:t> </w:t>
      </w:r>
      <w:r>
        <w:rPr>
          <w:i/>
          <w:color w:val="231F20"/>
          <w:sz w:val="16"/>
        </w:rPr>
        <w:t>Encuesta</w:t>
      </w:r>
      <w:r>
        <w:rPr>
          <w:i/>
          <w:color w:val="231F20"/>
          <w:spacing w:val="-5"/>
          <w:sz w:val="16"/>
        </w:rPr>
        <w:t> </w:t>
      </w:r>
      <w:r>
        <w:rPr>
          <w:i/>
          <w:color w:val="231F20"/>
          <w:sz w:val="16"/>
        </w:rPr>
        <w:t>Nacional</w:t>
      </w:r>
      <w:r>
        <w:rPr>
          <w:i/>
          <w:color w:val="231F20"/>
          <w:spacing w:val="-5"/>
          <w:sz w:val="16"/>
        </w:rPr>
        <w:t> </w:t>
      </w:r>
      <w:r>
        <w:rPr>
          <w:i/>
          <w:color w:val="231F20"/>
          <w:sz w:val="16"/>
        </w:rPr>
        <w:t>de</w:t>
      </w:r>
      <w:r>
        <w:rPr>
          <w:i/>
          <w:color w:val="231F20"/>
          <w:spacing w:val="-5"/>
          <w:sz w:val="16"/>
        </w:rPr>
        <w:t> </w:t>
      </w:r>
      <w:r>
        <w:rPr>
          <w:i/>
          <w:color w:val="231F20"/>
          <w:sz w:val="16"/>
        </w:rPr>
        <w:t>Salud</w:t>
      </w:r>
      <w:r>
        <w:rPr>
          <w:i/>
          <w:color w:val="231F20"/>
          <w:spacing w:val="-4"/>
          <w:sz w:val="16"/>
        </w:rPr>
        <w:t> </w:t>
      </w:r>
      <w:r>
        <w:rPr>
          <w:i/>
          <w:color w:val="231F20"/>
          <w:sz w:val="16"/>
        </w:rPr>
        <w:t>y</w:t>
      </w:r>
      <w:r>
        <w:rPr>
          <w:i/>
          <w:color w:val="231F20"/>
          <w:spacing w:val="-5"/>
          <w:sz w:val="16"/>
        </w:rPr>
        <w:t> </w:t>
      </w:r>
      <w:r>
        <w:rPr>
          <w:i/>
          <w:color w:val="231F20"/>
          <w:sz w:val="16"/>
        </w:rPr>
        <w:t>Nutrición</w:t>
      </w:r>
      <w:r>
        <w:rPr>
          <w:i/>
          <w:color w:val="231F20"/>
          <w:spacing w:val="-5"/>
          <w:sz w:val="16"/>
        </w:rPr>
        <w:t> </w:t>
      </w:r>
      <w:r>
        <w:rPr>
          <w:i/>
          <w:color w:val="231F20"/>
          <w:sz w:val="16"/>
        </w:rPr>
        <w:t>2006.</w:t>
      </w:r>
      <w:r>
        <w:rPr>
          <w:i/>
          <w:color w:val="231F20"/>
          <w:spacing w:val="-4"/>
          <w:sz w:val="16"/>
        </w:rPr>
        <w:t> </w:t>
      </w:r>
      <w:r>
        <w:rPr>
          <w:color w:val="231F20"/>
          <w:sz w:val="16"/>
        </w:rPr>
        <w:t>Ins- tituto</w:t>
      </w:r>
      <w:r>
        <w:rPr>
          <w:color w:val="231F20"/>
          <w:spacing w:val="-6"/>
          <w:sz w:val="16"/>
        </w:rPr>
        <w:t> </w:t>
      </w:r>
      <w:r>
        <w:rPr>
          <w:color w:val="231F20"/>
          <w:sz w:val="16"/>
        </w:rPr>
        <w:t>Nacional</w:t>
      </w:r>
      <w:r>
        <w:rPr>
          <w:color w:val="231F20"/>
          <w:spacing w:val="-7"/>
          <w:sz w:val="16"/>
        </w:rPr>
        <w:t> </w:t>
      </w:r>
      <w:r>
        <w:rPr>
          <w:color w:val="231F20"/>
          <w:sz w:val="16"/>
        </w:rPr>
        <w:t>de</w:t>
      </w:r>
      <w:r>
        <w:rPr>
          <w:color w:val="231F20"/>
          <w:spacing w:val="-7"/>
          <w:sz w:val="16"/>
        </w:rPr>
        <w:t> </w:t>
      </w:r>
      <w:r>
        <w:rPr>
          <w:color w:val="231F20"/>
          <w:sz w:val="16"/>
        </w:rPr>
        <w:t>Salud</w:t>
      </w:r>
      <w:r>
        <w:rPr>
          <w:color w:val="231F20"/>
          <w:spacing w:val="-7"/>
          <w:sz w:val="16"/>
        </w:rPr>
        <w:t> </w:t>
      </w:r>
      <w:r>
        <w:rPr>
          <w:color w:val="231F20"/>
          <w:sz w:val="16"/>
        </w:rPr>
        <w:t>Pública.</w:t>
      </w:r>
      <w:r>
        <w:rPr>
          <w:color w:val="231F20"/>
          <w:spacing w:val="-7"/>
          <w:sz w:val="16"/>
        </w:rPr>
        <w:t> </w:t>
      </w:r>
      <w:r>
        <w:rPr>
          <w:color w:val="231F20"/>
          <w:sz w:val="16"/>
        </w:rPr>
        <w:t>Cuernavaca</w:t>
      </w:r>
      <w:r>
        <w:rPr>
          <w:color w:val="231F20"/>
          <w:spacing w:val="-6"/>
          <w:sz w:val="16"/>
        </w:rPr>
        <w:t> </w:t>
      </w:r>
      <w:r>
        <w:rPr>
          <w:color w:val="231F20"/>
          <w:sz w:val="16"/>
        </w:rPr>
        <w:t>México.</w:t>
      </w:r>
    </w:p>
    <w:sectPr>
      <w:pgSz w:w="7920" w:h="12240"/>
      <w:pgMar w:header="0" w:footer="616" w:top="1140" w:bottom="8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557907pt;margin-top:567.184021pt;width:10.9pt;height:11pt;mso-position-horizontal-relative:page;mso-position-vertical-relative:page;z-index:-8800" type="#_x0000_t202" filled="false" stroked="false">
          <v:textbox inset="0,0,0,0">
            <w:txbxContent>
              <w:p>
                <w:pPr>
                  <w:spacing w:line="206" w:lineRule="exact" w:before="0"/>
                  <w:ind w:left="20" w:right="0" w:firstLine="0"/>
                  <w:jc w:val="left"/>
                  <w:rPr>
                    <w:b/>
                    <w:sz w:val="18"/>
                  </w:rPr>
                </w:pPr>
                <w:r>
                  <w:rPr>
                    <w:b/>
                    <w:color w:val="231F20"/>
                    <w:w w:val="166"/>
                    <w:sz w:val="18"/>
                  </w:rPr>
                  <w:t>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3.673599pt;margin-top:567.184021pt;width:28.65pt;height:11pt;mso-position-horizontal-relative:page;mso-position-vertical-relative:page;z-index:-8776" type="#_x0000_t202" filled="false" stroked="false">
          <v:textbox inset="0,0,0,0">
            <w:txbxContent>
              <w:p>
                <w:pPr>
                  <w:spacing w:line="206" w:lineRule="exact" w:before="0"/>
                  <w:ind w:left="20" w:right="0" w:firstLine="0"/>
                  <w:jc w:val="left"/>
                  <w:rPr>
                    <w:b/>
                    <w:sz w:val="18"/>
                  </w:rPr>
                </w:pPr>
                <w:r>
                  <w:rPr>
                    <w:b/>
                    <w:color w:val="231F20"/>
                    <w:w w:val="165"/>
                    <w:sz w:val="18"/>
                  </w:rPr>
                  <w:t>219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8752" type="#_x0000_t202" filled="false" stroked="false">
          <v:textbox inset="0,0,0,0">
            <w:txbxContent>
              <w:p>
                <w:pPr>
                  <w:spacing w:line="206" w:lineRule="exact" w:before="0"/>
                  <w:ind w:left="20" w:right="0" w:firstLine="0"/>
                  <w:jc w:val="left"/>
                  <w:rPr>
                    <w:b/>
                    <w:sz w:val="18"/>
                  </w:rPr>
                </w:pPr>
                <w:r>
                  <w:rPr>
                    <w:b/>
                    <w:color w:val="231F20"/>
                    <w:w w:val="165"/>
                    <w:sz w:val="18"/>
                  </w:rPr>
                  <w:t>220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182.673599pt;margin-top:567.184021pt;width:31.5pt;height:11pt;mso-position-horizontal-relative:page;mso-position-vertical-relative:page;z-index:-8728"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226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8704" type="#_x0000_t202" filled="false" stroked="false">
          <v:textbox inset="0,0,0,0">
            <w:txbxContent>
              <w:p>
                <w:pPr>
                  <w:spacing w:line="206" w:lineRule="exact" w:before="0"/>
                  <w:ind w:left="20" w:right="0" w:firstLine="0"/>
                  <w:jc w:val="left"/>
                  <w:rPr>
                    <w:b/>
                    <w:sz w:val="18"/>
                  </w:rPr>
                </w:pPr>
                <w:r>
                  <w:rPr>
                    <w:b/>
                    <w:color w:val="231F20"/>
                    <w:w w:val="165"/>
                    <w:sz w:val="18"/>
                  </w:rPr>
                  <w:t>230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868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231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1"/>
      <w:szCs w:val="21"/>
    </w:rPr>
  </w:style>
  <w:style w:styleId="Heading1" w:type="paragraph">
    <w:name w:val="Heading 1"/>
    <w:basedOn w:val="Normal"/>
    <w:uiPriority w:val="1"/>
    <w:qFormat/>
    <w:pPr>
      <w:spacing w:before="12"/>
      <w:ind w:left="229" w:right="229"/>
      <w:jc w:val="center"/>
      <w:outlineLvl w:val="1"/>
    </w:pPr>
    <w:rPr>
      <w:rFonts w:ascii="Cambria" w:hAnsi="Cambria" w:eastAsia="Cambria" w:cs="Cambria"/>
      <w:b/>
      <w:bCs/>
      <w:sz w:val="28"/>
      <w:szCs w:val="28"/>
    </w:rPr>
  </w:style>
  <w:style w:styleId="Heading2" w:type="paragraph">
    <w:name w:val="Heading 2"/>
    <w:basedOn w:val="Normal"/>
    <w:uiPriority w:val="1"/>
    <w:qFormat/>
    <w:pPr>
      <w:ind w:left="113"/>
      <w:jc w:val="both"/>
      <w:outlineLvl w:val="2"/>
    </w:pPr>
    <w:rPr>
      <w:rFonts w:ascii="Cambria" w:hAnsi="Cambria" w:eastAsia="Cambria" w:cs="Cambria"/>
      <w:b/>
      <w:bCs/>
      <w:sz w:val="24"/>
      <w:szCs w:val="24"/>
    </w:rPr>
  </w:style>
  <w:style w:styleId="Heading3" w:type="paragraph">
    <w:name w:val="Heading 3"/>
    <w:basedOn w:val="Normal"/>
    <w:uiPriority w:val="1"/>
    <w:qFormat/>
    <w:pPr>
      <w:spacing w:line="238" w:lineRule="exact"/>
      <w:ind w:left="113"/>
      <w:outlineLvl w:val="3"/>
    </w:pPr>
    <w:rPr>
      <w:rFonts w:ascii="Cambria" w:hAnsi="Cambria" w:eastAsia="Cambria" w:cs="Cambria"/>
      <w:b/>
      <w:bCs/>
      <w:sz w:val="21"/>
      <w:szCs w:val="21"/>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footer" Target="footer5.xml"/><Relationship Id="rId22" Type="http://schemas.openxmlformats.org/officeDocument/2006/relationships/image" Target="media/image13.png"/><Relationship Id="rId23" Type="http://schemas.openxmlformats.org/officeDocument/2006/relationships/footer" Target="footer6.xml"/><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hyperlink" Target="http://kepler.uag.mx/uagwbt/nutriv10/guias/desn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2017-05-24T19:45:47Z</dcterms:created>
  <dcterms:modified xsi:type="dcterms:W3CDTF">2017-05-24T19:45:47Z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2016-10-06T00:00:00Z</vt:filetime>
  </property>
  <property fmtid="{D5CDD505-2E9C-101B-9397-08002B2CF9AE}" pid="3" name="LastSaved">
    <vt:filetime>2017-05-24T00:00:00Z</vt:filetime>
  </property>
</Properties>
</file>