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2E42" w:rsidRPr="00322E42" w:rsidRDefault="00322E42" w:rsidP="00322E42">
      <w:pPr>
        <w:rPr>
          <w:rFonts w:ascii="Arial" w:eastAsia="Calibri" w:hAnsi="Arial" w:cs="Arial"/>
          <w:sz w:val="24"/>
          <w:szCs w:val="24"/>
        </w:rPr>
      </w:pPr>
      <w:bookmarkStart w:id="0" w:name="_GoBack"/>
      <w:r w:rsidRPr="00322E42">
        <w:rPr>
          <w:rFonts w:ascii="Arial" w:eastAsia="Calibri" w:hAnsi="Arial" w:cs="Arial"/>
          <w:sz w:val="24"/>
          <w:szCs w:val="24"/>
        </w:rPr>
        <w:t xml:space="preserve">Del proyecto de investigación en cuestión se han desprendido las siguientes </w:t>
      </w:r>
      <w:bookmarkEnd w:id="0"/>
      <w:r w:rsidRPr="00322E42">
        <w:rPr>
          <w:rFonts w:ascii="Arial" w:eastAsia="Calibri" w:hAnsi="Arial" w:cs="Arial"/>
          <w:sz w:val="24"/>
          <w:szCs w:val="24"/>
        </w:rPr>
        <w:t>actividades:</w:t>
      </w:r>
    </w:p>
    <w:p w:rsidR="00322E42" w:rsidRPr="00322E42" w:rsidRDefault="00322E42" w:rsidP="00322E42">
      <w:pPr>
        <w:keepNext/>
        <w:outlineLvl w:val="0"/>
        <w:rPr>
          <w:rFonts w:ascii="Arial" w:eastAsia="Calibri" w:hAnsi="Arial" w:cs="Arial"/>
          <w:b/>
          <w:sz w:val="24"/>
          <w:szCs w:val="24"/>
        </w:rPr>
      </w:pPr>
      <w:r w:rsidRPr="00322E42">
        <w:rPr>
          <w:rFonts w:ascii="Arial" w:eastAsia="Calibri" w:hAnsi="Arial" w:cs="Arial"/>
          <w:b/>
          <w:sz w:val="24"/>
          <w:szCs w:val="24"/>
        </w:rPr>
        <w:t>Difusión de resultados en congresos</w:t>
      </w:r>
    </w:p>
    <w:p w:rsidR="00322E42" w:rsidRPr="00322E42" w:rsidRDefault="00322E42" w:rsidP="00322E42">
      <w:pPr>
        <w:spacing w:after="0" w:line="240" w:lineRule="auto"/>
        <w:jc w:val="both"/>
        <w:rPr>
          <w:rFonts w:ascii="Arial" w:eastAsia="Calibri" w:hAnsi="Arial" w:cs="Arial"/>
          <w:sz w:val="24"/>
          <w:szCs w:val="24"/>
          <w:lang w:val="es-ES"/>
        </w:rPr>
      </w:pPr>
    </w:p>
    <w:p w:rsidR="00322E42" w:rsidRPr="00322E42" w:rsidRDefault="00322E42" w:rsidP="00322E42">
      <w:pPr>
        <w:numPr>
          <w:ilvl w:val="0"/>
          <w:numId w:val="27"/>
        </w:numPr>
        <w:spacing w:after="0" w:line="240" w:lineRule="auto"/>
        <w:contextualSpacing/>
        <w:jc w:val="both"/>
        <w:rPr>
          <w:rFonts w:ascii="Albertus Extra Bold" w:eastAsia="Calibri" w:hAnsi="Albertus Extra Bold" w:cs="Arial"/>
          <w:sz w:val="24"/>
          <w:szCs w:val="24"/>
          <w:lang w:val="es-ES"/>
        </w:rPr>
      </w:pPr>
      <w:r w:rsidRPr="00322E42">
        <w:rPr>
          <w:rFonts w:ascii="Arial" w:eastAsia="Calibri" w:hAnsi="Arial" w:cs="Arial"/>
          <w:sz w:val="24"/>
          <w:szCs w:val="24"/>
          <w:lang w:val="es-ES"/>
        </w:rPr>
        <w:t xml:space="preserve">Se presentaron los avances del proyecto en el Congreso Internacional de Investigación de Academia Journals Chiapas 2014, a través de la ponencia “Integración mundial en la sociedad del conocimiento de la educación superior de América Latina y el Caribe: cooperación multilateral y regional” </w:t>
      </w:r>
    </w:p>
    <w:p w:rsidR="00322E42" w:rsidRPr="00322E42" w:rsidRDefault="00322E42" w:rsidP="00322E42">
      <w:pPr>
        <w:spacing w:after="0" w:line="240" w:lineRule="auto"/>
        <w:ind w:left="720"/>
        <w:contextualSpacing/>
        <w:jc w:val="both"/>
        <w:rPr>
          <w:rFonts w:ascii="Albertus Extra Bold" w:eastAsia="Calibri" w:hAnsi="Albertus Extra Bold" w:cs="Arial"/>
          <w:sz w:val="24"/>
          <w:szCs w:val="24"/>
          <w:lang w:val="es-ES"/>
        </w:rPr>
      </w:pPr>
    </w:p>
    <w:p w:rsidR="00322E42" w:rsidRPr="00322E42" w:rsidRDefault="00322E42" w:rsidP="00322E42">
      <w:pPr>
        <w:numPr>
          <w:ilvl w:val="0"/>
          <w:numId w:val="27"/>
        </w:numPr>
        <w:tabs>
          <w:tab w:val="left" w:pos="709"/>
        </w:tabs>
        <w:spacing w:after="0" w:line="240" w:lineRule="auto"/>
        <w:contextualSpacing/>
        <w:jc w:val="both"/>
        <w:rPr>
          <w:rFonts w:ascii="Arial" w:eastAsia="Calibri" w:hAnsi="Arial" w:cs="Arial"/>
          <w:sz w:val="24"/>
          <w:szCs w:val="24"/>
          <w:lang w:val="es-ES"/>
        </w:rPr>
      </w:pPr>
      <w:r w:rsidRPr="00322E42">
        <w:rPr>
          <w:rFonts w:ascii="Arial" w:eastAsia="Calibri" w:hAnsi="Arial" w:cs="Arial"/>
          <w:sz w:val="24"/>
          <w:szCs w:val="24"/>
          <w:lang w:val="es-ES"/>
        </w:rPr>
        <w:t xml:space="preserve">Se llevó a cabo la conferencia “Integración mundial en la sociedad del conocimiento de la educación superior de América Latina y el Caribe a través de los acuerdos de cooperación multilateral y regional (2000-2012) en la Facultad de Ciencias de la Conducta de la UAEM. </w:t>
      </w:r>
    </w:p>
    <w:p w:rsidR="00322E42" w:rsidRPr="00322E42" w:rsidRDefault="00322E42" w:rsidP="00322E42">
      <w:pPr>
        <w:tabs>
          <w:tab w:val="left" w:pos="709"/>
        </w:tabs>
        <w:spacing w:after="0" w:line="240" w:lineRule="auto"/>
        <w:contextualSpacing/>
        <w:jc w:val="both"/>
        <w:rPr>
          <w:rFonts w:ascii="Arial" w:eastAsia="Calibri" w:hAnsi="Arial" w:cs="Arial"/>
          <w:sz w:val="24"/>
          <w:szCs w:val="24"/>
          <w:lang w:val="es-ES"/>
        </w:rPr>
      </w:pPr>
    </w:p>
    <w:p w:rsidR="00322E42" w:rsidRPr="00322E42" w:rsidRDefault="00322E42" w:rsidP="00322E42">
      <w:pPr>
        <w:tabs>
          <w:tab w:val="left" w:pos="709"/>
        </w:tabs>
        <w:spacing w:after="0" w:line="240" w:lineRule="auto"/>
        <w:contextualSpacing/>
        <w:jc w:val="both"/>
        <w:rPr>
          <w:rFonts w:ascii="Arial" w:eastAsia="Calibri" w:hAnsi="Arial" w:cs="Arial"/>
          <w:b/>
          <w:sz w:val="24"/>
          <w:szCs w:val="24"/>
          <w:lang w:val="es-ES"/>
        </w:rPr>
      </w:pPr>
      <w:r w:rsidRPr="00322E42">
        <w:rPr>
          <w:rFonts w:ascii="Arial" w:eastAsia="Calibri" w:hAnsi="Arial" w:cs="Arial"/>
          <w:b/>
          <w:sz w:val="24"/>
          <w:szCs w:val="24"/>
          <w:lang w:val="es-ES"/>
        </w:rPr>
        <w:t>Publicaciones diversas</w:t>
      </w:r>
    </w:p>
    <w:p w:rsidR="00322E42" w:rsidRPr="00322E42" w:rsidRDefault="00322E42" w:rsidP="00322E42">
      <w:pPr>
        <w:tabs>
          <w:tab w:val="left" w:pos="709"/>
        </w:tabs>
        <w:spacing w:after="0" w:line="240" w:lineRule="auto"/>
        <w:contextualSpacing/>
        <w:jc w:val="both"/>
        <w:rPr>
          <w:rFonts w:ascii="Arial" w:eastAsia="Calibri" w:hAnsi="Arial" w:cs="Arial"/>
          <w:b/>
          <w:sz w:val="24"/>
          <w:szCs w:val="24"/>
          <w:lang w:val="es-ES"/>
        </w:rPr>
      </w:pPr>
    </w:p>
    <w:p w:rsidR="00322E42" w:rsidRPr="00322E42" w:rsidRDefault="00322E42" w:rsidP="00322E42">
      <w:pPr>
        <w:numPr>
          <w:ilvl w:val="0"/>
          <w:numId w:val="28"/>
        </w:numPr>
        <w:tabs>
          <w:tab w:val="left" w:pos="709"/>
        </w:tabs>
        <w:spacing w:after="0" w:line="240" w:lineRule="auto"/>
        <w:contextualSpacing/>
        <w:jc w:val="both"/>
        <w:rPr>
          <w:rFonts w:ascii="Arial" w:eastAsia="Calibri" w:hAnsi="Arial" w:cs="Arial"/>
          <w:sz w:val="24"/>
          <w:szCs w:val="24"/>
          <w:lang w:val="es-ES"/>
        </w:rPr>
      </w:pPr>
      <w:r w:rsidRPr="00322E42">
        <w:rPr>
          <w:rFonts w:ascii="Arial" w:eastAsia="Calibri" w:hAnsi="Arial" w:cs="Arial"/>
          <w:sz w:val="24"/>
          <w:szCs w:val="24"/>
          <w:lang w:val="es-ES"/>
        </w:rPr>
        <w:t>Se enviaron 2 artículos especializados para su dictamen correspondiente.</w:t>
      </w:r>
    </w:p>
    <w:p w:rsidR="00322E42" w:rsidRPr="00322E42" w:rsidRDefault="00322E42" w:rsidP="00322E42">
      <w:pPr>
        <w:numPr>
          <w:ilvl w:val="0"/>
          <w:numId w:val="29"/>
        </w:numPr>
        <w:shd w:val="clear" w:color="auto" w:fill="FFFFFF"/>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9" w:lineRule="atLeast"/>
        <w:jc w:val="both"/>
        <w:rPr>
          <w:rFonts w:ascii="Arial" w:eastAsia="Times New Roman" w:hAnsi="Arial" w:cs="Arial"/>
          <w:color w:val="000000"/>
          <w:sz w:val="24"/>
          <w:szCs w:val="24"/>
          <w:lang w:eastAsia="es-MX"/>
        </w:rPr>
      </w:pPr>
      <w:r w:rsidRPr="00322E42">
        <w:rPr>
          <w:rFonts w:ascii="Arial" w:eastAsia="Times New Roman" w:hAnsi="Arial" w:cs="Arial"/>
          <w:color w:val="000000"/>
          <w:sz w:val="24"/>
          <w:szCs w:val="24"/>
          <w:lang w:eastAsia="es-MX"/>
        </w:rPr>
        <w:t>Compensatory policies addresing social inequality in educational    practice among vulnerable groups in higher education in México.</w:t>
      </w:r>
    </w:p>
    <w:p w:rsidR="00322E42" w:rsidRPr="00322E42" w:rsidRDefault="00322E42" w:rsidP="00322E42">
      <w:pPr>
        <w:shd w:val="clear" w:color="auto" w:fill="FFFFFF"/>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9" w:lineRule="atLeast"/>
        <w:ind w:left="1080"/>
        <w:jc w:val="both"/>
        <w:rPr>
          <w:rFonts w:ascii="Arial" w:eastAsia="Times New Roman" w:hAnsi="Arial" w:cs="Arial"/>
          <w:color w:val="000000"/>
          <w:sz w:val="24"/>
          <w:szCs w:val="24"/>
          <w:lang w:eastAsia="es-MX"/>
        </w:rPr>
      </w:pPr>
    </w:p>
    <w:p w:rsidR="00322E42" w:rsidRPr="00322E42" w:rsidRDefault="00322E42" w:rsidP="00322E42">
      <w:pPr>
        <w:numPr>
          <w:ilvl w:val="0"/>
          <w:numId w:val="29"/>
        </w:numPr>
        <w:shd w:val="clear" w:color="auto" w:fill="FFFFFF"/>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9" w:lineRule="atLeast"/>
        <w:rPr>
          <w:rFonts w:ascii="Arial" w:eastAsia="Times New Roman" w:hAnsi="Arial" w:cs="Arial"/>
          <w:color w:val="000000"/>
          <w:sz w:val="24"/>
          <w:szCs w:val="24"/>
          <w:lang w:eastAsia="es-MX"/>
        </w:rPr>
      </w:pPr>
      <w:r w:rsidRPr="00322E42">
        <w:rPr>
          <w:rFonts w:ascii="Arial" w:eastAsia="Times New Roman" w:hAnsi="Arial" w:cs="Arial"/>
          <w:color w:val="000000"/>
          <w:sz w:val="24"/>
          <w:szCs w:val="24"/>
          <w:lang w:eastAsia="es-MX"/>
        </w:rPr>
        <w:t>The meaning of social responsability in public universities.</w:t>
      </w:r>
    </w:p>
    <w:p w:rsidR="00322E42" w:rsidRPr="00322E42" w:rsidRDefault="00322E42" w:rsidP="00322E42">
      <w:pPr>
        <w:shd w:val="clear" w:color="auto" w:fill="FFFFFF"/>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9" w:lineRule="atLeast"/>
        <w:ind w:left="720"/>
        <w:rPr>
          <w:rFonts w:ascii="Arial" w:eastAsia="Times New Roman" w:hAnsi="Arial" w:cs="Arial"/>
          <w:color w:val="000000"/>
          <w:sz w:val="24"/>
          <w:szCs w:val="24"/>
          <w:lang w:eastAsia="es-MX"/>
        </w:rPr>
      </w:pPr>
    </w:p>
    <w:p w:rsidR="00322E42" w:rsidRPr="00322E42" w:rsidRDefault="00322E42" w:rsidP="00322E42">
      <w:pPr>
        <w:shd w:val="clear" w:color="auto" w:fill="FFFFFF"/>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9" w:lineRule="atLeast"/>
        <w:ind w:left="720"/>
        <w:rPr>
          <w:rFonts w:ascii="Arial" w:eastAsia="Times New Roman" w:hAnsi="Arial" w:cs="Arial"/>
          <w:color w:val="000000"/>
          <w:sz w:val="24"/>
          <w:szCs w:val="24"/>
          <w:lang w:eastAsia="es-MX"/>
        </w:rPr>
      </w:pPr>
      <w:r w:rsidRPr="00322E42">
        <w:rPr>
          <w:rFonts w:ascii="Arial" w:eastAsia="Times New Roman" w:hAnsi="Arial" w:cs="Arial"/>
          <w:color w:val="000000"/>
          <w:sz w:val="24"/>
          <w:szCs w:val="24"/>
          <w:lang w:eastAsia="es-MX"/>
        </w:rPr>
        <w:t>Estamos en espera del dictamen de ambos artículos.</w:t>
      </w:r>
    </w:p>
    <w:p w:rsidR="00322E42" w:rsidRPr="00322E42" w:rsidRDefault="00322E42" w:rsidP="00322E42">
      <w:pPr>
        <w:shd w:val="clear" w:color="auto" w:fill="FFFFFF"/>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9" w:lineRule="atLeast"/>
        <w:ind w:left="720"/>
        <w:rPr>
          <w:rFonts w:ascii="Arial" w:eastAsia="Times New Roman" w:hAnsi="Arial" w:cs="Arial"/>
          <w:color w:val="000000"/>
          <w:sz w:val="24"/>
          <w:szCs w:val="24"/>
          <w:lang w:eastAsia="es-MX"/>
        </w:rPr>
      </w:pPr>
    </w:p>
    <w:p w:rsidR="00322E42" w:rsidRPr="00322E42" w:rsidRDefault="00322E42" w:rsidP="00322E42">
      <w:pPr>
        <w:numPr>
          <w:ilvl w:val="0"/>
          <w:numId w:val="29"/>
        </w:numPr>
        <w:shd w:val="clear" w:color="auto" w:fill="FFFFFF"/>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9" w:lineRule="atLeast"/>
        <w:jc w:val="both"/>
        <w:rPr>
          <w:rFonts w:ascii="Arial" w:eastAsia="Times New Roman" w:hAnsi="Arial" w:cs="Arial"/>
          <w:color w:val="000000"/>
          <w:sz w:val="24"/>
          <w:szCs w:val="24"/>
          <w:lang w:eastAsia="es-MX"/>
        </w:rPr>
      </w:pPr>
      <w:r w:rsidRPr="00322E42">
        <w:rPr>
          <w:rFonts w:ascii="Arial" w:eastAsia="Calibri" w:hAnsi="Arial" w:cs="Arial"/>
          <w:sz w:val="24"/>
          <w:szCs w:val="24"/>
          <w:lang w:val="es-ES"/>
        </w:rPr>
        <w:t>Integración mundial en la sociedad del conocimiento de la educación superior de América Latina y el Caribe: cooperación multilateral y regional. Memorias del Congreso Internacional de Investigación de Academia Journals Chiapas 2014. ISSN1946 – 5351 Online. Página 1740-1745.</w:t>
      </w:r>
    </w:p>
    <w:p w:rsidR="00322E42" w:rsidRPr="00322E42" w:rsidRDefault="00322E42" w:rsidP="00322E42">
      <w:pPr>
        <w:shd w:val="clear" w:color="auto" w:fill="FFFFFF"/>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9" w:lineRule="atLeast"/>
        <w:ind w:left="1080"/>
        <w:jc w:val="both"/>
        <w:rPr>
          <w:rFonts w:ascii="Arial" w:eastAsia="Times New Roman" w:hAnsi="Arial" w:cs="Arial"/>
          <w:color w:val="000000"/>
          <w:sz w:val="24"/>
          <w:szCs w:val="24"/>
          <w:lang w:eastAsia="es-MX"/>
        </w:rPr>
      </w:pPr>
    </w:p>
    <w:p w:rsidR="00322E42" w:rsidRPr="00322E42" w:rsidRDefault="00322E42" w:rsidP="00322E42">
      <w:pPr>
        <w:numPr>
          <w:ilvl w:val="0"/>
          <w:numId w:val="29"/>
        </w:numPr>
        <w:shd w:val="clear" w:color="auto" w:fill="FFFFFF"/>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9" w:lineRule="atLeast"/>
        <w:jc w:val="both"/>
        <w:rPr>
          <w:rFonts w:ascii="Arial" w:eastAsia="Times New Roman" w:hAnsi="Arial" w:cs="Arial"/>
          <w:color w:val="000000"/>
          <w:sz w:val="24"/>
          <w:szCs w:val="24"/>
          <w:lang w:eastAsia="es-MX"/>
        </w:rPr>
      </w:pPr>
      <w:r w:rsidRPr="00322E42">
        <w:rPr>
          <w:rFonts w:ascii="Arial" w:eastAsia="Calibri" w:hAnsi="Arial" w:cs="Arial"/>
          <w:sz w:val="24"/>
          <w:szCs w:val="24"/>
          <w:lang w:val="es-ES"/>
        </w:rPr>
        <w:t xml:space="preserve">Se participó en la elaboración del prólogo del libro Miradas y prácticas de la investigación psicológica y social. Benemérita Universidad Autónoma de Puebla. </w:t>
      </w:r>
    </w:p>
    <w:p w:rsidR="00322E42" w:rsidRPr="00322E42" w:rsidRDefault="00322E42" w:rsidP="00322E42">
      <w:pPr>
        <w:shd w:val="clear" w:color="auto" w:fill="FFFFFF"/>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9" w:lineRule="atLeast"/>
        <w:ind w:left="1080"/>
        <w:jc w:val="both"/>
        <w:rPr>
          <w:rFonts w:ascii="Arial" w:eastAsia="Times New Roman" w:hAnsi="Arial" w:cs="Arial"/>
          <w:color w:val="444444"/>
          <w:sz w:val="24"/>
          <w:szCs w:val="24"/>
          <w:lang w:eastAsia="es-MX"/>
        </w:rPr>
      </w:pPr>
    </w:p>
    <w:p w:rsidR="00322E42" w:rsidRPr="00322E42" w:rsidRDefault="00322E42" w:rsidP="00322E42">
      <w:pPr>
        <w:shd w:val="clear" w:color="auto" w:fill="FFFFFF"/>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9" w:lineRule="atLeast"/>
        <w:ind w:left="1080"/>
        <w:jc w:val="both"/>
        <w:rPr>
          <w:rFonts w:ascii="Arial" w:eastAsia="Times New Roman" w:hAnsi="Arial" w:cs="Arial"/>
          <w:color w:val="444444"/>
          <w:sz w:val="24"/>
          <w:szCs w:val="24"/>
          <w:lang w:eastAsia="es-MX"/>
        </w:rPr>
      </w:pPr>
    </w:p>
    <w:p w:rsidR="00322E42" w:rsidRPr="00322E42" w:rsidRDefault="00322E42" w:rsidP="00322E42">
      <w:pPr>
        <w:tabs>
          <w:tab w:val="left" w:pos="709"/>
        </w:tabs>
        <w:spacing w:after="0" w:line="240" w:lineRule="auto"/>
        <w:contextualSpacing/>
        <w:rPr>
          <w:rFonts w:ascii="Arial" w:eastAsia="Calibri" w:hAnsi="Arial" w:cs="Arial"/>
          <w:sz w:val="24"/>
          <w:szCs w:val="24"/>
          <w:lang w:val="es-ES"/>
        </w:rPr>
      </w:pPr>
    </w:p>
    <w:p w:rsidR="00322E42" w:rsidRPr="00322E42" w:rsidRDefault="00322E42" w:rsidP="00322E42">
      <w:pPr>
        <w:tabs>
          <w:tab w:val="left" w:pos="709"/>
        </w:tabs>
        <w:spacing w:after="0" w:line="240" w:lineRule="auto"/>
        <w:contextualSpacing/>
        <w:rPr>
          <w:rFonts w:ascii="Arial" w:eastAsia="Calibri" w:hAnsi="Arial" w:cs="Arial"/>
          <w:sz w:val="24"/>
          <w:szCs w:val="24"/>
          <w:lang w:val="es-ES"/>
        </w:rPr>
      </w:pPr>
    </w:p>
    <w:p w:rsidR="00322E42" w:rsidRPr="00322E42" w:rsidRDefault="00322E42" w:rsidP="00322E42">
      <w:pPr>
        <w:ind w:left="708"/>
        <w:rPr>
          <w:rFonts w:ascii="Arial" w:eastAsia="Calibri" w:hAnsi="Arial" w:cs="Arial"/>
          <w:sz w:val="24"/>
          <w:szCs w:val="24"/>
          <w:lang w:val="es-ES"/>
        </w:rPr>
      </w:pPr>
    </w:p>
    <w:p w:rsidR="00322E42" w:rsidRPr="00322E42" w:rsidRDefault="00322E42" w:rsidP="00322E42">
      <w:pPr>
        <w:ind w:left="708"/>
        <w:rPr>
          <w:rFonts w:ascii="Arial" w:eastAsia="Calibri" w:hAnsi="Arial" w:cs="Arial"/>
          <w:sz w:val="24"/>
          <w:szCs w:val="24"/>
          <w:lang w:val="es-ES"/>
        </w:rPr>
      </w:pPr>
    </w:p>
    <w:p w:rsidR="00CC355A" w:rsidRPr="00D96B44" w:rsidRDefault="00322E42" w:rsidP="00926DEE">
      <w:pPr>
        <w:autoSpaceDE w:val="0"/>
        <w:autoSpaceDN w:val="0"/>
        <w:adjustRightInd w:val="0"/>
        <w:spacing w:after="0" w:line="480" w:lineRule="auto"/>
        <w:jc w:val="center"/>
        <w:rPr>
          <w:rFonts w:ascii="Arial" w:hAnsi="Arial" w:cs="Arial"/>
          <w:b/>
          <w:sz w:val="24"/>
          <w:szCs w:val="24"/>
        </w:rPr>
      </w:pPr>
      <w:r>
        <w:rPr>
          <w:rFonts w:ascii="Arial" w:hAnsi="Arial" w:cs="Arial"/>
          <w:b/>
          <w:sz w:val="24"/>
          <w:szCs w:val="24"/>
        </w:rPr>
        <w:lastRenderedPageBreak/>
        <w:t>I</w:t>
      </w:r>
      <w:r w:rsidR="00CC355A" w:rsidRPr="00D96B44">
        <w:rPr>
          <w:rFonts w:ascii="Arial" w:hAnsi="Arial" w:cs="Arial"/>
          <w:b/>
          <w:sz w:val="24"/>
          <w:szCs w:val="24"/>
        </w:rPr>
        <w:t>ntegración mundial en la sociedad d</w:t>
      </w:r>
      <w:r w:rsidR="00D96B44">
        <w:rPr>
          <w:rFonts w:ascii="Arial" w:hAnsi="Arial" w:cs="Arial"/>
          <w:b/>
          <w:sz w:val="24"/>
          <w:szCs w:val="24"/>
        </w:rPr>
        <w:t xml:space="preserve">el conocimiento de la educación </w:t>
      </w:r>
      <w:r w:rsidR="00CC355A" w:rsidRPr="00D96B44">
        <w:rPr>
          <w:rFonts w:ascii="Arial" w:hAnsi="Arial" w:cs="Arial"/>
          <w:b/>
          <w:sz w:val="24"/>
          <w:szCs w:val="24"/>
        </w:rPr>
        <w:t>superior de</w:t>
      </w:r>
      <w:r w:rsidR="00D96B44">
        <w:rPr>
          <w:rFonts w:ascii="Arial" w:hAnsi="Arial" w:cs="Arial"/>
          <w:b/>
          <w:sz w:val="24"/>
          <w:szCs w:val="24"/>
        </w:rPr>
        <w:t xml:space="preserve"> </w:t>
      </w:r>
      <w:r w:rsidR="00CC355A" w:rsidRPr="00D96B44">
        <w:rPr>
          <w:rFonts w:ascii="Arial" w:hAnsi="Arial" w:cs="Arial"/>
          <w:b/>
          <w:sz w:val="24"/>
          <w:szCs w:val="24"/>
        </w:rPr>
        <w:t>América Latina y el Car</w:t>
      </w:r>
      <w:r w:rsidR="00D96B44">
        <w:rPr>
          <w:rFonts w:ascii="Arial" w:hAnsi="Arial" w:cs="Arial"/>
          <w:b/>
          <w:sz w:val="24"/>
          <w:szCs w:val="24"/>
        </w:rPr>
        <w:t xml:space="preserve">ibe a través de los acuerdos de </w:t>
      </w:r>
      <w:r w:rsidR="00CC355A" w:rsidRPr="00D96B44">
        <w:rPr>
          <w:rFonts w:ascii="Arial" w:hAnsi="Arial" w:cs="Arial"/>
          <w:b/>
          <w:sz w:val="24"/>
          <w:szCs w:val="24"/>
        </w:rPr>
        <w:t>cooperación multilateral y</w:t>
      </w:r>
    </w:p>
    <w:p w:rsidR="00041F49" w:rsidRPr="00322E42" w:rsidRDefault="00D96B44" w:rsidP="00322E42">
      <w:pPr>
        <w:spacing w:line="480" w:lineRule="auto"/>
        <w:jc w:val="center"/>
        <w:rPr>
          <w:rFonts w:ascii="Arial" w:hAnsi="Arial" w:cs="Arial"/>
          <w:b/>
          <w:sz w:val="24"/>
          <w:szCs w:val="24"/>
        </w:rPr>
      </w:pPr>
      <w:r>
        <w:rPr>
          <w:rFonts w:ascii="Arial" w:hAnsi="Arial" w:cs="Arial"/>
          <w:b/>
          <w:sz w:val="24"/>
          <w:szCs w:val="24"/>
        </w:rPr>
        <w:t>r</w:t>
      </w:r>
      <w:r w:rsidR="000169E8" w:rsidRPr="00D96B44">
        <w:rPr>
          <w:rFonts w:ascii="Arial" w:hAnsi="Arial" w:cs="Arial"/>
          <w:b/>
          <w:sz w:val="24"/>
          <w:szCs w:val="24"/>
        </w:rPr>
        <w:t>egional</w:t>
      </w:r>
      <w:r w:rsidR="00322E42">
        <w:rPr>
          <w:rFonts w:ascii="Arial" w:hAnsi="Arial" w:cs="Arial"/>
          <w:b/>
          <w:sz w:val="24"/>
          <w:szCs w:val="24"/>
        </w:rPr>
        <w:t xml:space="preserve"> (2000-2012)</w:t>
      </w:r>
    </w:p>
    <w:p w:rsidR="00CC355A" w:rsidRPr="000169E8" w:rsidRDefault="00CC355A" w:rsidP="00926DEE">
      <w:pPr>
        <w:tabs>
          <w:tab w:val="left" w:pos="3544"/>
        </w:tabs>
        <w:spacing w:line="480" w:lineRule="auto"/>
        <w:jc w:val="both"/>
        <w:rPr>
          <w:rFonts w:ascii="Arial" w:hAnsi="Arial" w:cs="Arial"/>
          <w:b/>
          <w:i/>
          <w:sz w:val="24"/>
          <w:szCs w:val="24"/>
        </w:rPr>
      </w:pPr>
      <w:r w:rsidRPr="000169E8">
        <w:rPr>
          <w:rFonts w:ascii="Arial" w:hAnsi="Arial" w:cs="Arial"/>
          <w:b/>
          <w:i/>
          <w:sz w:val="24"/>
          <w:szCs w:val="24"/>
        </w:rPr>
        <w:t>Introducción</w:t>
      </w:r>
    </w:p>
    <w:p w:rsidR="009244C6" w:rsidRDefault="00CC355A" w:rsidP="00926DEE">
      <w:pPr>
        <w:pStyle w:val="NormalWeb"/>
        <w:spacing w:before="0" w:beforeAutospacing="0" w:after="0" w:afterAutospacing="0" w:line="480" w:lineRule="auto"/>
        <w:jc w:val="both"/>
        <w:rPr>
          <w:rFonts w:ascii="Arial" w:eastAsiaTheme="minorEastAsia" w:hAnsi="Arial" w:cs="Arial"/>
          <w:color w:val="000000" w:themeColor="text1"/>
          <w:kern w:val="24"/>
        </w:rPr>
      </w:pPr>
      <w:r w:rsidRPr="009244C6">
        <w:rPr>
          <w:rFonts w:ascii="Arial" w:hAnsi="Arial" w:cs="Arial"/>
        </w:rPr>
        <w:t xml:space="preserve">El fenómeno de la globalización que enfrentamos actualmente ha impactado las diferentes esferas de la sociedad, </w:t>
      </w:r>
      <w:r w:rsidR="009244C6" w:rsidRPr="009244C6">
        <w:rPr>
          <w:rFonts w:ascii="Arial" w:hAnsi="Arial" w:cs="Arial"/>
        </w:rPr>
        <w:t xml:space="preserve">no escapa a ello la educación superior, dicho impacto se manifiesta con cambios acelerados en </w:t>
      </w:r>
      <w:r w:rsidR="009244C6" w:rsidRPr="009244C6">
        <w:rPr>
          <w:rFonts w:ascii="Arial" w:eastAsiaTheme="minorEastAsia" w:hAnsi="Arial" w:cs="Arial"/>
          <w:color w:val="000000" w:themeColor="text1"/>
          <w:kern w:val="24"/>
        </w:rPr>
        <w:t xml:space="preserve">ciencia, tecnología, informática </w:t>
      </w:r>
      <w:r w:rsidR="009244C6" w:rsidRPr="002C750D">
        <w:rPr>
          <w:rFonts w:ascii="Arial" w:eastAsiaTheme="minorEastAsia" w:hAnsi="Arial" w:cs="Arial"/>
          <w:color w:val="000000" w:themeColor="text1"/>
          <w:kern w:val="24"/>
        </w:rPr>
        <w:t>(</w:t>
      </w:r>
      <w:r w:rsidR="009244C6" w:rsidRPr="002C750D">
        <w:rPr>
          <w:rFonts w:ascii="Arial" w:eastAsiaTheme="minorEastAsia" w:hAnsi="Arial" w:cs="Arial"/>
          <w:iCs/>
          <w:color w:val="000000" w:themeColor="text1"/>
          <w:kern w:val="24"/>
        </w:rPr>
        <w:t>Internet, acceso a bases de datos, enseñanza a distancia, redes virtuales de intercambio y otros</w:t>
      </w:r>
      <w:r w:rsidR="009244C6" w:rsidRPr="002C750D">
        <w:rPr>
          <w:rFonts w:ascii="Arial" w:eastAsiaTheme="minorEastAsia" w:hAnsi="Arial" w:cs="Arial"/>
          <w:color w:val="000000" w:themeColor="text1"/>
          <w:kern w:val="24"/>
        </w:rPr>
        <w:t>),</w:t>
      </w:r>
      <w:r w:rsidR="009244C6">
        <w:rPr>
          <w:rFonts w:ascii="Arial" w:eastAsiaTheme="minorEastAsia" w:hAnsi="Arial" w:cs="Arial"/>
          <w:color w:val="000000" w:themeColor="text1"/>
          <w:kern w:val="24"/>
        </w:rPr>
        <w:t xml:space="preserve"> </w:t>
      </w:r>
      <w:r w:rsidR="009244C6" w:rsidRPr="009244C6">
        <w:rPr>
          <w:rFonts w:ascii="Arial" w:eastAsiaTheme="minorEastAsia" w:hAnsi="Arial" w:cs="Arial"/>
          <w:color w:val="000000" w:themeColor="text1"/>
          <w:kern w:val="24"/>
        </w:rPr>
        <w:t xml:space="preserve"> también impacta en la interacción de comunidades académicas y los procesos de transformación de instituciones educativas</w:t>
      </w:r>
      <w:r w:rsidR="009244C6">
        <w:rPr>
          <w:rFonts w:ascii="Arial" w:eastAsiaTheme="minorEastAsia" w:hAnsi="Arial" w:cs="Arial"/>
          <w:color w:val="000000" w:themeColor="text1"/>
          <w:kern w:val="24"/>
        </w:rPr>
        <w:t xml:space="preserve">. </w:t>
      </w:r>
    </w:p>
    <w:p w:rsidR="002C750D" w:rsidRDefault="002C750D" w:rsidP="00926DEE">
      <w:pPr>
        <w:pStyle w:val="NormalWeb"/>
        <w:spacing w:before="0" w:beforeAutospacing="0" w:after="0" w:afterAutospacing="0" w:line="480" w:lineRule="auto"/>
        <w:ind w:firstLine="708"/>
        <w:jc w:val="both"/>
      </w:pPr>
      <w:r>
        <w:rPr>
          <w:rFonts w:ascii="Arial" w:hAnsi="Arial" w:cs="Arial"/>
        </w:rPr>
        <w:t xml:space="preserve">El proceso de globalización también ha provocado algunas tensiones </w:t>
      </w:r>
      <w:r w:rsidRPr="009244C6">
        <w:rPr>
          <w:rFonts w:ascii="Arial" w:eastAsiaTheme="minorEastAsia" w:hAnsi="Arial" w:cs="Arial"/>
          <w:color w:val="000000" w:themeColor="text1"/>
          <w:kern w:val="24"/>
        </w:rPr>
        <w:t>e</w:t>
      </w:r>
      <w:r>
        <w:rPr>
          <w:rFonts w:ascii="Arial" w:eastAsiaTheme="minorEastAsia" w:hAnsi="Arial" w:cs="Arial"/>
          <w:color w:val="000000" w:themeColor="text1"/>
          <w:kern w:val="24"/>
        </w:rPr>
        <w:t>ntre l</w:t>
      </w:r>
      <w:r w:rsidRPr="009244C6">
        <w:rPr>
          <w:rFonts w:ascii="Arial" w:eastAsiaTheme="minorEastAsia" w:hAnsi="Arial" w:cs="Arial"/>
          <w:color w:val="000000" w:themeColor="text1"/>
          <w:kern w:val="24"/>
        </w:rPr>
        <w:t>o mundial y lo local,</w:t>
      </w:r>
      <w:r w:rsidRPr="009244C6">
        <w:rPr>
          <w:rFonts w:ascii="Arial" w:hAnsi="Arial" w:cs="Arial"/>
        </w:rPr>
        <w:t xml:space="preserve"> </w:t>
      </w:r>
      <w:r>
        <w:rPr>
          <w:rFonts w:ascii="Arial" w:eastAsiaTheme="minorEastAsia" w:hAnsi="Arial" w:cs="Arial"/>
          <w:color w:val="000000" w:themeColor="text1"/>
          <w:kern w:val="24"/>
        </w:rPr>
        <w:t>l</w:t>
      </w:r>
      <w:r w:rsidRPr="009244C6">
        <w:rPr>
          <w:rFonts w:ascii="Arial" w:eastAsiaTheme="minorEastAsia" w:hAnsi="Arial" w:cs="Arial"/>
          <w:color w:val="000000" w:themeColor="text1"/>
          <w:kern w:val="24"/>
        </w:rPr>
        <w:t>o universal y lo particular,</w:t>
      </w:r>
      <w:r w:rsidRPr="009244C6">
        <w:rPr>
          <w:rFonts w:ascii="Arial" w:hAnsi="Arial" w:cs="Arial"/>
        </w:rPr>
        <w:t xml:space="preserve"> </w:t>
      </w:r>
      <w:r>
        <w:rPr>
          <w:rFonts w:ascii="Arial" w:hAnsi="Arial" w:cs="Arial"/>
        </w:rPr>
        <w:t xml:space="preserve">la </w:t>
      </w:r>
      <w:r>
        <w:rPr>
          <w:rFonts w:ascii="Arial" w:eastAsiaTheme="minorEastAsia" w:hAnsi="Arial" w:cs="Arial"/>
          <w:color w:val="000000" w:themeColor="text1"/>
          <w:kern w:val="24"/>
        </w:rPr>
        <w:t>t</w:t>
      </w:r>
      <w:r w:rsidRPr="009244C6">
        <w:rPr>
          <w:rFonts w:ascii="Arial" w:eastAsiaTheme="minorEastAsia" w:hAnsi="Arial" w:cs="Arial"/>
          <w:color w:val="000000" w:themeColor="text1"/>
          <w:kern w:val="24"/>
        </w:rPr>
        <w:t xml:space="preserve">radición y </w:t>
      </w:r>
      <w:r>
        <w:rPr>
          <w:rFonts w:ascii="Arial" w:eastAsiaTheme="minorEastAsia" w:hAnsi="Arial" w:cs="Arial"/>
          <w:color w:val="000000" w:themeColor="text1"/>
          <w:kern w:val="24"/>
        </w:rPr>
        <w:t xml:space="preserve">la </w:t>
      </w:r>
      <w:r w:rsidRPr="009244C6">
        <w:rPr>
          <w:rFonts w:ascii="Arial" w:eastAsiaTheme="minorEastAsia" w:hAnsi="Arial" w:cs="Arial"/>
          <w:color w:val="000000" w:themeColor="text1"/>
          <w:kern w:val="24"/>
        </w:rPr>
        <w:t>modernidad</w:t>
      </w:r>
      <w:r>
        <w:rPr>
          <w:rFonts w:ascii="Arial" w:eastAsiaTheme="minorEastAsia" w:hAnsi="Arial" w:cs="Arial"/>
          <w:color w:val="000000" w:themeColor="text1"/>
          <w:kern w:val="24"/>
        </w:rPr>
        <w:t xml:space="preserve">, entre la </w:t>
      </w:r>
      <w:r w:rsidRPr="009244C6">
        <w:rPr>
          <w:rFonts w:ascii="Arial" w:eastAsiaTheme="minorEastAsia" w:hAnsi="Arial" w:cs="Arial"/>
          <w:color w:val="000000" w:themeColor="text1"/>
          <w:kern w:val="24"/>
        </w:rPr>
        <w:t xml:space="preserve"> </w:t>
      </w:r>
      <w:r>
        <w:rPr>
          <w:rFonts w:ascii="Arial" w:eastAsiaTheme="minorEastAsia" w:hAnsi="Arial" w:cs="Arial"/>
          <w:color w:val="000000" w:themeColor="text1"/>
          <w:kern w:val="24"/>
        </w:rPr>
        <w:t>c</w:t>
      </w:r>
      <w:r w:rsidRPr="009244C6">
        <w:rPr>
          <w:rFonts w:ascii="Arial" w:eastAsiaTheme="minorEastAsia" w:hAnsi="Arial" w:cs="Arial"/>
          <w:color w:val="000000" w:themeColor="text1"/>
          <w:kern w:val="24"/>
        </w:rPr>
        <w:t xml:space="preserve">ompetencia e igualdad </w:t>
      </w:r>
      <w:r>
        <w:rPr>
          <w:rFonts w:ascii="Arial" w:eastAsiaTheme="minorEastAsia" w:hAnsi="Arial" w:cs="Arial"/>
          <w:color w:val="000000" w:themeColor="text1"/>
          <w:kern w:val="24"/>
        </w:rPr>
        <w:t>y entre el c</w:t>
      </w:r>
      <w:r w:rsidRPr="009244C6">
        <w:rPr>
          <w:rFonts w:ascii="Arial" w:eastAsiaTheme="minorEastAsia" w:hAnsi="Arial" w:cs="Arial"/>
          <w:color w:val="000000" w:themeColor="text1"/>
          <w:kern w:val="24"/>
        </w:rPr>
        <w:t>onocimiento y capacidad humana de asimilarlo</w:t>
      </w:r>
      <w:r>
        <w:rPr>
          <w:rFonts w:ascii="Arial" w:eastAsiaTheme="minorEastAsia" w:hAnsi="Arial" w:cs="Arial"/>
          <w:color w:val="000000" w:themeColor="text1"/>
          <w:kern w:val="24"/>
        </w:rPr>
        <w:t xml:space="preserve">, así como entre </w:t>
      </w:r>
      <w:r w:rsidRPr="009244C6">
        <w:rPr>
          <w:rFonts w:ascii="Arial" w:eastAsiaTheme="minorEastAsia" w:hAnsi="Arial" w:cs="Arial"/>
          <w:color w:val="000000" w:themeColor="text1"/>
          <w:kern w:val="24"/>
        </w:rPr>
        <w:t xml:space="preserve"> </w:t>
      </w:r>
      <w:r w:rsidRPr="009244C6">
        <w:rPr>
          <w:rFonts w:ascii="Arial" w:hAnsi="Arial" w:cs="Arial"/>
        </w:rPr>
        <w:t xml:space="preserve"> </w:t>
      </w:r>
      <w:r>
        <w:rPr>
          <w:rFonts w:ascii="Arial" w:eastAsiaTheme="minorEastAsia" w:hAnsi="Arial" w:cs="Arial"/>
          <w:color w:val="000000" w:themeColor="text1"/>
          <w:kern w:val="24"/>
        </w:rPr>
        <w:t>l</w:t>
      </w:r>
      <w:r w:rsidRPr="009244C6">
        <w:rPr>
          <w:rFonts w:ascii="Arial" w:eastAsiaTheme="minorEastAsia" w:hAnsi="Arial" w:cs="Arial"/>
          <w:color w:val="000000" w:themeColor="text1"/>
          <w:kern w:val="24"/>
        </w:rPr>
        <w:t>o material y lo espiritual</w:t>
      </w:r>
      <w:r>
        <w:rPr>
          <w:rFonts w:asciiTheme="minorHAnsi" w:eastAsiaTheme="minorEastAsia" w:hAnsi="Calibri" w:cstheme="minorBidi"/>
          <w:color w:val="000000" w:themeColor="text1"/>
          <w:kern w:val="24"/>
        </w:rPr>
        <w:t>.</w:t>
      </w:r>
    </w:p>
    <w:p w:rsidR="009244C6" w:rsidRPr="009244C6" w:rsidRDefault="009244C6" w:rsidP="00926DEE">
      <w:pPr>
        <w:pStyle w:val="NormalWeb"/>
        <w:spacing w:before="0" w:beforeAutospacing="0" w:after="0" w:afterAutospacing="0" w:line="480" w:lineRule="auto"/>
        <w:ind w:firstLine="708"/>
        <w:jc w:val="both"/>
        <w:rPr>
          <w:rFonts w:ascii="Arial" w:hAnsi="Arial" w:cs="Arial"/>
        </w:rPr>
      </w:pPr>
      <w:r>
        <w:rPr>
          <w:rFonts w:ascii="Arial" w:eastAsiaTheme="minorEastAsia" w:hAnsi="Arial" w:cs="Arial"/>
          <w:color w:val="000000" w:themeColor="text1"/>
          <w:kern w:val="24"/>
        </w:rPr>
        <w:t>En este sentido</w:t>
      </w:r>
      <w:r w:rsidR="002C750D">
        <w:rPr>
          <w:rFonts w:ascii="Arial" w:eastAsiaTheme="minorEastAsia" w:hAnsi="Arial" w:cs="Arial"/>
          <w:color w:val="000000" w:themeColor="text1"/>
          <w:kern w:val="24"/>
        </w:rPr>
        <w:t>,</w:t>
      </w:r>
      <w:r>
        <w:rPr>
          <w:rFonts w:ascii="Arial" w:eastAsiaTheme="minorEastAsia" w:hAnsi="Arial" w:cs="Arial"/>
          <w:color w:val="000000" w:themeColor="text1"/>
          <w:kern w:val="24"/>
        </w:rPr>
        <w:t xml:space="preserve"> </w:t>
      </w:r>
      <w:r w:rsidR="002C750D">
        <w:rPr>
          <w:rFonts w:ascii="Arial" w:eastAsiaTheme="minorEastAsia" w:hAnsi="Arial" w:cs="Arial"/>
          <w:color w:val="000000" w:themeColor="text1"/>
          <w:kern w:val="24"/>
        </w:rPr>
        <w:t>e</w:t>
      </w:r>
      <w:r w:rsidRPr="009244C6">
        <w:rPr>
          <w:rFonts w:ascii="Arial" w:eastAsiaTheme="minorEastAsia" w:hAnsi="Arial" w:cs="Arial"/>
          <w:color w:val="000000" w:themeColor="text1"/>
          <w:kern w:val="24"/>
        </w:rPr>
        <w:t xml:space="preserve">l valor estratégico del conocimiento y </w:t>
      </w:r>
      <w:r w:rsidR="000169E8">
        <w:rPr>
          <w:rFonts w:ascii="Arial" w:eastAsiaTheme="minorEastAsia" w:hAnsi="Arial" w:cs="Arial"/>
          <w:color w:val="000000" w:themeColor="text1"/>
          <w:kern w:val="24"/>
        </w:rPr>
        <w:t xml:space="preserve">de la información </w:t>
      </w:r>
      <w:r w:rsidRPr="009244C6">
        <w:rPr>
          <w:rFonts w:ascii="Arial" w:eastAsiaTheme="minorEastAsia" w:hAnsi="Arial" w:cs="Arial"/>
          <w:color w:val="000000" w:themeColor="text1"/>
          <w:kern w:val="24"/>
        </w:rPr>
        <w:t>para las sociedades contemporáneas refuerza el rol de las instituciones educativas</w:t>
      </w:r>
      <w:r>
        <w:rPr>
          <w:rFonts w:ascii="Arial" w:eastAsiaTheme="minorEastAsia" w:hAnsi="Arial" w:cs="Arial"/>
          <w:color w:val="000000" w:themeColor="text1"/>
          <w:kern w:val="24"/>
        </w:rPr>
        <w:t>, por ello</w:t>
      </w:r>
      <w:r w:rsidR="002C750D">
        <w:rPr>
          <w:rFonts w:ascii="Arial" w:eastAsiaTheme="minorEastAsia" w:hAnsi="Arial" w:cs="Arial"/>
          <w:color w:val="000000" w:themeColor="text1"/>
          <w:kern w:val="24"/>
        </w:rPr>
        <w:t xml:space="preserve">, </w:t>
      </w:r>
      <w:r w:rsidRPr="009244C6">
        <w:rPr>
          <w:rFonts w:ascii="Arial" w:eastAsiaTheme="minorEastAsia" w:hAnsi="Arial" w:cs="Arial"/>
          <w:color w:val="000000" w:themeColor="text1"/>
          <w:kern w:val="24"/>
        </w:rPr>
        <w:t>la educación superior debe incorporar el paradigma de la educación permanente y el autoaprendizaje.</w:t>
      </w:r>
    </w:p>
    <w:p w:rsidR="009244C6" w:rsidRPr="009244C6" w:rsidRDefault="009244C6" w:rsidP="00926DEE">
      <w:pPr>
        <w:pStyle w:val="NormalWeb"/>
        <w:spacing w:before="0" w:beforeAutospacing="0" w:after="0" w:afterAutospacing="0" w:line="480" w:lineRule="auto"/>
        <w:jc w:val="both"/>
        <w:rPr>
          <w:rFonts w:ascii="Arial" w:hAnsi="Arial" w:cs="Arial"/>
        </w:rPr>
      </w:pPr>
    </w:p>
    <w:p w:rsidR="002C750D" w:rsidRDefault="002C750D" w:rsidP="00926DEE">
      <w:pPr>
        <w:spacing w:line="480" w:lineRule="auto"/>
        <w:jc w:val="both"/>
        <w:rPr>
          <w:rFonts w:ascii="Arial" w:hAnsi="Arial" w:cs="Arial"/>
          <w:sz w:val="24"/>
          <w:szCs w:val="24"/>
        </w:rPr>
      </w:pPr>
      <w:r>
        <w:rPr>
          <w:rFonts w:ascii="Arial" w:hAnsi="Arial" w:cs="Arial"/>
          <w:sz w:val="24"/>
          <w:szCs w:val="24"/>
        </w:rPr>
        <w:tab/>
      </w:r>
      <w:r w:rsidR="009244C6">
        <w:rPr>
          <w:rFonts w:ascii="Arial" w:hAnsi="Arial" w:cs="Arial"/>
          <w:sz w:val="24"/>
          <w:szCs w:val="24"/>
        </w:rPr>
        <w:t xml:space="preserve">En este trabajo </w:t>
      </w:r>
      <w:r w:rsidR="00314F12" w:rsidRPr="009244C6">
        <w:rPr>
          <w:rFonts w:ascii="Arial" w:hAnsi="Arial" w:cs="Arial"/>
          <w:sz w:val="24"/>
          <w:szCs w:val="24"/>
        </w:rPr>
        <w:t xml:space="preserve">nos interesa destacar el papel que está jugando la educación superior en la integración mundial en la sociedad del conocimiento, para ello, es menester conocer y analizar los mecanismos que sustentan el </w:t>
      </w:r>
      <w:r w:rsidR="00314F12" w:rsidRPr="009244C6">
        <w:rPr>
          <w:rFonts w:ascii="Arial" w:hAnsi="Arial" w:cs="Arial"/>
          <w:sz w:val="24"/>
          <w:szCs w:val="24"/>
        </w:rPr>
        <w:lastRenderedPageBreak/>
        <w:t xml:space="preserve">proceso de intercambio de información y el diseño y ejecución  de acciones concretas, los cuales se derivan por lo general de acuerdos de cooperación multilateral y regional que con el paso del tiempo se van constituyendo en </w:t>
      </w:r>
      <w:r w:rsidR="008214C4" w:rsidRPr="009244C6">
        <w:rPr>
          <w:rFonts w:ascii="Arial" w:hAnsi="Arial" w:cs="Arial"/>
          <w:sz w:val="24"/>
          <w:szCs w:val="24"/>
        </w:rPr>
        <w:t xml:space="preserve">instituciones o instancias </w:t>
      </w:r>
      <w:r w:rsidR="00314F12" w:rsidRPr="009244C6">
        <w:rPr>
          <w:rFonts w:ascii="Arial" w:hAnsi="Arial" w:cs="Arial"/>
          <w:sz w:val="24"/>
          <w:szCs w:val="24"/>
        </w:rPr>
        <w:t xml:space="preserve">que se reúnen y trabajan para llevar a cabo dicha integración en el marco de los distintos acuerdos. </w:t>
      </w:r>
    </w:p>
    <w:p w:rsidR="00CC355A" w:rsidRPr="000169E8" w:rsidRDefault="00CC355A" w:rsidP="00926DEE">
      <w:pPr>
        <w:spacing w:line="480" w:lineRule="auto"/>
        <w:jc w:val="both"/>
        <w:rPr>
          <w:rFonts w:ascii="Arial" w:hAnsi="Arial" w:cs="Arial"/>
          <w:b/>
          <w:i/>
          <w:sz w:val="24"/>
          <w:szCs w:val="24"/>
        </w:rPr>
      </w:pPr>
      <w:r w:rsidRPr="000169E8">
        <w:rPr>
          <w:rFonts w:ascii="Arial" w:hAnsi="Arial" w:cs="Arial"/>
          <w:b/>
          <w:i/>
          <w:sz w:val="24"/>
          <w:szCs w:val="24"/>
        </w:rPr>
        <w:t>Antecedentes</w:t>
      </w:r>
    </w:p>
    <w:p w:rsidR="002C750D" w:rsidRPr="00564622" w:rsidRDefault="002C750D" w:rsidP="00926DEE">
      <w:pPr>
        <w:autoSpaceDE w:val="0"/>
        <w:autoSpaceDN w:val="0"/>
        <w:adjustRightInd w:val="0"/>
        <w:spacing w:after="0" w:line="480" w:lineRule="auto"/>
        <w:jc w:val="both"/>
        <w:rPr>
          <w:rFonts w:ascii="TimesNewRomanPSMT" w:hAnsi="TimesNewRomanPSMT" w:cs="TimesNewRomanPSMT"/>
          <w:sz w:val="24"/>
          <w:szCs w:val="24"/>
        </w:rPr>
      </w:pPr>
      <w:r>
        <w:rPr>
          <w:rFonts w:ascii="TimesNewRomanPSMT" w:hAnsi="TimesNewRomanPSMT" w:cs="TimesNewRomanPSMT"/>
          <w:sz w:val="24"/>
          <w:szCs w:val="24"/>
        </w:rPr>
        <w:t xml:space="preserve">En la historia reciente de América Latina y </w:t>
      </w:r>
      <w:r w:rsidR="00564622">
        <w:rPr>
          <w:rFonts w:ascii="TimesNewRomanPSMT" w:hAnsi="TimesNewRomanPSMT" w:cs="TimesNewRomanPSMT"/>
          <w:sz w:val="24"/>
          <w:szCs w:val="24"/>
        </w:rPr>
        <w:t xml:space="preserve">el Caribe registramos esfuerzos </w:t>
      </w:r>
      <w:r>
        <w:rPr>
          <w:rFonts w:ascii="TimesNewRomanPSMT" w:hAnsi="TimesNewRomanPSMT" w:cs="TimesNewRomanPSMT"/>
          <w:sz w:val="24"/>
          <w:szCs w:val="24"/>
        </w:rPr>
        <w:t>constantes</w:t>
      </w:r>
      <w:r w:rsidR="00564622">
        <w:rPr>
          <w:rFonts w:ascii="TimesNewRomanPSMT" w:hAnsi="TimesNewRomanPSMT" w:cs="TimesNewRomanPSMT"/>
          <w:sz w:val="24"/>
          <w:szCs w:val="24"/>
        </w:rPr>
        <w:t xml:space="preserve"> </w:t>
      </w:r>
      <w:r>
        <w:rPr>
          <w:rFonts w:ascii="TimesNewRomanPSMT" w:hAnsi="TimesNewRomanPSMT" w:cs="TimesNewRomanPSMT"/>
          <w:sz w:val="24"/>
          <w:szCs w:val="24"/>
        </w:rPr>
        <w:t>de negociaciones de cooperación para su integra</w:t>
      </w:r>
      <w:r w:rsidR="00564622">
        <w:rPr>
          <w:rFonts w:ascii="TimesNewRomanPSMT" w:hAnsi="TimesNewRomanPSMT" w:cs="TimesNewRomanPSMT"/>
          <w:sz w:val="24"/>
          <w:szCs w:val="24"/>
        </w:rPr>
        <w:t xml:space="preserve">ción mundial, Roberto Rodríguez </w:t>
      </w:r>
      <w:r>
        <w:rPr>
          <w:rFonts w:ascii="TimesNewRomanPSMT" w:hAnsi="TimesNewRomanPSMT" w:cs="TimesNewRomanPSMT"/>
          <w:sz w:val="24"/>
          <w:szCs w:val="24"/>
        </w:rPr>
        <w:t>(2003), identifica tres generaciones de acuerdos: la prim</w:t>
      </w:r>
      <w:r w:rsidR="00564622">
        <w:rPr>
          <w:rFonts w:ascii="TimesNewRomanPSMT" w:hAnsi="TimesNewRomanPSMT" w:cs="TimesNewRomanPSMT"/>
          <w:sz w:val="24"/>
          <w:szCs w:val="24"/>
        </w:rPr>
        <w:t xml:space="preserve">era, intercambios y cooperación </w:t>
      </w:r>
      <w:r>
        <w:rPr>
          <w:rFonts w:ascii="TimesNewRomanPSMT" w:hAnsi="TimesNewRomanPSMT" w:cs="TimesNewRomanPSMT"/>
          <w:sz w:val="24"/>
          <w:szCs w:val="24"/>
        </w:rPr>
        <w:t>limitada y controlada en el marco del estado Benefactor</w:t>
      </w:r>
      <w:r w:rsidR="00564622">
        <w:rPr>
          <w:rFonts w:ascii="TimesNewRomanPSMT" w:hAnsi="TimesNewRomanPSMT" w:cs="TimesNewRomanPSMT"/>
          <w:sz w:val="24"/>
          <w:szCs w:val="24"/>
        </w:rPr>
        <w:t xml:space="preserve">, donde se plantean en los años </w:t>
      </w:r>
      <w:r>
        <w:rPr>
          <w:rFonts w:ascii="TimesNewRomanPSMT" w:hAnsi="TimesNewRomanPSMT" w:cs="TimesNewRomanPSMT"/>
          <w:sz w:val="24"/>
          <w:szCs w:val="24"/>
        </w:rPr>
        <w:t>sesenta la Asociación Latinoamericana</w:t>
      </w:r>
      <w:r w:rsidR="00564622">
        <w:rPr>
          <w:rFonts w:ascii="TimesNewRomanPSMT" w:hAnsi="TimesNewRomanPSMT" w:cs="TimesNewRomanPSMT"/>
          <w:sz w:val="24"/>
          <w:szCs w:val="24"/>
        </w:rPr>
        <w:t xml:space="preserve"> de Libre Comercio (ALALC) –que </w:t>
      </w:r>
      <w:r>
        <w:rPr>
          <w:rFonts w:ascii="TimesNewRomanPSMT" w:hAnsi="TimesNewRomanPSMT" w:cs="TimesNewRomanPSMT"/>
          <w:sz w:val="24"/>
          <w:szCs w:val="24"/>
        </w:rPr>
        <w:t>posteriormente se denominaría Acuerdo Latinoameric</w:t>
      </w:r>
      <w:r w:rsidR="00564622">
        <w:rPr>
          <w:rFonts w:ascii="TimesNewRomanPSMT" w:hAnsi="TimesNewRomanPSMT" w:cs="TimesNewRomanPSMT"/>
          <w:sz w:val="24"/>
          <w:szCs w:val="24"/>
        </w:rPr>
        <w:t xml:space="preserve">ano de Integración (ALADI)-, el </w:t>
      </w:r>
      <w:r>
        <w:rPr>
          <w:rFonts w:ascii="TimesNewRomanPSMT" w:hAnsi="TimesNewRomanPSMT" w:cs="TimesNewRomanPSMT"/>
          <w:sz w:val="24"/>
          <w:szCs w:val="24"/>
        </w:rPr>
        <w:t xml:space="preserve">Mercado Común Centroamericano (MCCA) en 1960, </w:t>
      </w:r>
      <w:r w:rsidR="00564622">
        <w:rPr>
          <w:rFonts w:ascii="TimesNewRomanPSMT" w:hAnsi="TimesNewRomanPSMT" w:cs="TimesNewRomanPSMT"/>
          <w:sz w:val="24"/>
          <w:szCs w:val="24"/>
        </w:rPr>
        <w:t xml:space="preserve">la Asociación de Libre Comercio </w:t>
      </w:r>
      <w:r>
        <w:rPr>
          <w:rFonts w:ascii="TimesNewRomanPSMT" w:hAnsi="TimesNewRomanPSMT" w:cs="TimesNewRomanPSMT"/>
          <w:sz w:val="24"/>
          <w:szCs w:val="24"/>
        </w:rPr>
        <w:t>del Caribe (CARIFTA) en 1965 y el Grupo Andino (1969</w:t>
      </w:r>
      <w:r w:rsidR="00564622">
        <w:rPr>
          <w:rFonts w:ascii="TimesNewRomanPSMT" w:hAnsi="TimesNewRomanPSMT" w:cs="TimesNewRomanPSMT"/>
          <w:sz w:val="24"/>
          <w:szCs w:val="24"/>
        </w:rPr>
        <w:t xml:space="preserve">); la segunda, con la presencia </w:t>
      </w:r>
      <w:r>
        <w:rPr>
          <w:rFonts w:ascii="TimesNewRomanPSMT" w:hAnsi="TimesNewRomanPSMT" w:cs="TimesNewRomanPSMT"/>
          <w:sz w:val="24"/>
          <w:szCs w:val="24"/>
        </w:rPr>
        <w:t xml:space="preserve">del neoliberalismo y ante la crisis Latinoamericana de </w:t>
      </w:r>
      <w:r w:rsidR="00564622">
        <w:rPr>
          <w:rFonts w:ascii="TimesNewRomanPSMT" w:hAnsi="TimesNewRomanPSMT" w:cs="TimesNewRomanPSMT"/>
          <w:sz w:val="24"/>
          <w:szCs w:val="24"/>
        </w:rPr>
        <w:t xml:space="preserve">los años ochenta, se construyen </w:t>
      </w:r>
      <w:r>
        <w:rPr>
          <w:rFonts w:ascii="TimesNewRomanPSMT" w:hAnsi="TimesNewRomanPSMT" w:cs="TimesNewRomanPSMT"/>
          <w:sz w:val="24"/>
          <w:szCs w:val="24"/>
        </w:rPr>
        <w:t>acuerdos como el Tratado de Libre Comercio (TLC</w:t>
      </w:r>
      <w:r w:rsidR="00564622">
        <w:rPr>
          <w:rFonts w:ascii="TimesNewRomanPSMT" w:hAnsi="TimesNewRomanPSMT" w:cs="TimesNewRomanPSMT"/>
          <w:sz w:val="24"/>
          <w:szCs w:val="24"/>
        </w:rPr>
        <w:t xml:space="preserve">) en 1994 entre Canadá, Estados </w:t>
      </w:r>
      <w:r>
        <w:rPr>
          <w:rFonts w:ascii="TimesNewRomanPSMT" w:hAnsi="TimesNewRomanPSMT" w:cs="TimesNewRomanPSMT"/>
          <w:sz w:val="24"/>
          <w:szCs w:val="24"/>
        </w:rPr>
        <w:t>Unidos de Norteamérica y México, el MERCOSUR (1991</w:t>
      </w:r>
      <w:r w:rsidR="00564622">
        <w:rPr>
          <w:rFonts w:ascii="TimesNewRomanPSMT" w:hAnsi="TimesNewRomanPSMT" w:cs="TimesNewRomanPSMT"/>
          <w:sz w:val="24"/>
          <w:szCs w:val="24"/>
        </w:rPr>
        <w:t xml:space="preserve">) entre Argentina, Brasil, </w:t>
      </w:r>
      <w:r>
        <w:rPr>
          <w:rFonts w:ascii="TimesNewRomanPSMT" w:hAnsi="TimesNewRomanPSMT" w:cs="TimesNewRomanPSMT"/>
          <w:sz w:val="24"/>
          <w:szCs w:val="24"/>
        </w:rPr>
        <w:t>Paraguay y Uruguay y se celebran las Cumbres de Jefes</w:t>
      </w:r>
      <w:r w:rsidR="00564622">
        <w:rPr>
          <w:rFonts w:ascii="TimesNewRomanPSMT" w:hAnsi="TimesNewRomanPSMT" w:cs="TimesNewRomanPSMT"/>
          <w:sz w:val="24"/>
          <w:szCs w:val="24"/>
        </w:rPr>
        <w:t xml:space="preserve"> de Estado y de Gobierno, entre </w:t>
      </w:r>
      <w:r>
        <w:rPr>
          <w:rFonts w:ascii="TimesNewRomanPSMT" w:hAnsi="TimesNewRomanPSMT" w:cs="TimesNewRomanPSMT"/>
          <w:sz w:val="24"/>
          <w:szCs w:val="24"/>
        </w:rPr>
        <w:t>otros; la tercera, acuerdos integrales y globales como e</w:t>
      </w:r>
      <w:r w:rsidR="00564622">
        <w:rPr>
          <w:rFonts w:ascii="TimesNewRomanPSMT" w:hAnsi="TimesNewRomanPSMT" w:cs="TimesNewRomanPSMT"/>
          <w:sz w:val="24"/>
          <w:szCs w:val="24"/>
        </w:rPr>
        <w:t xml:space="preserve">l Área de Libre Comercio de las </w:t>
      </w:r>
      <w:r>
        <w:rPr>
          <w:rFonts w:ascii="TimesNewRomanPSMT" w:hAnsi="TimesNewRomanPSMT" w:cs="TimesNewRomanPSMT"/>
          <w:sz w:val="24"/>
          <w:szCs w:val="24"/>
        </w:rPr>
        <w:t>Américas (ALCA)</w:t>
      </w:r>
    </w:p>
    <w:p w:rsidR="002C750D" w:rsidRDefault="002C750D"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t xml:space="preserve">En el transcurso de estas tres generaciones el </w:t>
      </w:r>
      <w:r w:rsidR="000169E8">
        <w:rPr>
          <w:rFonts w:ascii="TimesNewRomanPSMT" w:hAnsi="TimesNewRomanPSMT" w:cs="TimesNewRomanPSMT"/>
          <w:sz w:val="24"/>
          <w:szCs w:val="24"/>
        </w:rPr>
        <w:t xml:space="preserve">acento se fue desplazando de la </w:t>
      </w:r>
      <w:r>
        <w:rPr>
          <w:rFonts w:ascii="TimesNewRomanPSMT" w:hAnsi="TimesNewRomanPSMT" w:cs="TimesNewRomanPSMT"/>
          <w:sz w:val="24"/>
          <w:szCs w:val="24"/>
        </w:rPr>
        <w:t>liberalización de los productos a la liberalización de los se</w:t>
      </w:r>
      <w:r w:rsidR="00417B6A">
        <w:rPr>
          <w:rFonts w:ascii="TimesNewRomanPSMT" w:hAnsi="TimesNewRomanPSMT" w:cs="TimesNewRomanPSMT"/>
          <w:sz w:val="24"/>
          <w:szCs w:val="24"/>
        </w:rPr>
        <w:t xml:space="preserve">rvicios, incluso se </w:t>
      </w:r>
      <w:r w:rsidR="00417B6A">
        <w:rPr>
          <w:rFonts w:ascii="TimesNewRomanPSMT" w:hAnsi="TimesNewRomanPSMT" w:cs="TimesNewRomanPSMT"/>
          <w:sz w:val="24"/>
          <w:szCs w:val="24"/>
        </w:rPr>
        <w:lastRenderedPageBreak/>
        <w:t xml:space="preserve">registró el </w:t>
      </w:r>
      <w:r>
        <w:rPr>
          <w:rFonts w:ascii="TimesNewRomanPSMT" w:hAnsi="TimesNewRomanPSMT" w:cs="TimesNewRomanPSMT"/>
          <w:sz w:val="24"/>
          <w:szCs w:val="24"/>
        </w:rPr>
        <w:t>agotamiento del Acuerdo General Sobre Arancel</w:t>
      </w:r>
      <w:r w:rsidR="00417B6A">
        <w:rPr>
          <w:rFonts w:ascii="TimesNewRomanPSMT" w:hAnsi="TimesNewRomanPSMT" w:cs="TimesNewRomanPSMT"/>
          <w:sz w:val="24"/>
          <w:szCs w:val="24"/>
        </w:rPr>
        <w:t xml:space="preserve">es Aduaneros y Comercio (GATT), </w:t>
      </w:r>
      <w:r>
        <w:rPr>
          <w:rFonts w:ascii="TimesNewRomanPSMT" w:hAnsi="TimesNewRomanPSMT" w:cs="TimesNewRomanPSMT"/>
          <w:sz w:val="24"/>
          <w:szCs w:val="24"/>
        </w:rPr>
        <w:t>signado en 1948, con el desarrollo de la mundialización</w:t>
      </w:r>
      <w:r w:rsidR="00417B6A">
        <w:rPr>
          <w:rFonts w:ascii="TimesNewRomanPSMT" w:hAnsi="TimesNewRomanPSMT" w:cs="TimesNewRomanPSMT"/>
          <w:sz w:val="24"/>
          <w:szCs w:val="24"/>
        </w:rPr>
        <w:t xml:space="preserve">, fue replanteado y se firmó el </w:t>
      </w:r>
      <w:r>
        <w:rPr>
          <w:rFonts w:ascii="TimesNewRomanPSMT" w:hAnsi="TimesNewRomanPSMT" w:cs="TimesNewRomanPSMT"/>
          <w:sz w:val="24"/>
          <w:szCs w:val="24"/>
        </w:rPr>
        <w:t>Acuerdo General sobre Comercio de Servicios (GAT</w:t>
      </w:r>
      <w:r w:rsidR="00417B6A">
        <w:rPr>
          <w:rFonts w:ascii="TimesNewRomanPSMT" w:hAnsi="TimesNewRomanPSMT" w:cs="TimesNewRomanPSMT"/>
          <w:sz w:val="24"/>
          <w:szCs w:val="24"/>
        </w:rPr>
        <w:t xml:space="preserve">S). Desde la segunda generación </w:t>
      </w:r>
      <w:r>
        <w:rPr>
          <w:rFonts w:ascii="TimesNewRomanPSMT" w:hAnsi="TimesNewRomanPSMT" w:cs="TimesNewRomanPSMT"/>
          <w:sz w:val="24"/>
          <w:szCs w:val="24"/>
        </w:rPr>
        <w:t>de los acuerdos observamos un mayor dinamismo e</w:t>
      </w:r>
      <w:r w:rsidR="00417B6A">
        <w:rPr>
          <w:rFonts w:ascii="TimesNewRomanPSMT" w:hAnsi="TimesNewRomanPSMT" w:cs="TimesNewRomanPSMT"/>
          <w:sz w:val="24"/>
          <w:szCs w:val="24"/>
        </w:rPr>
        <w:t xml:space="preserve">n la apertura comercial, con la </w:t>
      </w:r>
      <w:r>
        <w:rPr>
          <w:rFonts w:ascii="TimesNewRomanPSMT" w:hAnsi="TimesNewRomanPSMT" w:cs="TimesNewRomanPSMT"/>
          <w:sz w:val="24"/>
          <w:szCs w:val="24"/>
        </w:rPr>
        <w:t>creación de la Organización Mundial del Comer</w:t>
      </w:r>
      <w:r w:rsidR="00417B6A">
        <w:rPr>
          <w:rFonts w:ascii="TimesNewRomanPSMT" w:hAnsi="TimesNewRomanPSMT" w:cs="TimesNewRomanPSMT"/>
          <w:sz w:val="24"/>
          <w:szCs w:val="24"/>
        </w:rPr>
        <w:t xml:space="preserve">cio (OMC), se comienzan a abrir </w:t>
      </w:r>
      <w:r>
        <w:rPr>
          <w:rFonts w:ascii="TimesNewRomanPSMT" w:hAnsi="TimesNewRomanPSMT" w:cs="TimesNewRomanPSMT"/>
          <w:sz w:val="24"/>
          <w:szCs w:val="24"/>
        </w:rPr>
        <w:t>mercados de servicios antes no contemplados, entre estos a la educación.</w:t>
      </w:r>
    </w:p>
    <w:p w:rsidR="002C750D" w:rsidRDefault="002C750D"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t>La educación en general adquiere una dim</w:t>
      </w:r>
      <w:r w:rsidR="00417B6A">
        <w:rPr>
          <w:rFonts w:ascii="TimesNewRomanPSMT" w:hAnsi="TimesNewRomanPSMT" w:cs="TimesNewRomanPSMT"/>
          <w:sz w:val="24"/>
          <w:szCs w:val="24"/>
        </w:rPr>
        <w:t xml:space="preserve">ensión económica importante, al </w:t>
      </w:r>
      <w:r>
        <w:rPr>
          <w:rFonts w:ascii="TimesNewRomanPSMT" w:hAnsi="TimesNewRomanPSMT" w:cs="TimesNewRomanPSMT"/>
          <w:sz w:val="24"/>
          <w:szCs w:val="24"/>
        </w:rPr>
        <w:t>considerarla como contribuyente del desarrollo e</w:t>
      </w:r>
      <w:r w:rsidR="00417B6A">
        <w:rPr>
          <w:rFonts w:ascii="TimesNewRomanPSMT" w:hAnsi="TimesNewRomanPSMT" w:cs="TimesNewRomanPSMT"/>
          <w:sz w:val="24"/>
          <w:szCs w:val="24"/>
        </w:rPr>
        <w:t xml:space="preserve">conómico. En este sentido, a la </w:t>
      </w:r>
      <w:r>
        <w:rPr>
          <w:rFonts w:ascii="TimesNewRomanPSMT" w:hAnsi="TimesNewRomanPSMT" w:cs="TimesNewRomanPSMT"/>
          <w:sz w:val="24"/>
          <w:szCs w:val="24"/>
        </w:rPr>
        <w:t>educación superior se le concibe como mecanismo de integración económica y cultural.</w:t>
      </w:r>
    </w:p>
    <w:p w:rsidR="002C750D" w:rsidRDefault="002C750D"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t>En la sociedad del conocimiento las instituciones de edu</w:t>
      </w:r>
      <w:r w:rsidR="00417B6A">
        <w:rPr>
          <w:rFonts w:ascii="TimesNewRomanPSMT" w:hAnsi="TimesNewRomanPSMT" w:cs="TimesNewRomanPSMT"/>
          <w:sz w:val="24"/>
          <w:szCs w:val="24"/>
        </w:rPr>
        <w:t xml:space="preserve">cación superior juegan un papel </w:t>
      </w:r>
      <w:r>
        <w:rPr>
          <w:rFonts w:ascii="TimesNewRomanPSMT" w:hAnsi="TimesNewRomanPSMT" w:cs="TimesNewRomanPSMT"/>
          <w:sz w:val="24"/>
          <w:szCs w:val="24"/>
        </w:rPr>
        <w:t>relevante: suministran la formación de recursos humanos versados en las competencias</w:t>
      </w:r>
      <w:r w:rsidR="00417B6A">
        <w:rPr>
          <w:rFonts w:ascii="TimesNewRomanPSMT" w:hAnsi="TimesNewRomanPSMT" w:cs="TimesNewRomanPSMT"/>
          <w:sz w:val="24"/>
          <w:szCs w:val="24"/>
        </w:rPr>
        <w:t xml:space="preserve"> </w:t>
      </w:r>
      <w:r>
        <w:rPr>
          <w:rFonts w:ascii="TimesNewRomanPSMT" w:hAnsi="TimesNewRomanPSMT" w:cs="TimesNewRomanPSMT"/>
          <w:sz w:val="24"/>
          <w:szCs w:val="24"/>
        </w:rPr>
        <w:t>profesionales demandas por los sistemas productivo y social.</w:t>
      </w:r>
    </w:p>
    <w:p w:rsidR="002C750D" w:rsidRDefault="002C750D"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t>En el ámbito latinoamericano la inserción interna</w:t>
      </w:r>
      <w:r w:rsidR="00417B6A">
        <w:rPr>
          <w:rFonts w:ascii="TimesNewRomanPSMT" w:hAnsi="TimesNewRomanPSMT" w:cs="TimesNewRomanPSMT"/>
          <w:sz w:val="24"/>
          <w:szCs w:val="24"/>
        </w:rPr>
        <w:t xml:space="preserve">cional de la educación superior </w:t>
      </w:r>
      <w:r>
        <w:rPr>
          <w:rFonts w:ascii="TimesNewRomanPSMT" w:hAnsi="TimesNewRomanPSMT" w:cs="TimesNewRomanPSMT"/>
          <w:sz w:val="24"/>
          <w:szCs w:val="24"/>
        </w:rPr>
        <w:t>ha significado emprender una reforma de las estructuras</w:t>
      </w:r>
      <w:r w:rsidR="00417B6A">
        <w:rPr>
          <w:rFonts w:ascii="TimesNewRomanPSMT" w:hAnsi="TimesNewRomanPSMT" w:cs="TimesNewRomanPSMT"/>
          <w:sz w:val="24"/>
          <w:szCs w:val="24"/>
        </w:rPr>
        <w:t xml:space="preserve"> y de los procesos, se trastocó </w:t>
      </w:r>
      <w:r>
        <w:rPr>
          <w:rFonts w:ascii="TimesNewRomanPSMT" w:hAnsi="TimesNewRomanPSMT" w:cs="TimesNewRomanPSMT"/>
          <w:sz w:val="24"/>
          <w:szCs w:val="24"/>
        </w:rPr>
        <w:t xml:space="preserve">profundamente la dinámica correspondiente </w:t>
      </w:r>
      <w:r w:rsidR="00417B6A">
        <w:rPr>
          <w:rFonts w:ascii="TimesNewRomanPSMT" w:hAnsi="TimesNewRomanPSMT" w:cs="TimesNewRomanPSMT"/>
          <w:sz w:val="24"/>
          <w:szCs w:val="24"/>
        </w:rPr>
        <w:t xml:space="preserve">a modelos tradicionales como el </w:t>
      </w:r>
      <w:r>
        <w:rPr>
          <w:rFonts w:ascii="TimesNewRomanPSMT" w:hAnsi="TimesNewRomanPSMT" w:cs="TimesNewRomanPSMT"/>
          <w:sz w:val="24"/>
          <w:szCs w:val="24"/>
        </w:rPr>
        <w:t>napoleónico y el alemán. No hubo sector de la ed</w:t>
      </w:r>
      <w:r w:rsidR="00417B6A">
        <w:rPr>
          <w:rFonts w:ascii="TimesNewRomanPSMT" w:hAnsi="TimesNewRomanPSMT" w:cs="TimesNewRomanPSMT"/>
          <w:sz w:val="24"/>
          <w:szCs w:val="24"/>
        </w:rPr>
        <w:t xml:space="preserve">ucación superior que quedara al </w:t>
      </w:r>
      <w:r>
        <w:rPr>
          <w:rFonts w:ascii="TimesNewRomanPSMT" w:hAnsi="TimesNewRomanPSMT" w:cs="TimesNewRomanPSMT"/>
          <w:sz w:val="24"/>
          <w:szCs w:val="24"/>
        </w:rPr>
        <w:t xml:space="preserve">margen de los cambios. La transformación se ha </w:t>
      </w:r>
      <w:r w:rsidR="00417B6A">
        <w:rPr>
          <w:rFonts w:ascii="TimesNewRomanPSMT" w:hAnsi="TimesNewRomanPSMT" w:cs="TimesNewRomanPSMT"/>
          <w:sz w:val="24"/>
          <w:szCs w:val="24"/>
        </w:rPr>
        <w:t xml:space="preserve">dado bajo las directrices de la </w:t>
      </w:r>
      <w:r>
        <w:rPr>
          <w:rFonts w:ascii="TimesNewRomanPSMT" w:hAnsi="TimesNewRomanPSMT" w:cs="TimesNewRomanPSMT"/>
          <w:sz w:val="24"/>
          <w:szCs w:val="24"/>
        </w:rPr>
        <w:t>modernización, que significan una relación estr</w:t>
      </w:r>
      <w:r w:rsidR="00417B6A">
        <w:rPr>
          <w:rFonts w:ascii="TimesNewRomanPSMT" w:hAnsi="TimesNewRomanPSMT" w:cs="TimesNewRomanPSMT"/>
          <w:sz w:val="24"/>
          <w:szCs w:val="24"/>
        </w:rPr>
        <w:t xml:space="preserve">echa entre economía y enseñanza </w:t>
      </w:r>
      <w:r>
        <w:rPr>
          <w:rFonts w:ascii="TimesNewRomanPSMT" w:hAnsi="TimesNewRomanPSMT" w:cs="TimesNewRomanPSMT"/>
          <w:sz w:val="24"/>
          <w:szCs w:val="24"/>
        </w:rPr>
        <w:t>terciaria. Identificamos como ejes de la reforma a los siguientes:</w:t>
      </w:r>
    </w:p>
    <w:p w:rsidR="002C750D" w:rsidRPr="00417B6A" w:rsidRDefault="002C750D" w:rsidP="00926DEE">
      <w:pPr>
        <w:pStyle w:val="Prrafodelista"/>
        <w:numPr>
          <w:ilvl w:val="0"/>
          <w:numId w:val="5"/>
        </w:numPr>
        <w:autoSpaceDE w:val="0"/>
        <w:autoSpaceDN w:val="0"/>
        <w:adjustRightInd w:val="0"/>
        <w:spacing w:after="0" w:line="480" w:lineRule="auto"/>
        <w:jc w:val="both"/>
        <w:rPr>
          <w:rFonts w:ascii="Arial" w:hAnsi="Arial" w:cs="Arial"/>
          <w:sz w:val="24"/>
          <w:szCs w:val="24"/>
        </w:rPr>
      </w:pPr>
      <w:r w:rsidRPr="00417B6A">
        <w:rPr>
          <w:rFonts w:ascii="Arial" w:hAnsi="Arial" w:cs="Arial"/>
          <w:sz w:val="24"/>
          <w:szCs w:val="24"/>
        </w:rPr>
        <w:lastRenderedPageBreak/>
        <w:t>Vinculación de la educación superior con la integración económica mundial;</w:t>
      </w:r>
    </w:p>
    <w:p w:rsidR="002C750D" w:rsidRPr="00417B6A" w:rsidRDefault="002C750D" w:rsidP="00926DEE">
      <w:pPr>
        <w:pStyle w:val="Prrafodelista"/>
        <w:numPr>
          <w:ilvl w:val="0"/>
          <w:numId w:val="5"/>
        </w:numPr>
        <w:autoSpaceDE w:val="0"/>
        <w:autoSpaceDN w:val="0"/>
        <w:adjustRightInd w:val="0"/>
        <w:spacing w:after="0" w:line="480" w:lineRule="auto"/>
        <w:jc w:val="both"/>
        <w:rPr>
          <w:rFonts w:ascii="Arial" w:hAnsi="Arial" w:cs="Arial"/>
          <w:sz w:val="24"/>
          <w:szCs w:val="24"/>
        </w:rPr>
      </w:pPr>
      <w:r w:rsidRPr="00417B6A">
        <w:rPr>
          <w:rFonts w:ascii="Arial" w:hAnsi="Arial" w:cs="Arial"/>
          <w:sz w:val="24"/>
          <w:szCs w:val="24"/>
        </w:rPr>
        <w:t>Reconocimiento de la educación superior como mecanismo de desarrollo</w:t>
      </w:r>
      <w:r w:rsidR="00417B6A" w:rsidRPr="00417B6A">
        <w:rPr>
          <w:rFonts w:ascii="Arial" w:hAnsi="Arial" w:cs="Arial"/>
          <w:sz w:val="24"/>
          <w:szCs w:val="24"/>
        </w:rPr>
        <w:t xml:space="preserve"> </w:t>
      </w:r>
      <w:r w:rsidRPr="00417B6A">
        <w:rPr>
          <w:rFonts w:ascii="Arial" w:hAnsi="Arial" w:cs="Arial"/>
          <w:sz w:val="24"/>
          <w:szCs w:val="24"/>
        </w:rPr>
        <w:t>económico de la región.</w:t>
      </w:r>
    </w:p>
    <w:p w:rsidR="00417B6A" w:rsidRPr="00417B6A" w:rsidRDefault="002C750D" w:rsidP="00926DEE">
      <w:pPr>
        <w:pStyle w:val="Prrafodelista"/>
        <w:numPr>
          <w:ilvl w:val="0"/>
          <w:numId w:val="5"/>
        </w:numPr>
        <w:spacing w:line="480" w:lineRule="auto"/>
        <w:rPr>
          <w:rFonts w:ascii="Arial" w:hAnsi="Arial" w:cs="Arial"/>
          <w:sz w:val="24"/>
          <w:szCs w:val="24"/>
        </w:rPr>
      </w:pPr>
      <w:r w:rsidRPr="00417B6A">
        <w:rPr>
          <w:rFonts w:ascii="Arial" w:hAnsi="Arial" w:cs="Arial"/>
          <w:sz w:val="24"/>
          <w:szCs w:val="24"/>
        </w:rPr>
        <w:t>Búsqueda de la calidad académica;</w:t>
      </w:r>
    </w:p>
    <w:p w:rsidR="002C750D" w:rsidRPr="00417B6A" w:rsidRDefault="002C750D" w:rsidP="00926DEE">
      <w:pPr>
        <w:pStyle w:val="Prrafodelista"/>
        <w:numPr>
          <w:ilvl w:val="0"/>
          <w:numId w:val="5"/>
        </w:numPr>
        <w:spacing w:line="480" w:lineRule="auto"/>
        <w:rPr>
          <w:rFonts w:ascii="Arial" w:hAnsi="Arial" w:cs="Arial"/>
          <w:sz w:val="24"/>
          <w:szCs w:val="24"/>
        </w:rPr>
      </w:pPr>
      <w:r w:rsidRPr="00417B6A">
        <w:rPr>
          <w:rFonts w:ascii="Arial" w:hAnsi="Arial" w:cs="Arial"/>
          <w:sz w:val="24"/>
          <w:szCs w:val="24"/>
        </w:rPr>
        <w:t>Diversificación de las fuentes de financiamiento;</w:t>
      </w:r>
    </w:p>
    <w:p w:rsidR="002C750D" w:rsidRPr="00417B6A" w:rsidRDefault="002C750D" w:rsidP="00926DEE">
      <w:pPr>
        <w:pStyle w:val="Prrafodelista"/>
        <w:numPr>
          <w:ilvl w:val="0"/>
          <w:numId w:val="5"/>
        </w:numPr>
        <w:autoSpaceDE w:val="0"/>
        <w:autoSpaceDN w:val="0"/>
        <w:adjustRightInd w:val="0"/>
        <w:spacing w:after="0" w:line="480" w:lineRule="auto"/>
        <w:jc w:val="both"/>
        <w:rPr>
          <w:rFonts w:ascii="Arial" w:hAnsi="Arial" w:cs="Arial"/>
          <w:sz w:val="24"/>
          <w:szCs w:val="24"/>
        </w:rPr>
      </w:pPr>
      <w:r w:rsidRPr="00417B6A">
        <w:rPr>
          <w:rFonts w:ascii="Arial" w:hAnsi="Arial" w:cs="Arial"/>
          <w:sz w:val="24"/>
          <w:szCs w:val="24"/>
        </w:rPr>
        <w:t>Redefinición de la pertinencia social;</w:t>
      </w:r>
    </w:p>
    <w:p w:rsidR="002C750D" w:rsidRPr="00417B6A" w:rsidRDefault="002C750D" w:rsidP="00926DEE">
      <w:pPr>
        <w:pStyle w:val="Prrafodelista"/>
        <w:numPr>
          <w:ilvl w:val="0"/>
          <w:numId w:val="5"/>
        </w:numPr>
        <w:autoSpaceDE w:val="0"/>
        <w:autoSpaceDN w:val="0"/>
        <w:adjustRightInd w:val="0"/>
        <w:spacing w:after="0" w:line="480" w:lineRule="auto"/>
        <w:jc w:val="both"/>
        <w:rPr>
          <w:rFonts w:ascii="Arial" w:hAnsi="Arial" w:cs="Arial"/>
          <w:sz w:val="24"/>
          <w:szCs w:val="24"/>
        </w:rPr>
      </w:pPr>
      <w:r w:rsidRPr="00417B6A">
        <w:rPr>
          <w:rFonts w:ascii="Arial" w:hAnsi="Arial" w:cs="Arial"/>
          <w:sz w:val="24"/>
          <w:szCs w:val="24"/>
        </w:rPr>
        <w:t>Cambio en el modelo educativo y en los métodos de enseñanza y aprendizaje;</w:t>
      </w:r>
    </w:p>
    <w:p w:rsidR="002C750D" w:rsidRPr="00417B6A" w:rsidRDefault="002C750D" w:rsidP="00926DEE">
      <w:pPr>
        <w:pStyle w:val="Prrafodelista"/>
        <w:numPr>
          <w:ilvl w:val="0"/>
          <w:numId w:val="5"/>
        </w:numPr>
        <w:autoSpaceDE w:val="0"/>
        <w:autoSpaceDN w:val="0"/>
        <w:adjustRightInd w:val="0"/>
        <w:spacing w:after="0" w:line="480" w:lineRule="auto"/>
        <w:jc w:val="both"/>
        <w:rPr>
          <w:rFonts w:ascii="TimesNewRomanPSMT" w:hAnsi="TimesNewRomanPSMT" w:cs="TimesNewRomanPSMT"/>
          <w:sz w:val="24"/>
          <w:szCs w:val="24"/>
        </w:rPr>
      </w:pPr>
      <w:r w:rsidRPr="00417B6A">
        <w:rPr>
          <w:rFonts w:ascii="Arial" w:hAnsi="Arial" w:cs="Arial"/>
          <w:sz w:val="24"/>
          <w:szCs w:val="24"/>
        </w:rPr>
        <w:t>Innovación curricular</w:t>
      </w:r>
      <w:r w:rsidRPr="00417B6A">
        <w:rPr>
          <w:rFonts w:ascii="TimesNewRomanPSMT" w:hAnsi="TimesNewRomanPSMT" w:cs="TimesNewRomanPSMT"/>
          <w:sz w:val="24"/>
          <w:szCs w:val="24"/>
        </w:rPr>
        <w:t xml:space="preserve"> tendiente a la flexibilidad y a las competencias;</w:t>
      </w:r>
    </w:p>
    <w:p w:rsidR="002C750D" w:rsidRDefault="002C750D" w:rsidP="00926DEE">
      <w:pPr>
        <w:autoSpaceDE w:val="0"/>
        <w:autoSpaceDN w:val="0"/>
        <w:adjustRightInd w:val="0"/>
        <w:spacing w:after="0" w:line="480" w:lineRule="auto"/>
        <w:ind w:firstLine="709"/>
        <w:jc w:val="both"/>
        <w:rPr>
          <w:rFonts w:ascii="TimesNewRomanPSMT" w:hAnsi="TimesNewRomanPSMT" w:cs="TimesNewRomanPSMT"/>
          <w:sz w:val="24"/>
          <w:szCs w:val="24"/>
        </w:rPr>
      </w:pPr>
      <w:r>
        <w:rPr>
          <w:rFonts w:ascii="TimesNewRomanPSMT" w:hAnsi="TimesNewRomanPSMT" w:cs="TimesNewRomanPSMT"/>
          <w:sz w:val="24"/>
          <w:szCs w:val="24"/>
        </w:rPr>
        <w:t xml:space="preserve">h) </w:t>
      </w:r>
      <w:r w:rsidR="000169E8">
        <w:rPr>
          <w:rFonts w:ascii="TimesNewRomanPSMT" w:hAnsi="TimesNewRomanPSMT" w:cs="TimesNewRomanPSMT"/>
          <w:sz w:val="24"/>
          <w:szCs w:val="24"/>
        </w:rPr>
        <w:t xml:space="preserve"> </w:t>
      </w:r>
      <w:r>
        <w:rPr>
          <w:rFonts w:ascii="TimesNewRomanPSMT" w:hAnsi="TimesNewRomanPSMT" w:cs="TimesNewRomanPSMT"/>
          <w:sz w:val="24"/>
          <w:szCs w:val="24"/>
        </w:rPr>
        <w:t>Apertura a la movilidad interna y externa;</w:t>
      </w:r>
    </w:p>
    <w:p w:rsidR="006E7F42" w:rsidRDefault="002C750D" w:rsidP="00926DEE">
      <w:pPr>
        <w:autoSpaceDE w:val="0"/>
        <w:autoSpaceDN w:val="0"/>
        <w:adjustRightInd w:val="0"/>
        <w:spacing w:after="0" w:line="480" w:lineRule="auto"/>
        <w:ind w:firstLine="709"/>
        <w:jc w:val="both"/>
        <w:rPr>
          <w:rFonts w:ascii="TimesNewRomanPSMT" w:hAnsi="TimesNewRomanPSMT" w:cs="TimesNewRomanPSMT"/>
          <w:sz w:val="24"/>
          <w:szCs w:val="24"/>
        </w:rPr>
      </w:pPr>
      <w:r>
        <w:rPr>
          <w:rFonts w:ascii="TimesNewRomanPSMT" w:hAnsi="TimesNewRomanPSMT" w:cs="TimesNewRomanPSMT"/>
          <w:sz w:val="24"/>
          <w:szCs w:val="24"/>
        </w:rPr>
        <w:t xml:space="preserve">i) </w:t>
      </w:r>
      <w:r w:rsidR="000169E8">
        <w:rPr>
          <w:rFonts w:ascii="TimesNewRomanPSMT" w:hAnsi="TimesNewRomanPSMT" w:cs="TimesNewRomanPSMT"/>
          <w:sz w:val="24"/>
          <w:szCs w:val="24"/>
        </w:rPr>
        <w:t xml:space="preserve">  </w:t>
      </w:r>
      <w:r>
        <w:rPr>
          <w:rFonts w:ascii="TimesNewRomanPSMT" w:hAnsi="TimesNewRomanPSMT" w:cs="TimesNewRomanPSMT"/>
          <w:sz w:val="24"/>
          <w:szCs w:val="24"/>
        </w:rPr>
        <w:t>Énfasis en la gestión por rendición de cuentas</w:t>
      </w:r>
      <w:r>
        <w:rPr>
          <w:rFonts w:ascii="TimesNewRomanPSMT" w:hAnsi="TimesNewRomanPSMT" w:cs="TimesNewRomanPSMT"/>
          <w:sz w:val="16"/>
          <w:szCs w:val="16"/>
        </w:rPr>
        <w:t>2</w:t>
      </w:r>
      <w:r>
        <w:rPr>
          <w:rFonts w:ascii="TimesNewRomanPSMT" w:hAnsi="TimesNewRomanPSMT" w:cs="TimesNewRomanPSMT"/>
          <w:sz w:val="24"/>
          <w:szCs w:val="24"/>
        </w:rPr>
        <w:t>, etcétera</w:t>
      </w:r>
    </w:p>
    <w:p w:rsidR="00417B6A" w:rsidRDefault="006E7F42" w:rsidP="00926DEE">
      <w:pPr>
        <w:autoSpaceDE w:val="0"/>
        <w:autoSpaceDN w:val="0"/>
        <w:adjustRightInd w:val="0"/>
        <w:spacing w:after="0" w:line="480" w:lineRule="auto"/>
        <w:ind w:firstLine="709"/>
        <w:jc w:val="both"/>
        <w:rPr>
          <w:rFonts w:ascii="TimesNewRomanPSMT" w:hAnsi="TimesNewRomanPSMT" w:cs="TimesNewRomanPSMT"/>
          <w:sz w:val="24"/>
          <w:szCs w:val="24"/>
        </w:rPr>
      </w:pPr>
      <w:r>
        <w:rPr>
          <w:rFonts w:ascii="TimesNewRomanPSMT" w:hAnsi="TimesNewRomanPSMT" w:cs="TimesNewRomanPSMT"/>
          <w:sz w:val="24"/>
          <w:szCs w:val="24"/>
        </w:rPr>
        <w:t>j) Responsabilidad Social Universitaria</w:t>
      </w:r>
    </w:p>
    <w:p w:rsidR="002C750D" w:rsidRPr="00417B6A" w:rsidRDefault="002C750D" w:rsidP="00926DEE">
      <w:pPr>
        <w:autoSpaceDE w:val="0"/>
        <w:autoSpaceDN w:val="0"/>
        <w:adjustRightInd w:val="0"/>
        <w:spacing w:after="0" w:line="480" w:lineRule="auto"/>
        <w:ind w:firstLine="708"/>
        <w:jc w:val="both"/>
        <w:rPr>
          <w:rFonts w:ascii="Arial" w:hAnsi="Arial" w:cs="Arial"/>
          <w:sz w:val="24"/>
          <w:szCs w:val="24"/>
        </w:rPr>
      </w:pPr>
      <w:r>
        <w:rPr>
          <w:rFonts w:ascii="TimesNewRomanPSMT" w:hAnsi="TimesNewRomanPSMT" w:cs="TimesNewRomanPSMT"/>
          <w:sz w:val="24"/>
          <w:szCs w:val="24"/>
        </w:rPr>
        <w:t>En ese contexto nos interesa caracterizar a</w:t>
      </w:r>
      <w:r w:rsidR="00417B6A">
        <w:rPr>
          <w:rFonts w:ascii="TimesNewRomanPSMT" w:hAnsi="TimesNewRomanPSMT" w:cs="TimesNewRomanPSMT"/>
          <w:sz w:val="24"/>
          <w:szCs w:val="24"/>
        </w:rPr>
        <w:t xml:space="preserve"> los esfuerzos plurilaterales y </w:t>
      </w:r>
      <w:r>
        <w:rPr>
          <w:rFonts w:ascii="TimesNewRomanPSMT" w:hAnsi="TimesNewRomanPSMT" w:cs="TimesNewRomanPSMT"/>
          <w:sz w:val="24"/>
          <w:szCs w:val="24"/>
        </w:rPr>
        <w:t>multilaterales orientados a la integración de la educación superior en América La</w:t>
      </w:r>
      <w:r w:rsidR="00417B6A">
        <w:rPr>
          <w:rFonts w:ascii="TimesNewRomanPSMT" w:hAnsi="TimesNewRomanPSMT" w:cs="TimesNewRomanPSMT"/>
          <w:sz w:val="24"/>
          <w:szCs w:val="24"/>
        </w:rPr>
        <w:t xml:space="preserve">tina y </w:t>
      </w:r>
      <w:r>
        <w:rPr>
          <w:rFonts w:ascii="TimesNewRomanPSMT" w:hAnsi="TimesNewRomanPSMT" w:cs="TimesNewRomanPSMT"/>
          <w:sz w:val="24"/>
          <w:szCs w:val="24"/>
        </w:rPr>
        <w:t>el Caribe, concretizados a través de los acuer</w:t>
      </w:r>
      <w:r w:rsidR="00417B6A">
        <w:rPr>
          <w:rFonts w:ascii="TimesNewRomanPSMT" w:hAnsi="TimesNewRomanPSMT" w:cs="TimesNewRomanPSMT"/>
          <w:sz w:val="24"/>
          <w:szCs w:val="24"/>
        </w:rPr>
        <w:t xml:space="preserve">dos de cooperación bilaterales, </w:t>
      </w:r>
      <w:r>
        <w:rPr>
          <w:rFonts w:ascii="TimesNewRomanPSMT" w:hAnsi="TimesNewRomanPSMT" w:cs="TimesNewRomanPSMT"/>
          <w:sz w:val="24"/>
          <w:szCs w:val="24"/>
        </w:rPr>
        <w:t>subregionales, regionales y mundiales, en particu</w:t>
      </w:r>
      <w:r w:rsidR="00417B6A">
        <w:rPr>
          <w:rFonts w:ascii="TimesNewRomanPSMT" w:hAnsi="TimesNewRomanPSMT" w:cs="TimesNewRomanPSMT"/>
          <w:sz w:val="24"/>
          <w:szCs w:val="24"/>
        </w:rPr>
        <w:t xml:space="preserve">lar considerando a: las Cumbres </w:t>
      </w:r>
      <w:r w:rsidR="009858D0">
        <w:rPr>
          <w:rFonts w:ascii="TimesNewRomanPSMT" w:hAnsi="TimesNewRomanPSMT" w:cs="TimesNewRomanPSMT"/>
          <w:sz w:val="24"/>
          <w:szCs w:val="24"/>
        </w:rPr>
        <w:t>Iberoamericanas</w:t>
      </w:r>
      <w:r>
        <w:rPr>
          <w:rFonts w:ascii="TimesNewRomanPSMT" w:hAnsi="TimesNewRomanPSMT" w:cs="TimesNewRomanPSMT"/>
          <w:sz w:val="24"/>
          <w:szCs w:val="24"/>
        </w:rPr>
        <w:t xml:space="preserve"> de Jefes de Estado y de Gob</w:t>
      </w:r>
      <w:r w:rsidR="00417B6A">
        <w:rPr>
          <w:rFonts w:ascii="TimesNewRomanPSMT" w:hAnsi="TimesNewRomanPSMT" w:cs="TimesNewRomanPSMT"/>
          <w:sz w:val="24"/>
          <w:szCs w:val="24"/>
        </w:rPr>
        <w:t xml:space="preserve">ierno, el Mercado Común del Sur </w:t>
      </w:r>
      <w:r>
        <w:rPr>
          <w:rFonts w:ascii="TimesNewRomanPSMT" w:hAnsi="TimesNewRomanPSMT" w:cs="TimesNewRomanPSMT"/>
          <w:sz w:val="24"/>
          <w:szCs w:val="24"/>
        </w:rPr>
        <w:t>(MERCOSUR), el Acuerdo Latinoamericano de</w:t>
      </w:r>
      <w:r w:rsidR="00417B6A">
        <w:rPr>
          <w:rFonts w:ascii="TimesNewRomanPSMT" w:hAnsi="TimesNewRomanPSMT" w:cs="TimesNewRomanPSMT"/>
          <w:sz w:val="24"/>
          <w:szCs w:val="24"/>
        </w:rPr>
        <w:t xml:space="preserve"> Integración y el Área de Libre </w:t>
      </w:r>
      <w:r w:rsidRPr="00417B6A">
        <w:rPr>
          <w:rFonts w:ascii="Arial" w:hAnsi="Arial" w:cs="Arial"/>
          <w:sz w:val="24"/>
          <w:szCs w:val="24"/>
        </w:rPr>
        <w:t>Comercio de las Américas (ALCA)</w:t>
      </w:r>
    </w:p>
    <w:p w:rsidR="002C750D" w:rsidRDefault="002C750D" w:rsidP="00926DEE">
      <w:pPr>
        <w:autoSpaceDE w:val="0"/>
        <w:autoSpaceDN w:val="0"/>
        <w:adjustRightInd w:val="0"/>
        <w:spacing w:after="0" w:line="480" w:lineRule="auto"/>
        <w:jc w:val="both"/>
        <w:rPr>
          <w:rFonts w:ascii="TimesNewRomanPSMT" w:hAnsi="TimesNewRomanPSMT" w:cs="TimesNewRomanPSMT"/>
          <w:sz w:val="20"/>
          <w:szCs w:val="20"/>
        </w:rPr>
      </w:pPr>
    </w:p>
    <w:p w:rsidR="002C750D" w:rsidRDefault="002C750D"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t>Nos ubicamos en el período 2000-2013 con la fi</w:t>
      </w:r>
      <w:r w:rsidR="00417B6A">
        <w:rPr>
          <w:rFonts w:ascii="TimesNewRomanPSMT" w:hAnsi="TimesNewRomanPSMT" w:cs="TimesNewRomanPSMT"/>
          <w:sz w:val="24"/>
          <w:szCs w:val="24"/>
        </w:rPr>
        <w:t xml:space="preserve">nalidad de exponer la evolución </w:t>
      </w:r>
      <w:r>
        <w:rPr>
          <w:rFonts w:ascii="TimesNewRomanPSMT" w:hAnsi="TimesNewRomanPSMT" w:cs="TimesNewRomanPSMT"/>
          <w:sz w:val="24"/>
          <w:szCs w:val="24"/>
        </w:rPr>
        <w:t>del nuevo sistema multilateral en el marco d</w:t>
      </w:r>
      <w:r w:rsidR="00417B6A">
        <w:rPr>
          <w:rFonts w:ascii="TimesNewRomanPSMT" w:hAnsi="TimesNewRomanPSMT" w:cs="TimesNewRomanPSMT"/>
          <w:sz w:val="24"/>
          <w:szCs w:val="24"/>
        </w:rPr>
        <w:t>e los acuerdos en el proceso</w:t>
      </w:r>
      <w:r w:rsidR="000169E8">
        <w:rPr>
          <w:rFonts w:ascii="TimesNewRomanPSMT" w:hAnsi="TimesNewRomanPSMT" w:cs="TimesNewRomanPSMT"/>
          <w:sz w:val="24"/>
          <w:szCs w:val="24"/>
        </w:rPr>
        <w:t xml:space="preserve"> </w:t>
      </w:r>
      <w:r w:rsidR="00417B6A">
        <w:rPr>
          <w:rFonts w:ascii="TimesNewRomanPSMT" w:hAnsi="TimesNewRomanPSMT" w:cs="TimesNewRomanPSMT"/>
          <w:sz w:val="24"/>
          <w:szCs w:val="24"/>
        </w:rPr>
        <w:t xml:space="preserve">de </w:t>
      </w:r>
      <w:r>
        <w:rPr>
          <w:rFonts w:ascii="TimesNewRomanPSMT" w:hAnsi="TimesNewRomanPSMT" w:cs="TimesNewRomanPSMT"/>
          <w:sz w:val="24"/>
          <w:szCs w:val="24"/>
        </w:rPr>
        <w:t>liberalización económica de la región latino</w:t>
      </w:r>
      <w:r w:rsidR="00417B6A">
        <w:rPr>
          <w:rFonts w:ascii="TimesNewRomanPSMT" w:hAnsi="TimesNewRomanPSMT" w:cs="TimesNewRomanPSMT"/>
          <w:sz w:val="24"/>
          <w:szCs w:val="24"/>
        </w:rPr>
        <w:t xml:space="preserve">americana. Daremos cuenta de la </w:t>
      </w:r>
      <w:r>
        <w:rPr>
          <w:rFonts w:ascii="TimesNewRomanPSMT" w:hAnsi="TimesNewRomanPSMT" w:cs="TimesNewRomanPSMT"/>
          <w:sz w:val="24"/>
          <w:szCs w:val="24"/>
        </w:rPr>
        <w:lastRenderedPageBreak/>
        <w:t>compatibilidad entre la estrategia de integración la</w:t>
      </w:r>
      <w:r w:rsidR="00417B6A">
        <w:rPr>
          <w:rFonts w:ascii="TimesNewRomanPSMT" w:hAnsi="TimesNewRomanPSMT" w:cs="TimesNewRomanPSMT"/>
          <w:sz w:val="24"/>
          <w:szCs w:val="24"/>
        </w:rPr>
        <w:t xml:space="preserve">tinoamericana consistente en el </w:t>
      </w:r>
      <w:r>
        <w:rPr>
          <w:rFonts w:ascii="TimesNewRomanPSMT" w:hAnsi="TimesNewRomanPSMT" w:cs="TimesNewRomanPSMT"/>
          <w:sz w:val="24"/>
          <w:szCs w:val="24"/>
        </w:rPr>
        <w:t>desarrollo del regionalismo abierto con los ret</w:t>
      </w:r>
      <w:r w:rsidR="00417B6A">
        <w:rPr>
          <w:rFonts w:ascii="TimesNewRomanPSMT" w:hAnsi="TimesNewRomanPSMT" w:cs="TimesNewRomanPSMT"/>
          <w:sz w:val="24"/>
          <w:szCs w:val="24"/>
        </w:rPr>
        <w:t xml:space="preserve">os que impone la competitividad </w:t>
      </w:r>
      <w:r>
        <w:rPr>
          <w:rFonts w:ascii="TimesNewRomanPSMT" w:hAnsi="TimesNewRomanPSMT" w:cs="TimesNewRomanPSMT"/>
          <w:sz w:val="24"/>
          <w:szCs w:val="24"/>
        </w:rPr>
        <w:t>internacional en el servicio educativo del nivel superior.</w:t>
      </w:r>
    </w:p>
    <w:p w:rsidR="002C750D" w:rsidRDefault="002C750D"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t>Diversos autores han escrito en torno del tema de</w:t>
      </w:r>
      <w:r w:rsidR="00417B6A">
        <w:rPr>
          <w:rFonts w:ascii="TimesNewRomanPSMT" w:hAnsi="TimesNewRomanPSMT" w:cs="TimesNewRomanPSMT"/>
          <w:sz w:val="24"/>
          <w:szCs w:val="24"/>
        </w:rPr>
        <w:t xml:space="preserve"> la liberalización comercial de </w:t>
      </w:r>
      <w:r>
        <w:rPr>
          <w:rFonts w:ascii="TimesNewRomanPSMT" w:hAnsi="TimesNewRomanPSMT" w:cs="TimesNewRomanPSMT"/>
          <w:sz w:val="24"/>
          <w:szCs w:val="24"/>
        </w:rPr>
        <w:t xml:space="preserve">la educación superior, desde la óptica de </w:t>
      </w:r>
      <w:r w:rsidR="000169E8">
        <w:rPr>
          <w:rFonts w:ascii="TimesNewRomanPSMT" w:hAnsi="TimesNewRomanPSMT" w:cs="TimesNewRomanPSMT"/>
          <w:sz w:val="24"/>
          <w:szCs w:val="24"/>
        </w:rPr>
        <w:t>García</w:t>
      </w:r>
      <w:r w:rsidR="00417B6A">
        <w:rPr>
          <w:rFonts w:ascii="TimesNewRomanPSMT" w:hAnsi="TimesNewRomanPSMT" w:cs="TimesNewRomanPSMT"/>
          <w:sz w:val="24"/>
          <w:szCs w:val="24"/>
        </w:rPr>
        <w:t xml:space="preserve"> Gua</w:t>
      </w:r>
      <w:r>
        <w:rPr>
          <w:rFonts w:ascii="TimesNewRomanPSMT" w:hAnsi="TimesNewRomanPSMT" w:cs="TimesNewRomanPSMT"/>
          <w:sz w:val="24"/>
          <w:szCs w:val="24"/>
        </w:rPr>
        <w:t>dilla (2002</w:t>
      </w:r>
      <w:r w:rsidR="00417B6A">
        <w:rPr>
          <w:rFonts w:ascii="TimesNewRomanPSMT" w:hAnsi="TimesNewRomanPSMT" w:cs="TimesNewRomanPSMT"/>
          <w:sz w:val="24"/>
          <w:szCs w:val="24"/>
        </w:rPr>
        <w:t xml:space="preserve">), se adscriben a dos dinámicas </w:t>
      </w:r>
      <w:r>
        <w:rPr>
          <w:rFonts w:ascii="TimesNewRomanPSMT" w:hAnsi="TimesNewRomanPSMT" w:cs="TimesNewRomanPSMT"/>
          <w:sz w:val="24"/>
          <w:szCs w:val="24"/>
        </w:rPr>
        <w:t>extremas: la visión modernizante y la vis</w:t>
      </w:r>
      <w:r w:rsidR="00417B6A">
        <w:rPr>
          <w:rFonts w:ascii="TimesNewRomanPSMT" w:hAnsi="TimesNewRomanPSMT" w:cs="TimesNewRomanPSMT"/>
          <w:sz w:val="24"/>
          <w:szCs w:val="24"/>
        </w:rPr>
        <w:t xml:space="preserve">ión crítica. La primera, acepta que la dinámica </w:t>
      </w:r>
      <w:r>
        <w:rPr>
          <w:rFonts w:ascii="TimesNewRomanPSMT" w:hAnsi="TimesNewRomanPSMT" w:cs="TimesNewRomanPSMT"/>
          <w:sz w:val="24"/>
          <w:szCs w:val="24"/>
        </w:rPr>
        <w:t>del mercado se impone en los hechos; y por tanto, no e</w:t>
      </w:r>
      <w:r w:rsidR="00417B6A">
        <w:rPr>
          <w:rFonts w:ascii="TimesNewRomanPSMT" w:hAnsi="TimesNewRomanPSMT" w:cs="TimesNewRomanPSMT"/>
          <w:sz w:val="24"/>
          <w:szCs w:val="24"/>
        </w:rPr>
        <w:t xml:space="preserve">xisten dudas en los acuerdos de </w:t>
      </w:r>
      <w:r>
        <w:rPr>
          <w:rFonts w:ascii="TimesNewRomanPSMT" w:hAnsi="TimesNewRomanPSMT" w:cs="TimesNewRomanPSMT"/>
          <w:sz w:val="24"/>
          <w:szCs w:val="24"/>
        </w:rPr>
        <w:t xml:space="preserve">liberalización comercial porque se responde de manera </w:t>
      </w:r>
      <w:r w:rsidR="00564622">
        <w:rPr>
          <w:rFonts w:ascii="TimesNewRomanPSMT" w:hAnsi="TimesNewRomanPSMT" w:cs="TimesNewRomanPSMT"/>
          <w:sz w:val="24"/>
          <w:szCs w:val="24"/>
        </w:rPr>
        <w:t xml:space="preserve">natural al desarrollo económico </w:t>
      </w:r>
      <w:r>
        <w:rPr>
          <w:rFonts w:ascii="TimesNewRomanPSMT" w:hAnsi="TimesNewRomanPSMT" w:cs="TimesNewRomanPSMT"/>
          <w:sz w:val="24"/>
          <w:szCs w:val="24"/>
        </w:rPr>
        <w:t>(Silva: 2005). La segun</w:t>
      </w:r>
      <w:r w:rsidR="00417B6A">
        <w:rPr>
          <w:rFonts w:ascii="TimesNewRomanPSMT" w:hAnsi="TimesNewRomanPSMT" w:cs="TimesNewRomanPSMT"/>
          <w:sz w:val="24"/>
          <w:szCs w:val="24"/>
        </w:rPr>
        <w:t xml:space="preserve">da, una dinámica </w:t>
      </w:r>
      <w:r>
        <w:rPr>
          <w:rFonts w:ascii="TimesNewRomanPSMT" w:hAnsi="TimesNewRomanPSMT" w:cs="TimesNewRomanPSMT"/>
          <w:sz w:val="24"/>
          <w:szCs w:val="24"/>
        </w:rPr>
        <w:t>caracteriz</w:t>
      </w:r>
      <w:r w:rsidR="00417B6A">
        <w:rPr>
          <w:rFonts w:ascii="TimesNewRomanPSMT" w:hAnsi="TimesNewRomanPSMT" w:cs="TimesNewRomanPSMT"/>
          <w:sz w:val="24"/>
          <w:szCs w:val="24"/>
        </w:rPr>
        <w:t xml:space="preserve">ada por el rechazo y la crítica </w:t>
      </w:r>
      <w:r>
        <w:rPr>
          <w:rFonts w:ascii="TimesNewRomanPSMT" w:hAnsi="TimesNewRomanPSMT" w:cs="TimesNewRomanPSMT"/>
          <w:sz w:val="24"/>
          <w:szCs w:val="24"/>
        </w:rPr>
        <w:t>proveniente principalmente del sector acadé</w:t>
      </w:r>
      <w:r w:rsidR="00417B6A">
        <w:rPr>
          <w:rFonts w:ascii="TimesNewRomanPSMT" w:hAnsi="TimesNewRomanPSMT" w:cs="TimesNewRomanPSMT"/>
          <w:sz w:val="24"/>
          <w:szCs w:val="24"/>
        </w:rPr>
        <w:t xml:space="preserve">mico y de las organizaciones no </w:t>
      </w:r>
      <w:r>
        <w:rPr>
          <w:rFonts w:ascii="TimesNewRomanPSMT" w:hAnsi="TimesNewRomanPSMT" w:cs="TimesNewRomanPSMT"/>
          <w:sz w:val="24"/>
          <w:szCs w:val="24"/>
        </w:rPr>
        <w:t>gubernamentales, se considera que se limita a la edu</w:t>
      </w:r>
      <w:r w:rsidR="00417B6A">
        <w:rPr>
          <w:rFonts w:ascii="TimesNewRomanPSMT" w:hAnsi="TimesNewRomanPSMT" w:cs="TimesNewRomanPSMT"/>
          <w:sz w:val="24"/>
          <w:szCs w:val="24"/>
        </w:rPr>
        <w:t>cación superior al considerarla como mercancía (Aboi</w:t>
      </w:r>
      <w:r>
        <w:rPr>
          <w:rFonts w:ascii="TimesNewRomanPSMT" w:hAnsi="TimesNewRomanPSMT" w:cs="TimesNewRomanPSMT"/>
          <w:sz w:val="24"/>
          <w:szCs w:val="24"/>
        </w:rPr>
        <w:t>tes: 1997; Rodríguez: 2002)</w:t>
      </w:r>
    </w:p>
    <w:p w:rsidR="00F27EDE" w:rsidRDefault="002C750D"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t>Con nuestro estudio planteamos una posición</w:t>
      </w:r>
      <w:r w:rsidR="00417B6A">
        <w:rPr>
          <w:rFonts w:ascii="TimesNewRomanPSMT" w:hAnsi="TimesNewRomanPSMT" w:cs="TimesNewRomanPSMT"/>
          <w:sz w:val="24"/>
          <w:szCs w:val="24"/>
        </w:rPr>
        <w:t xml:space="preserve"> alternativa, necesaria para la </w:t>
      </w:r>
      <w:r>
        <w:rPr>
          <w:rFonts w:ascii="TimesNewRomanPSMT" w:hAnsi="TimesNewRomanPSMT" w:cs="TimesNewRomanPSMT"/>
          <w:sz w:val="24"/>
          <w:szCs w:val="24"/>
        </w:rPr>
        <w:t>región latinoamericana. El razonamiento es que no pod</w:t>
      </w:r>
      <w:r w:rsidR="00417B6A">
        <w:rPr>
          <w:rFonts w:ascii="TimesNewRomanPSMT" w:hAnsi="TimesNewRomanPSMT" w:cs="TimesNewRomanPSMT"/>
          <w:sz w:val="24"/>
          <w:szCs w:val="24"/>
        </w:rPr>
        <w:t xml:space="preserve">emos sustraernos de la dinámica </w:t>
      </w:r>
      <w:r>
        <w:rPr>
          <w:rFonts w:ascii="TimesNewRomanPSMT" w:hAnsi="TimesNewRomanPSMT" w:cs="TimesNewRomanPSMT"/>
          <w:sz w:val="24"/>
          <w:szCs w:val="24"/>
        </w:rPr>
        <w:t>mundial, ni continuar con sistemas de e</w:t>
      </w:r>
      <w:r w:rsidR="00417B6A">
        <w:rPr>
          <w:rFonts w:ascii="TimesNewRomanPSMT" w:hAnsi="TimesNewRomanPSMT" w:cs="TimesNewRomanPSMT"/>
          <w:sz w:val="24"/>
          <w:szCs w:val="24"/>
        </w:rPr>
        <w:t xml:space="preserve">ducación superior tradicionales caracterizados </w:t>
      </w:r>
      <w:r>
        <w:rPr>
          <w:rFonts w:ascii="TimesNewRomanPSMT" w:hAnsi="TimesNewRomanPSMT" w:cs="TimesNewRomanPSMT"/>
          <w:sz w:val="24"/>
          <w:szCs w:val="24"/>
        </w:rPr>
        <w:t>por el inmovilismo y atraso de sus métodos de enseñanza</w:t>
      </w:r>
      <w:r w:rsidR="00417B6A">
        <w:rPr>
          <w:rFonts w:ascii="TimesNewRomanPSMT" w:hAnsi="TimesNewRomanPSMT" w:cs="TimesNewRomanPSMT"/>
          <w:sz w:val="24"/>
          <w:szCs w:val="24"/>
        </w:rPr>
        <w:t xml:space="preserve"> y de aprendizaje desligados de </w:t>
      </w:r>
      <w:r>
        <w:rPr>
          <w:rFonts w:ascii="TimesNewRomanPSMT" w:hAnsi="TimesNewRomanPSMT" w:cs="TimesNewRomanPSMT"/>
          <w:sz w:val="24"/>
          <w:szCs w:val="24"/>
        </w:rPr>
        <w:t>las necesidades nacionales y regionales, ni dejar</w:t>
      </w:r>
      <w:r w:rsidR="00417B6A">
        <w:rPr>
          <w:rFonts w:ascii="TimesNewRomanPSMT" w:hAnsi="TimesNewRomanPSMT" w:cs="TimesNewRomanPSMT"/>
          <w:sz w:val="24"/>
          <w:szCs w:val="24"/>
        </w:rPr>
        <w:t xml:space="preserve">nos llevar por la corriente del </w:t>
      </w:r>
      <w:r>
        <w:rPr>
          <w:rFonts w:ascii="TimesNewRomanPS-ItalicMT" w:hAnsi="TimesNewRomanPS-ItalicMT" w:cs="TimesNewRomanPS-ItalicMT"/>
          <w:i/>
          <w:iCs/>
          <w:sz w:val="24"/>
          <w:szCs w:val="24"/>
        </w:rPr>
        <w:t xml:space="preserve">naturalismo </w:t>
      </w:r>
      <w:r>
        <w:rPr>
          <w:rFonts w:ascii="TimesNewRomanPSMT" w:hAnsi="TimesNewRomanPSMT" w:cs="TimesNewRomanPSMT"/>
          <w:sz w:val="24"/>
          <w:szCs w:val="24"/>
        </w:rPr>
        <w:t>neoliberal. Tenemos que asumir una postur</w:t>
      </w:r>
      <w:r w:rsidR="00417B6A">
        <w:rPr>
          <w:rFonts w:ascii="TimesNewRomanPSMT" w:hAnsi="TimesNewRomanPSMT" w:cs="TimesNewRomanPSMT"/>
          <w:sz w:val="24"/>
          <w:szCs w:val="24"/>
        </w:rPr>
        <w:t xml:space="preserve">a constructivista sustentada en </w:t>
      </w:r>
      <w:r>
        <w:rPr>
          <w:rFonts w:ascii="TimesNewRomanPSMT" w:hAnsi="TimesNewRomanPSMT" w:cs="TimesNewRomanPSMT"/>
          <w:sz w:val="24"/>
          <w:szCs w:val="24"/>
        </w:rPr>
        <w:t>la razón si queremos resarcir nuestra condición d</w:t>
      </w:r>
      <w:r w:rsidR="00417B6A">
        <w:rPr>
          <w:rFonts w:ascii="TimesNewRomanPSMT" w:hAnsi="TimesNewRomanPSMT" w:cs="TimesNewRomanPSMT"/>
          <w:sz w:val="24"/>
          <w:szCs w:val="24"/>
        </w:rPr>
        <w:t xml:space="preserve">e desigualdad en las relaciones </w:t>
      </w:r>
      <w:r>
        <w:rPr>
          <w:rFonts w:ascii="TimesNewRomanPSMT" w:hAnsi="TimesNewRomanPSMT" w:cs="TimesNewRomanPSMT"/>
          <w:sz w:val="24"/>
          <w:szCs w:val="24"/>
        </w:rPr>
        <w:t xml:space="preserve">mundiales. </w:t>
      </w:r>
    </w:p>
    <w:p w:rsidR="000169E8" w:rsidRDefault="002C750D"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t>Para lograr lo anterior, nos situamos en el est</w:t>
      </w:r>
      <w:r w:rsidR="00417B6A">
        <w:rPr>
          <w:rFonts w:ascii="TimesNewRomanPSMT" w:hAnsi="TimesNewRomanPSMT" w:cs="TimesNewRomanPSMT"/>
          <w:sz w:val="24"/>
          <w:szCs w:val="24"/>
        </w:rPr>
        <w:t xml:space="preserve">udio de las formas del comercio </w:t>
      </w:r>
      <w:r>
        <w:rPr>
          <w:rFonts w:ascii="TimesNewRomanPSMT" w:hAnsi="TimesNewRomanPSMT" w:cs="TimesNewRomanPSMT"/>
          <w:sz w:val="24"/>
          <w:szCs w:val="24"/>
        </w:rPr>
        <w:t>internacional de la educación superior fijada en los acuerdo</w:t>
      </w:r>
      <w:r w:rsidR="00417B6A">
        <w:rPr>
          <w:rFonts w:ascii="TimesNewRomanPSMT" w:hAnsi="TimesNewRomanPSMT" w:cs="TimesNewRomanPSMT"/>
          <w:sz w:val="24"/>
          <w:szCs w:val="24"/>
        </w:rPr>
        <w:t xml:space="preserve">s, y con base en ello, realizar </w:t>
      </w:r>
      <w:r>
        <w:rPr>
          <w:rFonts w:ascii="TimesNewRomanPSMT" w:hAnsi="TimesNewRomanPSMT" w:cs="TimesNewRomanPSMT"/>
          <w:sz w:val="24"/>
          <w:szCs w:val="24"/>
        </w:rPr>
        <w:t>la caracterización del comportamiento de la región respecto</w:t>
      </w:r>
      <w:r w:rsidR="000169E8">
        <w:rPr>
          <w:rFonts w:ascii="TimesNewRomanPSMT" w:hAnsi="TimesNewRomanPSMT" w:cs="TimesNewRomanPSMT"/>
          <w:sz w:val="24"/>
          <w:szCs w:val="24"/>
        </w:rPr>
        <w:t xml:space="preserve"> a: </w:t>
      </w:r>
      <w:r w:rsidR="000169E8">
        <w:rPr>
          <w:rFonts w:ascii="TimesNewRomanPSMT" w:hAnsi="TimesNewRomanPSMT" w:cs="TimesNewRomanPSMT"/>
          <w:sz w:val="24"/>
          <w:szCs w:val="24"/>
        </w:rPr>
        <w:lastRenderedPageBreak/>
        <w:t xml:space="preserve">suministros </w:t>
      </w:r>
      <w:r>
        <w:rPr>
          <w:rFonts w:ascii="TimesNewRomanPSMT" w:hAnsi="TimesNewRomanPSMT" w:cs="TimesNewRomanPSMT"/>
          <w:sz w:val="24"/>
          <w:szCs w:val="24"/>
        </w:rPr>
        <w:t xml:space="preserve">transfronterizos provenientes de un país a otro, el </w:t>
      </w:r>
      <w:r w:rsidR="000169E8">
        <w:rPr>
          <w:rFonts w:ascii="TimesNewRomanPSMT" w:hAnsi="TimesNewRomanPSMT" w:cs="TimesNewRomanPSMT"/>
          <w:sz w:val="24"/>
          <w:szCs w:val="24"/>
        </w:rPr>
        <w:t xml:space="preserve">consumo en el extranjero de los </w:t>
      </w:r>
      <w:r>
        <w:rPr>
          <w:rFonts w:ascii="TimesNewRomanPSMT" w:hAnsi="TimesNewRomanPSMT" w:cs="TimesNewRomanPSMT"/>
          <w:sz w:val="24"/>
          <w:szCs w:val="24"/>
        </w:rPr>
        <w:t>servicios educativos, presencia comercial de</w:t>
      </w:r>
      <w:r w:rsidR="000169E8">
        <w:rPr>
          <w:rFonts w:ascii="TimesNewRomanPSMT" w:hAnsi="TimesNewRomanPSMT" w:cs="TimesNewRomanPSMT"/>
          <w:sz w:val="24"/>
          <w:szCs w:val="24"/>
        </w:rPr>
        <w:t xml:space="preserve"> un país en otro y presencia de personas </w:t>
      </w:r>
      <w:r>
        <w:rPr>
          <w:rFonts w:ascii="TimesNewRomanPSMT" w:hAnsi="TimesNewRomanPSMT" w:cs="TimesNewRomanPSMT"/>
          <w:sz w:val="24"/>
          <w:szCs w:val="24"/>
        </w:rPr>
        <w:t xml:space="preserve">físicas de un país en otro. El argumento de nuestra postura, encuentra </w:t>
      </w:r>
      <w:r w:rsidR="000169E8">
        <w:rPr>
          <w:rFonts w:ascii="TimesNewRomanPSMT" w:hAnsi="TimesNewRomanPSMT" w:cs="TimesNewRomanPSMT"/>
          <w:sz w:val="24"/>
          <w:szCs w:val="24"/>
        </w:rPr>
        <w:t xml:space="preserve">plena </w:t>
      </w:r>
      <w:r>
        <w:rPr>
          <w:rFonts w:ascii="TimesNewRomanPSMT" w:hAnsi="TimesNewRomanPSMT" w:cs="TimesNewRomanPSMT"/>
          <w:sz w:val="24"/>
          <w:szCs w:val="24"/>
        </w:rPr>
        <w:t>identificación con el escenario prospectivo, de globalización con interacción y mercado</w:t>
      </w:r>
      <w:r w:rsidR="000169E8">
        <w:rPr>
          <w:rFonts w:ascii="TimesNewRomanPSMT" w:hAnsi="TimesNewRomanPSMT" w:cs="TimesNewRomanPSMT"/>
          <w:sz w:val="24"/>
          <w:szCs w:val="24"/>
        </w:rPr>
        <w:t xml:space="preserve"> </w:t>
      </w:r>
      <w:r>
        <w:rPr>
          <w:rFonts w:ascii="TimesNewRomanPSMT" w:hAnsi="TimesNewRomanPSMT" w:cs="TimesNewRomanPSMT"/>
          <w:sz w:val="24"/>
          <w:szCs w:val="24"/>
        </w:rPr>
        <w:t>regulado por ac</w:t>
      </w:r>
      <w:r w:rsidR="000169E8">
        <w:rPr>
          <w:rFonts w:ascii="TimesNewRomanPSMT" w:hAnsi="TimesNewRomanPSMT" w:cs="TimesNewRomanPSMT"/>
          <w:sz w:val="24"/>
          <w:szCs w:val="24"/>
        </w:rPr>
        <w:t>uerdos educativos, que traza Gua</w:t>
      </w:r>
      <w:r>
        <w:rPr>
          <w:rFonts w:ascii="TimesNewRomanPSMT" w:hAnsi="TimesNewRomanPSMT" w:cs="TimesNewRomanPSMT"/>
          <w:sz w:val="24"/>
          <w:szCs w:val="24"/>
        </w:rPr>
        <w:t>dilla (2002). Es decir, en un futuro no</w:t>
      </w:r>
      <w:r w:rsidR="000169E8">
        <w:rPr>
          <w:rFonts w:ascii="TimesNewRomanPSMT" w:hAnsi="TimesNewRomanPSMT" w:cs="TimesNewRomanPSMT"/>
          <w:sz w:val="24"/>
          <w:szCs w:val="24"/>
        </w:rPr>
        <w:t xml:space="preserve"> </w:t>
      </w:r>
      <w:r>
        <w:rPr>
          <w:rFonts w:ascii="TimesNewRomanPSMT" w:hAnsi="TimesNewRomanPSMT" w:cs="TimesNewRomanPSMT"/>
          <w:sz w:val="24"/>
          <w:szCs w:val="24"/>
        </w:rPr>
        <w:t>lejano en América Latina y el Caribe es posible la arm</w:t>
      </w:r>
      <w:r w:rsidR="000169E8">
        <w:rPr>
          <w:rFonts w:ascii="TimesNewRomanPSMT" w:hAnsi="TimesNewRomanPSMT" w:cs="TimesNewRomanPSMT"/>
          <w:sz w:val="24"/>
          <w:szCs w:val="24"/>
        </w:rPr>
        <w:t xml:space="preserve">onización entre considerar a la </w:t>
      </w:r>
      <w:r>
        <w:rPr>
          <w:rFonts w:ascii="TimesNewRomanPSMT" w:hAnsi="TimesNewRomanPSMT" w:cs="TimesNewRomanPSMT"/>
          <w:sz w:val="24"/>
          <w:szCs w:val="24"/>
        </w:rPr>
        <w:t xml:space="preserve">educación superior como un bien público que forma para </w:t>
      </w:r>
      <w:r w:rsidR="000169E8">
        <w:rPr>
          <w:rFonts w:ascii="TimesNewRomanPSMT" w:hAnsi="TimesNewRomanPSMT" w:cs="TimesNewRomanPSMT"/>
          <w:sz w:val="24"/>
          <w:szCs w:val="24"/>
        </w:rPr>
        <w:t xml:space="preserve">la ciudadanía regional y global </w:t>
      </w:r>
      <w:r>
        <w:rPr>
          <w:rFonts w:ascii="TimesNewRomanPSMT" w:hAnsi="TimesNewRomanPSMT" w:cs="TimesNewRomanPSMT"/>
          <w:sz w:val="24"/>
          <w:szCs w:val="24"/>
        </w:rPr>
        <w:t xml:space="preserve">y desarrollar acuerdos comerciales tendientes a </w:t>
      </w:r>
      <w:r w:rsidR="000169E8">
        <w:rPr>
          <w:rFonts w:ascii="TimesNewRomanPSMT" w:hAnsi="TimesNewRomanPSMT" w:cs="TimesNewRomanPSMT"/>
          <w:sz w:val="24"/>
          <w:szCs w:val="24"/>
        </w:rPr>
        <w:t xml:space="preserve">la flexibilización, movilidad e </w:t>
      </w:r>
      <w:r>
        <w:rPr>
          <w:rFonts w:ascii="TimesNewRomanPSMT" w:hAnsi="TimesNewRomanPSMT" w:cs="TimesNewRomanPSMT"/>
          <w:sz w:val="24"/>
          <w:szCs w:val="24"/>
        </w:rPr>
        <w:t>interacción del servicio educativo en el marco de la globalización.</w:t>
      </w:r>
    </w:p>
    <w:p w:rsidR="008214C4" w:rsidRPr="000169E8" w:rsidRDefault="008214C4" w:rsidP="00926DEE">
      <w:pPr>
        <w:tabs>
          <w:tab w:val="left" w:pos="3544"/>
        </w:tabs>
        <w:spacing w:line="480" w:lineRule="auto"/>
        <w:jc w:val="both"/>
        <w:rPr>
          <w:rFonts w:ascii="Arial" w:hAnsi="Arial" w:cs="Arial"/>
          <w:b/>
          <w:i/>
          <w:sz w:val="24"/>
          <w:szCs w:val="24"/>
        </w:rPr>
      </w:pPr>
      <w:r w:rsidRPr="000169E8">
        <w:rPr>
          <w:rFonts w:ascii="Arial" w:hAnsi="Arial" w:cs="Arial"/>
          <w:b/>
          <w:i/>
          <w:sz w:val="24"/>
          <w:szCs w:val="24"/>
        </w:rPr>
        <w:t>Metodología</w:t>
      </w:r>
    </w:p>
    <w:p w:rsidR="00846171" w:rsidRDefault="00846171" w:rsidP="00926DEE">
      <w:pPr>
        <w:autoSpaceDE w:val="0"/>
        <w:autoSpaceDN w:val="0"/>
        <w:adjustRightInd w:val="0"/>
        <w:spacing w:after="0" w:line="480" w:lineRule="auto"/>
        <w:jc w:val="both"/>
        <w:rPr>
          <w:rFonts w:ascii="TimesNewRomanPSMT" w:hAnsi="TimesNewRomanPSMT" w:cs="TimesNewRomanPSMT"/>
          <w:sz w:val="24"/>
          <w:szCs w:val="24"/>
        </w:rPr>
      </w:pPr>
      <w:r>
        <w:rPr>
          <w:rFonts w:ascii="TimesNewRomanPSMT" w:hAnsi="TimesNewRomanPSMT" w:cs="TimesNewRomanPSMT"/>
          <w:sz w:val="24"/>
          <w:szCs w:val="24"/>
        </w:rPr>
        <w:t>Diseñamos una vía metódica basada en el método comparativo aplicado en tres sentidos: a) para comparar el lugar de la educación superior en los acuerdos de cooperación; b) para comparar la recepción de los acuerdos en los países de la región en el marco de sus políticas de la educación superior; y c) para comparar las formas de comercio internacional de la educación superior en los países de la región.</w:t>
      </w:r>
    </w:p>
    <w:p w:rsidR="00846171" w:rsidRDefault="00846171"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t>Partimos metodológicamente de la elaboración de un mapa conceptual de los acuerdos de cooperación para la integración, a través de realizar previamente una búsqueda exhaustiva de material documental en bases de datos, bibliotecas especializadas y bibliotecas digitales. En este mapa colocaremos en orden cronológico los acuerdos, tratados, cumbres, encuentros, etcétera, realizados desde el año 2000 a la fecha.</w:t>
      </w:r>
    </w:p>
    <w:p w:rsidR="00846171" w:rsidRDefault="00846171"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lastRenderedPageBreak/>
        <w:t>Después iremos identificando en los documentos y declaraciones políticas, lineamientos, problemas y sugerencias relacionadas a la educación superior, para cumplir con los dos primeros objetivos.</w:t>
      </w:r>
    </w:p>
    <w:p w:rsidR="00846171" w:rsidRDefault="00846171" w:rsidP="00926DEE">
      <w:pPr>
        <w:autoSpaceDE w:val="0"/>
        <w:autoSpaceDN w:val="0"/>
        <w:adjustRightInd w:val="0"/>
        <w:spacing w:after="0" w:line="480" w:lineRule="auto"/>
        <w:jc w:val="both"/>
        <w:rPr>
          <w:rFonts w:ascii="TimesNewRomanPSMT" w:hAnsi="TimesNewRomanPSMT" w:cs="TimesNewRomanPSMT"/>
          <w:sz w:val="24"/>
          <w:szCs w:val="24"/>
        </w:rPr>
      </w:pPr>
      <w:r>
        <w:rPr>
          <w:rFonts w:ascii="TimesNewRomanPSMT" w:hAnsi="TimesNewRomanPSMT" w:cs="TimesNewRomanPSMT"/>
          <w:sz w:val="24"/>
          <w:szCs w:val="24"/>
        </w:rPr>
        <w:t>Para cumplir el resto de los objetivos a través del método comparativo, definimos los ejes del estudio, en este caso las formas de comercio internacional de la educación superior. Plantearemos en términos operativos el estudio de estas formas; por un lado, la manera en que han sido considerados en los propios acuerdos; y por el otro lado, la situación que mantienen los países de América Latina y el caribe respecto a estas formas.</w:t>
      </w:r>
    </w:p>
    <w:p w:rsidR="00846171" w:rsidRDefault="00846171"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t>Con el recurso de la vía metódica de la comparación y de entrevistas a profundidad estaremos en condición, primero de aportar sugerencias a problemas no resueltos y después a construir lineamientos para una política de la construcción del Espacio Común de Educación Superior de América Latina y el caribe.</w:t>
      </w:r>
    </w:p>
    <w:p w:rsidR="00846171" w:rsidRDefault="00846171"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t>Aplicaremos el método comparativo en cuatro fases:</w:t>
      </w:r>
    </w:p>
    <w:p w:rsidR="00846171" w:rsidRDefault="00846171"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t>a) Fase descriptiva. Descripción del objeto y su comportamiento, consistente en presentar una visión de conjunto de los acuerdos de colaboración identificando el lugar de la educación superior a partir de las formas de su comercialización.</w:t>
      </w:r>
    </w:p>
    <w:p w:rsidR="00846171" w:rsidRDefault="00846171"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t>Se hace una revisión exhaustiva y a profundidad de la información obtenida.</w:t>
      </w:r>
    </w:p>
    <w:p w:rsidR="00846171" w:rsidRDefault="00846171"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t xml:space="preserve">b) Fase de interpretación. Analizaremos los elementos significativos de la información global identificada en la fase anterior, caracterizaremos los hechos encontrados a la luz de referentes conceptuales que nos permitan precisar las </w:t>
      </w:r>
      <w:r>
        <w:rPr>
          <w:rFonts w:ascii="TimesNewRomanPSMT" w:hAnsi="TimesNewRomanPSMT" w:cs="TimesNewRomanPSMT"/>
          <w:sz w:val="24"/>
          <w:szCs w:val="24"/>
        </w:rPr>
        <w:lastRenderedPageBreak/>
        <w:t>relaciones de causalidad y consecuencia para el tratamiento de problemas y sugerencias derivados del proceso de integración de la educación superior.</w:t>
      </w:r>
    </w:p>
    <w:p w:rsidR="00846171" w:rsidRDefault="00846171"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t>c) Fase de yuxtaposición. Contrastaremos lo planteado en los acuerdos de cooperación y la condición en que se manifiesta su aplicación en los países de</w:t>
      </w:r>
    </w:p>
    <w:p w:rsidR="00846171" w:rsidRDefault="00846171" w:rsidP="00926DEE">
      <w:pPr>
        <w:autoSpaceDE w:val="0"/>
        <w:autoSpaceDN w:val="0"/>
        <w:adjustRightInd w:val="0"/>
        <w:spacing w:after="0" w:line="480" w:lineRule="auto"/>
        <w:jc w:val="both"/>
        <w:rPr>
          <w:rFonts w:ascii="TimesNewRomanPSMT" w:hAnsi="TimesNewRomanPSMT" w:cs="TimesNewRomanPSMT"/>
          <w:sz w:val="24"/>
          <w:szCs w:val="24"/>
        </w:rPr>
      </w:pPr>
      <w:r>
        <w:rPr>
          <w:rFonts w:ascii="TimesNewRomanPSMT" w:hAnsi="TimesNewRomanPSMT" w:cs="TimesNewRomanPSMT"/>
          <w:sz w:val="24"/>
          <w:szCs w:val="24"/>
        </w:rPr>
        <w:t>América Latina y el Caribe, es una primera comparación que nos permitirá construir una conjetura de la perspectiva de nuestro objeto de investigación.</w:t>
      </w:r>
    </w:p>
    <w:p w:rsidR="00846171" w:rsidRDefault="00846171" w:rsidP="00926DEE">
      <w:pPr>
        <w:autoSpaceDE w:val="0"/>
        <w:autoSpaceDN w:val="0"/>
        <w:adjustRightInd w:val="0"/>
        <w:spacing w:after="0" w:line="480" w:lineRule="auto"/>
        <w:ind w:firstLine="708"/>
        <w:jc w:val="both"/>
        <w:rPr>
          <w:rFonts w:ascii="TimesNewRomanPSMT" w:hAnsi="TimesNewRomanPSMT" w:cs="TimesNewRomanPSMT"/>
          <w:sz w:val="24"/>
          <w:szCs w:val="24"/>
        </w:rPr>
      </w:pPr>
      <w:r>
        <w:rPr>
          <w:rFonts w:ascii="TimesNewRomanPSMT" w:hAnsi="TimesNewRomanPSMT" w:cs="TimesNewRomanPSMT"/>
          <w:sz w:val="24"/>
          <w:szCs w:val="24"/>
        </w:rPr>
        <w:t>d) La fase de comparación. Nos concentraremos a establecer conclusiones a partir del tratamiento de los datos obtenidos por distintas vías (documentos, estadísticas y entrevistas), con el fin de arribar a la caracterización de la situación de los países con respecto a los acuerdos de cooperación y la inserción de la educación mundial al mercado académico.</w:t>
      </w:r>
    </w:p>
    <w:p w:rsidR="00846171" w:rsidRDefault="00846171" w:rsidP="00926DEE">
      <w:pPr>
        <w:autoSpaceDE w:val="0"/>
        <w:autoSpaceDN w:val="0"/>
        <w:adjustRightInd w:val="0"/>
        <w:spacing w:after="0" w:line="480" w:lineRule="auto"/>
        <w:rPr>
          <w:rFonts w:ascii="TimesNewRomanPSMT" w:hAnsi="TimesNewRomanPSMT" w:cs="TimesNewRomanPSMT"/>
          <w:sz w:val="24"/>
          <w:szCs w:val="24"/>
        </w:rPr>
      </w:pPr>
    </w:p>
    <w:p w:rsidR="00CC355A" w:rsidRPr="00C07515" w:rsidRDefault="00CC355A" w:rsidP="00926DEE">
      <w:pPr>
        <w:autoSpaceDE w:val="0"/>
        <w:autoSpaceDN w:val="0"/>
        <w:adjustRightInd w:val="0"/>
        <w:spacing w:after="0" w:line="480" w:lineRule="auto"/>
        <w:rPr>
          <w:rFonts w:ascii="TimesNewRomanPSMT" w:hAnsi="TimesNewRomanPSMT" w:cs="TimesNewRomanPSMT"/>
          <w:b/>
          <w:i/>
          <w:sz w:val="24"/>
          <w:szCs w:val="24"/>
        </w:rPr>
      </w:pPr>
      <w:r w:rsidRPr="00C07515">
        <w:rPr>
          <w:rFonts w:ascii="Arial" w:hAnsi="Arial" w:cs="Arial"/>
          <w:b/>
          <w:i/>
          <w:sz w:val="24"/>
          <w:szCs w:val="24"/>
        </w:rPr>
        <w:t>Principales hallazgos</w:t>
      </w:r>
    </w:p>
    <w:p w:rsidR="00C07515" w:rsidRDefault="00C07515" w:rsidP="00926DEE">
      <w:pPr>
        <w:tabs>
          <w:tab w:val="left" w:pos="3544"/>
        </w:tabs>
        <w:spacing w:line="480" w:lineRule="auto"/>
        <w:jc w:val="both"/>
        <w:rPr>
          <w:rFonts w:ascii="Arial" w:hAnsi="Arial" w:cs="Arial"/>
          <w:sz w:val="24"/>
          <w:szCs w:val="24"/>
        </w:rPr>
      </w:pPr>
    </w:p>
    <w:p w:rsidR="005530DA" w:rsidRPr="005530DA" w:rsidRDefault="00C07515" w:rsidP="00926DEE">
      <w:pPr>
        <w:tabs>
          <w:tab w:val="left" w:pos="3544"/>
        </w:tabs>
        <w:spacing w:line="480" w:lineRule="auto"/>
        <w:jc w:val="both"/>
        <w:rPr>
          <w:rFonts w:ascii="Arial" w:hAnsi="Arial" w:cs="Arial"/>
          <w:sz w:val="24"/>
          <w:szCs w:val="24"/>
        </w:rPr>
      </w:pPr>
      <w:r>
        <w:rPr>
          <w:rFonts w:ascii="Arial" w:hAnsi="Arial" w:cs="Arial"/>
          <w:sz w:val="24"/>
          <w:szCs w:val="24"/>
        </w:rPr>
        <w:t xml:space="preserve">Después de identificar distintos documentos, presentamos un análisis de las propuestas de las distintas instancias (cumbres iberoamericanas, Mercosur, ALCA, ALADI) con relación a la integración de la región a partir de acciones </w:t>
      </w:r>
      <w:r w:rsidR="005530DA">
        <w:rPr>
          <w:rFonts w:ascii="Arial" w:hAnsi="Arial" w:cs="Arial"/>
          <w:sz w:val="24"/>
          <w:szCs w:val="24"/>
        </w:rPr>
        <w:t xml:space="preserve">concretas relacionadas con la educación superior, como un eje impulsor del </w:t>
      </w:r>
      <w:r w:rsidR="005530DA" w:rsidRPr="005530DA">
        <w:rPr>
          <w:rFonts w:ascii="Arial" w:hAnsi="Arial" w:cs="Arial"/>
          <w:sz w:val="24"/>
          <w:szCs w:val="24"/>
        </w:rPr>
        <w:t>desarrollo y la integración de América Latina y el Caribe.</w:t>
      </w:r>
    </w:p>
    <w:p w:rsidR="005530DA" w:rsidRPr="005530DA" w:rsidRDefault="005530DA" w:rsidP="00926DEE">
      <w:pPr>
        <w:tabs>
          <w:tab w:val="left" w:pos="3544"/>
        </w:tabs>
        <w:spacing w:line="480" w:lineRule="auto"/>
        <w:jc w:val="both"/>
        <w:rPr>
          <w:rFonts w:ascii="Arial" w:hAnsi="Arial" w:cs="Arial"/>
          <w:i/>
          <w:sz w:val="24"/>
          <w:szCs w:val="24"/>
        </w:rPr>
      </w:pPr>
      <w:r w:rsidRPr="005530DA">
        <w:rPr>
          <w:rFonts w:ascii="Arial" w:hAnsi="Arial" w:cs="Arial"/>
          <w:i/>
          <w:sz w:val="24"/>
          <w:szCs w:val="24"/>
        </w:rPr>
        <w:t>Cumbres iberoamericanas celebradas a partir del año 2000</w:t>
      </w:r>
    </w:p>
    <w:p w:rsidR="005530DA" w:rsidRPr="005530DA" w:rsidRDefault="005530DA" w:rsidP="00926DEE">
      <w:pPr>
        <w:spacing w:line="480" w:lineRule="auto"/>
        <w:jc w:val="both"/>
        <w:rPr>
          <w:rFonts w:ascii="Arial" w:hAnsi="Arial" w:cs="Arial"/>
          <w:sz w:val="24"/>
          <w:szCs w:val="24"/>
        </w:rPr>
      </w:pPr>
      <w:r w:rsidRPr="005530DA">
        <w:rPr>
          <w:rFonts w:ascii="Arial" w:hAnsi="Arial" w:cs="Arial"/>
          <w:sz w:val="24"/>
          <w:szCs w:val="24"/>
        </w:rPr>
        <w:t xml:space="preserve">Las cumbres iberoamericanas empezaron a realizarse en 1991, se celebran cada año con una temática central, aunque se tocan otros temas, se presentan </w:t>
      </w:r>
      <w:r w:rsidRPr="005530DA">
        <w:rPr>
          <w:rFonts w:ascii="Arial" w:hAnsi="Arial" w:cs="Arial"/>
          <w:sz w:val="24"/>
          <w:szCs w:val="24"/>
        </w:rPr>
        <w:lastRenderedPageBreak/>
        <w:t>documentos de los avances de los trabajos derivados  de los acuerdos y estrategias planteadas en dichas reuniones.</w:t>
      </w:r>
      <w:r w:rsidR="0095371C">
        <w:rPr>
          <w:rFonts w:ascii="Arial" w:hAnsi="Arial" w:cs="Arial"/>
          <w:sz w:val="24"/>
          <w:szCs w:val="24"/>
        </w:rPr>
        <w:t xml:space="preserve"> Es importante aclarar que previamente  a la realización de las cumbres,  se llevan a cabo las conferencias iberoamericanas de Educación en donde se abordan las temáticas que se presentarán en las cumbres, en donde se presentan los acuerdos y resolutivos.</w:t>
      </w:r>
    </w:p>
    <w:p w:rsidR="005530DA" w:rsidRPr="005530DA" w:rsidRDefault="005530DA" w:rsidP="00926DEE">
      <w:pPr>
        <w:numPr>
          <w:ilvl w:val="0"/>
          <w:numId w:val="6"/>
        </w:numPr>
        <w:spacing w:line="480" w:lineRule="auto"/>
        <w:contextualSpacing/>
        <w:jc w:val="both"/>
        <w:rPr>
          <w:rFonts w:ascii="Arial" w:eastAsia="Times New Roman" w:hAnsi="Arial" w:cs="Arial"/>
          <w:sz w:val="24"/>
          <w:szCs w:val="24"/>
          <w:lang w:eastAsia="es-MX"/>
        </w:rPr>
      </w:pPr>
      <w:r w:rsidRPr="005530DA">
        <w:rPr>
          <w:rFonts w:ascii="Arial" w:hAnsi="Arial" w:cs="Arial"/>
          <w:sz w:val="24"/>
          <w:szCs w:val="24"/>
        </w:rPr>
        <w:t xml:space="preserve">La X cumbre realizada en el año 2000 en Panamá, tuvo como tema central </w:t>
      </w:r>
      <w:r w:rsidRPr="005530DA">
        <w:rPr>
          <w:rFonts w:ascii="Arial" w:eastAsia="Times New Roman" w:hAnsi="Arial" w:cs="Arial"/>
          <w:bCs/>
          <w:sz w:val="24"/>
          <w:szCs w:val="24"/>
          <w:lang w:eastAsia="es-MX"/>
        </w:rPr>
        <w:t xml:space="preserve">a la niñez y la adolescencia, como bases de la justicia y la equidad, con respecto al ámbito educativo, se </w:t>
      </w:r>
      <w:r w:rsidRPr="005530DA">
        <w:rPr>
          <w:rFonts w:ascii="Arial" w:hAnsi="Arial" w:cs="Arial"/>
          <w:sz w:val="24"/>
          <w:szCs w:val="24"/>
        </w:rPr>
        <w:t xml:space="preserve">reconocieron los trabajos realizados por los </w:t>
      </w:r>
      <w:r w:rsidRPr="005530DA">
        <w:rPr>
          <w:rFonts w:ascii="Arial" w:eastAsia="Times New Roman" w:hAnsi="Arial" w:cs="Arial"/>
          <w:sz w:val="24"/>
          <w:szCs w:val="24"/>
          <w:lang w:eastAsia="es-MX"/>
        </w:rPr>
        <w:t>Programas de Cooperación para el Desarrollo de Sistemas Nacionales de Evaluación de la Calidad Educativa, Programa Iberoamericano de Cooperación para el Diseño Común de la Formación Profesional (IBERFOP), Programa Iberoamericano de Modernización de los Administradores de la Educación (IBERMADE), aunque no se refieren de manera específica a la educación superior, este nivel educativo entra en las estrategias planteadas por estos programas.</w:t>
      </w:r>
    </w:p>
    <w:p w:rsidR="005530DA" w:rsidRDefault="005530DA" w:rsidP="00926DEE">
      <w:pPr>
        <w:numPr>
          <w:ilvl w:val="0"/>
          <w:numId w:val="6"/>
        </w:numPr>
        <w:spacing w:after="0" w:line="480" w:lineRule="auto"/>
        <w:contextualSpacing/>
        <w:jc w:val="both"/>
        <w:rPr>
          <w:rFonts w:ascii="Arial" w:hAnsi="Arial" w:cs="Arial"/>
          <w:sz w:val="24"/>
          <w:szCs w:val="24"/>
        </w:rPr>
      </w:pPr>
      <w:r w:rsidRPr="005530DA">
        <w:rPr>
          <w:rFonts w:ascii="Arial" w:eastAsia="Times New Roman" w:hAnsi="Arial" w:cs="Arial"/>
          <w:sz w:val="24"/>
          <w:szCs w:val="24"/>
          <w:lang w:eastAsia="es-MX"/>
        </w:rPr>
        <w:t xml:space="preserve">La XI Cumbre llevada a cabo en el año 2001 en Lima, Perú, trató de manera central el tema de Gobernanza y desarrollo en la sociedad de conocimiento, con respecto a la educación, se señaló que los programas IBERPOF e IBERMADE alcanzaron sus objetivos, por ello se dieron por concluidos y se anunció el </w:t>
      </w:r>
      <w:r w:rsidRPr="00926DEE">
        <w:rPr>
          <w:rFonts w:ascii="Arial" w:hAnsi="Arial" w:cs="Arial"/>
          <w:sz w:val="24"/>
          <w:szCs w:val="24"/>
        </w:rPr>
        <w:t>estudio sobre posibilidades y perspectivas de colaboración en el marco de la educación superior</w:t>
      </w:r>
      <w:r w:rsidRPr="005530DA">
        <w:rPr>
          <w:rFonts w:ascii="Arial" w:hAnsi="Arial" w:cs="Arial"/>
          <w:sz w:val="24"/>
          <w:szCs w:val="24"/>
        </w:rPr>
        <w:t>, que servirá de base para futuras iniciativas de cooperación interuniversitaria iberoamericana.</w:t>
      </w:r>
    </w:p>
    <w:p w:rsidR="00926DEE" w:rsidRDefault="0095371C" w:rsidP="00926DEE">
      <w:pPr>
        <w:spacing w:before="100" w:beforeAutospacing="1" w:after="100" w:afterAutospacing="1" w:line="480" w:lineRule="auto"/>
        <w:ind w:left="708"/>
        <w:rPr>
          <w:rFonts w:ascii="Arial" w:eastAsia="Times New Roman" w:hAnsi="Arial" w:cs="Arial"/>
          <w:sz w:val="24"/>
          <w:szCs w:val="24"/>
          <w:lang w:eastAsia="es-MX"/>
        </w:rPr>
      </w:pPr>
      <w:r w:rsidRPr="00B8076D">
        <w:rPr>
          <w:rFonts w:ascii="Arial" w:hAnsi="Arial" w:cs="Arial"/>
          <w:sz w:val="24"/>
          <w:szCs w:val="24"/>
        </w:rPr>
        <w:lastRenderedPageBreak/>
        <w:t xml:space="preserve">En la XI conferencia iberoamericana de educación celebrada en Valencia se </w:t>
      </w:r>
      <w:r w:rsidR="00B8076D" w:rsidRPr="00B8076D">
        <w:rPr>
          <w:rFonts w:ascii="Arial" w:hAnsi="Arial" w:cs="Arial"/>
          <w:sz w:val="24"/>
          <w:szCs w:val="24"/>
        </w:rPr>
        <w:t>señaló</w:t>
      </w:r>
      <w:r w:rsidRPr="00B8076D">
        <w:rPr>
          <w:rFonts w:ascii="Arial" w:hAnsi="Arial" w:cs="Arial"/>
          <w:sz w:val="24"/>
          <w:szCs w:val="24"/>
        </w:rPr>
        <w:t xml:space="preserve"> la importancia de </w:t>
      </w:r>
      <w:r w:rsidRPr="00B8076D">
        <w:rPr>
          <w:rFonts w:ascii="Arial" w:eastAsia="Times New Roman" w:hAnsi="Arial" w:cs="Arial"/>
          <w:sz w:val="24"/>
          <w:szCs w:val="24"/>
          <w:lang w:eastAsia="es-MX"/>
        </w:rPr>
        <w:t>la propuesta sobre la cooperación interuniversitaria presentada por la SECIB, con la colaboración de la OEI, así como la importancia de alentar a la elaboración de un plan de trabajo que, tal como se encomienda en la X Cumbre Iberoamericana, se incorpore a la agenda de la cooperación regional.</w:t>
      </w:r>
    </w:p>
    <w:p w:rsidR="0095371C" w:rsidRPr="00926DEE" w:rsidRDefault="0095371C" w:rsidP="00926DEE">
      <w:pPr>
        <w:spacing w:before="100" w:beforeAutospacing="1" w:after="100" w:afterAutospacing="1" w:line="480" w:lineRule="auto"/>
        <w:ind w:left="708"/>
        <w:rPr>
          <w:rFonts w:ascii="Arial" w:eastAsia="Times New Roman" w:hAnsi="Arial" w:cs="Arial"/>
          <w:sz w:val="24"/>
          <w:szCs w:val="24"/>
          <w:lang w:eastAsia="es-MX"/>
        </w:rPr>
      </w:pPr>
      <w:r w:rsidRPr="00926DEE">
        <w:rPr>
          <w:rFonts w:ascii="Arial" w:eastAsia="Times New Roman" w:hAnsi="Arial" w:cs="Arial"/>
          <w:bCs/>
          <w:sz w:val="24"/>
          <w:szCs w:val="24"/>
          <w:lang w:eastAsia="es-MX"/>
        </w:rPr>
        <w:t xml:space="preserve">También se acordó </w:t>
      </w:r>
      <w:r w:rsidRPr="00926DEE">
        <w:rPr>
          <w:rFonts w:ascii="Arial" w:eastAsia="Times New Roman" w:hAnsi="Arial" w:cs="Arial"/>
          <w:sz w:val="24"/>
          <w:szCs w:val="24"/>
          <w:lang w:eastAsia="es-MX"/>
        </w:rPr>
        <w:t xml:space="preserve">Requerir a la OEI la realización de los estudios y reuniones necesarios para el establecimiento de marcos regulatorios en la comunidad </w:t>
      </w:r>
      <w:r w:rsidR="009858D0" w:rsidRPr="00926DEE">
        <w:rPr>
          <w:rFonts w:ascii="Arial" w:eastAsia="Times New Roman" w:hAnsi="Arial" w:cs="Arial"/>
          <w:sz w:val="24"/>
          <w:szCs w:val="24"/>
          <w:lang w:eastAsia="es-MX"/>
        </w:rPr>
        <w:t>iberoamericana</w:t>
      </w:r>
      <w:r w:rsidRPr="00926DEE">
        <w:rPr>
          <w:rFonts w:ascii="Arial" w:eastAsia="Times New Roman" w:hAnsi="Arial" w:cs="Arial"/>
          <w:sz w:val="24"/>
          <w:szCs w:val="24"/>
          <w:lang w:eastAsia="es-MX"/>
        </w:rPr>
        <w:t xml:space="preserve"> para la acreditación de los estudios y programas universitarios no presenciales. </w:t>
      </w:r>
    </w:p>
    <w:p w:rsidR="005530DA" w:rsidRDefault="005530DA" w:rsidP="00926DEE">
      <w:pPr>
        <w:numPr>
          <w:ilvl w:val="0"/>
          <w:numId w:val="6"/>
        </w:numPr>
        <w:spacing w:after="0" w:line="480" w:lineRule="auto"/>
        <w:contextualSpacing/>
        <w:jc w:val="both"/>
        <w:rPr>
          <w:rFonts w:ascii="Arial" w:hAnsi="Arial" w:cs="Arial"/>
          <w:sz w:val="24"/>
          <w:szCs w:val="24"/>
        </w:rPr>
      </w:pPr>
      <w:r w:rsidRPr="005530DA">
        <w:rPr>
          <w:rFonts w:ascii="Arial" w:hAnsi="Arial" w:cs="Arial"/>
          <w:sz w:val="24"/>
          <w:szCs w:val="24"/>
        </w:rPr>
        <w:t>En la XII cumbre iberoamericana celebrada en Bávaro en el año 2002, se abordó el tema de la crisis global, se declaró que se reconoce a la educación la educación como un factor fundamental de desarrollo, equidad social y fortalecimiento de una sociedad democrática, por tanto, debe haber mayor inversión y programas de cooperación orientados a apoyar estrategias de elevación de la calidad en materia educativa, de la igualdad de oportunidades, de la formación ciudadana, y de la capacidad y competitividad laborales de los pueblos iberoamericanos.</w:t>
      </w:r>
    </w:p>
    <w:p w:rsidR="00D951CA" w:rsidRPr="00B8076D" w:rsidRDefault="00D951CA" w:rsidP="00926DEE">
      <w:pPr>
        <w:pStyle w:val="margen05"/>
        <w:spacing w:line="480" w:lineRule="auto"/>
        <w:ind w:left="720"/>
        <w:jc w:val="both"/>
        <w:rPr>
          <w:rFonts w:ascii="Arial" w:hAnsi="Arial" w:cs="Arial"/>
        </w:rPr>
      </w:pPr>
      <w:r w:rsidRPr="00B8076D">
        <w:rPr>
          <w:rFonts w:ascii="Arial" w:hAnsi="Arial" w:cs="Arial"/>
        </w:rPr>
        <w:t xml:space="preserve">En la XII conferencia iberoamericana de educación se dijo que la Secretaría de Cooperación Iberoamericana (SECIB), con el apoyo de la OEI, de rectores y expertos ha elaborado el estudio </w:t>
      </w:r>
      <w:r w:rsidRPr="00B8076D">
        <w:rPr>
          <w:rFonts w:ascii="Arial" w:hAnsi="Arial" w:cs="Arial"/>
          <w:i/>
          <w:iCs/>
        </w:rPr>
        <w:t xml:space="preserve">Análisis y potencialidades de la cooperación iberoamericana en </w:t>
      </w:r>
      <w:r w:rsidRPr="00B8076D">
        <w:rPr>
          <w:rStyle w:val="i72lw25bt"/>
          <w:rFonts w:ascii="Arial" w:hAnsi="Arial" w:cs="Arial"/>
          <w:b/>
          <w:bCs/>
          <w:i/>
          <w:iCs/>
        </w:rPr>
        <w:t>educación superior</w:t>
      </w:r>
      <w:r w:rsidRPr="00B8076D">
        <w:rPr>
          <w:rFonts w:ascii="Arial" w:hAnsi="Arial" w:cs="Arial"/>
        </w:rPr>
        <w:t xml:space="preserve">, encomendado por la </w:t>
      </w:r>
      <w:r w:rsidRPr="00B8076D">
        <w:rPr>
          <w:rFonts w:ascii="Arial" w:hAnsi="Arial" w:cs="Arial"/>
        </w:rPr>
        <w:lastRenderedPageBreak/>
        <w:t>X Cumbre Iberoamericana. Este trabajo refleja el estado de la cooperación en educación superior en la región y señala las que serían las líneas estratégicas más importantes para un desarrollo gradual y progresivo de acciones de cooperación.</w:t>
      </w:r>
    </w:p>
    <w:p w:rsidR="0033320C" w:rsidRPr="00B8076D" w:rsidRDefault="0033320C" w:rsidP="00926DEE">
      <w:pPr>
        <w:pStyle w:val="margen05"/>
        <w:spacing w:line="480" w:lineRule="auto"/>
        <w:ind w:left="720"/>
        <w:jc w:val="both"/>
        <w:rPr>
          <w:rFonts w:ascii="Arial" w:hAnsi="Arial" w:cs="Arial"/>
        </w:rPr>
      </w:pPr>
      <w:r w:rsidRPr="00B8076D">
        <w:rPr>
          <w:rFonts w:ascii="Arial" w:hAnsi="Arial" w:cs="Arial"/>
        </w:rPr>
        <w:t>Al respecto, se dijo que con base en ello se  proceda al diseño de acciones específicas de cooperación, en apoyo a programas regionales ya existentes, en particular a la formación de docentes.</w:t>
      </w:r>
    </w:p>
    <w:p w:rsidR="00D951CA" w:rsidRPr="00B8076D" w:rsidRDefault="00D951CA" w:rsidP="00926DEE">
      <w:pPr>
        <w:pStyle w:val="margen05"/>
        <w:spacing w:line="480" w:lineRule="auto"/>
        <w:ind w:left="720"/>
        <w:jc w:val="both"/>
        <w:rPr>
          <w:rFonts w:ascii="Arial" w:hAnsi="Arial" w:cs="Arial"/>
        </w:rPr>
      </w:pPr>
      <w:r w:rsidRPr="00B8076D">
        <w:rPr>
          <w:rFonts w:ascii="Arial" w:hAnsi="Arial" w:cs="Arial"/>
        </w:rPr>
        <w:t>También se señaló la prioridad que le han conferido a la inversión en la educación, y recomenda</w:t>
      </w:r>
      <w:r w:rsidR="0033320C" w:rsidRPr="00B8076D">
        <w:rPr>
          <w:rFonts w:ascii="Arial" w:hAnsi="Arial" w:cs="Arial"/>
        </w:rPr>
        <w:t>ron</w:t>
      </w:r>
      <w:r w:rsidRPr="00B8076D">
        <w:rPr>
          <w:rFonts w:ascii="Arial" w:hAnsi="Arial" w:cs="Arial"/>
        </w:rPr>
        <w:t xml:space="preserve"> que la asignación adicional de recursos a este sector sea a través de mecanismos de reordenamiento financiero interno que impliquen la redistribución de recursos no relacionados con inversión en capital humano y el reordenamiento financiero externo, en particular la negociación para la reconversión de deuda externa por inversión educativa.</w:t>
      </w:r>
    </w:p>
    <w:p w:rsidR="005530DA" w:rsidRPr="005530DA" w:rsidRDefault="005530DA" w:rsidP="00926DEE">
      <w:pPr>
        <w:numPr>
          <w:ilvl w:val="0"/>
          <w:numId w:val="6"/>
        </w:numPr>
        <w:spacing w:after="0" w:line="480" w:lineRule="auto"/>
        <w:contextualSpacing/>
        <w:jc w:val="both"/>
        <w:rPr>
          <w:rFonts w:ascii="Arial" w:hAnsi="Arial" w:cs="Arial"/>
          <w:sz w:val="24"/>
          <w:szCs w:val="24"/>
        </w:rPr>
      </w:pPr>
      <w:r w:rsidRPr="005530DA">
        <w:rPr>
          <w:rFonts w:ascii="Arial" w:hAnsi="Arial" w:cs="Arial"/>
          <w:sz w:val="24"/>
          <w:szCs w:val="24"/>
        </w:rPr>
        <w:t xml:space="preserve">La XIII cumbre iberoamericana se llevó a cabo en Santa Cruz de la Sierra, Bolivia en 2003, bajo el lema </w:t>
      </w:r>
      <w:r w:rsidRPr="005530DA">
        <w:rPr>
          <w:rFonts w:ascii="Arial" w:eastAsia="Times New Roman" w:hAnsi="Arial" w:cs="Arial"/>
          <w:sz w:val="24"/>
          <w:szCs w:val="24"/>
          <w:lang w:eastAsia="es-MX"/>
        </w:rPr>
        <w:t xml:space="preserve">Inclusión social y desarrollo. Presente y futuro de la Comunidad Iberoamericana. Se declaró que la educación es un </w:t>
      </w:r>
      <w:r w:rsidRPr="005530DA">
        <w:rPr>
          <w:rFonts w:ascii="Arial" w:hAnsi="Arial" w:cs="Arial"/>
          <w:sz w:val="24"/>
          <w:szCs w:val="24"/>
        </w:rPr>
        <w:t>factor de inclusión social para la erradicación de la pobreza, el logro del desarrollo sostenible y la construcción de sociedades prosperas y democráticas. Se reiteró el compromiso para alcanzar las metas establecidas en la V Cumbre llevada a cabo en 1995 y se acordó instaurar al 2 de octubre como el día iberoamericano de la educación.</w:t>
      </w:r>
    </w:p>
    <w:p w:rsidR="005530DA" w:rsidRPr="005530DA" w:rsidRDefault="005530DA" w:rsidP="00926DEE">
      <w:pPr>
        <w:numPr>
          <w:ilvl w:val="0"/>
          <w:numId w:val="6"/>
        </w:numPr>
        <w:spacing w:after="0" w:line="480" w:lineRule="auto"/>
        <w:contextualSpacing/>
        <w:jc w:val="both"/>
        <w:rPr>
          <w:rFonts w:ascii="Arial" w:hAnsi="Arial" w:cs="Arial"/>
          <w:sz w:val="24"/>
          <w:szCs w:val="24"/>
        </w:rPr>
      </w:pPr>
      <w:r w:rsidRPr="005530DA">
        <w:rPr>
          <w:rFonts w:ascii="Arial" w:hAnsi="Arial" w:cs="Arial"/>
          <w:sz w:val="24"/>
          <w:szCs w:val="24"/>
        </w:rPr>
        <w:lastRenderedPageBreak/>
        <w:t xml:space="preserve">La XIV cumbre iberoamericana se celebró en San José de Costa Rica en el año 2004 y el tema central fue </w:t>
      </w:r>
      <w:r w:rsidRPr="005530DA">
        <w:rPr>
          <w:rFonts w:ascii="Arial" w:eastAsia="Times New Roman" w:hAnsi="Arial" w:cs="Arial"/>
          <w:sz w:val="24"/>
          <w:szCs w:val="24"/>
          <w:lang w:eastAsia="es-MX"/>
        </w:rPr>
        <w:t xml:space="preserve">Educar para construir el futuro, se acogió la declaración emanada de la </w:t>
      </w:r>
      <w:r w:rsidRPr="005530DA">
        <w:rPr>
          <w:rFonts w:ascii="Arial" w:hAnsi="Arial" w:cs="Arial"/>
          <w:sz w:val="24"/>
          <w:szCs w:val="24"/>
        </w:rPr>
        <w:t>XIV Conferencia Iberoamericana de Educación, ratificando a la educación como un derecho humano fundamental e inalienable y como instrumento fundamental para promover el desarrollo y la equidad, otorgándole el carácter de política de Estado.</w:t>
      </w:r>
    </w:p>
    <w:p w:rsidR="005530DA" w:rsidRPr="005530DA" w:rsidRDefault="005530DA" w:rsidP="00926DEE">
      <w:pPr>
        <w:spacing w:after="0" w:line="480" w:lineRule="auto"/>
        <w:ind w:left="708"/>
        <w:jc w:val="both"/>
        <w:rPr>
          <w:rFonts w:ascii="Arial" w:hAnsi="Arial" w:cs="Arial"/>
          <w:sz w:val="24"/>
          <w:szCs w:val="24"/>
        </w:rPr>
      </w:pPr>
      <w:r w:rsidRPr="005530DA">
        <w:rPr>
          <w:rFonts w:ascii="Arial" w:hAnsi="Arial" w:cs="Arial"/>
          <w:sz w:val="24"/>
          <w:szCs w:val="24"/>
        </w:rPr>
        <w:t>Se reconoció la fundamental importancia de que la inversión en educación superior se oriente a la articulación de los procesos formativos de las universidades, con la formación docente y técnica, apuntando a la profesionalización y dignificación de la función docente, así como al desarrollo de la investigación científica y tecnológica, de acuerdo con las necesidades del sector productivo y del desarrollo nacional.</w:t>
      </w:r>
    </w:p>
    <w:p w:rsidR="005530DA" w:rsidRPr="005530DA" w:rsidRDefault="005530DA" w:rsidP="00926DEE">
      <w:pPr>
        <w:spacing w:after="0" w:line="480" w:lineRule="auto"/>
        <w:ind w:left="708"/>
        <w:jc w:val="both"/>
        <w:rPr>
          <w:rFonts w:ascii="Arial" w:hAnsi="Arial" w:cs="Arial"/>
          <w:sz w:val="24"/>
          <w:szCs w:val="24"/>
        </w:rPr>
      </w:pPr>
      <w:r w:rsidRPr="005530DA">
        <w:rPr>
          <w:rFonts w:ascii="Arial" w:hAnsi="Arial" w:cs="Arial"/>
          <w:sz w:val="24"/>
          <w:szCs w:val="24"/>
        </w:rPr>
        <w:t xml:space="preserve">Se reafirmó el compromiso con el fortalecimiento de las universidades públicas como instituciones que deben promover la excelencia académica para el desarrollo integral de los pueblos de Iberoamérica. En este sentido, se reconoció la importancia de favorecer la creación y consolidación de mecanismos de cooperación que promuevan la movilidad de estudiantes, investigadores docentes y técnicos, la revalidación y reconocimiento de estudios, así como la realización conjunta de programas de investigación e innovación tales como la Red de Macrouniversidades Públicas de América Latina y el Caribe. </w:t>
      </w:r>
    </w:p>
    <w:p w:rsidR="005530DA" w:rsidRPr="005530DA" w:rsidRDefault="005530DA" w:rsidP="00926DEE">
      <w:pPr>
        <w:spacing w:after="0" w:line="480" w:lineRule="auto"/>
        <w:ind w:left="708"/>
        <w:jc w:val="both"/>
        <w:rPr>
          <w:rFonts w:ascii="Arial" w:hAnsi="Arial" w:cs="Arial"/>
          <w:sz w:val="24"/>
          <w:szCs w:val="24"/>
        </w:rPr>
      </w:pPr>
      <w:r w:rsidRPr="005530DA">
        <w:rPr>
          <w:rFonts w:ascii="Arial" w:hAnsi="Arial" w:cs="Arial"/>
          <w:sz w:val="24"/>
          <w:szCs w:val="24"/>
        </w:rPr>
        <w:t xml:space="preserve">Asimismo, se comprometieron a promover en los distintos foros multilaterales, el examen y la adopción de mecanismos financieros innovadores; inclusive, la conversión de un porcentaje de los servicios de la </w:t>
      </w:r>
      <w:r w:rsidRPr="005530DA">
        <w:rPr>
          <w:rFonts w:ascii="Arial" w:hAnsi="Arial" w:cs="Arial"/>
          <w:sz w:val="24"/>
          <w:szCs w:val="24"/>
        </w:rPr>
        <w:lastRenderedPageBreak/>
        <w:t>deuda por inversión en los sistemas educativos de nuestros países, instaron a la adhesión a CIBERAMERICA, valiosa herramienta de apoyo a las políticas nacionales, que contribuirá de forma efectiva a disminuir la brecha tecnológica entre nuestras naciones y el resto del mundo y a la universalización en el acceso a las tecnologías de información y comunicación aplicadas a la educación.</w:t>
      </w:r>
    </w:p>
    <w:p w:rsidR="005530DA" w:rsidRPr="005530DA" w:rsidRDefault="005530DA" w:rsidP="00926DEE">
      <w:pPr>
        <w:numPr>
          <w:ilvl w:val="0"/>
          <w:numId w:val="7"/>
        </w:numPr>
        <w:spacing w:line="480" w:lineRule="auto"/>
        <w:contextualSpacing/>
        <w:jc w:val="both"/>
        <w:rPr>
          <w:rFonts w:ascii="Arial" w:hAnsi="Arial" w:cs="Arial"/>
          <w:sz w:val="24"/>
          <w:szCs w:val="24"/>
        </w:rPr>
      </w:pPr>
      <w:r w:rsidRPr="005530DA">
        <w:rPr>
          <w:rFonts w:ascii="Arial" w:hAnsi="Arial" w:cs="Arial"/>
          <w:sz w:val="24"/>
          <w:szCs w:val="24"/>
        </w:rPr>
        <w:t xml:space="preserve">La XV cumbre iberoamericana se llevó a cabo en Salamanca en 2005 bajo el lema </w:t>
      </w:r>
      <w:r w:rsidRPr="005530DA">
        <w:rPr>
          <w:rFonts w:ascii="Arial" w:eastAsia="Times New Roman" w:hAnsi="Arial" w:cs="Arial"/>
          <w:sz w:val="24"/>
          <w:szCs w:val="24"/>
          <w:lang w:eastAsia="es-MX"/>
        </w:rPr>
        <w:t xml:space="preserve">Iberoamérica: el mañana es hoy,  se realizó </w:t>
      </w:r>
      <w:r w:rsidRPr="005530DA">
        <w:rPr>
          <w:rFonts w:ascii="Arial" w:hAnsi="Arial" w:cs="Arial"/>
          <w:sz w:val="24"/>
          <w:szCs w:val="24"/>
        </w:rPr>
        <w:t>debate y reflexión para la adopción de un pacto iberoamericano por la educación (</w:t>
      </w:r>
      <w:r w:rsidRPr="005530DA">
        <w:rPr>
          <w:rFonts w:ascii="Arial" w:hAnsi="Arial" w:cs="Arial"/>
          <w:sz w:val="24"/>
          <w:szCs w:val="24"/>
          <w:highlight w:val="green"/>
        </w:rPr>
        <w:t>declaración de Toledo</w:t>
      </w:r>
      <w:r w:rsidRPr="005530DA">
        <w:rPr>
          <w:rFonts w:ascii="Arial" w:hAnsi="Arial" w:cs="Arial"/>
          <w:sz w:val="24"/>
          <w:szCs w:val="24"/>
        </w:rPr>
        <w:t>) para el desarrollo con  equidad y justicia social. Asimismo, se aprobó la creación de un espacio iberoamericano de conocimiento, orientado a la transformación de la educación superior, articulado por la investigación, el desarrollo y la innovación. Esta cumbre ha sido la más importante en cuanto a educación superior se refiere, pues sentó las bases para la transformación de las universidades en cuanto a su organizac</w:t>
      </w:r>
      <w:r w:rsidR="00092C5B">
        <w:rPr>
          <w:rFonts w:ascii="Arial" w:hAnsi="Arial" w:cs="Arial"/>
          <w:sz w:val="24"/>
          <w:szCs w:val="24"/>
        </w:rPr>
        <w:t>ión y funcionamiento,  las currí</w:t>
      </w:r>
      <w:r w:rsidRPr="005530DA">
        <w:rPr>
          <w:rFonts w:ascii="Arial" w:hAnsi="Arial" w:cs="Arial"/>
          <w:sz w:val="24"/>
          <w:szCs w:val="24"/>
        </w:rPr>
        <w:t>cula con una orientación hacia los modelos educativos flexibles y una fuerte vinculación con el mercado laboral, así como el establecimiento de cuotas o aranceles por los servicios educativos recibidos, entre otras cosas.</w:t>
      </w:r>
    </w:p>
    <w:p w:rsidR="005530DA" w:rsidRPr="005530DA" w:rsidRDefault="005530DA" w:rsidP="00926DEE">
      <w:pPr>
        <w:numPr>
          <w:ilvl w:val="0"/>
          <w:numId w:val="7"/>
        </w:numPr>
        <w:spacing w:after="0" w:line="480" w:lineRule="auto"/>
        <w:contextualSpacing/>
        <w:jc w:val="both"/>
        <w:rPr>
          <w:rFonts w:ascii="Arial" w:hAnsi="Arial" w:cs="Arial"/>
          <w:sz w:val="24"/>
          <w:szCs w:val="24"/>
        </w:rPr>
      </w:pPr>
      <w:r w:rsidRPr="005530DA">
        <w:rPr>
          <w:rFonts w:ascii="Arial" w:hAnsi="Arial" w:cs="Arial"/>
          <w:sz w:val="24"/>
          <w:szCs w:val="24"/>
        </w:rPr>
        <w:t>La XVI Cumbre Iberoamericana, conocida como la Declaración de Montevideo, se llevó a cabo en  2006, el principal tema que se abordó fue la migración, en cuanto a educación se refiere, apoyaron la creación del espacio iberoamericano del conocimiento, orientado a la transformación de la ES y respaldan la propuesta de un plan estratégico.</w:t>
      </w:r>
    </w:p>
    <w:p w:rsidR="005530DA" w:rsidRPr="005530DA" w:rsidRDefault="005530DA" w:rsidP="00926DEE">
      <w:pPr>
        <w:spacing w:after="0" w:line="480" w:lineRule="auto"/>
        <w:ind w:left="720"/>
        <w:contextualSpacing/>
        <w:jc w:val="both"/>
        <w:rPr>
          <w:rFonts w:ascii="Arial" w:hAnsi="Arial" w:cs="Arial"/>
          <w:sz w:val="24"/>
          <w:szCs w:val="24"/>
        </w:rPr>
      </w:pPr>
    </w:p>
    <w:p w:rsidR="005530DA" w:rsidRPr="005530DA" w:rsidRDefault="005530DA" w:rsidP="00926DEE">
      <w:pPr>
        <w:numPr>
          <w:ilvl w:val="0"/>
          <w:numId w:val="7"/>
        </w:numPr>
        <w:autoSpaceDE w:val="0"/>
        <w:autoSpaceDN w:val="0"/>
        <w:adjustRightInd w:val="0"/>
        <w:spacing w:line="480" w:lineRule="auto"/>
        <w:contextualSpacing/>
        <w:jc w:val="both"/>
        <w:rPr>
          <w:rFonts w:ascii="Arial" w:hAnsi="Arial" w:cs="Arial"/>
          <w:sz w:val="24"/>
          <w:szCs w:val="24"/>
        </w:rPr>
      </w:pPr>
      <w:r w:rsidRPr="005530DA">
        <w:rPr>
          <w:rFonts w:ascii="Arial" w:hAnsi="Arial" w:cs="Arial"/>
          <w:sz w:val="24"/>
          <w:szCs w:val="24"/>
        </w:rPr>
        <w:t>La XVII cumbre iberoamericana se llevó a cabo en Chile en 2007, el principal tema abordado fue el desarrollo y la inclusión social, se señaló  la importancia de adoptar políticas que promuevan el, desarrollo de la ciencia y la tecnología como motores que impulsan el progreso social y económico y prioricen la utilización de conocimiento científico como un instrumento para contribuir al bienestar y cohesión social de las poblaciones iberoamericanas.</w:t>
      </w:r>
    </w:p>
    <w:p w:rsidR="005530DA" w:rsidRPr="005530DA" w:rsidRDefault="005530DA" w:rsidP="00926DEE">
      <w:pPr>
        <w:numPr>
          <w:ilvl w:val="0"/>
          <w:numId w:val="7"/>
        </w:numPr>
        <w:spacing w:before="100" w:beforeAutospacing="1" w:line="480" w:lineRule="auto"/>
        <w:jc w:val="both"/>
        <w:rPr>
          <w:rFonts w:ascii="Arial" w:eastAsiaTheme="minorEastAsia" w:hAnsi="Arial" w:cs="Arial"/>
          <w:sz w:val="24"/>
          <w:szCs w:val="24"/>
          <w:lang w:eastAsia="es-MX"/>
        </w:rPr>
      </w:pPr>
      <w:r w:rsidRPr="005530DA">
        <w:rPr>
          <w:rFonts w:ascii="Arial" w:eastAsiaTheme="minorEastAsia" w:hAnsi="Arial" w:cs="Arial"/>
          <w:sz w:val="24"/>
          <w:szCs w:val="24"/>
          <w:lang w:eastAsia="es-MX"/>
        </w:rPr>
        <w:t xml:space="preserve">La XVIII cumbre iberoamericana se celebró en El Salvador en el año 2008, el principal tema fue acerca del desarrollo y juventud, en esta cumbre se instruyó a la SEGIB y a la OEI para que en conjunto con los Ministros de Educación, inicien a la brevedad la identificación de las </w:t>
      </w:r>
      <w:hyperlink r:id="rId7" w:history="1">
        <w:r w:rsidRPr="00092C5B">
          <w:rPr>
            <w:rFonts w:ascii="Arial" w:eastAsiaTheme="minorEastAsia" w:hAnsi="Arial" w:cs="Arial"/>
            <w:sz w:val="24"/>
            <w:szCs w:val="24"/>
            <w:lang w:eastAsia="es-MX"/>
          </w:rPr>
          <w:t>Metas Educativas 2021 "La Educación que queremos para los Jóvenes de los Bicentenarios</w:t>
        </w:r>
      </w:hyperlink>
    </w:p>
    <w:p w:rsidR="00092C5B" w:rsidRDefault="005530DA" w:rsidP="00926DEE">
      <w:pPr>
        <w:autoSpaceDE w:val="0"/>
        <w:autoSpaceDN w:val="0"/>
        <w:adjustRightInd w:val="0"/>
        <w:spacing w:after="0" w:line="480" w:lineRule="auto"/>
        <w:ind w:left="708"/>
        <w:jc w:val="both"/>
        <w:rPr>
          <w:rFonts w:ascii="Arial" w:hAnsi="Arial" w:cs="Arial"/>
          <w:sz w:val="24"/>
          <w:szCs w:val="24"/>
        </w:rPr>
      </w:pPr>
      <w:r w:rsidRPr="005530DA">
        <w:rPr>
          <w:rFonts w:ascii="Arial" w:hAnsi="Arial" w:cs="Arial"/>
          <w:sz w:val="24"/>
          <w:szCs w:val="24"/>
        </w:rPr>
        <w:t xml:space="preserve">Se aprobó la transformación en Programa Cumbre de la Iniciativa Iberoamericana de Movilidad de Estudiantes y Docentes “Pablo Neruda” y reconocieron los avances en su implementación en las nuevas líneas de acción del </w:t>
      </w:r>
      <w:hyperlink r:id="rId8" w:history="1">
        <w:r w:rsidRPr="00092C5B">
          <w:rPr>
            <w:rFonts w:ascii="Arial" w:hAnsi="Arial" w:cs="Arial"/>
            <w:sz w:val="24"/>
            <w:szCs w:val="24"/>
          </w:rPr>
          <w:t>Espacio Iberoamericano del Conocimiento</w:t>
        </w:r>
      </w:hyperlink>
    </w:p>
    <w:p w:rsidR="005530DA" w:rsidRPr="00092C5B" w:rsidRDefault="005530DA" w:rsidP="00926DEE">
      <w:pPr>
        <w:pStyle w:val="Prrafodelista"/>
        <w:numPr>
          <w:ilvl w:val="0"/>
          <w:numId w:val="10"/>
        </w:numPr>
        <w:autoSpaceDE w:val="0"/>
        <w:autoSpaceDN w:val="0"/>
        <w:adjustRightInd w:val="0"/>
        <w:spacing w:after="0" w:line="480" w:lineRule="auto"/>
        <w:ind w:left="709" w:firstLine="359"/>
        <w:jc w:val="both"/>
        <w:rPr>
          <w:rFonts w:ascii="Arial" w:hAnsi="Arial" w:cs="Arial"/>
          <w:sz w:val="24"/>
          <w:szCs w:val="24"/>
        </w:rPr>
      </w:pPr>
      <w:r w:rsidRPr="00092C5B">
        <w:rPr>
          <w:rFonts w:ascii="Arial" w:eastAsiaTheme="minorEastAsia" w:hAnsi="Arial" w:cs="Arial"/>
          <w:sz w:val="24"/>
          <w:szCs w:val="24"/>
          <w:lang w:eastAsia="es-MX"/>
        </w:rPr>
        <w:t xml:space="preserve">La XIX cumbre se llevó a cabo en Estoril en el año 2009, en ella se trató el tema de innovación y tecnología que está íntimamente relacionado con la educación, en este sentido, se pronunciaron a favor de promover a través del </w:t>
      </w:r>
      <w:r w:rsidRPr="00926DEE">
        <w:rPr>
          <w:rFonts w:ascii="Arial" w:eastAsiaTheme="minorEastAsia" w:hAnsi="Arial" w:cs="Arial"/>
          <w:sz w:val="24"/>
          <w:szCs w:val="24"/>
          <w:lang w:eastAsia="es-MX"/>
        </w:rPr>
        <w:t>foro de responsables de educación superior, ciencia e innovación</w:t>
      </w:r>
      <w:r w:rsidRPr="00092C5B">
        <w:rPr>
          <w:rFonts w:ascii="Arial" w:eastAsiaTheme="minorEastAsia" w:hAnsi="Arial" w:cs="Arial"/>
          <w:sz w:val="24"/>
          <w:szCs w:val="24"/>
          <w:lang w:eastAsia="es-MX"/>
        </w:rPr>
        <w:t xml:space="preserve"> la coordinación y la creación de sinergias e interfaces de acción entre los diversos programas, iniciativa y actuaciones en los ámbitos de la </w:t>
      </w:r>
      <w:r w:rsidRPr="00092C5B">
        <w:rPr>
          <w:rFonts w:ascii="Arial" w:eastAsiaTheme="minorEastAsia" w:hAnsi="Arial" w:cs="Arial"/>
          <w:sz w:val="24"/>
          <w:szCs w:val="24"/>
          <w:lang w:eastAsia="es-MX"/>
        </w:rPr>
        <w:lastRenderedPageBreak/>
        <w:t>innovación, la investigación y la educación superior que integran el espacio iberoamericano del conocimiento.</w:t>
      </w:r>
    </w:p>
    <w:p w:rsidR="005530DA" w:rsidRPr="005530DA" w:rsidRDefault="005530DA" w:rsidP="00926DEE">
      <w:pPr>
        <w:numPr>
          <w:ilvl w:val="0"/>
          <w:numId w:val="8"/>
        </w:numPr>
        <w:autoSpaceDE w:val="0"/>
        <w:autoSpaceDN w:val="0"/>
        <w:adjustRightInd w:val="0"/>
        <w:spacing w:after="0" w:line="480" w:lineRule="auto"/>
        <w:contextualSpacing/>
        <w:jc w:val="both"/>
        <w:rPr>
          <w:rFonts w:ascii="Arial" w:hAnsi="Arial" w:cs="Arial"/>
          <w:sz w:val="24"/>
          <w:szCs w:val="24"/>
        </w:rPr>
      </w:pPr>
      <w:r w:rsidRPr="005530DA">
        <w:rPr>
          <w:rFonts w:ascii="Arial" w:hAnsi="Arial" w:cs="Arial"/>
          <w:sz w:val="24"/>
          <w:szCs w:val="24"/>
        </w:rPr>
        <w:t>La cumbre XX se celebró en Mar del Plata, Argentina bajo el lema Educación para la Inclusión Social, se señaló la importancia de promover un mayor acceso de las y los jóvenes y adultos a la educación superior, universitaria y no universitaria, a la educación ocupacional, vocacional y técnica, desarrollando políticas activas de acompañamiento y orientación para brindar mejores medios de inserción laboral.</w:t>
      </w:r>
    </w:p>
    <w:p w:rsidR="005530DA" w:rsidRPr="005530DA" w:rsidRDefault="005530DA" w:rsidP="00926DEE">
      <w:pPr>
        <w:autoSpaceDE w:val="0"/>
        <w:autoSpaceDN w:val="0"/>
        <w:adjustRightInd w:val="0"/>
        <w:spacing w:after="0" w:line="480" w:lineRule="auto"/>
        <w:ind w:left="708"/>
        <w:jc w:val="both"/>
        <w:rPr>
          <w:rFonts w:ascii="Arial" w:hAnsi="Arial" w:cs="Arial"/>
          <w:sz w:val="24"/>
          <w:szCs w:val="24"/>
        </w:rPr>
      </w:pPr>
      <w:r w:rsidRPr="005530DA">
        <w:rPr>
          <w:rFonts w:ascii="Arial" w:hAnsi="Arial" w:cs="Arial"/>
          <w:sz w:val="24"/>
          <w:szCs w:val="24"/>
        </w:rPr>
        <w:t>Así como consolidar las redes y espacios del conocimiento a nivel subregional, regional e internacional que favorezcan la cooperación interuniversitaria y la movilidad académica, de acuerdo con las normativas vigentes en cada país e impulsar las transformaciones orientadas a reafirmar la misión de las universidades en nuevos contextos, ofreciendo mayores opciones para los estudiantes y posibilitando respuestas más adecuadas a las demandas sociales.</w:t>
      </w:r>
    </w:p>
    <w:p w:rsidR="005530DA" w:rsidRPr="005530DA" w:rsidRDefault="005530DA" w:rsidP="00926DEE">
      <w:pPr>
        <w:autoSpaceDE w:val="0"/>
        <w:autoSpaceDN w:val="0"/>
        <w:adjustRightInd w:val="0"/>
        <w:spacing w:after="0" w:line="480" w:lineRule="auto"/>
        <w:ind w:left="708"/>
        <w:jc w:val="both"/>
        <w:rPr>
          <w:rFonts w:ascii="Arial" w:hAnsi="Arial" w:cs="Arial"/>
          <w:sz w:val="24"/>
          <w:szCs w:val="24"/>
        </w:rPr>
      </w:pPr>
      <w:r w:rsidRPr="00926DEE">
        <w:rPr>
          <w:rFonts w:ascii="Arial" w:hAnsi="Arial" w:cs="Arial"/>
          <w:sz w:val="24"/>
          <w:szCs w:val="24"/>
        </w:rPr>
        <w:t>Se señaló la importancia de valorar los progresos realizados para el reconocimiento académico de los períodos de estudio en el marco del Espacio Iberoamericano del Conocimiento (EIC) y promover la Declaración adoptada por el Foro Extraordinario de Responsables de Educación Superior, Ciencia e Innovación, impulsando la firma de convenios bilaterales en ese ámbito.</w:t>
      </w:r>
    </w:p>
    <w:p w:rsidR="005530DA" w:rsidRPr="005530DA" w:rsidRDefault="005530DA" w:rsidP="00926DEE">
      <w:pPr>
        <w:autoSpaceDE w:val="0"/>
        <w:autoSpaceDN w:val="0"/>
        <w:adjustRightInd w:val="0"/>
        <w:spacing w:after="0" w:line="480" w:lineRule="auto"/>
        <w:ind w:left="708"/>
        <w:jc w:val="both"/>
        <w:rPr>
          <w:rFonts w:ascii="Arial" w:hAnsi="Arial" w:cs="Arial"/>
          <w:sz w:val="24"/>
          <w:szCs w:val="24"/>
        </w:rPr>
      </w:pPr>
      <w:r w:rsidRPr="005530DA">
        <w:rPr>
          <w:rFonts w:ascii="Arial" w:hAnsi="Arial" w:cs="Arial"/>
          <w:sz w:val="24"/>
          <w:szCs w:val="24"/>
        </w:rPr>
        <w:t xml:space="preserve">Se argumentó que es una prioridad propiciar la investigación científica y la innovación tecnológica en universidades, empresas e institutos superiores, a través de una mayor inversión pública y privada en ciencia y tecnología, </w:t>
      </w:r>
      <w:r w:rsidRPr="005530DA">
        <w:rPr>
          <w:rFonts w:ascii="Arial" w:hAnsi="Arial" w:cs="Arial"/>
          <w:sz w:val="24"/>
          <w:szCs w:val="24"/>
        </w:rPr>
        <w:lastRenderedPageBreak/>
        <w:t>en atención a los requerimientos del sector productivo y el desarrollo sostenible, así como aprobar como instrumento concertado para abordar los principales desafíos educativos de la región, el Programa “Metas 2021: la educación que queremos para la generación de los Bicentenarios”, atendiendo las resoluciones aprobadas en la XX Conferencia Iberoamericana de Ministros de Educación, en los términos de desarrollo, concreción, costos, sistemas de evaluación y compromisos presentados por la Secretaría General Iberoamericana (SEGIB), la Organización de Estados Iberoamericanos para la Educación, la Ciencia y la Cultura (OEI) y Comisión Económica para América Latina (CEPAL) de asumir el compromiso de invertir más y mejor en educación durante los próximos diez años para darles cumplimiento de acuerdo con su formulación y previsión de costos.</w:t>
      </w:r>
    </w:p>
    <w:p w:rsidR="005530DA" w:rsidRPr="005530DA" w:rsidRDefault="005530DA" w:rsidP="00926DEE">
      <w:pPr>
        <w:autoSpaceDE w:val="0"/>
        <w:autoSpaceDN w:val="0"/>
        <w:adjustRightInd w:val="0"/>
        <w:spacing w:line="480" w:lineRule="auto"/>
        <w:ind w:left="708"/>
        <w:jc w:val="both"/>
        <w:rPr>
          <w:rFonts w:ascii="Arial" w:hAnsi="Arial" w:cs="Arial"/>
          <w:sz w:val="24"/>
          <w:szCs w:val="24"/>
        </w:rPr>
      </w:pPr>
      <w:r w:rsidRPr="005530DA">
        <w:rPr>
          <w:rFonts w:ascii="Arial" w:hAnsi="Arial" w:cs="Arial"/>
          <w:sz w:val="24"/>
          <w:szCs w:val="24"/>
        </w:rPr>
        <w:t>Manifestaron su beneplácito por la inauguración de la Universidad Federal de la Integración Latinoamericana (UNILA), en Foz de Iguazú, el 2 de septiembre de 2010, creada con el objetivo de contribuir al proceso de integración de los países latinoamericanos, así como para facilitar el acceso de la juventud de menores recursos a una enseñanza de calidad.</w:t>
      </w:r>
    </w:p>
    <w:p w:rsidR="005530DA" w:rsidRPr="005530DA" w:rsidRDefault="005530DA" w:rsidP="00926DEE">
      <w:pPr>
        <w:numPr>
          <w:ilvl w:val="0"/>
          <w:numId w:val="9"/>
        </w:numPr>
        <w:spacing w:after="0" w:line="480" w:lineRule="auto"/>
        <w:contextualSpacing/>
        <w:jc w:val="both"/>
        <w:rPr>
          <w:rFonts w:ascii="Arial" w:eastAsia="Times New Roman" w:hAnsi="Arial" w:cs="Arial"/>
          <w:sz w:val="24"/>
          <w:szCs w:val="24"/>
          <w:lang w:eastAsia="es-MX"/>
        </w:rPr>
      </w:pPr>
      <w:r w:rsidRPr="005530DA">
        <w:rPr>
          <w:rFonts w:ascii="Arial" w:hAnsi="Arial" w:cs="Arial"/>
          <w:sz w:val="24"/>
          <w:szCs w:val="24"/>
        </w:rPr>
        <w:t xml:space="preserve">La XXI cumbre iberoamericana se llevó a cabo en Paraguay, bajo el lema </w:t>
      </w:r>
      <w:r w:rsidRPr="005530DA">
        <w:rPr>
          <w:rFonts w:ascii="Arial" w:eastAsia="Times New Roman" w:hAnsi="Arial" w:cs="Arial"/>
          <w:sz w:val="24"/>
          <w:szCs w:val="24"/>
          <w:lang w:eastAsia="es-MX"/>
        </w:rPr>
        <w:t xml:space="preserve">Transformación del Estado y Desarrollo,  con respecto a la educación, cabe señalar que es la única cumbre de todas las analizadas en la que no se hace mención de la educación,  sin embargo, se señaló la importancia de la modernización de las instituciones públicas y de sus procesos en un marco </w:t>
      </w:r>
      <w:r w:rsidRPr="005530DA">
        <w:rPr>
          <w:rFonts w:ascii="Arial" w:eastAsia="Times New Roman" w:hAnsi="Arial" w:cs="Arial"/>
          <w:sz w:val="24"/>
          <w:szCs w:val="24"/>
          <w:lang w:eastAsia="es-MX"/>
        </w:rPr>
        <w:lastRenderedPageBreak/>
        <w:t xml:space="preserve">de justicia e igualdad, además  se habló de la importancia de </w:t>
      </w:r>
      <w:r w:rsidRPr="005530DA">
        <w:rPr>
          <w:rFonts w:ascii="Arial" w:hAnsi="Arial" w:cs="Arial"/>
          <w:sz w:val="24"/>
          <w:szCs w:val="24"/>
        </w:rPr>
        <w:t>potenciar la calidad de los servicios públicos y promover la demanda de servicios en línea por parte de la ciudadanía, en este rubro de servicios, entra la educación pública.</w:t>
      </w:r>
    </w:p>
    <w:p w:rsidR="005530DA" w:rsidRPr="005530DA" w:rsidRDefault="005530DA" w:rsidP="00926DEE">
      <w:pPr>
        <w:numPr>
          <w:ilvl w:val="0"/>
          <w:numId w:val="9"/>
        </w:numPr>
        <w:autoSpaceDE w:val="0"/>
        <w:autoSpaceDN w:val="0"/>
        <w:adjustRightInd w:val="0"/>
        <w:spacing w:line="480" w:lineRule="auto"/>
        <w:contextualSpacing/>
        <w:jc w:val="both"/>
        <w:rPr>
          <w:rFonts w:ascii="Arial" w:hAnsi="Arial" w:cs="Arial"/>
          <w:color w:val="1D2229"/>
          <w:sz w:val="24"/>
          <w:szCs w:val="24"/>
        </w:rPr>
      </w:pPr>
      <w:r w:rsidRPr="005530DA">
        <w:rPr>
          <w:rFonts w:ascii="Arial" w:eastAsia="Times New Roman" w:hAnsi="Arial" w:cs="Arial"/>
          <w:sz w:val="24"/>
          <w:szCs w:val="24"/>
          <w:lang w:eastAsia="es-MX"/>
        </w:rPr>
        <w:t xml:space="preserve">La </w:t>
      </w:r>
      <w:r w:rsidRPr="005530DA">
        <w:rPr>
          <w:rFonts w:ascii="Arial" w:hAnsi="Arial" w:cs="Arial"/>
          <w:sz w:val="24"/>
          <w:szCs w:val="24"/>
        </w:rPr>
        <w:t xml:space="preserve">XXII Cumbre Iberoamericana, conocida como la  Declaración de Cádiz 2012, planteó como tema principal </w:t>
      </w:r>
      <w:r w:rsidRPr="005530DA">
        <w:rPr>
          <w:rFonts w:ascii="Arial" w:eastAsia="Times New Roman" w:hAnsi="Arial" w:cs="Arial"/>
          <w:sz w:val="24"/>
          <w:szCs w:val="24"/>
          <w:lang w:eastAsia="es-MX"/>
        </w:rPr>
        <w:t xml:space="preserve">la  relación renovada en el bicentenario de la Constitución de Cádiz, en esta cumbre se señaló la importancia de </w:t>
      </w:r>
      <w:r w:rsidRPr="005530DA">
        <w:rPr>
          <w:rFonts w:ascii="Arial" w:hAnsi="Arial" w:cs="Arial"/>
          <w:color w:val="1D2229"/>
          <w:sz w:val="24"/>
          <w:szCs w:val="24"/>
        </w:rPr>
        <w:t>profundizar el desarrollo de políticas educativas de carácter intersectorial con equidad e inclusión que permitan disminuir las desigualdades en materia de acceso y calidad de la educación en todos sus niveles Profundizar el desarrollo de políticas educativas de carácter intersectorial con equidad e inclusión que permitan disminuir las desigualdades en materia de acceso y calidad de la educación en todos sus niveles.</w:t>
      </w:r>
    </w:p>
    <w:p w:rsidR="005530DA" w:rsidRPr="005530DA" w:rsidRDefault="005530DA" w:rsidP="00926DEE">
      <w:pPr>
        <w:autoSpaceDE w:val="0"/>
        <w:autoSpaceDN w:val="0"/>
        <w:adjustRightInd w:val="0"/>
        <w:spacing w:line="480" w:lineRule="auto"/>
        <w:ind w:left="708"/>
        <w:jc w:val="both"/>
        <w:rPr>
          <w:rFonts w:ascii="Arial" w:hAnsi="Arial" w:cs="Arial"/>
          <w:color w:val="313A3D"/>
          <w:sz w:val="24"/>
          <w:szCs w:val="24"/>
        </w:rPr>
      </w:pPr>
      <w:r w:rsidRPr="005530DA">
        <w:rPr>
          <w:rFonts w:ascii="Arial" w:hAnsi="Arial" w:cs="Arial"/>
          <w:color w:val="1D2229"/>
          <w:sz w:val="24"/>
          <w:szCs w:val="24"/>
        </w:rPr>
        <w:t>Fomentar el intercambio educativo, en particular a nivel superior y tecnológico</w:t>
      </w:r>
      <w:r w:rsidRPr="005530DA">
        <w:rPr>
          <w:rFonts w:ascii="Arial" w:hAnsi="Arial" w:cs="Arial"/>
          <w:color w:val="313A3D"/>
          <w:sz w:val="24"/>
          <w:szCs w:val="24"/>
        </w:rPr>
        <w:t xml:space="preserve">: </w:t>
      </w:r>
      <w:r w:rsidRPr="005530DA">
        <w:rPr>
          <w:rFonts w:ascii="Arial" w:hAnsi="Arial" w:cs="Arial"/>
          <w:color w:val="1D2229"/>
          <w:sz w:val="24"/>
          <w:szCs w:val="24"/>
        </w:rPr>
        <w:t>promover la participación y actualización de una oferta académica de calidad en el</w:t>
      </w:r>
      <w:r w:rsidRPr="005530DA">
        <w:rPr>
          <w:rFonts w:ascii="Arial" w:hAnsi="Arial" w:cs="Arial"/>
          <w:color w:val="313A3D"/>
          <w:sz w:val="24"/>
          <w:szCs w:val="24"/>
        </w:rPr>
        <w:t xml:space="preserve"> </w:t>
      </w:r>
      <w:r w:rsidRPr="005530DA">
        <w:rPr>
          <w:rFonts w:ascii="Arial" w:hAnsi="Arial" w:cs="Arial"/>
          <w:color w:val="1D2229"/>
          <w:sz w:val="24"/>
          <w:szCs w:val="24"/>
        </w:rPr>
        <w:t>sistema educativo, especialmente en las universidades y otros centros de educación</w:t>
      </w:r>
      <w:r w:rsidRPr="005530DA">
        <w:rPr>
          <w:rFonts w:ascii="Arial" w:hAnsi="Arial" w:cs="Arial"/>
          <w:color w:val="313A3D"/>
          <w:sz w:val="24"/>
          <w:szCs w:val="24"/>
        </w:rPr>
        <w:t xml:space="preserve"> </w:t>
      </w:r>
      <w:r w:rsidRPr="005530DA">
        <w:rPr>
          <w:rFonts w:ascii="Arial" w:hAnsi="Arial" w:cs="Arial"/>
          <w:color w:val="1D2229"/>
          <w:sz w:val="24"/>
          <w:szCs w:val="24"/>
        </w:rPr>
        <w:t>superior; y en este marco, estimular esquemas de cooperación y entendimiento que posibiliten el efectivo reconocimiento reciproco de grados y títulos</w:t>
      </w:r>
      <w:r w:rsidRPr="005530DA">
        <w:rPr>
          <w:rFonts w:ascii="Arial" w:hAnsi="Arial" w:cs="Arial"/>
          <w:color w:val="432B32"/>
          <w:sz w:val="24"/>
          <w:szCs w:val="24"/>
        </w:rPr>
        <w:t>,</w:t>
      </w:r>
      <w:r w:rsidRPr="005530DA">
        <w:rPr>
          <w:rFonts w:ascii="Arial" w:hAnsi="Arial" w:cs="Arial"/>
          <w:color w:val="313A3D"/>
          <w:sz w:val="24"/>
          <w:szCs w:val="24"/>
        </w:rPr>
        <w:t xml:space="preserve"> </w:t>
      </w:r>
      <w:r w:rsidRPr="005530DA">
        <w:rPr>
          <w:rFonts w:ascii="Arial" w:hAnsi="Arial" w:cs="Arial"/>
          <w:color w:val="1D2229"/>
          <w:sz w:val="24"/>
          <w:szCs w:val="24"/>
        </w:rPr>
        <w:t>Estimular una mayor participación de las empresas en la formación técnico profesional</w:t>
      </w:r>
      <w:r w:rsidRPr="005530DA">
        <w:rPr>
          <w:rFonts w:ascii="Arial" w:hAnsi="Arial" w:cs="Arial"/>
          <w:color w:val="313A3D"/>
          <w:sz w:val="24"/>
          <w:szCs w:val="24"/>
        </w:rPr>
        <w:t xml:space="preserve"> </w:t>
      </w:r>
      <w:r w:rsidRPr="005530DA">
        <w:rPr>
          <w:rFonts w:ascii="Arial" w:hAnsi="Arial" w:cs="Arial"/>
          <w:color w:val="1D2229"/>
          <w:sz w:val="24"/>
          <w:szCs w:val="24"/>
        </w:rPr>
        <w:t>mediante contratos de formación y aprendizaje y programas de</w:t>
      </w:r>
      <w:r w:rsidRPr="005530DA">
        <w:rPr>
          <w:rFonts w:ascii="Arial" w:hAnsi="Arial" w:cs="Arial"/>
          <w:color w:val="313A3D"/>
          <w:sz w:val="24"/>
          <w:szCs w:val="24"/>
        </w:rPr>
        <w:t xml:space="preserve"> </w:t>
      </w:r>
      <w:r w:rsidRPr="005530DA">
        <w:rPr>
          <w:rFonts w:ascii="Arial" w:hAnsi="Arial" w:cs="Arial"/>
          <w:color w:val="1D2229"/>
          <w:sz w:val="24"/>
          <w:szCs w:val="24"/>
        </w:rPr>
        <w:t>capacitación, para lograr una mayor preparación de 105 jóvenes, promover su espíritu</w:t>
      </w:r>
      <w:r w:rsidRPr="005530DA">
        <w:rPr>
          <w:rFonts w:ascii="Arial" w:hAnsi="Arial" w:cs="Arial"/>
          <w:color w:val="313A3D"/>
          <w:sz w:val="24"/>
          <w:szCs w:val="24"/>
        </w:rPr>
        <w:t xml:space="preserve"> </w:t>
      </w:r>
      <w:r w:rsidRPr="005530DA">
        <w:rPr>
          <w:rFonts w:ascii="Arial" w:hAnsi="Arial" w:cs="Arial"/>
          <w:color w:val="1D2229"/>
          <w:sz w:val="24"/>
          <w:szCs w:val="24"/>
        </w:rPr>
        <w:t>emprendedor, su acceso e integración productiva en el mercado de trabajo y el uso</w:t>
      </w:r>
      <w:r w:rsidRPr="005530DA">
        <w:rPr>
          <w:rFonts w:ascii="Arial" w:hAnsi="Arial" w:cs="Arial"/>
          <w:color w:val="313A3D"/>
          <w:sz w:val="24"/>
          <w:szCs w:val="24"/>
        </w:rPr>
        <w:t xml:space="preserve"> </w:t>
      </w:r>
      <w:r w:rsidRPr="005530DA">
        <w:rPr>
          <w:rFonts w:ascii="Arial" w:hAnsi="Arial" w:cs="Arial"/>
          <w:color w:val="1D2229"/>
          <w:sz w:val="24"/>
          <w:szCs w:val="24"/>
        </w:rPr>
        <w:t>de las nuevas tecnologías.</w:t>
      </w:r>
    </w:p>
    <w:p w:rsidR="00F4386C" w:rsidRPr="00F01304" w:rsidRDefault="00F4386C" w:rsidP="00926DEE">
      <w:pPr>
        <w:pStyle w:val="Default"/>
        <w:spacing w:line="480" w:lineRule="auto"/>
        <w:rPr>
          <w:i/>
          <w:iCs/>
        </w:rPr>
      </w:pPr>
      <w:r w:rsidRPr="00F01304">
        <w:rPr>
          <w:i/>
          <w:iCs/>
        </w:rPr>
        <w:lastRenderedPageBreak/>
        <w:t xml:space="preserve">MERCOSUR </w:t>
      </w:r>
    </w:p>
    <w:p w:rsidR="00163007" w:rsidRPr="00D94014" w:rsidRDefault="00163007" w:rsidP="00926DEE">
      <w:pPr>
        <w:autoSpaceDE w:val="0"/>
        <w:autoSpaceDN w:val="0"/>
        <w:adjustRightInd w:val="0"/>
        <w:spacing w:after="0" w:line="480" w:lineRule="auto"/>
        <w:ind w:firstLine="708"/>
        <w:jc w:val="both"/>
        <w:rPr>
          <w:rFonts w:ascii="Arial" w:hAnsi="Arial" w:cs="Arial"/>
          <w:sz w:val="24"/>
          <w:szCs w:val="24"/>
        </w:rPr>
      </w:pPr>
      <w:r w:rsidRPr="00163007">
        <w:rPr>
          <w:rFonts w:ascii="Arial" w:hAnsi="Arial" w:cs="Arial"/>
          <w:sz w:val="24"/>
          <w:szCs w:val="24"/>
        </w:rPr>
        <w:t xml:space="preserve">En 1998, los ministros de educación del MERCOSUR firmaron el compromiso de Brasilia en donde fijaron las </w:t>
      </w:r>
      <w:r w:rsidRPr="00163007">
        <w:rPr>
          <w:rFonts w:ascii="Arial" w:hAnsi="Arial" w:cs="Arial"/>
          <w:bCs/>
          <w:sz w:val="24"/>
          <w:szCs w:val="24"/>
        </w:rPr>
        <w:t xml:space="preserve">metas del plan trienal para el año 2000 con el propósito orientar el </w:t>
      </w:r>
      <w:r w:rsidRPr="00163007">
        <w:rPr>
          <w:rFonts w:ascii="Arial" w:hAnsi="Arial" w:cs="Arial"/>
          <w:sz w:val="24"/>
          <w:szCs w:val="24"/>
        </w:rPr>
        <w:t xml:space="preserve">desarrollo del Sector de Educación del </w:t>
      </w:r>
      <w:r w:rsidRPr="00D94014">
        <w:rPr>
          <w:rFonts w:ascii="Arial" w:hAnsi="Arial" w:cs="Arial"/>
          <w:sz w:val="24"/>
          <w:szCs w:val="24"/>
        </w:rPr>
        <w:t>MERCOSUR</w:t>
      </w:r>
      <w:r w:rsidRPr="00D94014">
        <w:rPr>
          <w:rFonts w:ascii="Arial" w:hAnsi="Arial" w:cs="Arial"/>
          <w:i/>
          <w:sz w:val="24"/>
          <w:szCs w:val="24"/>
        </w:rPr>
        <w:t xml:space="preserve">. </w:t>
      </w:r>
    </w:p>
    <w:p w:rsidR="00163007" w:rsidRPr="00163007" w:rsidRDefault="00163007" w:rsidP="00926DEE">
      <w:pPr>
        <w:autoSpaceDE w:val="0"/>
        <w:autoSpaceDN w:val="0"/>
        <w:adjustRightInd w:val="0"/>
        <w:spacing w:after="0" w:line="480" w:lineRule="auto"/>
        <w:jc w:val="both"/>
        <w:rPr>
          <w:rFonts w:ascii="Arial" w:hAnsi="Arial" w:cs="Arial"/>
          <w:sz w:val="24"/>
          <w:szCs w:val="24"/>
        </w:rPr>
      </w:pPr>
      <w:r w:rsidRPr="00163007">
        <w:rPr>
          <w:rFonts w:ascii="Arial" w:hAnsi="Arial" w:cs="Arial"/>
          <w:sz w:val="24"/>
          <w:szCs w:val="24"/>
        </w:rPr>
        <w:t xml:space="preserve">Dichas metas son: </w:t>
      </w:r>
    </w:p>
    <w:p w:rsidR="00163007" w:rsidRPr="00163007" w:rsidRDefault="00163007" w:rsidP="00926DEE">
      <w:pPr>
        <w:pStyle w:val="Prrafodelista"/>
        <w:numPr>
          <w:ilvl w:val="0"/>
          <w:numId w:val="12"/>
        </w:numPr>
        <w:autoSpaceDE w:val="0"/>
        <w:autoSpaceDN w:val="0"/>
        <w:adjustRightInd w:val="0"/>
        <w:spacing w:after="0" w:line="480" w:lineRule="auto"/>
        <w:jc w:val="both"/>
        <w:rPr>
          <w:rFonts w:ascii="Arial" w:hAnsi="Arial" w:cs="Arial"/>
          <w:bCs/>
          <w:sz w:val="24"/>
          <w:szCs w:val="24"/>
        </w:rPr>
      </w:pPr>
      <w:r w:rsidRPr="00163007">
        <w:rPr>
          <w:rFonts w:ascii="Arial" w:hAnsi="Arial" w:cs="Arial"/>
          <w:bCs/>
          <w:sz w:val="24"/>
          <w:szCs w:val="24"/>
        </w:rPr>
        <w:t>Compatibilización de aspectos curriculares y metodológicos a partir de una perspectiva regional.</w:t>
      </w:r>
    </w:p>
    <w:p w:rsidR="00163007" w:rsidRPr="00163007" w:rsidRDefault="00163007" w:rsidP="00926DEE">
      <w:pPr>
        <w:pStyle w:val="Prrafodelista"/>
        <w:numPr>
          <w:ilvl w:val="0"/>
          <w:numId w:val="12"/>
        </w:numPr>
        <w:autoSpaceDE w:val="0"/>
        <w:autoSpaceDN w:val="0"/>
        <w:adjustRightInd w:val="0"/>
        <w:spacing w:after="0" w:line="480" w:lineRule="auto"/>
        <w:jc w:val="both"/>
        <w:rPr>
          <w:rFonts w:ascii="Arial" w:hAnsi="Arial" w:cs="Arial"/>
          <w:bCs/>
          <w:sz w:val="24"/>
          <w:szCs w:val="24"/>
        </w:rPr>
      </w:pPr>
      <w:r w:rsidRPr="00163007">
        <w:rPr>
          <w:rFonts w:ascii="Arial" w:hAnsi="Arial" w:cs="Arial"/>
          <w:bCs/>
          <w:sz w:val="24"/>
          <w:szCs w:val="24"/>
        </w:rPr>
        <w:t>Intercambio de alumnos, docentes e investigadores</w:t>
      </w:r>
    </w:p>
    <w:p w:rsidR="00163007" w:rsidRPr="00163007" w:rsidRDefault="00163007" w:rsidP="00926DEE">
      <w:pPr>
        <w:pStyle w:val="Prrafodelista"/>
        <w:numPr>
          <w:ilvl w:val="0"/>
          <w:numId w:val="12"/>
        </w:numPr>
        <w:autoSpaceDE w:val="0"/>
        <w:autoSpaceDN w:val="0"/>
        <w:adjustRightInd w:val="0"/>
        <w:spacing w:after="0" w:line="480" w:lineRule="auto"/>
        <w:jc w:val="both"/>
        <w:rPr>
          <w:rFonts w:ascii="Arial" w:hAnsi="Arial" w:cs="Arial"/>
          <w:bCs/>
          <w:sz w:val="24"/>
          <w:szCs w:val="24"/>
        </w:rPr>
      </w:pPr>
      <w:r w:rsidRPr="00163007">
        <w:rPr>
          <w:rFonts w:ascii="Arial" w:hAnsi="Arial" w:cs="Arial"/>
          <w:bCs/>
          <w:sz w:val="24"/>
          <w:szCs w:val="24"/>
        </w:rPr>
        <w:t>Información y comunicación</w:t>
      </w:r>
    </w:p>
    <w:p w:rsidR="00163007" w:rsidRPr="00163007" w:rsidRDefault="00163007" w:rsidP="00926DEE">
      <w:pPr>
        <w:pStyle w:val="Prrafodelista"/>
        <w:numPr>
          <w:ilvl w:val="0"/>
          <w:numId w:val="12"/>
        </w:numPr>
        <w:autoSpaceDE w:val="0"/>
        <w:autoSpaceDN w:val="0"/>
        <w:adjustRightInd w:val="0"/>
        <w:spacing w:after="0" w:line="480" w:lineRule="auto"/>
        <w:jc w:val="both"/>
        <w:rPr>
          <w:rFonts w:ascii="Arial" w:hAnsi="Arial" w:cs="Arial"/>
          <w:bCs/>
          <w:sz w:val="24"/>
          <w:szCs w:val="24"/>
        </w:rPr>
      </w:pPr>
      <w:r w:rsidRPr="00163007">
        <w:rPr>
          <w:rFonts w:ascii="Arial" w:hAnsi="Arial" w:cs="Arial"/>
          <w:bCs/>
          <w:sz w:val="24"/>
          <w:szCs w:val="24"/>
        </w:rPr>
        <w:t>Evaluación y Acreditación</w:t>
      </w:r>
    </w:p>
    <w:p w:rsidR="00163007" w:rsidRPr="00163007" w:rsidRDefault="00163007" w:rsidP="00926DEE">
      <w:pPr>
        <w:pStyle w:val="Prrafodelista"/>
        <w:numPr>
          <w:ilvl w:val="0"/>
          <w:numId w:val="12"/>
        </w:numPr>
        <w:autoSpaceDE w:val="0"/>
        <w:autoSpaceDN w:val="0"/>
        <w:adjustRightInd w:val="0"/>
        <w:spacing w:after="0" w:line="480" w:lineRule="auto"/>
        <w:jc w:val="both"/>
        <w:rPr>
          <w:rFonts w:ascii="Arial" w:hAnsi="Arial" w:cs="Arial"/>
          <w:bCs/>
          <w:sz w:val="24"/>
          <w:szCs w:val="24"/>
        </w:rPr>
      </w:pPr>
      <w:r w:rsidRPr="00163007">
        <w:rPr>
          <w:rFonts w:ascii="Arial" w:hAnsi="Arial" w:cs="Arial"/>
          <w:bCs/>
          <w:sz w:val="24"/>
          <w:szCs w:val="24"/>
        </w:rPr>
        <w:t>Formación de Recursos Humanos</w:t>
      </w:r>
    </w:p>
    <w:p w:rsidR="00163007" w:rsidRPr="00163007" w:rsidRDefault="00163007" w:rsidP="00926DEE">
      <w:pPr>
        <w:autoSpaceDE w:val="0"/>
        <w:autoSpaceDN w:val="0"/>
        <w:adjustRightInd w:val="0"/>
        <w:spacing w:after="0" w:line="480" w:lineRule="auto"/>
        <w:ind w:firstLine="708"/>
        <w:jc w:val="both"/>
        <w:rPr>
          <w:rFonts w:ascii="Arial" w:hAnsi="Arial" w:cs="Arial"/>
          <w:bCs/>
          <w:sz w:val="24"/>
          <w:szCs w:val="24"/>
        </w:rPr>
      </w:pPr>
      <w:r w:rsidRPr="00163007">
        <w:rPr>
          <w:rFonts w:ascii="Arial" w:hAnsi="Arial" w:cs="Arial"/>
          <w:bCs/>
          <w:sz w:val="24"/>
          <w:szCs w:val="24"/>
        </w:rPr>
        <w:t>En el nivel de la educación superior, la acción del Sector Educativo del MERCOSUR se expresa en dos dimensiones, la de los protocolos de integración y la de acciones concretas realizadas en función de construir espacios de integración.</w:t>
      </w:r>
    </w:p>
    <w:p w:rsidR="00163007" w:rsidRPr="00163007" w:rsidRDefault="00163007" w:rsidP="00926DEE">
      <w:pPr>
        <w:autoSpaceDE w:val="0"/>
        <w:autoSpaceDN w:val="0"/>
        <w:adjustRightInd w:val="0"/>
        <w:spacing w:after="0" w:line="480" w:lineRule="auto"/>
        <w:ind w:firstLine="708"/>
        <w:jc w:val="both"/>
        <w:rPr>
          <w:rFonts w:ascii="Arial" w:hAnsi="Arial" w:cs="Arial"/>
          <w:sz w:val="24"/>
          <w:szCs w:val="24"/>
        </w:rPr>
      </w:pPr>
      <w:r w:rsidRPr="00163007">
        <w:rPr>
          <w:rFonts w:ascii="Arial" w:hAnsi="Arial" w:cs="Arial"/>
          <w:sz w:val="24"/>
          <w:szCs w:val="24"/>
        </w:rPr>
        <w:t>El Protocolo de Integración Educativa para la Prosecución de Estudios de Postgrado en las universidades de los países miembros del MERCOSUR fue acordado en Montevideo, con fecha 30 de noviembre de 1995. En él se establece que “Los Estados Partes, a través de sus organismos competentes, reconocerán los títulos universitarios de grado otorgados por las universidades reconocidas de cada país, al solo efecto de la prosecución de estudios de postgrado.”</w:t>
      </w:r>
    </w:p>
    <w:p w:rsidR="00163007" w:rsidRPr="00163007" w:rsidRDefault="00163007" w:rsidP="00926DEE">
      <w:pPr>
        <w:autoSpaceDE w:val="0"/>
        <w:autoSpaceDN w:val="0"/>
        <w:adjustRightInd w:val="0"/>
        <w:spacing w:after="0" w:line="480" w:lineRule="auto"/>
        <w:ind w:firstLine="708"/>
        <w:jc w:val="both"/>
        <w:rPr>
          <w:rFonts w:ascii="Arial" w:hAnsi="Arial" w:cs="Arial"/>
          <w:sz w:val="24"/>
          <w:szCs w:val="24"/>
        </w:rPr>
      </w:pPr>
      <w:r w:rsidRPr="00163007">
        <w:rPr>
          <w:rFonts w:ascii="Arial" w:hAnsi="Arial" w:cs="Arial"/>
          <w:sz w:val="24"/>
          <w:szCs w:val="24"/>
        </w:rPr>
        <w:lastRenderedPageBreak/>
        <w:t>El Protocolo de Integración Educativa para la Formación de Recursos Humanos a Nivel de Postgrado entre los Países Miembros del MERCOSUR, acordado en la misma fecha que el anterior, tiene como objetivos: (i) la formación y el perfeccionamiento de docentes universitarios e investigadores, la creación de un sistema de intercambio entre las instituciones, el intercambio de informaciones científicas y tecnológicas, de documentación especializada y de publicaciones; y el establecimiento de criterios y patrones comunes de evaluación de los postgrados.</w:t>
      </w:r>
    </w:p>
    <w:p w:rsidR="00163007" w:rsidRPr="00163007" w:rsidRDefault="00163007" w:rsidP="00926DEE">
      <w:pPr>
        <w:autoSpaceDE w:val="0"/>
        <w:autoSpaceDN w:val="0"/>
        <w:adjustRightInd w:val="0"/>
        <w:spacing w:after="0" w:line="480" w:lineRule="auto"/>
        <w:ind w:firstLine="708"/>
        <w:jc w:val="both"/>
        <w:rPr>
          <w:rFonts w:ascii="Arial" w:hAnsi="Arial" w:cs="Arial"/>
          <w:sz w:val="24"/>
          <w:szCs w:val="24"/>
        </w:rPr>
      </w:pPr>
      <w:r w:rsidRPr="00163007">
        <w:rPr>
          <w:rFonts w:ascii="Arial" w:hAnsi="Arial" w:cs="Arial"/>
          <w:sz w:val="24"/>
          <w:szCs w:val="24"/>
        </w:rPr>
        <w:t>El Protocolo de Admisión de Títulos y Grados Universitarios para el Ejercicio de Actividades Académicas en los Países del MERCOSUR se firmó en Asunción, el 11 de junio de 1997. Establece que los Estados Partes, a través de sus organismos competentes, admitirán, al solo efecto del ejercicio de actividades académicas, los títulos de grado y postgrado conferidos por instituciones de nivel superior reconocidas como tales en cada país.</w:t>
      </w:r>
    </w:p>
    <w:p w:rsidR="00163007" w:rsidRPr="00163007" w:rsidRDefault="00163007" w:rsidP="00926DEE">
      <w:pPr>
        <w:autoSpaceDE w:val="0"/>
        <w:autoSpaceDN w:val="0"/>
        <w:adjustRightInd w:val="0"/>
        <w:spacing w:after="0" w:line="480" w:lineRule="auto"/>
        <w:ind w:firstLine="708"/>
        <w:jc w:val="both"/>
        <w:rPr>
          <w:rFonts w:ascii="Arial" w:hAnsi="Arial" w:cs="Arial"/>
          <w:sz w:val="24"/>
          <w:szCs w:val="24"/>
        </w:rPr>
      </w:pPr>
      <w:r w:rsidRPr="00163007">
        <w:rPr>
          <w:rFonts w:ascii="Arial" w:hAnsi="Arial" w:cs="Arial"/>
          <w:sz w:val="24"/>
          <w:szCs w:val="24"/>
        </w:rPr>
        <w:t xml:space="preserve">En cuanto a las acciones concretas tenemos: </w:t>
      </w:r>
    </w:p>
    <w:p w:rsidR="00163007" w:rsidRPr="00163007" w:rsidRDefault="00163007" w:rsidP="00926DEE">
      <w:pPr>
        <w:autoSpaceDE w:val="0"/>
        <w:autoSpaceDN w:val="0"/>
        <w:adjustRightInd w:val="0"/>
        <w:spacing w:after="0" w:line="480" w:lineRule="auto"/>
        <w:ind w:firstLine="708"/>
        <w:jc w:val="both"/>
        <w:rPr>
          <w:rFonts w:ascii="Arial" w:hAnsi="Arial" w:cs="Arial"/>
          <w:sz w:val="24"/>
          <w:szCs w:val="24"/>
        </w:rPr>
      </w:pPr>
      <w:r w:rsidRPr="00163007">
        <w:rPr>
          <w:rFonts w:ascii="Arial" w:hAnsi="Arial" w:cs="Arial"/>
          <w:sz w:val="24"/>
          <w:szCs w:val="24"/>
        </w:rPr>
        <w:t>Acreditación de Carreras Universitarias, para la implementación de esta acción se firmó el Memorándum de Entendimiento sobre la Implementación de un Mecanismo Experimental de Acreditación de Carreras para el Reconocimiento de Títulos de Grado Universitario en los Países del MERCOSUR, en donde se establece que “un sistema de acreditación de carreras facilitará el traslado de personas entre los países de la Región y propenderá a estimular la calidad educativa al favorecer la comparabilidad de los procesos de formación en términos de calidad académica”.</w:t>
      </w:r>
    </w:p>
    <w:p w:rsidR="00163007" w:rsidRPr="00163007" w:rsidRDefault="00163007" w:rsidP="00926DEE">
      <w:pPr>
        <w:autoSpaceDE w:val="0"/>
        <w:autoSpaceDN w:val="0"/>
        <w:adjustRightInd w:val="0"/>
        <w:spacing w:after="0" w:line="480" w:lineRule="auto"/>
        <w:ind w:firstLine="708"/>
        <w:jc w:val="both"/>
        <w:rPr>
          <w:rFonts w:ascii="Arial" w:hAnsi="Arial" w:cs="Arial"/>
          <w:sz w:val="24"/>
          <w:szCs w:val="24"/>
        </w:rPr>
      </w:pPr>
      <w:r w:rsidRPr="00163007">
        <w:rPr>
          <w:rFonts w:ascii="Arial" w:hAnsi="Arial" w:cs="Arial"/>
          <w:sz w:val="24"/>
          <w:szCs w:val="24"/>
        </w:rPr>
        <w:t xml:space="preserve">Universidad-sector productivo, Debido a la crisis económica enfrentada en la región, en este tema no se ha podido avanzar de forma concreta, sin embargo, </w:t>
      </w:r>
      <w:r w:rsidRPr="00163007">
        <w:rPr>
          <w:rFonts w:ascii="Arial" w:hAnsi="Arial" w:cs="Arial"/>
          <w:sz w:val="24"/>
          <w:szCs w:val="24"/>
        </w:rPr>
        <w:lastRenderedPageBreak/>
        <w:t>se están realizando esfuerzos para preparar una agenda de trabajo que tendrá un efecto revitalizador de este tema.</w:t>
      </w:r>
    </w:p>
    <w:p w:rsidR="00163007" w:rsidRPr="00163007" w:rsidRDefault="00163007" w:rsidP="00926DEE">
      <w:pPr>
        <w:autoSpaceDE w:val="0"/>
        <w:autoSpaceDN w:val="0"/>
        <w:adjustRightInd w:val="0"/>
        <w:spacing w:after="0" w:line="480" w:lineRule="auto"/>
        <w:ind w:firstLine="708"/>
        <w:jc w:val="both"/>
        <w:rPr>
          <w:rFonts w:ascii="Arial" w:hAnsi="Arial" w:cs="Arial"/>
          <w:sz w:val="24"/>
          <w:szCs w:val="24"/>
        </w:rPr>
      </w:pPr>
      <w:r w:rsidRPr="00163007">
        <w:rPr>
          <w:rFonts w:ascii="Arial" w:hAnsi="Arial" w:cs="Arial"/>
          <w:sz w:val="24"/>
          <w:szCs w:val="24"/>
        </w:rPr>
        <w:t xml:space="preserve">Formación de recursos humanos, en este sentido se ha llevado a cabo la constitución de un Consejo Académico, integrado por destacados especialistas universitarios propuestos por cada país, quienes han desarrollado un currículo apropiado y han establecido las condiciones logísticas para el funcionamiento de un programa de Maestría sobre políticas públicas. </w:t>
      </w:r>
    </w:p>
    <w:p w:rsidR="00163007" w:rsidRPr="00163007" w:rsidRDefault="00163007" w:rsidP="00926DEE">
      <w:pPr>
        <w:spacing w:after="0" w:line="480" w:lineRule="auto"/>
        <w:ind w:firstLine="708"/>
        <w:jc w:val="both"/>
        <w:rPr>
          <w:rFonts w:ascii="Arial" w:hAnsi="Arial" w:cs="Arial"/>
          <w:sz w:val="24"/>
          <w:szCs w:val="24"/>
        </w:rPr>
      </w:pPr>
      <w:r w:rsidRPr="00163007">
        <w:rPr>
          <w:rFonts w:ascii="Arial" w:hAnsi="Arial" w:cs="Arial"/>
          <w:sz w:val="24"/>
          <w:szCs w:val="24"/>
        </w:rPr>
        <w:t>Cabe señalar que las acciones emprendidas se desprenden de los  planes de acción trianuales, en el último (2011-2015) se señala que desde el punto de vista de su estructura, el Sector Educativo del Mercosur mantiene en funcionamiento las Reuniones de Ministros de Educación (RME), el Comité Coordinador Regional (CCR), las tres Comisiones Regionales Coordinadoras de Áreas (CRCAs) y el Sistema de Información y Comunicación (SIC).</w:t>
      </w:r>
    </w:p>
    <w:p w:rsidR="00163007" w:rsidRPr="00163007" w:rsidRDefault="00163007" w:rsidP="00926DEE">
      <w:pPr>
        <w:spacing w:after="0" w:line="480" w:lineRule="auto"/>
        <w:ind w:firstLine="708"/>
        <w:jc w:val="both"/>
        <w:rPr>
          <w:rFonts w:ascii="Arial" w:hAnsi="Arial" w:cs="Arial"/>
          <w:sz w:val="24"/>
          <w:szCs w:val="24"/>
        </w:rPr>
      </w:pPr>
      <w:r w:rsidRPr="00163007">
        <w:rPr>
          <w:rFonts w:ascii="Arial" w:hAnsi="Arial" w:cs="Arial"/>
          <w:sz w:val="24"/>
          <w:szCs w:val="24"/>
        </w:rPr>
        <w:t xml:space="preserve">Estas instancias destacan además en la ejecución de varios proyectos, en especial, la formación reciente del Fondo de Financiamiento del Sector Educativo del MERCOSUR (FEM). Además de ser el primer fondo sectorial de financiamiento del MERCOSUR, el FEM servirá como instrumento para dar continuidad a las acciones del Sector. </w:t>
      </w:r>
    </w:p>
    <w:p w:rsidR="00163007" w:rsidRPr="00163007" w:rsidRDefault="00163007" w:rsidP="00926DEE">
      <w:pPr>
        <w:spacing w:after="0" w:line="480" w:lineRule="auto"/>
        <w:ind w:firstLine="708"/>
        <w:jc w:val="both"/>
        <w:rPr>
          <w:rFonts w:ascii="Arial" w:hAnsi="Arial" w:cs="Arial"/>
          <w:sz w:val="24"/>
          <w:szCs w:val="24"/>
        </w:rPr>
      </w:pPr>
      <w:r w:rsidRPr="00163007">
        <w:rPr>
          <w:rFonts w:ascii="Arial" w:hAnsi="Arial" w:cs="Arial"/>
          <w:sz w:val="24"/>
          <w:szCs w:val="24"/>
        </w:rPr>
        <w:t>Se avanzó también en el relacionamiento del SEM con otros bloques y organismos internacionales, como OEI, UNASUR, Unión Europea, UNESCO y OEA. Como ejemplo de este avance, se destaca la planificación de acciones del Consejo Suramericano de Educación, Cultura, Ciencia, Tecnología e Innovación (COSECCTI).</w:t>
      </w:r>
    </w:p>
    <w:p w:rsidR="00163007" w:rsidRPr="00163007" w:rsidRDefault="00163007" w:rsidP="00926DEE">
      <w:pPr>
        <w:spacing w:after="0" w:line="480" w:lineRule="auto"/>
        <w:ind w:firstLine="708"/>
        <w:jc w:val="both"/>
        <w:rPr>
          <w:rFonts w:ascii="Arial" w:hAnsi="Arial" w:cs="Arial"/>
          <w:sz w:val="24"/>
          <w:szCs w:val="24"/>
        </w:rPr>
      </w:pPr>
      <w:r w:rsidRPr="00163007">
        <w:rPr>
          <w:rFonts w:ascii="Arial" w:hAnsi="Arial" w:cs="Arial"/>
          <w:sz w:val="24"/>
          <w:szCs w:val="24"/>
        </w:rPr>
        <w:lastRenderedPageBreak/>
        <w:t>Fue firmado el primer acuerdo con Unión Europea – UE para la creación de un Programa de Movilidad del MERCOSUR – PMM, y se encuentra en proceso de aprobación un programa específico para el área de formación docente denominado Programa de Apoyo al Sector Educativo del MERCOSUR – PASEM.</w:t>
      </w:r>
    </w:p>
    <w:p w:rsidR="00163007" w:rsidRPr="00163007" w:rsidRDefault="00163007" w:rsidP="00926DEE">
      <w:pPr>
        <w:autoSpaceDE w:val="0"/>
        <w:autoSpaceDN w:val="0"/>
        <w:adjustRightInd w:val="0"/>
        <w:spacing w:after="0" w:line="480" w:lineRule="auto"/>
        <w:ind w:firstLine="708"/>
        <w:jc w:val="both"/>
        <w:rPr>
          <w:rFonts w:ascii="Arial" w:hAnsi="Arial" w:cs="Arial"/>
          <w:sz w:val="24"/>
          <w:szCs w:val="24"/>
        </w:rPr>
      </w:pPr>
      <w:r w:rsidRPr="00163007">
        <w:rPr>
          <w:rFonts w:ascii="Arial" w:hAnsi="Arial" w:cs="Arial"/>
          <w:sz w:val="24"/>
          <w:szCs w:val="24"/>
        </w:rPr>
        <w:t>Es importante señalar la participación conjunta del MERCOSUR en la Conferencia Mundial de Educación Superior de UNESCO (CMES), así como también en la Conferencia Mundial de Educación de Jóvenes y Adultos, CONF</w:t>
      </w:r>
      <w:r w:rsidR="00B8076D">
        <w:rPr>
          <w:rFonts w:ascii="Arial" w:hAnsi="Arial" w:cs="Arial"/>
          <w:sz w:val="24"/>
          <w:szCs w:val="24"/>
        </w:rPr>
        <w:t>INTEA, ambas realizadas en 2009</w:t>
      </w:r>
    </w:p>
    <w:p w:rsidR="00163007" w:rsidRPr="00163007" w:rsidRDefault="00163007" w:rsidP="00926DEE">
      <w:pPr>
        <w:spacing w:after="0" w:line="480" w:lineRule="auto"/>
        <w:ind w:firstLine="708"/>
        <w:jc w:val="both"/>
        <w:rPr>
          <w:rFonts w:ascii="Arial" w:hAnsi="Arial" w:cs="Arial"/>
          <w:sz w:val="24"/>
          <w:szCs w:val="24"/>
        </w:rPr>
      </w:pPr>
      <w:r>
        <w:rPr>
          <w:rFonts w:ascii="Arial" w:hAnsi="Arial" w:cs="Arial"/>
          <w:sz w:val="24"/>
          <w:szCs w:val="24"/>
        </w:rPr>
        <w:t>En síntesis, l</w:t>
      </w:r>
      <w:r w:rsidRPr="00163007">
        <w:rPr>
          <w:rFonts w:ascii="Arial" w:hAnsi="Arial" w:cs="Arial"/>
          <w:sz w:val="24"/>
          <w:szCs w:val="24"/>
        </w:rPr>
        <w:t>a educación en general adquiere una dimensión económica importante, al considerarla como contribuyente al desarrollo económico. En este sentido, a la educación superior se le concibe como mecanismo de integración económica y cultural. En la sociedad del conocimiento las instituciones de educación superior juegan un papel importante: suministran la formación de recursos humanos versados en competencias profesionales demandadas por los sistemas productivo y social.</w:t>
      </w:r>
    </w:p>
    <w:p w:rsidR="00163007" w:rsidRDefault="00163007" w:rsidP="00926DEE">
      <w:pPr>
        <w:spacing w:after="0" w:line="480" w:lineRule="auto"/>
        <w:ind w:firstLine="708"/>
        <w:jc w:val="both"/>
        <w:rPr>
          <w:rFonts w:ascii="Arial" w:hAnsi="Arial" w:cs="Arial"/>
          <w:sz w:val="24"/>
          <w:szCs w:val="24"/>
        </w:rPr>
      </w:pPr>
      <w:r>
        <w:rPr>
          <w:rFonts w:ascii="Arial" w:hAnsi="Arial" w:cs="Arial"/>
          <w:sz w:val="24"/>
          <w:szCs w:val="24"/>
        </w:rPr>
        <w:t>A</w:t>
      </w:r>
      <w:r w:rsidRPr="00163007">
        <w:rPr>
          <w:rFonts w:ascii="Arial" w:hAnsi="Arial" w:cs="Arial"/>
          <w:sz w:val="24"/>
          <w:szCs w:val="24"/>
        </w:rPr>
        <w:t xml:space="preserve"> partir de las cumbres iberoamericanas se ha logrado establecer diferentes programas e iniciativas entre las que destacan la creación de la Red de Macrouniversidades Públicas de América Latina y el Caribe. Se plateo la conversión de un porcentaje de los servicios de la deuda por inversión en los sistemas educativos de los países de la región, instaron a la adhesión a CIBERAMERICA, valiosa herramienta de apoyo a las políticas nacionales, que contribuirá de forma efectiva a disminuir la brecha tecn</w:t>
      </w:r>
      <w:r>
        <w:rPr>
          <w:rFonts w:ascii="Arial" w:hAnsi="Arial" w:cs="Arial"/>
          <w:sz w:val="24"/>
          <w:szCs w:val="24"/>
        </w:rPr>
        <w:t>ológica entre nuestras naciones y el resto del mundo.</w:t>
      </w:r>
    </w:p>
    <w:p w:rsidR="007B33D6" w:rsidRDefault="00163007" w:rsidP="00926DEE">
      <w:pPr>
        <w:spacing w:after="0" w:line="480" w:lineRule="auto"/>
        <w:ind w:firstLine="708"/>
        <w:jc w:val="both"/>
        <w:rPr>
          <w:rFonts w:ascii="Arial" w:hAnsi="Arial" w:cs="Arial"/>
          <w:sz w:val="24"/>
          <w:szCs w:val="24"/>
        </w:rPr>
      </w:pPr>
      <w:r>
        <w:rPr>
          <w:rFonts w:ascii="Arial" w:hAnsi="Arial" w:cs="Arial"/>
          <w:sz w:val="24"/>
          <w:szCs w:val="24"/>
        </w:rPr>
        <w:lastRenderedPageBreak/>
        <w:t xml:space="preserve"> </w:t>
      </w:r>
      <w:r w:rsidRPr="00163007">
        <w:rPr>
          <w:rFonts w:ascii="Arial" w:hAnsi="Arial" w:cs="Arial"/>
          <w:sz w:val="24"/>
          <w:szCs w:val="24"/>
        </w:rPr>
        <w:t xml:space="preserve">EL MERCOSUR ha tenido avances considerables </w:t>
      </w:r>
      <w:r w:rsidR="009E4DC2">
        <w:rPr>
          <w:rFonts w:ascii="Arial" w:hAnsi="Arial" w:cs="Arial"/>
          <w:sz w:val="24"/>
          <w:szCs w:val="24"/>
        </w:rPr>
        <w:t>de integración a partir de la Cr</w:t>
      </w:r>
      <w:r w:rsidRPr="00163007">
        <w:rPr>
          <w:rFonts w:ascii="Arial" w:hAnsi="Arial" w:cs="Arial"/>
          <w:sz w:val="24"/>
          <w:szCs w:val="24"/>
        </w:rPr>
        <w:t xml:space="preserve">eación del MERCOSUR EDUCATVO que plantea </w:t>
      </w:r>
      <w:r w:rsidRPr="00163007">
        <w:rPr>
          <w:rFonts w:ascii="Arial" w:hAnsi="Arial" w:cs="Arial"/>
          <w:sz w:val="24"/>
          <w:szCs w:val="24"/>
        </w:rPr>
        <w:br/>
        <w:t>• Compatibilización de aspectos curriculares y metodológicos a partir de una perspectiva regional</w:t>
      </w:r>
      <w:r w:rsidR="007B33D6">
        <w:rPr>
          <w:rFonts w:ascii="Arial" w:hAnsi="Arial" w:cs="Arial"/>
          <w:sz w:val="24"/>
          <w:szCs w:val="24"/>
        </w:rPr>
        <w:t>.</w:t>
      </w:r>
    </w:p>
    <w:p w:rsidR="007B33D6" w:rsidRDefault="00163007" w:rsidP="00926DEE">
      <w:pPr>
        <w:spacing w:after="0" w:line="480" w:lineRule="auto"/>
        <w:jc w:val="both"/>
        <w:rPr>
          <w:rFonts w:ascii="Arial" w:hAnsi="Arial" w:cs="Arial"/>
          <w:sz w:val="24"/>
          <w:szCs w:val="24"/>
        </w:rPr>
      </w:pPr>
      <w:r w:rsidRPr="00163007">
        <w:rPr>
          <w:rFonts w:ascii="Arial" w:hAnsi="Arial" w:cs="Arial"/>
          <w:sz w:val="24"/>
          <w:szCs w:val="24"/>
        </w:rPr>
        <w:t>• Intercambio de al</w:t>
      </w:r>
      <w:r w:rsidR="007B33D6">
        <w:rPr>
          <w:rFonts w:ascii="Arial" w:hAnsi="Arial" w:cs="Arial"/>
          <w:sz w:val="24"/>
          <w:szCs w:val="24"/>
        </w:rPr>
        <w:t>umnos, docentes e investigadore</w:t>
      </w:r>
    </w:p>
    <w:p w:rsidR="007B33D6" w:rsidRDefault="00163007" w:rsidP="00926DEE">
      <w:pPr>
        <w:spacing w:after="0" w:line="480" w:lineRule="auto"/>
        <w:jc w:val="both"/>
        <w:rPr>
          <w:rFonts w:ascii="Arial" w:hAnsi="Arial" w:cs="Arial"/>
          <w:sz w:val="24"/>
          <w:szCs w:val="24"/>
        </w:rPr>
      </w:pPr>
      <w:r w:rsidRPr="00163007">
        <w:rPr>
          <w:rFonts w:ascii="Arial" w:hAnsi="Arial" w:cs="Arial"/>
          <w:sz w:val="24"/>
          <w:szCs w:val="24"/>
        </w:rPr>
        <w:t>• Información y comunicación</w:t>
      </w:r>
    </w:p>
    <w:p w:rsidR="007B33D6" w:rsidRDefault="00163007" w:rsidP="00926DEE">
      <w:pPr>
        <w:pStyle w:val="Textoindependiente2"/>
        <w:pageBreakBefore w:val="0"/>
        <w:autoSpaceDE/>
        <w:autoSpaceDN/>
        <w:adjustRightInd/>
        <w:spacing w:line="480" w:lineRule="auto"/>
      </w:pPr>
      <w:r w:rsidRPr="00163007">
        <w:t>• Evaluación y Acreditación</w:t>
      </w:r>
    </w:p>
    <w:p w:rsidR="00163007" w:rsidRPr="00163007" w:rsidRDefault="00163007" w:rsidP="00926DEE">
      <w:pPr>
        <w:pStyle w:val="Textoindependiente2"/>
        <w:pageBreakBefore w:val="0"/>
        <w:autoSpaceDE/>
        <w:autoSpaceDN/>
        <w:adjustRightInd/>
        <w:spacing w:line="480" w:lineRule="auto"/>
      </w:pPr>
      <w:r w:rsidRPr="00163007">
        <w:t>• Formación de Recursos Humanos, para ello ha propuesto diferentes programas y proyectos para ir avanzando en estas metas.</w:t>
      </w:r>
    </w:p>
    <w:p w:rsidR="00163007" w:rsidRPr="00163007" w:rsidRDefault="00163007" w:rsidP="00926DEE">
      <w:pPr>
        <w:spacing w:after="0" w:line="480" w:lineRule="auto"/>
        <w:ind w:firstLine="708"/>
        <w:jc w:val="both"/>
        <w:rPr>
          <w:rFonts w:ascii="Arial" w:hAnsi="Arial" w:cs="Arial"/>
          <w:sz w:val="24"/>
          <w:szCs w:val="24"/>
        </w:rPr>
      </w:pPr>
      <w:r w:rsidRPr="00163007">
        <w:rPr>
          <w:rFonts w:ascii="Arial" w:hAnsi="Arial" w:cs="Arial"/>
          <w:sz w:val="24"/>
          <w:szCs w:val="24"/>
        </w:rPr>
        <w:t>En las diferentes cumbres iberoamericanas celebradas entre el año 2000 y el 2012, se ha abordado la importancia de la educación superior como elemento de integración mundial. La celebrada en 2005 ha sido la más importante en cuanto a educación superior se refiere, pues sentó las bases para la transformación de las universidades en cuanto a su organización y funcionamiento, las curricula con una orientación hacia los modelos educativos flexibles y una fuerte vinculación con el mercado laboral.</w:t>
      </w:r>
    </w:p>
    <w:p w:rsidR="00163007" w:rsidRPr="00163007" w:rsidRDefault="00163007" w:rsidP="00926DEE">
      <w:pPr>
        <w:spacing w:after="0" w:line="480" w:lineRule="auto"/>
        <w:ind w:firstLine="708"/>
        <w:jc w:val="both"/>
        <w:rPr>
          <w:rFonts w:ascii="Arial" w:hAnsi="Arial" w:cs="Arial"/>
          <w:sz w:val="24"/>
          <w:szCs w:val="24"/>
        </w:rPr>
      </w:pPr>
      <w:r w:rsidRPr="00163007">
        <w:rPr>
          <w:rFonts w:ascii="Arial" w:hAnsi="Arial" w:cs="Arial"/>
          <w:sz w:val="24"/>
          <w:szCs w:val="24"/>
        </w:rPr>
        <w:t>En el ámbito latinoamericano la inserción internacional de la educación superior ha significado emprender una reforma de las estructuras y de los procesos, se trastocó profundamente la dinámica correspondiente a modelos tradicionales como el napoleónico y el alemán.</w:t>
      </w:r>
    </w:p>
    <w:p w:rsidR="00163007" w:rsidRPr="00163007" w:rsidRDefault="00163007" w:rsidP="00926DEE">
      <w:pPr>
        <w:spacing w:after="0" w:line="480" w:lineRule="auto"/>
        <w:ind w:firstLine="708"/>
        <w:jc w:val="both"/>
        <w:rPr>
          <w:rFonts w:ascii="Arial" w:hAnsi="Arial" w:cs="Arial"/>
          <w:sz w:val="24"/>
          <w:szCs w:val="24"/>
        </w:rPr>
      </w:pPr>
      <w:r w:rsidRPr="00163007">
        <w:rPr>
          <w:rFonts w:ascii="Arial" w:hAnsi="Arial" w:cs="Arial"/>
          <w:sz w:val="24"/>
          <w:szCs w:val="24"/>
        </w:rPr>
        <w:t>En un inicio, el Sector Educativo del MERCOSUR se dedicó, prioritariamente, a la generación de un conjunto de acuerdos que, bajo la forma de protocolos, han construido los primeros espacios de integración.</w:t>
      </w:r>
    </w:p>
    <w:p w:rsidR="00163007" w:rsidRPr="00163007" w:rsidRDefault="00163007" w:rsidP="00926DEE">
      <w:pPr>
        <w:spacing w:after="0" w:line="480" w:lineRule="auto"/>
        <w:ind w:firstLine="708"/>
        <w:jc w:val="both"/>
        <w:rPr>
          <w:rFonts w:ascii="Arial" w:hAnsi="Arial" w:cs="Arial"/>
          <w:sz w:val="24"/>
          <w:szCs w:val="24"/>
        </w:rPr>
      </w:pPr>
      <w:r w:rsidRPr="00163007">
        <w:rPr>
          <w:rFonts w:ascii="Arial" w:hAnsi="Arial" w:cs="Arial"/>
          <w:sz w:val="24"/>
          <w:szCs w:val="24"/>
        </w:rPr>
        <w:lastRenderedPageBreak/>
        <w:t>Posteriormente  el Sector Educativo de MERCOSUR ha pasado a una fase más ejecutiva, con realizaciones cada vez más importantes para el logro de su misión. Para ello aprovecha los vínculos establecidos con agencias de cooperación técnica y financiera como OEA, OEI, UNESCO/OREALC, IESALC, IIPE, PREAL, Convenio Andrés Bello y la Cooperación Francesa.</w:t>
      </w:r>
    </w:p>
    <w:p w:rsidR="00600D4F" w:rsidRDefault="00600D4F" w:rsidP="00926DEE">
      <w:pPr>
        <w:pStyle w:val="Ttulo1"/>
        <w:spacing w:line="480" w:lineRule="auto"/>
      </w:pPr>
    </w:p>
    <w:p w:rsidR="00163007" w:rsidRDefault="00B8076D" w:rsidP="00926DEE">
      <w:pPr>
        <w:pStyle w:val="Ttulo1"/>
        <w:spacing w:line="480" w:lineRule="auto"/>
      </w:pPr>
      <w:r w:rsidRPr="00B8076D">
        <w:t>ALADI</w:t>
      </w:r>
    </w:p>
    <w:p w:rsidR="00555D6B" w:rsidRDefault="00110C8A" w:rsidP="00926DEE">
      <w:pPr>
        <w:pStyle w:val="Textoindependiente2"/>
        <w:pageBreakBefore w:val="0"/>
        <w:autoSpaceDE/>
        <w:autoSpaceDN/>
        <w:adjustRightInd/>
        <w:spacing w:after="200" w:line="480" w:lineRule="auto"/>
      </w:pPr>
      <w:r w:rsidRPr="00CC0351">
        <w:t>La Asociación Latinoamericana de Integración (ALADI) surge en los años 80’s se derivó de la Asociación Latinoamericana de Libre Comercio (ALALC), los once países integrantes decidieron conformar un nuevo esquema que mantiene el objetivo de alcanzar un mercado común latinoamericano</w:t>
      </w:r>
      <w:r w:rsidR="00555D6B">
        <w:t>.</w:t>
      </w:r>
    </w:p>
    <w:p w:rsidR="00555D6B" w:rsidRDefault="00555D6B" w:rsidP="00926DEE">
      <w:pPr>
        <w:pStyle w:val="Textoindependiente2"/>
        <w:pageBreakBefore w:val="0"/>
        <w:autoSpaceDE/>
        <w:autoSpaceDN/>
        <w:adjustRightInd/>
        <w:spacing w:after="200" w:line="480" w:lineRule="auto"/>
      </w:pPr>
      <w:r>
        <w:t>La estructura de la ALADI se integra por cuatro organismos a saber:</w:t>
      </w:r>
    </w:p>
    <w:p w:rsidR="00555D6B" w:rsidRPr="00555D6B" w:rsidRDefault="00555D6B" w:rsidP="00926DEE">
      <w:pPr>
        <w:pStyle w:val="NormalWeb"/>
        <w:spacing w:line="480" w:lineRule="auto"/>
        <w:jc w:val="both"/>
        <w:rPr>
          <w:rFonts w:ascii="Arial" w:hAnsi="Arial" w:cs="Arial"/>
        </w:rPr>
      </w:pPr>
      <w:r>
        <w:rPr>
          <w:rFonts w:ascii="Arial" w:hAnsi="Arial" w:cs="Arial"/>
          <w:i/>
          <w:iCs/>
        </w:rPr>
        <w:t xml:space="preserve">1. </w:t>
      </w:r>
      <w:r w:rsidRPr="00555D6B">
        <w:rPr>
          <w:rFonts w:ascii="Arial" w:hAnsi="Arial" w:cs="Arial"/>
          <w:i/>
          <w:iCs/>
        </w:rPr>
        <w:t xml:space="preserve">Consejo de Ministros de </w:t>
      </w:r>
      <w:r w:rsidRPr="00555D6B">
        <w:rPr>
          <w:rFonts w:ascii="Arial" w:hAnsi="Arial" w:cs="Arial"/>
          <w:b/>
          <w:bCs/>
          <w:i/>
          <w:iCs/>
        </w:rPr>
        <w:t>Relaciones Exteriores</w:t>
      </w:r>
      <w:r w:rsidRPr="00555D6B">
        <w:rPr>
          <w:rFonts w:ascii="Arial" w:hAnsi="Arial" w:cs="Arial"/>
          <w:i/>
          <w:iCs/>
        </w:rPr>
        <w:t>:</w:t>
      </w:r>
      <w:r w:rsidRPr="00555D6B">
        <w:rPr>
          <w:rFonts w:ascii="Arial" w:hAnsi="Arial" w:cs="Arial"/>
        </w:rPr>
        <w:t xml:space="preserve"> organismo supremo e instancia de conducción política superior integrada por los Ministros de Relaciones Exteriores de los países integrantes. Es convocado por el Comité de Representantes. </w:t>
      </w:r>
    </w:p>
    <w:p w:rsidR="00555D6B" w:rsidRPr="00555D6B" w:rsidRDefault="00555D6B" w:rsidP="00926DEE">
      <w:pPr>
        <w:spacing w:before="100" w:beforeAutospacing="1" w:after="100" w:afterAutospacing="1" w:line="480" w:lineRule="auto"/>
        <w:jc w:val="both"/>
        <w:rPr>
          <w:rFonts w:ascii="Arial" w:eastAsia="Times New Roman" w:hAnsi="Arial" w:cs="Arial"/>
          <w:sz w:val="24"/>
          <w:szCs w:val="24"/>
          <w:lang w:eastAsia="es-MX"/>
        </w:rPr>
      </w:pPr>
      <w:r w:rsidRPr="00555D6B">
        <w:rPr>
          <w:rFonts w:ascii="Arial" w:eastAsia="Times New Roman" w:hAnsi="Arial" w:cs="Arial"/>
          <w:sz w:val="24"/>
          <w:szCs w:val="24"/>
          <w:lang w:eastAsia="es-MX"/>
        </w:rPr>
        <w:t xml:space="preserve">2. </w:t>
      </w:r>
      <w:r w:rsidRPr="00555D6B">
        <w:rPr>
          <w:rFonts w:ascii="Arial" w:eastAsia="Times New Roman" w:hAnsi="Arial" w:cs="Arial"/>
          <w:i/>
          <w:iCs/>
          <w:sz w:val="24"/>
          <w:szCs w:val="24"/>
          <w:lang w:eastAsia="es-MX"/>
        </w:rPr>
        <w:t>Conferencia de Evaluación y Convergencia:</w:t>
      </w:r>
      <w:r w:rsidRPr="00555D6B">
        <w:rPr>
          <w:rFonts w:ascii="Arial" w:eastAsia="Times New Roman" w:hAnsi="Arial" w:cs="Arial"/>
          <w:sz w:val="24"/>
          <w:szCs w:val="24"/>
          <w:lang w:eastAsia="es-MX"/>
        </w:rPr>
        <w:t xml:space="preserve"> Tiene como función evaluar el </w:t>
      </w:r>
      <w:r w:rsidRPr="00555D6B">
        <w:rPr>
          <w:rFonts w:ascii="Arial" w:eastAsia="Times New Roman" w:hAnsi="Arial" w:cs="Arial"/>
          <w:b/>
          <w:bCs/>
          <w:sz w:val="24"/>
          <w:szCs w:val="24"/>
          <w:lang w:eastAsia="es-MX"/>
        </w:rPr>
        <w:t>proceso de</w:t>
      </w:r>
      <w:r w:rsidRPr="00555D6B">
        <w:rPr>
          <w:rFonts w:ascii="Arial" w:eastAsia="Times New Roman" w:hAnsi="Arial" w:cs="Arial"/>
          <w:sz w:val="24"/>
          <w:szCs w:val="24"/>
          <w:lang w:eastAsia="es-MX"/>
        </w:rPr>
        <w:t xml:space="preserve"> integración, promover proceso de negociación entre los países asociados y recomendar al Consejo medidas multilaterales. Se reúne cada 3 años o cuando se necesario por el Comité. </w:t>
      </w:r>
    </w:p>
    <w:p w:rsidR="00555D6B" w:rsidRPr="00555D6B" w:rsidRDefault="00555D6B" w:rsidP="00926DEE">
      <w:pPr>
        <w:spacing w:before="100" w:beforeAutospacing="1" w:after="100" w:afterAutospacing="1" w:line="480" w:lineRule="auto"/>
        <w:jc w:val="both"/>
        <w:rPr>
          <w:rFonts w:ascii="Arial" w:eastAsia="Times New Roman" w:hAnsi="Arial" w:cs="Arial"/>
          <w:sz w:val="24"/>
          <w:szCs w:val="24"/>
          <w:lang w:eastAsia="es-MX"/>
        </w:rPr>
      </w:pPr>
      <w:r w:rsidRPr="00555D6B">
        <w:rPr>
          <w:rFonts w:ascii="Arial" w:eastAsia="Times New Roman" w:hAnsi="Arial" w:cs="Arial"/>
          <w:sz w:val="24"/>
          <w:szCs w:val="24"/>
          <w:lang w:eastAsia="es-MX"/>
        </w:rPr>
        <w:lastRenderedPageBreak/>
        <w:t xml:space="preserve">3. </w:t>
      </w:r>
      <w:r w:rsidRPr="00555D6B">
        <w:rPr>
          <w:rFonts w:ascii="Arial" w:eastAsia="Times New Roman" w:hAnsi="Arial" w:cs="Arial"/>
          <w:i/>
          <w:iCs/>
          <w:sz w:val="24"/>
          <w:szCs w:val="24"/>
          <w:lang w:eastAsia="es-MX"/>
        </w:rPr>
        <w:t>Comité de Representantes:</w:t>
      </w:r>
      <w:r w:rsidRPr="00555D6B">
        <w:rPr>
          <w:rFonts w:ascii="Arial" w:eastAsia="Times New Roman" w:hAnsi="Arial" w:cs="Arial"/>
          <w:sz w:val="24"/>
          <w:szCs w:val="24"/>
          <w:lang w:eastAsia="es-MX"/>
        </w:rPr>
        <w:t xml:space="preserve"> es el organismo político permanente y foro de negociaciones entre los países integrantes y terceros. Entre sus funciones están la de tomar las medidas y acciones necesarias para la ejecución del Tratado, arbitrar entre los países miembros y crear organismos auxiliares (14 </w:t>
      </w:r>
      <w:r w:rsidRPr="00555D6B">
        <w:rPr>
          <w:rFonts w:ascii="Arial" w:eastAsia="Times New Roman" w:hAnsi="Arial" w:cs="Arial"/>
          <w:b/>
          <w:bCs/>
          <w:sz w:val="24"/>
          <w:szCs w:val="24"/>
          <w:lang w:eastAsia="es-MX"/>
        </w:rPr>
        <w:t>en total</w:t>
      </w:r>
      <w:r w:rsidRPr="00555D6B">
        <w:rPr>
          <w:rFonts w:ascii="Arial" w:eastAsia="Times New Roman" w:hAnsi="Arial" w:cs="Arial"/>
          <w:sz w:val="24"/>
          <w:szCs w:val="24"/>
          <w:lang w:eastAsia="es-MX"/>
        </w:rPr>
        <w:t xml:space="preserve"> a la fecha). Se reúne cada 15 días. </w:t>
      </w:r>
    </w:p>
    <w:p w:rsidR="00555D6B" w:rsidRPr="00555D6B" w:rsidRDefault="00555D6B" w:rsidP="00926DEE">
      <w:pPr>
        <w:spacing w:before="100" w:beforeAutospacing="1" w:after="100" w:afterAutospacing="1" w:line="480" w:lineRule="auto"/>
        <w:jc w:val="both"/>
        <w:rPr>
          <w:rFonts w:ascii="Arial" w:eastAsia="Times New Roman" w:hAnsi="Arial" w:cs="Arial"/>
          <w:sz w:val="24"/>
          <w:szCs w:val="24"/>
          <w:lang w:eastAsia="es-MX"/>
        </w:rPr>
      </w:pPr>
      <w:r w:rsidRPr="00555D6B">
        <w:rPr>
          <w:rFonts w:ascii="Arial" w:eastAsia="Times New Roman" w:hAnsi="Arial" w:cs="Arial"/>
          <w:sz w:val="24"/>
          <w:szCs w:val="24"/>
          <w:lang w:eastAsia="es-MX"/>
        </w:rPr>
        <w:t xml:space="preserve">4. </w:t>
      </w:r>
      <w:r w:rsidRPr="00555D6B">
        <w:rPr>
          <w:rFonts w:ascii="Arial" w:eastAsia="Times New Roman" w:hAnsi="Arial" w:cs="Arial"/>
          <w:i/>
          <w:iCs/>
          <w:sz w:val="24"/>
          <w:szCs w:val="24"/>
          <w:lang w:eastAsia="es-MX"/>
        </w:rPr>
        <w:t>Secretaría General:</w:t>
      </w:r>
      <w:r w:rsidRPr="00555D6B">
        <w:rPr>
          <w:rFonts w:ascii="Arial" w:eastAsia="Times New Roman" w:hAnsi="Arial" w:cs="Arial"/>
          <w:sz w:val="24"/>
          <w:szCs w:val="24"/>
          <w:lang w:eastAsia="es-MX"/>
        </w:rPr>
        <w:t xml:space="preserve"> es el </w:t>
      </w:r>
      <w:r w:rsidRPr="00555D6B">
        <w:rPr>
          <w:rFonts w:ascii="Arial" w:eastAsia="Times New Roman" w:hAnsi="Arial" w:cs="Arial"/>
          <w:b/>
          <w:bCs/>
          <w:sz w:val="24"/>
          <w:szCs w:val="24"/>
          <w:lang w:eastAsia="es-MX"/>
        </w:rPr>
        <w:t>organismo técnico</w:t>
      </w:r>
      <w:r w:rsidRPr="00555D6B">
        <w:rPr>
          <w:rFonts w:ascii="Arial" w:eastAsia="Times New Roman" w:hAnsi="Arial" w:cs="Arial"/>
          <w:sz w:val="24"/>
          <w:szCs w:val="24"/>
          <w:lang w:eastAsia="es-MX"/>
        </w:rPr>
        <w:t xml:space="preserve"> de la ALADI. Su Secretario General es designado por el Consejo. Tiene su sede en Montevideo, Uruguay. </w:t>
      </w:r>
    </w:p>
    <w:p w:rsidR="00555D6B" w:rsidRDefault="00555D6B" w:rsidP="00926DEE">
      <w:pPr>
        <w:spacing w:before="100" w:beforeAutospacing="1" w:after="100" w:afterAutospacing="1" w:line="480" w:lineRule="auto"/>
        <w:jc w:val="both"/>
        <w:rPr>
          <w:rFonts w:ascii="Arial" w:eastAsia="Times New Roman" w:hAnsi="Arial" w:cs="Arial"/>
          <w:sz w:val="24"/>
          <w:szCs w:val="24"/>
          <w:lang w:eastAsia="es-MX"/>
        </w:rPr>
      </w:pPr>
      <w:r w:rsidRPr="00555D6B">
        <w:rPr>
          <w:rFonts w:ascii="Arial" w:eastAsia="Times New Roman" w:hAnsi="Arial" w:cs="Arial"/>
          <w:sz w:val="24"/>
          <w:szCs w:val="24"/>
          <w:lang w:eastAsia="es-MX"/>
        </w:rPr>
        <w:t>Todas las decisiones del Consejo, Conferencia y Comité se adoptan por mayoría de dos tercios de los países miembros.</w:t>
      </w:r>
    </w:p>
    <w:p w:rsidR="00555D6B" w:rsidRPr="00555D6B" w:rsidRDefault="00555D6B" w:rsidP="00926DEE">
      <w:pPr>
        <w:pStyle w:val="Textoindependiente2"/>
        <w:pageBreakBefore w:val="0"/>
        <w:autoSpaceDE/>
        <w:autoSpaceDN/>
        <w:adjustRightInd/>
        <w:spacing w:before="100" w:beforeAutospacing="1" w:after="100" w:afterAutospacing="1" w:line="480" w:lineRule="auto"/>
        <w:rPr>
          <w:rFonts w:eastAsia="Times New Roman"/>
          <w:lang w:eastAsia="es-MX"/>
        </w:rPr>
      </w:pPr>
      <w:r w:rsidRPr="00555D6B">
        <w:rPr>
          <w:rFonts w:eastAsia="Times New Roman"/>
          <w:lang w:eastAsia="es-MX"/>
        </w:rPr>
        <w:t>Los mecanismos de integración económica de esta agencia son tres:</w:t>
      </w:r>
    </w:p>
    <w:p w:rsidR="00555D6B" w:rsidRPr="00555D6B" w:rsidRDefault="00555D6B" w:rsidP="00926DEE">
      <w:pPr>
        <w:pStyle w:val="NormalWeb"/>
        <w:numPr>
          <w:ilvl w:val="0"/>
          <w:numId w:val="14"/>
        </w:numPr>
        <w:spacing w:line="480" w:lineRule="auto"/>
        <w:jc w:val="both"/>
        <w:rPr>
          <w:rFonts w:ascii="Arial" w:hAnsi="Arial" w:cs="Arial"/>
        </w:rPr>
      </w:pPr>
      <w:r w:rsidRPr="00555D6B">
        <w:rPr>
          <w:rFonts w:ascii="Arial" w:hAnsi="Arial" w:cs="Arial"/>
        </w:rPr>
        <w:t xml:space="preserve">Preferencia Arancelaria Regional: Los países miembros se otorgarán recíprocamente una preferencia arancelaria regional, que se aplicará con referencia al nivel que rija para terceros países y se sujetará a la reglamentación correspondiente: </w:t>
      </w:r>
    </w:p>
    <w:p w:rsidR="00555D6B" w:rsidRPr="00555D6B" w:rsidRDefault="00555D6B" w:rsidP="00926DEE">
      <w:pPr>
        <w:pStyle w:val="NormalWeb"/>
        <w:numPr>
          <w:ilvl w:val="0"/>
          <w:numId w:val="14"/>
        </w:numPr>
        <w:spacing w:line="480" w:lineRule="auto"/>
        <w:jc w:val="both"/>
        <w:rPr>
          <w:rFonts w:ascii="Arial" w:hAnsi="Arial" w:cs="Arial"/>
        </w:rPr>
      </w:pPr>
      <w:r w:rsidRPr="00555D6B">
        <w:rPr>
          <w:rFonts w:ascii="Arial" w:hAnsi="Arial" w:cs="Arial"/>
        </w:rPr>
        <w:t xml:space="preserve">Acuerdos de alcance regional: son aquellos en los que participan </w:t>
      </w:r>
      <w:r w:rsidRPr="00555D6B">
        <w:rPr>
          <w:rStyle w:val="a6x33w20lm1o"/>
          <w:rFonts w:ascii="Arial" w:hAnsi="Arial" w:cs="Arial"/>
          <w:b/>
          <w:bCs/>
        </w:rPr>
        <w:t>todos los</w:t>
      </w:r>
      <w:r w:rsidRPr="00555D6B">
        <w:rPr>
          <w:rFonts w:ascii="Arial" w:hAnsi="Arial" w:cs="Arial"/>
        </w:rPr>
        <w:t xml:space="preserve"> países miembros.</w:t>
      </w:r>
    </w:p>
    <w:p w:rsidR="00555D6B" w:rsidRDefault="00555D6B" w:rsidP="00926DEE">
      <w:pPr>
        <w:pStyle w:val="NormalWeb"/>
        <w:numPr>
          <w:ilvl w:val="0"/>
          <w:numId w:val="14"/>
        </w:numPr>
        <w:spacing w:line="480" w:lineRule="auto"/>
        <w:jc w:val="both"/>
        <w:rPr>
          <w:rFonts w:ascii="Arial" w:hAnsi="Arial" w:cs="Arial"/>
        </w:rPr>
      </w:pPr>
      <w:r w:rsidRPr="00555D6B">
        <w:rPr>
          <w:rFonts w:ascii="Arial" w:hAnsi="Arial" w:cs="Arial"/>
        </w:rPr>
        <w:t xml:space="preserve">Acuerdos de alcance parcial: con la participación de dos o más países del área. Pueden referirse al </w:t>
      </w:r>
      <w:r w:rsidRPr="00555D6B">
        <w:rPr>
          <w:rStyle w:val="a6x33w20lm1o"/>
          <w:rFonts w:ascii="Arial" w:hAnsi="Arial" w:cs="Arial"/>
          <w:b/>
          <w:bCs/>
        </w:rPr>
        <w:t>intercambio de bienes</w:t>
      </w:r>
      <w:r w:rsidRPr="00555D6B">
        <w:rPr>
          <w:rFonts w:ascii="Arial" w:hAnsi="Arial" w:cs="Arial"/>
        </w:rPr>
        <w:t xml:space="preserve"> en las áreas de la educación, cultura e investigación y desarrollo científico. </w:t>
      </w:r>
    </w:p>
    <w:p w:rsidR="00542FD9" w:rsidRDefault="00237C5B" w:rsidP="00926DEE">
      <w:pPr>
        <w:pStyle w:val="NormalWeb"/>
        <w:spacing w:line="480" w:lineRule="auto"/>
        <w:ind w:left="720"/>
        <w:jc w:val="both"/>
        <w:rPr>
          <w:rFonts w:ascii="Arial" w:hAnsi="Arial" w:cs="Arial"/>
        </w:rPr>
      </w:pPr>
      <w:r>
        <w:rPr>
          <w:rFonts w:ascii="Arial" w:hAnsi="Arial" w:cs="Arial"/>
        </w:rPr>
        <w:t xml:space="preserve">Son estos últimos los </w:t>
      </w:r>
      <w:r w:rsidR="00542FD9">
        <w:rPr>
          <w:rFonts w:ascii="Arial" w:hAnsi="Arial" w:cs="Arial"/>
        </w:rPr>
        <w:t>acuerdos</w:t>
      </w:r>
      <w:r>
        <w:rPr>
          <w:rFonts w:ascii="Arial" w:hAnsi="Arial" w:cs="Arial"/>
        </w:rPr>
        <w:t xml:space="preserve"> que interesan para esta investigación.</w:t>
      </w:r>
      <w:r w:rsidR="00BB5624">
        <w:rPr>
          <w:rFonts w:ascii="Arial" w:hAnsi="Arial" w:cs="Arial"/>
        </w:rPr>
        <w:t xml:space="preserve"> Los acuerdos de alcance parcial </w:t>
      </w:r>
      <w:r w:rsidR="00542FD9">
        <w:rPr>
          <w:rFonts w:ascii="Arial" w:hAnsi="Arial" w:cs="Arial"/>
        </w:rPr>
        <w:t xml:space="preserve">incluyen acuerdos de complementación </w:t>
      </w:r>
      <w:r w:rsidR="00542FD9">
        <w:rPr>
          <w:rFonts w:ascii="Arial" w:hAnsi="Arial" w:cs="Arial"/>
        </w:rPr>
        <w:lastRenderedPageBreak/>
        <w:t>económica que se van anexando mediante protocolos adicionales, conforme a las necesidades y avances de la aplicación del acuerdo.</w:t>
      </w:r>
    </w:p>
    <w:p w:rsidR="00041F49" w:rsidRDefault="00542FD9" w:rsidP="00926DEE">
      <w:pPr>
        <w:pStyle w:val="NormalWeb"/>
        <w:spacing w:line="480" w:lineRule="auto"/>
        <w:ind w:left="720"/>
        <w:jc w:val="both"/>
        <w:rPr>
          <w:rFonts w:ascii="Arial" w:hAnsi="Arial" w:cs="Arial"/>
        </w:rPr>
      </w:pPr>
      <w:r>
        <w:rPr>
          <w:rFonts w:ascii="Arial" w:hAnsi="Arial" w:cs="Arial"/>
        </w:rPr>
        <w:t xml:space="preserve">Los acuerdos de complementación económica </w:t>
      </w:r>
      <w:r w:rsidR="00BB5624">
        <w:rPr>
          <w:rFonts w:ascii="Arial" w:hAnsi="Arial" w:cs="Arial"/>
        </w:rPr>
        <w:t>incluyen l</w:t>
      </w:r>
      <w:r>
        <w:rPr>
          <w:rFonts w:ascii="Arial" w:hAnsi="Arial" w:cs="Arial"/>
        </w:rPr>
        <w:t>os distintos rubros que se abarc</w:t>
      </w:r>
      <w:r w:rsidR="00BB5624">
        <w:rPr>
          <w:rFonts w:ascii="Arial" w:hAnsi="Arial" w:cs="Arial"/>
        </w:rPr>
        <w:t xml:space="preserve">aran, por ejemplo, minería, aviación, agricultura, etcétera. Lo referente a la educación superior, se ubica en el rubro de </w:t>
      </w:r>
      <w:r>
        <w:rPr>
          <w:rFonts w:ascii="Arial" w:hAnsi="Arial" w:cs="Arial"/>
        </w:rPr>
        <w:t>comercio tra</w:t>
      </w:r>
      <w:r w:rsidR="003417CD">
        <w:rPr>
          <w:rFonts w:ascii="Arial" w:hAnsi="Arial" w:cs="Arial"/>
        </w:rPr>
        <w:t xml:space="preserve">nsfronterizo de  servicios, se refiere a la prestación de servicios profesionales para los cuales se requiere tener estudios superiores; dichos acuerdos </w:t>
      </w:r>
      <w:r>
        <w:rPr>
          <w:rFonts w:ascii="Arial" w:hAnsi="Arial" w:cs="Arial"/>
        </w:rPr>
        <w:t xml:space="preserve"> incluyen los siguientes aspectos:</w:t>
      </w:r>
    </w:p>
    <w:p w:rsidR="0052719C" w:rsidRPr="0052719C" w:rsidRDefault="008E4B75" w:rsidP="00926DEE">
      <w:pPr>
        <w:spacing w:line="480" w:lineRule="auto"/>
        <w:ind w:firstLine="706"/>
        <w:jc w:val="both"/>
        <w:rPr>
          <w:rFonts w:ascii="Arial" w:eastAsiaTheme="minorEastAsia" w:hAnsi="Arial" w:cs="Arial"/>
          <w:sz w:val="24"/>
          <w:szCs w:val="24"/>
          <w:lang w:val="es-ES_tradnl" w:eastAsia="es-MX"/>
        </w:rPr>
      </w:pPr>
      <w:r w:rsidRPr="0052719C">
        <w:rPr>
          <w:rFonts w:ascii="Arial" w:hAnsi="Arial" w:cs="Arial"/>
          <w:sz w:val="24"/>
          <w:szCs w:val="24"/>
        </w:rPr>
        <w:t>Definición del servicio que se prestará, el ámbito de aplicación</w:t>
      </w:r>
      <w:r w:rsidR="003417CD" w:rsidRPr="0052719C">
        <w:rPr>
          <w:rFonts w:ascii="Arial" w:hAnsi="Arial" w:cs="Arial"/>
          <w:sz w:val="24"/>
          <w:szCs w:val="24"/>
        </w:rPr>
        <w:t>, el trato nacional que recibirá el prestador de servicios, su presencia local, que se refiere a que no es necesario tener una oficina de representación en el país que preste los servicios; también se incluyen las restricciones, reformas y procedimientos. Un aspecto importante es lo referente al otorgamie</w:t>
      </w:r>
      <w:r w:rsidR="0052719C" w:rsidRPr="0052719C">
        <w:rPr>
          <w:rFonts w:ascii="Arial" w:hAnsi="Arial" w:cs="Arial"/>
          <w:sz w:val="24"/>
          <w:szCs w:val="24"/>
        </w:rPr>
        <w:t xml:space="preserve">nto de licencias y certificados, se recomienda que cada una de las partes </w:t>
      </w:r>
      <w:r w:rsidR="0052719C" w:rsidRPr="0052719C">
        <w:rPr>
          <w:rFonts w:ascii="Arial" w:eastAsiaTheme="minorEastAsia" w:hAnsi="Arial" w:cs="Arial"/>
          <w:sz w:val="24"/>
          <w:szCs w:val="24"/>
          <w:lang w:val="es-ES_tradnl" w:eastAsia="es-MX"/>
        </w:rPr>
        <w:t>procurará garantizar que las medidas establecidas:</w:t>
      </w:r>
    </w:p>
    <w:p w:rsidR="0052719C" w:rsidRPr="0052719C" w:rsidRDefault="0052719C" w:rsidP="00926DEE">
      <w:pPr>
        <w:autoSpaceDE w:val="0"/>
        <w:autoSpaceDN w:val="0"/>
        <w:spacing w:after="0" w:line="480" w:lineRule="auto"/>
        <w:ind w:left="1440" w:hanging="734"/>
        <w:jc w:val="both"/>
        <w:rPr>
          <w:rFonts w:ascii="Arial" w:eastAsiaTheme="minorEastAsia" w:hAnsi="Arial" w:cs="Arial"/>
          <w:sz w:val="24"/>
          <w:szCs w:val="24"/>
          <w:lang w:val="es-ES_tradnl" w:eastAsia="es-MX"/>
        </w:rPr>
      </w:pPr>
      <w:r w:rsidRPr="0052719C">
        <w:rPr>
          <w:rFonts w:ascii="Arial" w:eastAsiaTheme="minorEastAsia" w:hAnsi="Arial" w:cs="Arial"/>
          <w:sz w:val="24"/>
          <w:szCs w:val="24"/>
          <w:lang w:val="es-ES_tradnl" w:eastAsia="es-MX"/>
        </w:rPr>
        <w:t>a)</w:t>
      </w:r>
      <w:r w:rsidRPr="0052719C">
        <w:rPr>
          <w:rFonts w:ascii="Arial" w:eastAsiaTheme="minorEastAsia" w:hAnsi="Arial" w:cs="Arial"/>
          <w:sz w:val="24"/>
          <w:szCs w:val="24"/>
          <w:lang w:val="es-ES_tradnl" w:eastAsia="es-MX"/>
        </w:rPr>
        <w:tab/>
        <w:t>se sustenten en criterios objetivos y transparentes, tales como la capacidad y la aptitud para prestar un servicio;</w:t>
      </w:r>
    </w:p>
    <w:p w:rsidR="0052719C" w:rsidRPr="0052719C" w:rsidRDefault="0052719C" w:rsidP="00926DEE">
      <w:pPr>
        <w:autoSpaceDE w:val="0"/>
        <w:autoSpaceDN w:val="0"/>
        <w:spacing w:after="0" w:line="480" w:lineRule="auto"/>
        <w:ind w:left="1440" w:hanging="734"/>
        <w:jc w:val="both"/>
        <w:rPr>
          <w:rFonts w:ascii="Arial" w:eastAsiaTheme="minorEastAsia" w:hAnsi="Arial" w:cs="Arial"/>
          <w:sz w:val="24"/>
          <w:szCs w:val="24"/>
          <w:lang w:val="es-ES_tradnl" w:eastAsia="es-MX"/>
        </w:rPr>
      </w:pPr>
      <w:r w:rsidRPr="0052719C">
        <w:rPr>
          <w:rFonts w:ascii="Arial" w:eastAsiaTheme="minorEastAsia" w:hAnsi="Arial" w:cs="Arial"/>
          <w:sz w:val="24"/>
          <w:szCs w:val="24"/>
          <w:lang w:val="es-ES_tradnl" w:eastAsia="es-MX"/>
        </w:rPr>
        <w:t>b)</w:t>
      </w:r>
      <w:r w:rsidRPr="0052719C">
        <w:rPr>
          <w:rFonts w:ascii="Arial" w:eastAsiaTheme="minorEastAsia" w:hAnsi="Arial" w:cs="Arial"/>
          <w:sz w:val="24"/>
          <w:szCs w:val="24"/>
          <w:lang w:val="es-ES_tradnl" w:eastAsia="es-MX"/>
        </w:rPr>
        <w:tab/>
        <w:t>no sean más gravosas de lo necesario para asegurar la calidad de un servicio; y</w:t>
      </w:r>
    </w:p>
    <w:p w:rsidR="0052719C" w:rsidRPr="0052719C" w:rsidRDefault="0052719C" w:rsidP="00926DEE">
      <w:pPr>
        <w:autoSpaceDE w:val="0"/>
        <w:autoSpaceDN w:val="0"/>
        <w:spacing w:after="0" w:line="480" w:lineRule="auto"/>
        <w:ind w:left="1440" w:hanging="734"/>
        <w:jc w:val="both"/>
        <w:rPr>
          <w:rFonts w:ascii="Arial" w:eastAsiaTheme="minorEastAsia" w:hAnsi="Arial" w:cs="Arial"/>
          <w:sz w:val="24"/>
          <w:szCs w:val="24"/>
          <w:lang w:val="es-ES_tradnl" w:eastAsia="es-MX"/>
        </w:rPr>
      </w:pPr>
    </w:p>
    <w:p w:rsidR="0052719C" w:rsidRPr="0052719C" w:rsidRDefault="0052719C" w:rsidP="00926DEE">
      <w:pPr>
        <w:autoSpaceDE w:val="0"/>
        <w:autoSpaceDN w:val="0"/>
        <w:spacing w:after="0" w:line="480" w:lineRule="auto"/>
        <w:ind w:left="1440" w:hanging="734"/>
        <w:jc w:val="both"/>
        <w:rPr>
          <w:rFonts w:ascii="Arial" w:eastAsiaTheme="minorEastAsia" w:hAnsi="Arial" w:cs="Arial"/>
          <w:sz w:val="24"/>
          <w:szCs w:val="24"/>
          <w:lang w:val="es-ES_tradnl" w:eastAsia="es-MX"/>
        </w:rPr>
      </w:pPr>
      <w:r w:rsidRPr="0052719C">
        <w:rPr>
          <w:rFonts w:ascii="Arial" w:eastAsiaTheme="minorEastAsia" w:hAnsi="Arial" w:cs="Arial"/>
          <w:sz w:val="24"/>
          <w:szCs w:val="24"/>
          <w:lang w:val="es-ES_tradnl" w:eastAsia="es-MX"/>
        </w:rPr>
        <w:t>c)</w:t>
      </w:r>
      <w:r w:rsidRPr="0052719C">
        <w:rPr>
          <w:rFonts w:ascii="Arial" w:eastAsiaTheme="minorEastAsia" w:hAnsi="Arial" w:cs="Arial"/>
          <w:sz w:val="24"/>
          <w:szCs w:val="24"/>
          <w:lang w:val="es-ES_tradnl" w:eastAsia="es-MX"/>
        </w:rPr>
        <w:tab/>
        <w:t>no constituyan una restricción encubierta a la prestación transfronteriza de un servicio.</w:t>
      </w:r>
    </w:p>
    <w:p w:rsidR="0052719C" w:rsidRPr="0052719C" w:rsidRDefault="0052719C" w:rsidP="00926DEE">
      <w:pPr>
        <w:autoSpaceDE w:val="0"/>
        <w:autoSpaceDN w:val="0"/>
        <w:spacing w:after="0" w:line="480" w:lineRule="auto"/>
        <w:ind w:left="1440" w:hanging="734"/>
        <w:jc w:val="both"/>
        <w:rPr>
          <w:rFonts w:ascii="Arial" w:eastAsiaTheme="minorEastAsia" w:hAnsi="Arial" w:cs="Arial"/>
          <w:sz w:val="24"/>
          <w:szCs w:val="24"/>
          <w:lang w:val="es-ES_tradnl" w:eastAsia="es-MX"/>
        </w:rPr>
      </w:pPr>
    </w:p>
    <w:p w:rsidR="008B3E68" w:rsidRPr="008B3E68" w:rsidRDefault="008B3E68" w:rsidP="00926DEE">
      <w:pPr>
        <w:tabs>
          <w:tab w:val="left" w:pos="-720"/>
        </w:tabs>
        <w:suppressAutoHyphens/>
        <w:spacing w:line="480" w:lineRule="auto"/>
        <w:jc w:val="both"/>
        <w:rPr>
          <w:rFonts w:ascii="Arial" w:eastAsiaTheme="minorEastAsia" w:hAnsi="Arial" w:cs="Arial"/>
          <w:iCs/>
          <w:spacing w:val="-2"/>
          <w:sz w:val="24"/>
          <w:szCs w:val="24"/>
          <w:lang w:val="es-ES_tradnl" w:eastAsia="es-MX"/>
        </w:rPr>
      </w:pPr>
      <w:r>
        <w:rPr>
          <w:rFonts w:ascii="Arial" w:eastAsiaTheme="minorEastAsia" w:hAnsi="Arial" w:cs="Arial"/>
          <w:sz w:val="24"/>
          <w:szCs w:val="24"/>
          <w:lang w:val="es-ES_tradnl" w:eastAsia="es-MX"/>
        </w:rPr>
        <w:tab/>
      </w:r>
      <w:r w:rsidR="0052719C" w:rsidRPr="008B3E68">
        <w:rPr>
          <w:rFonts w:ascii="Arial" w:eastAsiaTheme="minorEastAsia" w:hAnsi="Arial" w:cs="Arial"/>
          <w:sz w:val="24"/>
          <w:szCs w:val="24"/>
          <w:lang w:val="es-ES_tradnl" w:eastAsia="es-MX"/>
        </w:rPr>
        <w:t xml:space="preserve">Además de estos aspectos, se cuenta con un anexo que se refiere </w:t>
      </w:r>
      <w:r w:rsidR="0052719C" w:rsidRPr="003F19CF">
        <w:rPr>
          <w:rFonts w:ascii="Arial" w:eastAsiaTheme="minorEastAsia" w:hAnsi="Arial" w:cs="Arial"/>
          <w:sz w:val="24"/>
          <w:szCs w:val="24"/>
          <w:lang w:val="es-ES_tradnl" w:eastAsia="es-MX"/>
        </w:rPr>
        <w:t>específicamente a la prestación de servicios profesionales</w:t>
      </w:r>
      <w:r w:rsidR="007C5A84" w:rsidRPr="003F19CF">
        <w:rPr>
          <w:rFonts w:ascii="Arial" w:eastAsiaTheme="minorEastAsia" w:hAnsi="Arial" w:cs="Arial"/>
          <w:sz w:val="24"/>
          <w:szCs w:val="24"/>
          <w:lang w:val="es-ES_tradnl" w:eastAsia="es-MX"/>
        </w:rPr>
        <w:t xml:space="preserve">, en donde se señalan el objetivo, el trámite de </w:t>
      </w:r>
      <w:r w:rsidR="007C5A84" w:rsidRPr="003F19CF">
        <w:rPr>
          <w:rFonts w:ascii="Arial" w:hAnsi="Arial" w:cs="Arial"/>
          <w:iCs/>
          <w:spacing w:val="-2"/>
          <w:sz w:val="24"/>
          <w:szCs w:val="24"/>
        </w:rPr>
        <w:t xml:space="preserve">solicitudes para el otorgamiento de licencias y certificados, </w:t>
      </w:r>
      <w:r w:rsidR="007C5A84" w:rsidRPr="003F19CF">
        <w:rPr>
          <w:rFonts w:ascii="Arial" w:eastAsiaTheme="minorEastAsia" w:hAnsi="Arial" w:cs="Arial"/>
          <w:iCs/>
          <w:spacing w:val="-2"/>
          <w:sz w:val="24"/>
          <w:szCs w:val="24"/>
          <w:lang w:val="es-ES_tradnl" w:eastAsia="es-MX"/>
        </w:rPr>
        <w:t>elaboración de normas profesionales</w:t>
      </w:r>
      <w:r w:rsidRPr="003F19CF">
        <w:rPr>
          <w:rFonts w:ascii="Arial" w:eastAsiaTheme="minorEastAsia" w:hAnsi="Arial" w:cs="Arial"/>
          <w:iCs/>
          <w:spacing w:val="-2"/>
          <w:sz w:val="24"/>
          <w:szCs w:val="24"/>
          <w:lang w:val="es-ES_tradnl" w:eastAsia="es-MX"/>
        </w:rPr>
        <w:t>, para lo cual deben tomarse en cuenta los siguientes aspectos:</w:t>
      </w:r>
    </w:p>
    <w:p w:rsidR="008B3E68" w:rsidRPr="008B3E68" w:rsidRDefault="008B3E68" w:rsidP="00926DEE">
      <w:pPr>
        <w:tabs>
          <w:tab w:val="left" w:pos="-720"/>
          <w:tab w:val="left" w:pos="0"/>
          <w:tab w:val="left" w:pos="720"/>
        </w:tabs>
        <w:suppressAutoHyphens/>
        <w:autoSpaceDE w:val="0"/>
        <w:autoSpaceDN w:val="0"/>
        <w:spacing w:after="0" w:line="480" w:lineRule="auto"/>
        <w:ind w:left="1440" w:hanging="734"/>
        <w:jc w:val="both"/>
        <w:rPr>
          <w:rFonts w:ascii="Arial" w:eastAsiaTheme="minorEastAsia" w:hAnsi="Arial" w:cs="Arial"/>
          <w:spacing w:val="-2"/>
          <w:sz w:val="24"/>
          <w:szCs w:val="24"/>
          <w:lang w:val="es-ES_tradnl" w:eastAsia="es-MX"/>
        </w:rPr>
      </w:pPr>
      <w:r w:rsidRPr="008B3E68">
        <w:rPr>
          <w:rFonts w:ascii="Arial" w:eastAsiaTheme="minorEastAsia" w:hAnsi="Arial" w:cs="Arial"/>
          <w:spacing w:val="-2"/>
          <w:sz w:val="24"/>
          <w:szCs w:val="24"/>
          <w:lang w:val="es-ES_tradnl" w:eastAsia="es-MX"/>
        </w:rPr>
        <w:t>a)</w:t>
      </w:r>
      <w:r w:rsidRPr="008B3E68">
        <w:rPr>
          <w:rFonts w:ascii="Arial" w:eastAsiaTheme="minorEastAsia" w:hAnsi="Arial" w:cs="Arial"/>
          <w:spacing w:val="-2"/>
          <w:sz w:val="24"/>
          <w:szCs w:val="24"/>
          <w:lang w:val="es-ES_tradnl" w:eastAsia="es-MX"/>
        </w:rPr>
        <w:tab/>
        <w:t>educación: acreditación de escuelas o de programas académicos;</w:t>
      </w:r>
    </w:p>
    <w:p w:rsidR="008B3E68" w:rsidRPr="008B3E68" w:rsidRDefault="008B3E68" w:rsidP="00926DEE">
      <w:pPr>
        <w:tabs>
          <w:tab w:val="left" w:pos="-720"/>
          <w:tab w:val="left" w:pos="0"/>
        </w:tabs>
        <w:suppressAutoHyphens/>
        <w:autoSpaceDE w:val="0"/>
        <w:autoSpaceDN w:val="0"/>
        <w:spacing w:after="0" w:line="480" w:lineRule="auto"/>
        <w:ind w:left="1440" w:hanging="734"/>
        <w:jc w:val="both"/>
        <w:rPr>
          <w:rFonts w:ascii="Arial" w:eastAsiaTheme="minorEastAsia" w:hAnsi="Arial" w:cs="Arial"/>
          <w:spacing w:val="-2"/>
          <w:sz w:val="24"/>
          <w:szCs w:val="24"/>
          <w:lang w:val="es-ES_tradnl" w:eastAsia="es-MX"/>
        </w:rPr>
      </w:pPr>
      <w:r w:rsidRPr="008B3E68">
        <w:rPr>
          <w:rFonts w:ascii="Arial" w:eastAsiaTheme="minorEastAsia" w:hAnsi="Arial" w:cs="Arial"/>
          <w:spacing w:val="-2"/>
          <w:sz w:val="24"/>
          <w:szCs w:val="24"/>
          <w:lang w:val="es-ES_tradnl" w:eastAsia="es-MX"/>
        </w:rPr>
        <w:t>b)</w:t>
      </w:r>
      <w:r w:rsidRPr="008B3E68">
        <w:rPr>
          <w:rFonts w:ascii="Arial" w:eastAsiaTheme="minorEastAsia" w:hAnsi="Arial" w:cs="Arial"/>
          <w:spacing w:val="-2"/>
          <w:sz w:val="24"/>
          <w:szCs w:val="24"/>
          <w:lang w:val="es-ES_tradnl" w:eastAsia="es-MX"/>
        </w:rPr>
        <w:tab/>
        <w:t>exámenes: exámenes de calificación para la obtención de licencias, inclusive métodos alternativos de evaluación, tales como exámenes orales y entrevistas;</w:t>
      </w:r>
    </w:p>
    <w:p w:rsidR="008B3E68" w:rsidRPr="008B3E68" w:rsidRDefault="008B3E68" w:rsidP="00926DEE">
      <w:pPr>
        <w:tabs>
          <w:tab w:val="left" w:pos="-720"/>
          <w:tab w:val="left" w:pos="0"/>
        </w:tabs>
        <w:suppressAutoHyphens/>
        <w:autoSpaceDE w:val="0"/>
        <w:autoSpaceDN w:val="0"/>
        <w:spacing w:after="0" w:line="480" w:lineRule="auto"/>
        <w:ind w:left="1412" w:hanging="706"/>
        <w:jc w:val="both"/>
        <w:rPr>
          <w:rFonts w:ascii="Arial" w:eastAsiaTheme="minorEastAsia" w:hAnsi="Arial" w:cs="Arial"/>
          <w:spacing w:val="-2"/>
          <w:sz w:val="24"/>
          <w:szCs w:val="24"/>
          <w:lang w:val="es-ES_tradnl" w:eastAsia="es-MX"/>
        </w:rPr>
      </w:pPr>
      <w:r w:rsidRPr="008B3E68">
        <w:rPr>
          <w:rFonts w:ascii="Arial" w:eastAsiaTheme="minorEastAsia" w:hAnsi="Arial" w:cs="Arial"/>
          <w:spacing w:val="-2"/>
          <w:sz w:val="24"/>
          <w:szCs w:val="24"/>
          <w:lang w:val="es-ES_tradnl" w:eastAsia="es-MX"/>
        </w:rPr>
        <w:t>c)</w:t>
      </w:r>
      <w:r w:rsidRPr="008B3E68">
        <w:rPr>
          <w:rFonts w:ascii="Arial" w:eastAsiaTheme="minorEastAsia" w:hAnsi="Arial" w:cs="Arial"/>
          <w:spacing w:val="-2"/>
          <w:sz w:val="24"/>
          <w:szCs w:val="24"/>
          <w:lang w:val="es-ES_tradnl" w:eastAsia="es-MX"/>
        </w:rPr>
        <w:tab/>
        <w:t>experiencia: duración y naturaleza de la experiencia requerida para obtener una licencia;</w:t>
      </w:r>
    </w:p>
    <w:p w:rsidR="008B3E68" w:rsidRPr="008B3E68" w:rsidRDefault="008B3E68" w:rsidP="00926DEE">
      <w:pPr>
        <w:tabs>
          <w:tab w:val="left" w:pos="-720"/>
          <w:tab w:val="left" w:pos="0"/>
        </w:tabs>
        <w:suppressAutoHyphens/>
        <w:autoSpaceDE w:val="0"/>
        <w:autoSpaceDN w:val="0"/>
        <w:spacing w:after="0" w:line="480" w:lineRule="auto"/>
        <w:ind w:left="1412" w:hanging="706"/>
        <w:jc w:val="both"/>
        <w:rPr>
          <w:rFonts w:ascii="Arial" w:eastAsiaTheme="minorEastAsia" w:hAnsi="Arial" w:cs="Arial"/>
          <w:spacing w:val="-2"/>
          <w:sz w:val="24"/>
          <w:szCs w:val="24"/>
          <w:lang w:val="es-ES_tradnl" w:eastAsia="es-MX"/>
        </w:rPr>
      </w:pPr>
      <w:r w:rsidRPr="008B3E68">
        <w:rPr>
          <w:rFonts w:ascii="Arial" w:eastAsiaTheme="minorEastAsia" w:hAnsi="Arial" w:cs="Arial"/>
          <w:spacing w:val="-2"/>
          <w:sz w:val="24"/>
          <w:szCs w:val="24"/>
          <w:lang w:val="es-ES_tradnl" w:eastAsia="es-MX"/>
        </w:rPr>
        <w:t>d)</w:t>
      </w:r>
      <w:r w:rsidRPr="008B3E68">
        <w:rPr>
          <w:rFonts w:ascii="Arial" w:eastAsiaTheme="minorEastAsia" w:hAnsi="Arial" w:cs="Arial"/>
          <w:spacing w:val="-2"/>
          <w:sz w:val="24"/>
          <w:szCs w:val="24"/>
          <w:lang w:val="es-ES_tradnl" w:eastAsia="es-MX"/>
        </w:rPr>
        <w:tab/>
        <w:t>conducta y ética: normas de conducta profesional y la naturaleza de las medidas disciplinarias en caso de que los prestadores de servicios profesionales las contravengan;</w:t>
      </w:r>
    </w:p>
    <w:p w:rsidR="008B3E68" w:rsidRPr="008B3E68" w:rsidRDefault="008B3E68" w:rsidP="00926DEE">
      <w:pPr>
        <w:tabs>
          <w:tab w:val="left" w:pos="-720"/>
          <w:tab w:val="left" w:pos="0"/>
          <w:tab w:val="left" w:pos="720"/>
        </w:tabs>
        <w:suppressAutoHyphens/>
        <w:autoSpaceDE w:val="0"/>
        <w:autoSpaceDN w:val="0"/>
        <w:spacing w:after="0" w:line="480" w:lineRule="auto"/>
        <w:ind w:left="1412" w:hanging="706"/>
        <w:jc w:val="both"/>
        <w:rPr>
          <w:rFonts w:ascii="Arial" w:eastAsiaTheme="minorEastAsia" w:hAnsi="Arial" w:cs="Arial"/>
          <w:spacing w:val="-2"/>
          <w:sz w:val="24"/>
          <w:szCs w:val="24"/>
          <w:lang w:val="es-ES_tradnl" w:eastAsia="es-MX"/>
        </w:rPr>
      </w:pPr>
      <w:r w:rsidRPr="008B3E68">
        <w:rPr>
          <w:rFonts w:ascii="Arial" w:eastAsiaTheme="minorEastAsia" w:hAnsi="Arial" w:cs="Arial"/>
          <w:spacing w:val="-2"/>
          <w:sz w:val="24"/>
          <w:szCs w:val="24"/>
          <w:lang w:val="es-ES_tradnl" w:eastAsia="es-MX"/>
        </w:rPr>
        <w:t>e)</w:t>
      </w:r>
      <w:r w:rsidRPr="008B3E68">
        <w:rPr>
          <w:rFonts w:ascii="Arial" w:eastAsiaTheme="minorEastAsia" w:hAnsi="Arial" w:cs="Arial"/>
          <w:spacing w:val="-2"/>
          <w:sz w:val="24"/>
          <w:szCs w:val="24"/>
          <w:lang w:val="es-ES_tradnl" w:eastAsia="es-MX"/>
        </w:rPr>
        <w:tab/>
        <w:t>desarrollo profesional y renovación de la certificación: educación continua y los requisitos correspondientes para conservar el certificado profesional;</w:t>
      </w:r>
    </w:p>
    <w:p w:rsidR="008B3E68" w:rsidRPr="008B3E68" w:rsidRDefault="008B3E68" w:rsidP="00926DEE">
      <w:pPr>
        <w:tabs>
          <w:tab w:val="left" w:pos="-720"/>
          <w:tab w:val="left" w:pos="0"/>
        </w:tabs>
        <w:suppressAutoHyphens/>
        <w:autoSpaceDE w:val="0"/>
        <w:autoSpaceDN w:val="0"/>
        <w:spacing w:after="0" w:line="480" w:lineRule="auto"/>
        <w:ind w:left="1440" w:hanging="734"/>
        <w:jc w:val="both"/>
        <w:rPr>
          <w:rFonts w:ascii="Arial" w:eastAsiaTheme="minorEastAsia" w:hAnsi="Arial" w:cs="Arial"/>
          <w:spacing w:val="-2"/>
          <w:sz w:val="24"/>
          <w:szCs w:val="24"/>
          <w:lang w:val="es-ES_tradnl" w:eastAsia="es-MX"/>
        </w:rPr>
      </w:pPr>
      <w:r w:rsidRPr="008B3E68">
        <w:rPr>
          <w:rFonts w:ascii="Arial" w:eastAsiaTheme="minorEastAsia" w:hAnsi="Arial" w:cs="Arial"/>
          <w:spacing w:val="-2"/>
          <w:sz w:val="24"/>
          <w:szCs w:val="24"/>
          <w:lang w:val="es-ES_tradnl" w:eastAsia="es-MX"/>
        </w:rPr>
        <w:t>f)</w:t>
      </w:r>
      <w:r w:rsidRPr="008B3E68">
        <w:rPr>
          <w:rFonts w:ascii="Arial" w:eastAsiaTheme="minorEastAsia" w:hAnsi="Arial" w:cs="Arial"/>
          <w:spacing w:val="-2"/>
          <w:sz w:val="24"/>
          <w:szCs w:val="24"/>
          <w:lang w:val="es-ES_tradnl" w:eastAsia="es-MX"/>
        </w:rPr>
        <w:tab/>
        <w:t>ámbito de acción: extensión y límites de las actividades autorizadas;</w:t>
      </w:r>
    </w:p>
    <w:p w:rsidR="008B3E68" w:rsidRPr="008B3E68" w:rsidRDefault="00926DEE" w:rsidP="00926DEE">
      <w:pPr>
        <w:tabs>
          <w:tab w:val="left" w:pos="-720"/>
          <w:tab w:val="left" w:pos="0"/>
          <w:tab w:val="left" w:pos="720"/>
        </w:tabs>
        <w:suppressAutoHyphens/>
        <w:autoSpaceDE w:val="0"/>
        <w:autoSpaceDN w:val="0"/>
        <w:spacing w:after="0" w:line="480" w:lineRule="auto"/>
        <w:ind w:left="706" w:hanging="706"/>
        <w:jc w:val="both"/>
        <w:rPr>
          <w:rFonts w:ascii="Arial" w:eastAsiaTheme="minorEastAsia" w:hAnsi="Arial" w:cs="Arial"/>
          <w:spacing w:val="-2"/>
          <w:sz w:val="24"/>
          <w:szCs w:val="24"/>
          <w:lang w:val="es-ES_tradnl" w:eastAsia="es-MX"/>
        </w:rPr>
      </w:pPr>
      <w:r>
        <w:rPr>
          <w:rFonts w:ascii="Arial" w:eastAsiaTheme="minorEastAsia" w:hAnsi="Arial" w:cs="Arial"/>
          <w:spacing w:val="-2"/>
          <w:sz w:val="24"/>
          <w:szCs w:val="24"/>
          <w:lang w:val="es-ES_tradnl" w:eastAsia="es-MX"/>
        </w:rPr>
        <w:tab/>
      </w:r>
      <w:r w:rsidR="008B3E68" w:rsidRPr="008B3E68">
        <w:rPr>
          <w:rFonts w:ascii="Arial" w:eastAsiaTheme="minorEastAsia" w:hAnsi="Arial" w:cs="Arial"/>
          <w:spacing w:val="-2"/>
          <w:sz w:val="24"/>
          <w:szCs w:val="24"/>
          <w:lang w:val="es-ES_tradnl" w:eastAsia="es-MX"/>
        </w:rPr>
        <w:t>g)</w:t>
      </w:r>
      <w:r w:rsidR="008B3E68" w:rsidRPr="008B3E68">
        <w:rPr>
          <w:rFonts w:ascii="Arial" w:eastAsiaTheme="minorEastAsia" w:hAnsi="Arial" w:cs="Arial"/>
          <w:spacing w:val="-2"/>
          <w:sz w:val="24"/>
          <w:szCs w:val="24"/>
          <w:lang w:val="es-ES_tradnl" w:eastAsia="es-MX"/>
        </w:rPr>
        <w:tab/>
        <w:t xml:space="preserve">conocimiento local: requisitos sobre el conocimiento de aspectos tales </w:t>
      </w:r>
      <w:r>
        <w:rPr>
          <w:rFonts w:ascii="Arial" w:eastAsiaTheme="minorEastAsia" w:hAnsi="Arial" w:cs="Arial"/>
          <w:spacing w:val="-2"/>
          <w:sz w:val="24"/>
          <w:szCs w:val="24"/>
          <w:lang w:val="es-ES_tradnl" w:eastAsia="es-MX"/>
        </w:rPr>
        <w:t xml:space="preserve">   </w:t>
      </w:r>
      <w:r w:rsidR="008B3E68" w:rsidRPr="008B3E68">
        <w:rPr>
          <w:rFonts w:ascii="Arial" w:eastAsiaTheme="minorEastAsia" w:hAnsi="Arial" w:cs="Arial"/>
          <w:spacing w:val="-2"/>
          <w:sz w:val="24"/>
          <w:szCs w:val="24"/>
          <w:lang w:val="es-ES_tradnl" w:eastAsia="es-MX"/>
        </w:rPr>
        <w:t>como las leyes y reglamentaciones, el idioma, la geografía o el clima locales; y</w:t>
      </w:r>
    </w:p>
    <w:p w:rsidR="008B3E68" w:rsidRPr="003F19CF" w:rsidRDefault="008B3E68" w:rsidP="00926DEE">
      <w:pPr>
        <w:pStyle w:val="Prrafodelista"/>
        <w:numPr>
          <w:ilvl w:val="0"/>
          <w:numId w:val="5"/>
        </w:numPr>
        <w:tabs>
          <w:tab w:val="left" w:pos="-720"/>
          <w:tab w:val="left" w:pos="0"/>
          <w:tab w:val="left" w:pos="720"/>
        </w:tabs>
        <w:suppressAutoHyphens/>
        <w:autoSpaceDE w:val="0"/>
        <w:autoSpaceDN w:val="0"/>
        <w:spacing w:after="0" w:line="480" w:lineRule="auto"/>
        <w:ind w:left="1418" w:hanging="698"/>
        <w:jc w:val="both"/>
        <w:rPr>
          <w:rFonts w:ascii="Arial" w:eastAsiaTheme="minorEastAsia" w:hAnsi="Arial" w:cs="Arial"/>
          <w:spacing w:val="-2"/>
          <w:sz w:val="24"/>
          <w:szCs w:val="24"/>
          <w:lang w:val="es-ES_tradnl" w:eastAsia="es-MX"/>
        </w:rPr>
      </w:pPr>
      <w:r w:rsidRPr="003F19CF">
        <w:rPr>
          <w:rFonts w:ascii="Arial" w:eastAsiaTheme="minorEastAsia" w:hAnsi="Arial" w:cs="Arial"/>
          <w:spacing w:val="-2"/>
          <w:sz w:val="24"/>
          <w:szCs w:val="24"/>
          <w:lang w:val="es-ES_tradnl" w:eastAsia="es-MX"/>
        </w:rPr>
        <w:lastRenderedPageBreak/>
        <w:t>protección al consumidor: requisitos alternativos al de residencia, tales como fianza, seguro sobre responsabilidad profesional y fondos de reembolso al cliente para asegurar la protección a los consumidores.</w:t>
      </w:r>
    </w:p>
    <w:p w:rsidR="008B3E68" w:rsidRDefault="008B3E68" w:rsidP="00926DEE">
      <w:pPr>
        <w:tabs>
          <w:tab w:val="left" w:pos="-720"/>
          <w:tab w:val="left" w:pos="0"/>
          <w:tab w:val="left" w:pos="720"/>
        </w:tabs>
        <w:suppressAutoHyphens/>
        <w:autoSpaceDE w:val="0"/>
        <w:autoSpaceDN w:val="0"/>
        <w:spacing w:after="0" w:line="480" w:lineRule="auto"/>
        <w:jc w:val="both"/>
        <w:rPr>
          <w:rFonts w:ascii="Arial" w:eastAsiaTheme="minorEastAsia" w:hAnsi="Arial" w:cs="Arial"/>
          <w:spacing w:val="-2"/>
          <w:lang w:val="es-ES_tradnl" w:eastAsia="es-MX"/>
        </w:rPr>
      </w:pPr>
    </w:p>
    <w:p w:rsidR="00110C8A" w:rsidRPr="003F19CF" w:rsidRDefault="008B3E68" w:rsidP="00926DEE">
      <w:pPr>
        <w:tabs>
          <w:tab w:val="left" w:pos="-720"/>
          <w:tab w:val="left" w:pos="0"/>
          <w:tab w:val="left" w:pos="720"/>
        </w:tabs>
        <w:suppressAutoHyphens/>
        <w:autoSpaceDE w:val="0"/>
        <w:autoSpaceDN w:val="0"/>
        <w:spacing w:after="0" w:line="480" w:lineRule="auto"/>
        <w:jc w:val="both"/>
        <w:rPr>
          <w:rFonts w:ascii="Arial" w:eastAsiaTheme="minorEastAsia" w:hAnsi="Arial" w:cs="Arial"/>
          <w:spacing w:val="-2"/>
          <w:sz w:val="24"/>
          <w:szCs w:val="24"/>
          <w:lang w:val="es-ES_tradnl" w:eastAsia="es-MX"/>
        </w:rPr>
      </w:pPr>
      <w:r>
        <w:rPr>
          <w:rFonts w:ascii="Arial" w:eastAsiaTheme="minorEastAsia" w:hAnsi="Arial" w:cs="Arial"/>
          <w:spacing w:val="-2"/>
          <w:lang w:val="es-ES_tradnl" w:eastAsia="es-MX"/>
        </w:rPr>
        <w:tab/>
      </w:r>
      <w:r w:rsidRPr="003F19CF">
        <w:rPr>
          <w:rFonts w:ascii="Arial" w:eastAsiaTheme="minorEastAsia" w:hAnsi="Arial" w:cs="Arial"/>
          <w:spacing w:val="-2"/>
          <w:sz w:val="24"/>
          <w:szCs w:val="24"/>
          <w:lang w:val="es-ES_tradnl" w:eastAsia="es-MX"/>
        </w:rPr>
        <w:t xml:space="preserve">Como puede apreciarse este tipo de acuerdos están encaminados a proteger a ambas partes en el sentido comercial </w:t>
      </w:r>
      <w:r w:rsidR="003F19CF" w:rsidRPr="003F19CF">
        <w:rPr>
          <w:rFonts w:ascii="Arial" w:eastAsiaTheme="minorEastAsia" w:hAnsi="Arial" w:cs="Arial"/>
          <w:spacing w:val="-2"/>
          <w:sz w:val="24"/>
          <w:szCs w:val="24"/>
          <w:lang w:val="es-ES_tradnl" w:eastAsia="es-MX"/>
        </w:rPr>
        <w:t>de la prestación de servicios profesionales, por tanto, la educación superior que posea el prestador del servicio debe ser de calidad y garantizar la preparación académica para poder acceder a alguna certificación o licencia otorgada por el país en que prestará sus servicios.</w:t>
      </w:r>
    </w:p>
    <w:p w:rsidR="008443CC" w:rsidRDefault="00203FBC" w:rsidP="00926DEE">
      <w:pPr>
        <w:spacing w:after="0" w:line="480" w:lineRule="auto"/>
        <w:ind w:firstLine="708"/>
        <w:jc w:val="both"/>
        <w:rPr>
          <w:rFonts w:ascii="Arial" w:eastAsia="Times New Roman" w:hAnsi="Arial" w:cs="Arial"/>
          <w:color w:val="000000"/>
          <w:sz w:val="20"/>
          <w:szCs w:val="20"/>
          <w:lang w:eastAsia="es-MX"/>
        </w:rPr>
      </w:pPr>
      <w:r w:rsidRPr="00203FBC">
        <w:rPr>
          <w:rFonts w:ascii="Arial" w:eastAsiaTheme="minorEastAsia" w:hAnsi="Arial" w:cs="Arial"/>
          <w:spacing w:val="-2"/>
          <w:sz w:val="24"/>
          <w:szCs w:val="24"/>
          <w:lang w:val="es-ES_tradnl" w:eastAsia="es-MX"/>
        </w:rPr>
        <w:t xml:space="preserve">Un acuerdo básico </w:t>
      </w:r>
      <w:r>
        <w:rPr>
          <w:rFonts w:ascii="Arial" w:eastAsiaTheme="minorEastAsia" w:hAnsi="Arial" w:cs="Arial"/>
          <w:spacing w:val="-2"/>
          <w:sz w:val="24"/>
          <w:szCs w:val="24"/>
          <w:lang w:val="es-ES_tradnl" w:eastAsia="es-MX"/>
        </w:rPr>
        <w:t xml:space="preserve">de integración regional </w:t>
      </w:r>
      <w:r w:rsidR="00961187">
        <w:rPr>
          <w:rFonts w:ascii="Arial" w:eastAsiaTheme="minorEastAsia" w:hAnsi="Arial" w:cs="Arial"/>
          <w:spacing w:val="-2"/>
          <w:sz w:val="24"/>
          <w:szCs w:val="24"/>
          <w:lang w:val="es-ES_tradnl" w:eastAsia="es-MX"/>
        </w:rPr>
        <w:t xml:space="preserve">que involucra a la educación superior </w:t>
      </w:r>
      <w:r>
        <w:rPr>
          <w:rFonts w:ascii="Arial" w:eastAsiaTheme="minorEastAsia" w:hAnsi="Arial" w:cs="Arial"/>
          <w:spacing w:val="-2"/>
          <w:sz w:val="24"/>
          <w:szCs w:val="24"/>
          <w:lang w:val="es-ES_tradnl" w:eastAsia="es-MX"/>
        </w:rPr>
        <w:t>es</w:t>
      </w:r>
      <w:r w:rsidR="00961187">
        <w:rPr>
          <w:rFonts w:ascii="Arial" w:eastAsiaTheme="minorEastAsia" w:hAnsi="Arial" w:cs="Arial"/>
          <w:spacing w:val="-2"/>
          <w:sz w:val="24"/>
          <w:szCs w:val="24"/>
          <w:lang w:val="es-ES_tradnl" w:eastAsia="es-MX"/>
        </w:rPr>
        <w:t xml:space="preserve"> el </w:t>
      </w:r>
      <w:r>
        <w:rPr>
          <w:rFonts w:ascii="Arial" w:eastAsiaTheme="minorEastAsia" w:hAnsi="Arial" w:cs="Arial"/>
          <w:spacing w:val="-2"/>
          <w:sz w:val="24"/>
          <w:szCs w:val="24"/>
          <w:lang w:val="es-ES_tradnl" w:eastAsia="es-MX"/>
        </w:rPr>
        <w:t xml:space="preserve"> </w:t>
      </w:r>
      <w:r w:rsidR="00961187" w:rsidRPr="00961187">
        <w:rPr>
          <w:rFonts w:ascii="Arial" w:eastAsia="Times New Roman" w:hAnsi="Arial" w:cs="Arial"/>
          <w:bCs/>
          <w:color w:val="000000"/>
          <w:sz w:val="24"/>
          <w:szCs w:val="24"/>
          <w:lang w:eastAsia="es-MX"/>
        </w:rPr>
        <w:t>Acuerdo Regional de Cooperación Científica y Tecnológica (convenio marco) entre los países miembros de la asociación</w:t>
      </w:r>
      <w:r w:rsidR="00961187">
        <w:rPr>
          <w:rFonts w:ascii="Arial" w:eastAsia="Times New Roman" w:hAnsi="Arial" w:cs="Arial"/>
          <w:bCs/>
          <w:color w:val="000000"/>
          <w:sz w:val="24"/>
          <w:szCs w:val="24"/>
          <w:lang w:eastAsia="es-MX"/>
        </w:rPr>
        <w:t xml:space="preserve"> </w:t>
      </w:r>
      <w:r w:rsidR="00961187" w:rsidRPr="00961187">
        <w:rPr>
          <w:rFonts w:ascii="Arial" w:eastAsia="Times New Roman" w:hAnsi="Arial" w:cs="Arial"/>
          <w:bCs/>
          <w:color w:val="000000"/>
          <w:sz w:val="24"/>
          <w:szCs w:val="24"/>
          <w:lang w:eastAsia="es-MX"/>
        </w:rPr>
        <w:t>(</w:t>
      </w:r>
      <w:r w:rsidR="00961187" w:rsidRPr="00961187">
        <w:rPr>
          <w:rFonts w:ascii="Arial" w:eastAsia="Times New Roman" w:hAnsi="Arial" w:cs="Arial"/>
          <w:color w:val="000000"/>
          <w:sz w:val="24"/>
          <w:szCs w:val="24"/>
          <w:lang w:eastAsia="es-MX"/>
        </w:rPr>
        <w:t>Argentina, Bolivia, Brasil, Colombia, Chile, Ecuador, México, Paraguay, Perú, Uruguay y  Venezuela)</w:t>
      </w:r>
      <w:r w:rsidR="008443CC">
        <w:rPr>
          <w:rFonts w:ascii="Arial" w:eastAsia="Times New Roman" w:hAnsi="Arial" w:cs="Arial"/>
          <w:color w:val="000000"/>
          <w:sz w:val="24"/>
          <w:szCs w:val="24"/>
          <w:lang w:eastAsia="es-MX"/>
        </w:rPr>
        <w:t xml:space="preserve">, cuyo objeto es </w:t>
      </w:r>
      <w:r w:rsidR="00961187">
        <w:rPr>
          <w:rFonts w:ascii="Arial" w:eastAsia="Times New Roman" w:hAnsi="Arial" w:cs="Arial"/>
          <w:color w:val="000000"/>
          <w:sz w:val="24"/>
          <w:szCs w:val="24"/>
          <w:lang w:eastAsia="es-MX"/>
        </w:rPr>
        <w:t xml:space="preserve"> </w:t>
      </w:r>
      <w:r w:rsidR="008443CC" w:rsidRPr="00961187">
        <w:rPr>
          <w:rFonts w:ascii="Arial" w:eastAsia="Times New Roman" w:hAnsi="Arial" w:cs="Arial"/>
          <w:color w:val="000000"/>
          <w:sz w:val="24"/>
          <w:szCs w:val="24"/>
          <w:lang w:eastAsia="es-MX"/>
        </w:rPr>
        <w:t xml:space="preserve">promover la cooperación regional orientada tanto a la creación y desarrollo del conocimiento como a la adquisición y difusión de la tecnología y su aplicación, procurando al mismo tiempo la especialización, interdependencia y complementación de las acciones llevadas a cabo por los países miembros en el </w:t>
      </w:r>
      <w:r w:rsidR="008443CC">
        <w:rPr>
          <w:rFonts w:ascii="Arial" w:eastAsia="Times New Roman" w:hAnsi="Arial" w:cs="Arial"/>
          <w:color w:val="000000"/>
          <w:sz w:val="24"/>
          <w:szCs w:val="24"/>
          <w:lang w:eastAsia="es-MX"/>
        </w:rPr>
        <w:t xml:space="preserve">marco </w:t>
      </w:r>
      <w:r w:rsidR="008443CC" w:rsidRPr="00961187">
        <w:rPr>
          <w:rFonts w:ascii="Arial" w:eastAsia="Times New Roman" w:hAnsi="Arial" w:cs="Arial"/>
          <w:color w:val="000000"/>
          <w:sz w:val="24"/>
          <w:szCs w:val="24"/>
          <w:lang w:eastAsia="es-MX"/>
        </w:rPr>
        <w:t>de la integración</w:t>
      </w:r>
      <w:r w:rsidR="008443CC">
        <w:rPr>
          <w:rFonts w:ascii="Arial" w:eastAsia="Times New Roman" w:hAnsi="Arial" w:cs="Arial"/>
          <w:color w:val="000000"/>
          <w:sz w:val="20"/>
          <w:szCs w:val="20"/>
          <w:lang w:eastAsia="es-MX"/>
        </w:rPr>
        <w:t>.</w:t>
      </w:r>
    </w:p>
    <w:p w:rsidR="008443CC" w:rsidRDefault="008443CC" w:rsidP="00926DEE">
      <w:pPr>
        <w:spacing w:after="0" w:line="480" w:lineRule="auto"/>
        <w:ind w:firstLine="708"/>
        <w:jc w:val="both"/>
        <w:rPr>
          <w:rFonts w:ascii="Times New Roman" w:eastAsia="Times New Roman" w:hAnsi="Times New Roman" w:cs="Times New Roman"/>
          <w:color w:val="000000"/>
          <w:sz w:val="24"/>
          <w:szCs w:val="24"/>
          <w:lang w:eastAsia="es-MX"/>
        </w:rPr>
      </w:pPr>
      <w:r w:rsidRPr="008443CC">
        <w:rPr>
          <w:rFonts w:ascii="Arial" w:eastAsia="Times New Roman" w:hAnsi="Arial" w:cs="Arial"/>
          <w:color w:val="000000"/>
          <w:sz w:val="24"/>
          <w:szCs w:val="24"/>
          <w:lang w:eastAsia="es-MX"/>
        </w:rPr>
        <w:t xml:space="preserve">Las acciones a desarrollar, serán conjuntas, ya sea por pares o grupos de países, las cuales estarán orientadas a: </w:t>
      </w:r>
      <w:r>
        <w:rPr>
          <w:rFonts w:ascii="Times New Roman" w:eastAsia="Times New Roman" w:hAnsi="Times New Roman" w:cs="Times New Roman"/>
          <w:color w:val="000000"/>
          <w:sz w:val="24"/>
          <w:szCs w:val="24"/>
          <w:lang w:eastAsia="es-MX"/>
        </w:rPr>
        <w:t xml:space="preserve"> </w:t>
      </w:r>
    </w:p>
    <w:p w:rsidR="008443CC" w:rsidRDefault="00961187" w:rsidP="00926DEE">
      <w:pPr>
        <w:spacing w:after="0" w:line="480" w:lineRule="auto"/>
        <w:jc w:val="both"/>
        <w:rPr>
          <w:rFonts w:ascii="Arial" w:eastAsia="Times New Roman" w:hAnsi="Arial" w:cs="Arial"/>
          <w:color w:val="000000"/>
          <w:sz w:val="24"/>
          <w:szCs w:val="24"/>
          <w:lang w:eastAsia="es-MX"/>
        </w:rPr>
      </w:pPr>
      <w:r w:rsidRPr="00961187">
        <w:rPr>
          <w:rFonts w:ascii="Arial" w:eastAsia="Times New Roman" w:hAnsi="Arial" w:cs="Arial"/>
          <w:color w:val="000000"/>
          <w:sz w:val="24"/>
          <w:szCs w:val="24"/>
          <w:lang w:eastAsia="es-MX"/>
        </w:rPr>
        <w:t>a) La ejecución de proyectos cooperativos de investigación científica en los centros especializados de los países tanto del sector público como del privado y de las universidades, pudiendo contar, asimismo, con la participación de empresas.</w:t>
      </w:r>
      <w:r w:rsidRPr="00961187">
        <w:rPr>
          <w:rFonts w:ascii="Times New Roman" w:eastAsia="Times New Roman" w:hAnsi="Times New Roman" w:cs="Times New Roman"/>
          <w:color w:val="000000"/>
          <w:sz w:val="24"/>
          <w:szCs w:val="24"/>
          <w:lang w:eastAsia="es-MX"/>
        </w:rPr>
        <w:br/>
      </w:r>
      <w:r w:rsidRPr="00961187">
        <w:rPr>
          <w:rFonts w:ascii="Arial" w:eastAsia="Times New Roman" w:hAnsi="Arial" w:cs="Arial"/>
          <w:color w:val="000000"/>
          <w:sz w:val="24"/>
          <w:szCs w:val="24"/>
          <w:lang w:eastAsia="es-MX"/>
        </w:rPr>
        <w:lastRenderedPageBreak/>
        <w:t>b) La investigación y desarrollo de nuevos productos y técnicas de fabricación, administración de la producción y de gestión tecnológica; y</w:t>
      </w:r>
      <w:r w:rsidRPr="00961187">
        <w:rPr>
          <w:rFonts w:ascii="Times New Roman" w:eastAsia="Times New Roman" w:hAnsi="Times New Roman" w:cs="Times New Roman"/>
          <w:color w:val="000000"/>
          <w:sz w:val="24"/>
          <w:szCs w:val="24"/>
          <w:lang w:eastAsia="es-MX"/>
        </w:rPr>
        <w:br/>
      </w:r>
      <w:r w:rsidRPr="00961187">
        <w:rPr>
          <w:rFonts w:ascii="Arial" w:eastAsia="Times New Roman" w:hAnsi="Arial" w:cs="Arial"/>
          <w:color w:val="000000"/>
          <w:sz w:val="24"/>
          <w:szCs w:val="24"/>
          <w:lang w:eastAsia="es-MX"/>
        </w:rPr>
        <w:t xml:space="preserve">c) La difusión del progreso tecnológico mediante la utilización de los servicios que sirven de apoyo al sistema de innovación, información tecnológica, patentes, licencias, </w:t>
      </w:r>
      <w:r w:rsidR="008443CC">
        <w:rPr>
          <w:rFonts w:ascii="Arial" w:eastAsia="Times New Roman" w:hAnsi="Arial" w:cs="Arial"/>
          <w:color w:val="000000"/>
          <w:sz w:val="24"/>
          <w:szCs w:val="24"/>
          <w:lang w:eastAsia="es-MX"/>
        </w:rPr>
        <w:t xml:space="preserve">etcétera. </w:t>
      </w:r>
    </w:p>
    <w:p w:rsidR="007623BC" w:rsidRPr="007623BC" w:rsidRDefault="008443CC" w:rsidP="00926DEE">
      <w:pPr>
        <w:spacing w:after="0" w:line="480" w:lineRule="auto"/>
        <w:ind w:firstLine="708"/>
        <w:jc w:val="both"/>
        <w:rPr>
          <w:rFonts w:ascii="Arial" w:eastAsia="Times New Roman" w:hAnsi="Arial" w:cs="Arial"/>
          <w:color w:val="000000"/>
          <w:sz w:val="24"/>
          <w:szCs w:val="24"/>
          <w:lang w:eastAsia="es-MX"/>
        </w:rPr>
      </w:pPr>
      <w:r w:rsidRPr="007623BC">
        <w:rPr>
          <w:rFonts w:ascii="Arial" w:eastAsia="Times New Roman" w:hAnsi="Arial" w:cs="Arial"/>
          <w:color w:val="000000"/>
          <w:sz w:val="24"/>
          <w:szCs w:val="24"/>
          <w:lang w:eastAsia="es-MX"/>
        </w:rPr>
        <w:t>Cabe  aclarar</w:t>
      </w:r>
      <w:r w:rsidR="007623BC">
        <w:rPr>
          <w:rFonts w:ascii="Arial" w:eastAsia="Times New Roman" w:hAnsi="Arial" w:cs="Arial"/>
          <w:color w:val="000000"/>
          <w:sz w:val="24"/>
          <w:szCs w:val="24"/>
          <w:lang w:eastAsia="es-MX"/>
        </w:rPr>
        <w:t xml:space="preserve"> que para llevar a cabo estas acciones, el acuerdo específica en el capítulo de administración cómo se instrumentarán y evaluarán dichas acciones, así como las comisiones o comités que se conformarán para darles seguimiento oportuno.</w:t>
      </w:r>
    </w:p>
    <w:p w:rsidR="00110C8A" w:rsidRPr="007623BC" w:rsidRDefault="00110C8A" w:rsidP="00926DEE">
      <w:pPr>
        <w:spacing w:after="0" w:line="480" w:lineRule="auto"/>
        <w:ind w:firstLine="708"/>
        <w:jc w:val="both"/>
        <w:rPr>
          <w:rFonts w:ascii="Arial" w:eastAsia="Times New Roman" w:hAnsi="Arial" w:cs="Arial"/>
          <w:color w:val="000000"/>
          <w:sz w:val="24"/>
          <w:szCs w:val="24"/>
          <w:lang w:eastAsia="es-MX"/>
        </w:rPr>
      </w:pPr>
      <w:r w:rsidRPr="00CC0351">
        <w:rPr>
          <w:rFonts w:ascii="Arial" w:hAnsi="Arial" w:cs="Arial"/>
          <w:sz w:val="24"/>
          <w:szCs w:val="24"/>
        </w:rPr>
        <w:t xml:space="preserve">En materia de educación superior, </w:t>
      </w:r>
      <w:r w:rsidR="00CC0351" w:rsidRPr="00CC0351">
        <w:rPr>
          <w:rFonts w:ascii="Arial" w:hAnsi="Arial" w:cs="Arial"/>
          <w:sz w:val="24"/>
          <w:szCs w:val="24"/>
        </w:rPr>
        <w:t>en 2009 se firmó un importante acuerdo entre la ALADI, la Universidad católica, ORT de Venezuela y la empresa LUZ de Uruguay, este esfuerzo fortalece las actividades de docencia, investigación y extensión de la universidad</w:t>
      </w:r>
      <w:r w:rsidR="003F19CF">
        <w:rPr>
          <w:rFonts w:ascii="Arial" w:hAnsi="Arial" w:cs="Arial"/>
          <w:sz w:val="24"/>
          <w:szCs w:val="24"/>
        </w:rPr>
        <w:t xml:space="preserve">. De este encuentro se derivó </w:t>
      </w:r>
      <w:r w:rsidR="00CC0351" w:rsidRPr="00CC0351">
        <w:rPr>
          <w:rFonts w:ascii="Arial" w:hAnsi="Arial" w:cs="Arial"/>
          <w:sz w:val="24"/>
          <w:szCs w:val="24"/>
        </w:rPr>
        <w:t>la importancia de incorporar la educación superior como estrategia en el fortalecimiento de los objetivos primordiales de la asociación; para ello se propuso como actividad inicial de esta alianza un encuentro de rectores de las universidades de los 13 países miembros de Aladi, cuyo propósito fundamental será estudiar el aporte académico de las universidades al desarrollo de las regiones y la identificación de áreas comunes para for</w:t>
      </w:r>
      <w:r w:rsidR="00CC0351">
        <w:rPr>
          <w:rFonts w:ascii="Arial" w:hAnsi="Arial" w:cs="Arial"/>
          <w:sz w:val="24"/>
          <w:szCs w:val="24"/>
        </w:rPr>
        <w:t>talecer la integración regional</w:t>
      </w:r>
      <w:r w:rsidR="00DB5D20">
        <w:rPr>
          <w:rFonts w:ascii="Arial" w:hAnsi="Arial" w:cs="Arial"/>
          <w:sz w:val="24"/>
          <w:szCs w:val="24"/>
        </w:rPr>
        <w:t>.</w:t>
      </w:r>
    </w:p>
    <w:p w:rsidR="00DB5D20" w:rsidRPr="00DB5D20" w:rsidRDefault="00DB5D20" w:rsidP="00926DEE">
      <w:pPr>
        <w:pStyle w:val="Textoindependiente2"/>
        <w:pageBreakBefore w:val="0"/>
        <w:spacing w:line="480" w:lineRule="auto"/>
        <w:ind w:firstLine="708"/>
      </w:pPr>
      <w:r w:rsidRPr="00DB5D20">
        <w:t>Se señalaron también las acciones concretas a r</w:t>
      </w:r>
      <w:r w:rsidR="002D14AD">
        <w:t>ealizar entre las que destacan:</w:t>
      </w:r>
      <w:r w:rsidRPr="00DB5D20">
        <w:t xml:space="preserve"> la información permanente sobre la oferta académica de</w:t>
      </w:r>
      <w:r>
        <w:t xml:space="preserve"> </w:t>
      </w:r>
      <w:r w:rsidRPr="00DB5D20">
        <w:t xml:space="preserve">la universidad, para propiciar la participación de los funcionarios de la Secretaría en los mismos. </w:t>
      </w:r>
    </w:p>
    <w:p w:rsidR="00DB5D20" w:rsidRDefault="00DB5D20" w:rsidP="00926DEE">
      <w:pPr>
        <w:pStyle w:val="margen05"/>
        <w:autoSpaceDE w:val="0"/>
        <w:autoSpaceDN w:val="0"/>
        <w:adjustRightInd w:val="0"/>
        <w:spacing w:before="0" w:beforeAutospacing="0" w:after="0" w:afterAutospacing="0" w:line="480" w:lineRule="auto"/>
        <w:jc w:val="both"/>
        <w:rPr>
          <w:rFonts w:ascii="Arial" w:hAnsi="Arial" w:cs="Arial"/>
        </w:rPr>
      </w:pPr>
      <w:r w:rsidRPr="00DB5D20">
        <w:rPr>
          <w:rFonts w:ascii="Arial" w:eastAsiaTheme="minorHAnsi" w:hAnsi="Arial" w:cs="Arial"/>
          <w:lang w:eastAsia="en-US"/>
        </w:rPr>
        <w:t>El convenio permitirá a estudiantes de LUZ optar a un régimen de pasantías en las instancias</w:t>
      </w:r>
      <w:r>
        <w:rPr>
          <w:rFonts w:ascii="Arial" w:eastAsiaTheme="minorHAnsi" w:hAnsi="Arial" w:cs="Arial"/>
          <w:lang w:eastAsia="en-US"/>
        </w:rPr>
        <w:t xml:space="preserve"> </w:t>
      </w:r>
      <w:r w:rsidRPr="00DB5D20">
        <w:rPr>
          <w:rFonts w:ascii="Arial" w:hAnsi="Arial" w:cs="Arial"/>
        </w:rPr>
        <w:t xml:space="preserve">administrativas de Aladi, atendiendo a la normativa para tal fin; </w:t>
      </w:r>
      <w:r w:rsidRPr="00DB5D20">
        <w:rPr>
          <w:rFonts w:ascii="Arial" w:hAnsi="Arial" w:cs="Arial"/>
        </w:rPr>
        <w:lastRenderedPageBreak/>
        <w:t>igualmente, contempla el intercambio de información sobre el proceso de integración sub-regional, regional y hemisférico, así como referencias bibliográficas o documentales de interés mutuo. Ambas instituciones, en el marco de sus respectivas competencias y responsabilidades, apoyarán el diseño y ejecución de estudios y proyectos de investigación, así como la realización, en forma conjunta, de foros, conferencias, seminarios y otras actividades sobre el proceso de integración latinoamericano; las cuales serán</w:t>
      </w:r>
      <w:r>
        <w:rPr>
          <w:rFonts w:ascii="Arial" w:hAnsi="Arial" w:cs="Arial"/>
        </w:rPr>
        <w:t xml:space="preserve"> </w:t>
      </w:r>
      <w:r w:rsidRPr="00DB5D20">
        <w:rPr>
          <w:rFonts w:ascii="Arial" w:hAnsi="Arial" w:cs="Arial"/>
        </w:rPr>
        <w:t>promovidas a través de los canales de comunicación de ambas instituciones, especialmente de sus respectivos sitios Web.</w:t>
      </w:r>
    </w:p>
    <w:p w:rsidR="004303A4" w:rsidRDefault="004303A4" w:rsidP="00926DEE">
      <w:pPr>
        <w:pStyle w:val="margen05"/>
        <w:autoSpaceDE w:val="0"/>
        <w:autoSpaceDN w:val="0"/>
        <w:adjustRightInd w:val="0"/>
        <w:spacing w:before="0" w:beforeAutospacing="0" w:after="0" w:afterAutospacing="0" w:line="480" w:lineRule="auto"/>
        <w:ind w:firstLine="708"/>
        <w:jc w:val="both"/>
        <w:rPr>
          <w:rFonts w:ascii="Arial" w:hAnsi="Arial" w:cs="Arial"/>
        </w:rPr>
      </w:pPr>
      <w:r>
        <w:rPr>
          <w:rFonts w:ascii="Arial" w:hAnsi="Arial" w:cs="Arial"/>
        </w:rPr>
        <w:t xml:space="preserve">Acuerdo de complementación económica No. 38 celebrado entre Chile y Perú </w:t>
      </w:r>
      <w:r w:rsidR="00BB5624">
        <w:rPr>
          <w:rFonts w:ascii="Arial" w:hAnsi="Arial" w:cs="Arial"/>
        </w:rPr>
        <w:t xml:space="preserve">en 2009, </w:t>
      </w:r>
      <w:r>
        <w:rPr>
          <w:rFonts w:ascii="Arial" w:hAnsi="Arial" w:cs="Arial"/>
        </w:rPr>
        <w:t xml:space="preserve">en donde </w:t>
      </w:r>
      <w:r w:rsidR="00BB5624">
        <w:rPr>
          <w:rFonts w:ascii="Arial" w:hAnsi="Arial" w:cs="Arial"/>
        </w:rPr>
        <w:t xml:space="preserve">lo que a educación superior se refiere se ubica </w:t>
      </w:r>
      <w:r w:rsidR="00D032F2">
        <w:rPr>
          <w:rFonts w:ascii="Arial" w:hAnsi="Arial" w:cs="Arial"/>
        </w:rPr>
        <w:t xml:space="preserve">– como ya se indicó- </w:t>
      </w:r>
      <w:r w:rsidR="00BB5624">
        <w:rPr>
          <w:rFonts w:ascii="Arial" w:hAnsi="Arial" w:cs="Arial"/>
        </w:rPr>
        <w:t xml:space="preserve">en el rubro de comercio transfronterizo de  servicios, </w:t>
      </w:r>
      <w:r>
        <w:rPr>
          <w:rFonts w:ascii="Arial" w:hAnsi="Arial" w:cs="Arial"/>
        </w:rPr>
        <w:t>se señalan los términos de esta manera:</w:t>
      </w:r>
    </w:p>
    <w:p w:rsidR="004303A4" w:rsidRPr="00BB5624" w:rsidRDefault="004303A4" w:rsidP="00926DEE">
      <w:pPr>
        <w:pStyle w:val="margen05"/>
        <w:autoSpaceDE w:val="0"/>
        <w:autoSpaceDN w:val="0"/>
        <w:adjustRightInd w:val="0"/>
        <w:spacing w:before="0" w:beforeAutospacing="0" w:after="0" w:afterAutospacing="0" w:line="480" w:lineRule="auto"/>
        <w:jc w:val="both"/>
        <w:rPr>
          <w:rFonts w:ascii="Arial" w:hAnsi="Arial" w:cs="Arial"/>
        </w:rPr>
      </w:pPr>
      <w:r w:rsidRPr="00BB5624">
        <w:rPr>
          <w:rFonts w:ascii="Arial" w:hAnsi="Arial" w:cs="Arial"/>
        </w:rPr>
        <w:t>Chile se reserva el derecho de adoptar o mantener cualquier medida con respecto a las personas naturales que presten servicios de educación, incluidos profesores y personal auxiliar que presten servicios educacionales a nivel básico, prebásico, parvulario, diferencial, de educación media, superior, profesional, técnico, universitario y demás personas que presten servicios relacionados con la educación, inclu</w:t>
      </w:r>
      <w:r w:rsidR="00BB5624">
        <w:rPr>
          <w:rFonts w:ascii="Arial" w:hAnsi="Arial" w:cs="Arial"/>
        </w:rPr>
        <w:t>idos l</w:t>
      </w:r>
      <w:r w:rsidRPr="00BB5624">
        <w:rPr>
          <w:rFonts w:ascii="Arial" w:hAnsi="Arial" w:cs="Arial"/>
        </w:rPr>
        <w:t>os sostenedores, en establecimientos educacionales de cualquier tipo, escuelas, colegios, liceos, academias, centros de formación, institutos profesionales y técnicos y/o universidades.</w:t>
      </w:r>
      <w:r w:rsidRPr="00BB5624">
        <w:br/>
      </w:r>
      <w:r w:rsidRPr="00BB5624">
        <w:rPr>
          <w:rFonts w:ascii="Arial" w:hAnsi="Arial" w:cs="Arial"/>
        </w:rPr>
        <w:t xml:space="preserve">Esta reserva no se aplica al suministro de servicios de capacitación relacionados con un segundo idioma, de capacitación de empresas, de capacitación industrial y comercial y de perfeccionamiento de destrezas y servicios de consultoría en </w:t>
      </w:r>
      <w:r w:rsidRPr="00BB5624">
        <w:rPr>
          <w:rFonts w:ascii="Arial" w:hAnsi="Arial" w:cs="Arial"/>
        </w:rPr>
        <w:lastRenderedPageBreak/>
        <w:t>educación, incluyendo apoyo técnico y asesorías, currículum y desarrollo de programas.</w:t>
      </w:r>
    </w:p>
    <w:p w:rsidR="001055C4" w:rsidRDefault="00DB5D20" w:rsidP="00926DEE">
      <w:pPr>
        <w:spacing w:line="480" w:lineRule="auto"/>
        <w:ind w:firstLine="708"/>
        <w:jc w:val="both"/>
        <w:rPr>
          <w:rFonts w:ascii="Arial" w:eastAsia="Times New Roman" w:hAnsi="Arial" w:cs="Arial"/>
          <w:iCs/>
          <w:sz w:val="24"/>
          <w:szCs w:val="24"/>
          <w:lang w:eastAsia="es-MX"/>
        </w:rPr>
      </w:pPr>
      <w:r w:rsidRPr="00BB5624">
        <w:rPr>
          <w:rFonts w:ascii="Arial" w:hAnsi="Arial" w:cs="Arial"/>
          <w:sz w:val="24"/>
          <w:szCs w:val="24"/>
        </w:rPr>
        <w:t xml:space="preserve">El acuerdo de complementación económica No. 41 celebrado entre Chile y México, </w:t>
      </w:r>
      <w:r w:rsidR="007623BC">
        <w:rPr>
          <w:rFonts w:ascii="Arial" w:hAnsi="Arial" w:cs="Arial"/>
          <w:sz w:val="24"/>
          <w:szCs w:val="24"/>
        </w:rPr>
        <w:t xml:space="preserve">está signado bajo los términos que señala </w:t>
      </w:r>
      <w:r w:rsidRPr="00BB5624">
        <w:rPr>
          <w:rFonts w:ascii="Arial" w:hAnsi="Arial" w:cs="Arial"/>
          <w:sz w:val="24"/>
          <w:szCs w:val="24"/>
        </w:rPr>
        <w:t xml:space="preserve"> el </w:t>
      </w:r>
      <w:r w:rsidR="007623BC">
        <w:rPr>
          <w:rFonts w:ascii="Arial" w:hAnsi="Arial" w:cs="Arial"/>
          <w:sz w:val="24"/>
          <w:szCs w:val="24"/>
        </w:rPr>
        <w:t>anexo</w:t>
      </w:r>
      <w:r w:rsidRPr="00BB5624">
        <w:rPr>
          <w:rFonts w:ascii="Arial" w:hAnsi="Arial" w:cs="Arial"/>
          <w:sz w:val="24"/>
          <w:szCs w:val="24"/>
        </w:rPr>
        <w:t xml:space="preserve"> relativo al comercio transfronterizo </w:t>
      </w:r>
      <w:r w:rsidR="00D33CCE" w:rsidRPr="00BB5624">
        <w:rPr>
          <w:rFonts w:ascii="Arial" w:hAnsi="Arial" w:cs="Arial"/>
          <w:sz w:val="24"/>
          <w:szCs w:val="24"/>
        </w:rPr>
        <w:t xml:space="preserve">de servicios </w:t>
      </w:r>
      <w:r w:rsidRPr="00BB5624">
        <w:rPr>
          <w:rFonts w:ascii="Arial" w:eastAsia="Times New Roman" w:hAnsi="Arial" w:cs="Arial"/>
          <w:iCs/>
          <w:sz w:val="24"/>
          <w:szCs w:val="24"/>
          <w:lang w:eastAsia="es-MX"/>
        </w:rPr>
        <w:t>profesionales</w:t>
      </w:r>
      <w:r w:rsidR="001055C4">
        <w:rPr>
          <w:rFonts w:ascii="Arial" w:eastAsia="Times New Roman" w:hAnsi="Arial" w:cs="Arial"/>
          <w:iCs/>
          <w:sz w:val="24"/>
          <w:szCs w:val="24"/>
          <w:lang w:eastAsia="es-MX"/>
        </w:rPr>
        <w:t>.</w:t>
      </w:r>
    </w:p>
    <w:p w:rsidR="001055C4" w:rsidRDefault="00DB5D20" w:rsidP="00926DEE">
      <w:pPr>
        <w:spacing w:line="480" w:lineRule="auto"/>
        <w:ind w:firstLine="708"/>
        <w:jc w:val="both"/>
        <w:rPr>
          <w:rFonts w:ascii="Times New Roman" w:eastAsia="Times New Roman" w:hAnsi="Times New Roman" w:cs="Times New Roman"/>
          <w:sz w:val="24"/>
          <w:szCs w:val="24"/>
          <w:lang w:eastAsia="es-MX"/>
        </w:rPr>
      </w:pPr>
      <w:r w:rsidRPr="00BB5624">
        <w:rPr>
          <w:rFonts w:ascii="Arial" w:eastAsia="Times New Roman" w:hAnsi="Arial" w:cs="Arial"/>
          <w:i/>
          <w:iCs/>
          <w:sz w:val="24"/>
          <w:szCs w:val="24"/>
          <w:lang w:eastAsia="es-MX"/>
        </w:rPr>
        <w:t>Objetivo</w:t>
      </w:r>
      <w:r w:rsidRPr="00BB5624">
        <w:rPr>
          <w:rFonts w:ascii="Times New Roman" w:eastAsia="Times New Roman" w:hAnsi="Times New Roman" w:cs="Times New Roman"/>
          <w:sz w:val="24"/>
          <w:szCs w:val="24"/>
          <w:lang w:eastAsia="es-MX"/>
        </w:rPr>
        <w:br/>
      </w:r>
      <w:r w:rsidRPr="00BB5624">
        <w:rPr>
          <w:rFonts w:ascii="Arial" w:eastAsia="Times New Roman" w:hAnsi="Arial" w:cs="Arial"/>
          <w:sz w:val="24"/>
          <w:szCs w:val="24"/>
          <w:lang w:eastAsia="es-MX"/>
        </w:rPr>
        <w:t>1. Este anexo tiene por objeto establecer las reglas que habrán de observar las Partes para reducir y gradualmente eliminar, en su territorio, las barreras a la prestación de servicios profesionales.</w:t>
      </w:r>
    </w:p>
    <w:p w:rsidR="001055C4" w:rsidRDefault="00DB5D20" w:rsidP="00926DEE">
      <w:pPr>
        <w:spacing w:line="480" w:lineRule="auto"/>
        <w:jc w:val="both"/>
        <w:rPr>
          <w:rFonts w:ascii="Times New Roman" w:eastAsia="Times New Roman" w:hAnsi="Times New Roman" w:cs="Times New Roman"/>
          <w:sz w:val="24"/>
          <w:szCs w:val="24"/>
          <w:lang w:eastAsia="es-MX"/>
        </w:rPr>
      </w:pPr>
      <w:r w:rsidRPr="00BB5624">
        <w:rPr>
          <w:rFonts w:ascii="Arial" w:eastAsia="Times New Roman" w:hAnsi="Arial" w:cs="Arial"/>
          <w:i/>
          <w:iCs/>
          <w:sz w:val="24"/>
          <w:szCs w:val="24"/>
          <w:lang w:eastAsia="es-MX"/>
        </w:rPr>
        <w:t>Trámite de solicitudes para el otorgamiento de licencias y certificados</w:t>
      </w:r>
      <w:r w:rsidR="001055C4">
        <w:rPr>
          <w:rFonts w:ascii="Times New Roman" w:eastAsia="Times New Roman" w:hAnsi="Times New Roman" w:cs="Times New Roman"/>
          <w:sz w:val="24"/>
          <w:szCs w:val="24"/>
          <w:lang w:eastAsia="es-MX"/>
        </w:rPr>
        <w:br/>
      </w:r>
      <w:r w:rsidRPr="00BB5624">
        <w:rPr>
          <w:rFonts w:ascii="Arial" w:eastAsia="Times New Roman" w:hAnsi="Arial" w:cs="Arial"/>
          <w:sz w:val="24"/>
          <w:szCs w:val="24"/>
          <w:lang w:eastAsia="es-MX"/>
        </w:rPr>
        <w:t>2. Cada Parte se asegurará de que sus autoridades competentes, en un plazo razonable a partir de la presentación de una solicitud de licencias o certificados por un nacional de la otra Parte:</w:t>
      </w:r>
    </w:p>
    <w:p w:rsidR="001055C4" w:rsidRDefault="001055C4" w:rsidP="00926DEE">
      <w:pPr>
        <w:pStyle w:val="Prrafodelista"/>
        <w:numPr>
          <w:ilvl w:val="0"/>
          <w:numId w:val="19"/>
        </w:numPr>
        <w:spacing w:line="480" w:lineRule="auto"/>
        <w:jc w:val="both"/>
        <w:rPr>
          <w:rFonts w:ascii="Times New Roman" w:eastAsia="Times New Roman" w:hAnsi="Times New Roman" w:cs="Times New Roman"/>
          <w:sz w:val="24"/>
          <w:szCs w:val="24"/>
          <w:lang w:eastAsia="es-MX"/>
        </w:rPr>
      </w:pPr>
      <w:r w:rsidRPr="001055C4">
        <w:rPr>
          <w:rFonts w:ascii="Arial" w:eastAsia="Times New Roman" w:hAnsi="Arial" w:cs="Arial"/>
          <w:sz w:val="24"/>
          <w:szCs w:val="24"/>
          <w:lang w:eastAsia="es-MX"/>
        </w:rPr>
        <w:t>S</w:t>
      </w:r>
      <w:r w:rsidR="00DB5D20" w:rsidRPr="001055C4">
        <w:rPr>
          <w:rFonts w:ascii="Arial" w:eastAsia="Times New Roman" w:hAnsi="Arial" w:cs="Arial"/>
          <w:sz w:val="24"/>
          <w:szCs w:val="24"/>
          <w:lang w:eastAsia="es-MX"/>
        </w:rPr>
        <w:t xml:space="preserve">i la solicitud está completa, resuelvan sobre ella y notifiquen al solicitante la resolución; o </w:t>
      </w:r>
      <w:r>
        <w:rPr>
          <w:rFonts w:ascii="Times New Roman" w:eastAsia="Times New Roman" w:hAnsi="Times New Roman" w:cs="Times New Roman"/>
          <w:sz w:val="24"/>
          <w:szCs w:val="24"/>
          <w:lang w:eastAsia="es-MX"/>
        </w:rPr>
        <w:t xml:space="preserve"> </w:t>
      </w:r>
    </w:p>
    <w:p w:rsidR="001055C4" w:rsidRPr="001055C4" w:rsidRDefault="00DB5D20" w:rsidP="00926DEE">
      <w:pPr>
        <w:pStyle w:val="Prrafodelista"/>
        <w:spacing w:line="480" w:lineRule="auto"/>
        <w:ind w:left="0"/>
        <w:jc w:val="both"/>
        <w:rPr>
          <w:rFonts w:ascii="Times New Roman" w:eastAsia="Times New Roman" w:hAnsi="Times New Roman" w:cs="Times New Roman"/>
          <w:sz w:val="24"/>
          <w:szCs w:val="24"/>
          <w:lang w:eastAsia="es-MX"/>
        </w:rPr>
      </w:pPr>
      <w:r w:rsidRPr="001055C4">
        <w:rPr>
          <w:rFonts w:ascii="Arial" w:eastAsia="Times New Roman" w:hAnsi="Arial" w:cs="Arial"/>
          <w:sz w:val="24"/>
          <w:szCs w:val="24"/>
          <w:lang w:eastAsia="es-MX"/>
        </w:rPr>
        <w:t>b) si la solicitud está incompleta, informen al solicitante, sin demora injustificada, sobre el estado en que se encuentra la solicitud y la información adicional que se requiera conforme a la legislación de la Parte.</w:t>
      </w:r>
    </w:p>
    <w:p w:rsidR="00F178A6" w:rsidRDefault="00DB5D20" w:rsidP="00926DEE">
      <w:pPr>
        <w:spacing w:line="480" w:lineRule="auto"/>
        <w:jc w:val="both"/>
        <w:rPr>
          <w:rFonts w:ascii="Times New Roman" w:eastAsia="Times New Roman" w:hAnsi="Times New Roman" w:cs="Times New Roman"/>
          <w:sz w:val="24"/>
          <w:szCs w:val="24"/>
          <w:lang w:eastAsia="es-MX"/>
        </w:rPr>
      </w:pPr>
      <w:r w:rsidRPr="001055C4">
        <w:rPr>
          <w:rFonts w:ascii="Arial" w:eastAsia="Times New Roman" w:hAnsi="Arial" w:cs="Arial"/>
          <w:i/>
          <w:iCs/>
          <w:sz w:val="24"/>
          <w:szCs w:val="24"/>
          <w:lang w:eastAsia="es-MX"/>
        </w:rPr>
        <w:t>Elaboración de normas profesionales</w:t>
      </w:r>
    </w:p>
    <w:p w:rsidR="00F178A6" w:rsidRDefault="00DB5D20" w:rsidP="00926DEE">
      <w:pPr>
        <w:spacing w:line="480" w:lineRule="auto"/>
        <w:jc w:val="both"/>
        <w:rPr>
          <w:rFonts w:ascii="Times New Roman" w:eastAsia="Times New Roman" w:hAnsi="Times New Roman" w:cs="Times New Roman"/>
          <w:sz w:val="24"/>
          <w:szCs w:val="24"/>
          <w:lang w:eastAsia="es-MX"/>
        </w:rPr>
      </w:pPr>
      <w:r w:rsidRPr="001055C4">
        <w:rPr>
          <w:rFonts w:ascii="Arial" w:eastAsia="Times New Roman" w:hAnsi="Arial" w:cs="Arial"/>
          <w:sz w:val="24"/>
          <w:szCs w:val="24"/>
          <w:lang w:eastAsia="es-MX"/>
        </w:rPr>
        <w:t xml:space="preserve">3. Las Partes alentarán a los organismos pertinentes en sus respectivos territorios a elaborar normas y criterios mutuamente aceptables para el otorgamiento de licencias y certificados a los prestadores de servicios profesionales, así como a </w:t>
      </w:r>
      <w:r w:rsidRPr="001055C4">
        <w:rPr>
          <w:rFonts w:ascii="Arial" w:eastAsia="Times New Roman" w:hAnsi="Arial" w:cs="Arial"/>
          <w:sz w:val="24"/>
          <w:szCs w:val="24"/>
          <w:lang w:eastAsia="es-MX"/>
        </w:rPr>
        <w:lastRenderedPageBreak/>
        <w:t>presentar al Comité recomendaciones sobre su reconocimiento mutuo.</w:t>
      </w:r>
      <w:r w:rsidRPr="001055C4">
        <w:rPr>
          <w:rFonts w:ascii="Times New Roman" w:eastAsia="Times New Roman" w:hAnsi="Times New Roman" w:cs="Times New Roman"/>
          <w:sz w:val="24"/>
          <w:szCs w:val="24"/>
          <w:lang w:eastAsia="es-MX"/>
        </w:rPr>
        <w:br/>
      </w:r>
      <w:r w:rsidRPr="001055C4">
        <w:rPr>
          <w:rFonts w:ascii="Times New Roman" w:eastAsia="Times New Roman" w:hAnsi="Times New Roman" w:cs="Times New Roman"/>
          <w:sz w:val="24"/>
          <w:szCs w:val="24"/>
          <w:lang w:eastAsia="es-MX"/>
        </w:rPr>
        <w:br/>
      </w:r>
      <w:r w:rsidRPr="001055C4">
        <w:rPr>
          <w:rFonts w:ascii="Arial" w:eastAsia="Times New Roman" w:hAnsi="Arial" w:cs="Arial"/>
          <w:sz w:val="24"/>
          <w:szCs w:val="24"/>
          <w:lang w:eastAsia="es-MX"/>
        </w:rPr>
        <w:t xml:space="preserve">4. Las normas y criterios a que se refiere el párrafo 3 podrán elaborarse con relación a los siguientes aspectos: </w:t>
      </w:r>
      <w:r w:rsidR="00F178A6">
        <w:rPr>
          <w:rFonts w:ascii="Times New Roman" w:eastAsia="Times New Roman" w:hAnsi="Times New Roman" w:cs="Times New Roman"/>
          <w:sz w:val="24"/>
          <w:szCs w:val="24"/>
          <w:lang w:eastAsia="es-MX"/>
        </w:rPr>
        <w:t xml:space="preserve"> </w:t>
      </w:r>
    </w:p>
    <w:p w:rsidR="00D032F2" w:rsidRPr="001055C4" w:rsidRDefault="00222EE4" w:rsidP="00926DEE">
      <w:pPr>
        <w:spacing w:line="480" w:lineRule="auto"/>
        <w:jc w:val="both"/>
        <w:rPr>
          <w:rFonts w:ascii="Times New Roman" w:eastAsia="Times New Roman" w:hAnsi="Times New Roman" w:cs="Times New Roman"/>
          <w:sz w:val="24"/>
          <w:szCs w:val="24"/>
          <w:lang w:eastAsia="es-MX"/>
        </w:rPr>
      </w:pPr>
      <w:r w:rsidRPr="001055C4">
        <w:rPr>
          <w:rFonts w:ascii="Arial" w:eastAsia="Times New Roman" w:hAnsi="Arial" w:cs="Arial"/>
          <w:sz w:val="24"/>
          <w:szCs w:val="24"/>
          <w:lang w:eastAsia="es-MX"/>
        </w:rPr>
        <w:t xml:space="preserve">a) </w:t>
      </w:r>
      <w:r w:rsidR="00F178A6" w:rsidRPr="001055C4">
        <w:rPr>
          <w:rFonts w:ascii="Arial" w:eastAsia="Times New Roman" w:hAnsi="Arial" w:cs="Arial"/>
          <w:sz w:val="24"/>
          <w:szCs w:val="24"/>
          <w:lang w:eastAsia="es-MX"/>
        </w:rPr>
        <w:t>Educación</w:t>
      </w:r>
      <w:r w:rsidR="00DB5D20" w:rsidRPr="001055C4">
        <w:rPr>
          <w:rFonts w:ascii="Arial" w:eastAsia="Times New Roman" w:hAnsi="Arial" w:cs="Arial"/>
          <w:sz w:val="24"/>
          <w:szCs w:val="24"/>
          <w:lang w:eastAsia="es-MX"/>
        </w:rPr>
        <w:t xml:space="preserve"> </w:t>
      </w:r>
      <w:r w:rsidRPr="001055C4">
        <w:rPr>
          <w:rFonts w:ascii="Arial" w:eastAsia="Times New Roman" w:hAnsi="Arial" w:cs="Arial"/>
          <w:sz w:val="24"/>
          <w:szCs w:val="24"/>
          <w:lang w:eastAsia="es-MX"/>
        </w:rPr>
        <w:t>b) exámenes</w:t>
      </w:r>
      <w:r w:rsidR="00DB5D20" w:rsidRPr="001055C4">
        <w:rPr>
          <w:rFonts w:ascii="Arial" w:eastAsia="Times New Roman" w:hAnsi="Arial" w:cs="Arial"/>
          <w:sz w:val="24"/>
          <w:szCs w:val="24"/>
          <w:lang w:eastAsia="es-MX"/>
        </w:rPr>
        <w:t xml:space="preserve"> c)</w:t>
      </w:r>
      <w:r w:rsidRPr="001055C4">
        <w:rPr>
          <w:rFonts w:ascii="Arial" w:eastAsia="Times New Roman" w:hAnsi="Arial" w:cs="Arial"/>
          <w:sz w:val="24"/>
          <w:szCs w:val="24"/>
          <w:lang w:eastAsia="es-MX"/>
        </w:rPr>
        <w:t xml:space="preserve"> experiencia d) conducta y ética</w:t>
      </w:r>
      <w:r w:rsidR="00DB5D20" w:rsidRPr="001055C4">
        <w:rPr>
          <w:rFonts w:ascii="Arial" w:eastAsia="Times New Roman" w:hAnsi="Arial" w:cs="Arial"/>
          <w:sz w:val="24"/>
          <w:szCs w:val="24"/>
          <w:lang w:eastAsia="es-MX"/>
        </w:rPr>
        <w:t xml:space="preserve"> e) desarrollo profesional y</w:t>
      </w:r>
      <w:r w:rsidRPr="001055C4">
        <w:rPr>
          <w:rFonts w:ascii="Arial" w:eastAsia="Times New Roman" w:hAnsi="Arial" w:cs="Arial"/>
          <w:sz w:val="24"/>
          <w:szCs w:val="24"/>
          <w:lang w:eastAsia="es-MX"/>
        </w:rPr>
        <w:t xml:space="preserve"> renovación de la certificación</w:t>
      </w:r>
      <w:r w:rsidR="00DB5D20" w:rsidRPr="001055C4">
        <w:rPr>
          <w:rFonts w:ascii="Arial" w:eastAsia="Times New Roman" w:hAnsi="Arial" w:cs="Arial"/>
          <w:sz w:val="24"/>
          <w:szCs w:val="24"/>
          <w:lang w:eastAsia="es-MX"/>
        </w:rPr>
        <w:t xml:space="preserve"> </w:t>
      </w:r>
      <w:r w:rsidRPr="001055C4">
        <w:rPr>
          <w:rFonts w:ascii="Arial" w:eastAsia="Times New Roman" w:hAnsi="Arial" w:cs="Arial"/>
          <w:sz w:val="24"/>
          <w:szCs w:val="24"/>
          <w:lang w:eastAsia="es-MX"/>
        </w:rPr>
        <w:t>f) ámbito de acción</w:t>
      </w:r>
      <w:r w:rsidR="00DB5D20" w:rsidRPr="001055C4">
        <w:rPr>
          <w:rFonts w:ascii="Arial" w:eastAsia="Times New Roman" w:hAnsi="Arial" w:cs="Arial"/>
          <w:sz w:val="24"/>
          <w:szCs w:val="24"/>
          <w:lang w:eastAsia="es-MX"/>
        </w:rPr>
        <w:t xml:space="preserve"> </w:t>
      </w:r>
      <w:r w:rsidRPr="001055C4">
        <w:rPr>
          <w:rFonts w:ascii="Arial" w:eastAsia="Times New Roman" w:hAnsi="Arial" w:cs="Arial"/>
          <w:sz w:val="24"/>
          <w:szCs w:val="24"/>
          <w:lang w:eastAsia="es-MX"/>
        </w:rPr>
        <w:t>g) conocimiento local</w:t>
      </w:r>
      <w:r w:rsidR="00DB5D20" w:rsidRPr="001055C4">
        <w:rPr>
          <w:rFonts w:ascii="Arial" w:eastAsia="Times New Roman" w:hAnsi="Arial" w:cs="Arial"/>
          <w:sz w:val="24"/>
          <w:szCs w:val="24"/>
          <w:lang w:eastAsia="es-MX"/>
        </w:rPr>
        <w:t xml:space="preserve"> y</w:t>
      </w:r>
      <w:r w:rsidRPr="001055C4">
        <w:rPr>
          <w:rFonts w:ascii="Times New Roman" w:eastAsia="Times New Roman" w:hAnsi="Times New Roman" w:cs="Times New Roman"/>
          <w:sz w:val="24"/>
          <w:szCs w:val="24"/>
          <w:lang w:eastAsia="es-MX"/>
        </w:rPr>
        <w:t xml:space="preserve"> </w:t>
      </w:r>
      <w:r w:rsidRPr="001055C4">
        <w:rPr>
          <w:rFonts w:ascii="Arial" w:eastAsia="Times New Roman" w:hAnsi="Arial" w:cs="Arial"/>
          <w:sz w:val="24"/>
          <w:szCs w:val="24"/>
          <w:lang w:eastAsia="es-MX"/>
        </w:rPr>
        <w:t xml:space="preserve">h) protección al consumidor, que son los elementos que conforman el anexo de prestación de servicios profesionales de los </w:t>
      </w:r>
      <w:r w:rsidR="00C523E6" w:rsidRPr="001055C4">
        <w:rPr>
          <w:rFonts w:ascii="Arial" w:eastAsia="Times New Roman" w:hAnsi="Arial" w:cs="Arial"/>
          <w:sz w:val="24"/>
          <w:szCs w:val="24"/>
          <w:lang w:eastAsia="es-MX"/>
        </w:rPr>
        <w:t>acuerdos de</w:t>
      </w:r>
      <w:r w:rsidR="00D032F2" w:rsidRPr="001055C4">
        <w:rPr>
          <w:rFonts w:ascii="Arial" w:eastAsia="Times New Roman" w:hAnsi="Arial" w:cs="Arial"/>
          <w:sz w:val="24"/>
          <w:szCs w:val="24"/>
          <w:lang w:eastAsia="es-MX"/>
        </w:rPr>
        <w:t xml:space="preserve"> complementación económica que a su vez forman parte de los acuerdos de alcance parcial descritos líneas arriba.</w:t>
      </w:r>
    </w:p>
    <w:p w:rsidR="004C2B05" w:rsidRDefault="004C2B05" w:rsidP="00926DEE">
      <w:pPr>
        <w:spacing w:line="48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También se toma en cuenta </w:t>
      </w:r>
      <w:r w:rsidRPr="00BB5624">
        <w:rPr>
          <w:rFonts w:ascii="Arial" w:eastAsia="Times New Roman" w:hAnsi="Arial" w:cs="Arial"/>
          <w:sz w:val="24"/>
          <w:szCs w:val="24"/>
          <w:lang w:eastAsia="es-MX"/>
        </w:rPr>
        <w:t>elaborar procedimientos para la expedición de licencias temporales a los prestadores de servicios</w:t>
      </w:r>
      <w:r>
        <w:rPr>
          <w:rFonts w:ascii="Arial" w:eastAsia="Times New Roman" w:hAnsi="Arial" w:cs="Arial"/>
          <w:sz w:val="24"/>
          <w:szCs w:val="24"/>
          <w:lang w:eastAsia="es-MX"/>
        </w:rPr>
        <w:t xml:space="preserve"> profesionales de la otra Parte, así como la iniciativa de alentar a sus autoridades competentes a poner en práctica las recomendaciones, que se consideren pertinentes de acuerdo al párrafo No. 3. </w:t>
      </w:r>
    </w:p>
    <w:p w:rsidR="00DB5D20" w:rsidRDefault="004C2B05" w:rsidP="00926DEE">
      <w:pPr>
        <w:spacing w:line="48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El presente acuerdo señala que el </w:t>
      </w:r>
      <w:r w:rsidR="00DB5D20" w:rsidRPr="00BB5624">
        <w:rPr>
          <w:rFonts w:ascii="Arial" w:eastAsia="Times New Roman" w:hAnsi="Arial" w:cs="Arial"/>
          <w:sz w:val="24"/>
          <w:szCs w:val="24"/>
          <w:lang w:eastAsia="es-MX"/>
        </w:rPr>
        <w:t>Comité revisará periódicamente, al menos cada tres años, la aplicación de las disposiciones de este anexo.</w:t>
      </w:r>
    </w:p>
    <w:p w:rsidR="00AE0FE6" w:rsidRDefault="00AE0FE6" w:rsidP="00926DEE">
      <w:pPr>
        <w:spacing w:after="0" w:line="480" w:lineRule="auto"/>
        <w:jc w:val="both"/>
        <w:rPr>
          <w:rFonts w:ascii="Arial" w:eastAsia="Times New Roman" w:hAnsi="Arial" w:cs="Arial"/>
          <w:bCs/>
          <w:color w:val="000000"/>
          <w:sz w:val="24"/>
          <w:szCs w:val="24"/>
          <w:lang w:eastAsia="es-MX"/>
        </w:rPr>
      </w:pPr>
      <w:r w:rsidRPr="00AE0FE6">
        <w:rPr>
          <w:rFonts w:ascii="Arial" w:eastAsia="Times New Roman" w:hAnsi="Arial" w:cs="Arial"/>
          <w:bCs/>
          <w:color w:val="000000"/>
          <w:sz w:val="24"/>
          <w:szCs w:val="24"/>
          <w:lang w:eastAsia="es-MX"/>
        </w:rPr>
        <w:t>El acuerdo de i</w:t>
      </w:r>
      <w:r>
        <w:rPr>
          <w:rFonts w:ascii="Arial" w:eastAsia="Times New Roman" w:hAnsi="Arial" w:cs="Arial"/>
          <w:bCs/>
          <w:color w:val="000000"/>
          <w:sz w:val="24"/>
          <w:szCs w:val="24"/>
          <w:lang w:eastAsia="es-MX"/>
        </w:rPr>
        <w:t>ntegración comercial entre los Estados U</w:t>
      </w:r>
      <w:r w:rsidRPr="00AE0FE6">
        <w:rPr>
          <w:rFonts w:ascii="Arial" w:eastAsia="Times New Roman" w:hAnsi="Arial" w:cs="Arial"/>
          <w:bCs/>
          <w:color w:val="000000"/>
          <w:sz w:val="24"/>
          <w:szCs w:val="24"/>
          <w:lang w:eastAsia="es-MX"/>
        </w:rPr>
        <w:t>nido</w:t>
      </w:r>
      <w:r>
        <w:rPr>
          <w:rFonts w:ascii="Arial" w:eastAsia="Times New Roman" w:hAnsi="Arial" w:cs="Arial"/>
          <w:bCs/>
          <w:color w:val="000000"/>
          <w:sz w:val="24"/>
          <w:szCs w:val="24"/>
          <w:lang w:eastAsia="es-MX"/>
        </w:rPr>
        <w:t>s Mexicanos y la República del P</w:t>
      </w:r>
      <w:r w:rsidRPr="00AE0FE6">
        <w:rPr>
          <w:rFonts w:ascii="Arial" w:eastAsia="Times New Roman" w:hAnsi="Arial" w:cs="Arial"/>
          <w:bCs/>
          <w:color w:val="000000"/>
          <w:sz w:val="24"/>
          <w:szCs w:val="24"/>
          <w:lang w:eastAsia="es-MX"/>
        </w:rPr>
        <w:t>erú</w:t>
      </w:r>
      <w:r>
        <w:rPr>
          <w:rFonts w:ascii="Arial" w:eastAsia="Times New Roman" w:hAnsi="Arial" w:cs="Arial"/>
          <w:bCs/>
          <w:color w:val="000000"/>
          <w:sz w:val="24"/>
          <w:szCs w:val="24"/>
          <w:lang w:eastAsia="es-MX"/>
        </w:rPr>
        <w:t xml:space="preserve">, </w:t>
      </w:r>
      <w:r w:rsidR="002A4A30">
        <w:rPr>
          <w:rFonts w:ascii="Arial" w:eastAsia="Times New Roman" w:hAnsi="Arial" w:cs="Arial"/>
          <w:bCs/>
          <w:color w:val="000000"/>
          <w:sz w:val="24"/>
          <w:szCs w:val="24"/>
          <w:lang w:eastAsia="es-MX"/>
        </w:rPr>
        <w:t xml:space="preserve">toma en cuenta la relación con otros convenios: </w:t>
      </w:r>
      <w:r w:rsidR="002A4A30" w:rsidRPr="002A4A30">
        <w:rPr>
          <w:rFonts w:ascii="Arial" w:eastAsia="Times New Roman" w:hAnsi="Arial" w:cs="Arial"/>
          <w:color w:val="000000"/>
          <w:sz w:val="24"/>
          <w:szCs w:val="24"/>
          <w:lang w:eastAsia="es-MX"/>
        </w:rPr>
        <w:t>a) el Convenio Regional de Convalidación de Estudios, Títulos y Diplomas de Educación Superior en América Latina y el Caribe, de 1974;</w:t>
      </w:r>
      <w:r w:rsidR="002A4A30" w:rsidRPr="002A4A30">
        <w:rPr>
          <w:rFonts w:ascii="Times New Roman" w:eastAsia="Times New Roman" w:hAnsi="Times New Roman" w:cs="Times New Roman"/>
          <w:color w:val="000000"/>
          <w:sz w:val="24"/>
          <w:szCs w:val="24"/>
          <w:lang w:eastAsia="es-MX"/>
        </w:rPr>
        <w:t xml:space="preserve"> </w:t>
      </w:r>
      <w:r w:rsidR="002A4A30" w:rsidRPr="002A4A30">
        <w:rPr>
          <w:rFonts w:ascii="Arial" w:eastAsia="Times New Roman" w:hAnsi="Arial" w:cs="Arial"/>
          <w:color w:val="000000"/>
          <w:sz w:val="24"/>
          <w:szCs w:val="24"/>
          <w:lang w:eastAsia="es-MX"/>
        </w:rPr>
        <w:t>b) el Convenio Andrés Bello de Integración Educativa, Científica, Tecnológica y Cultural, de 1990; y</w:t>
      </w:r>
      <w:r w:rsidR="002A4A30" w:rsidRPr="002A4A30">
        <w:rPr>
          <w:rFonts w:ascii="Times New Roman" w:eastAsia="Times New Roman" w:hAnsi="Times New Roman" w:cs="Times New Roman"/>
          <w:color w:val="000000"/>
          <w:sz w:val="24"/>
          <w:szCs w:val="24"/>
          <w:lang w:eastAsia="es-MX"/>
        </w:rPr>
        <w:t xml:space="preserve"> </w:t>
      </w:r>
      <w:r w:rsidR="002A4A30" w:rsidRPr="002A4A30">
        <w:rPr>
          <w:rFonts w:ascii="Arial" w:eastAsia="Times New Roman" w:hAnsi="Arial" w:cs="Arial"/>
          <w:color w:val="000000"/>
          <w:sz w:val="24"/>
          <w:szCs w:val="24"/>
          <w:lang w:eastAsia="es-MX"/>
        </w:rPr>
        <w:t xml:space="preserve">c) </w:t>
      </w:r>
      <w:r w:rsidR="002A4A30" w:rsidRPr="002A4A30">
        <w:rPr>
          <w:rFonts w:ascii="Arial" w:eastAsia="Times New Roman" w:hAnsi="Arial" w:cs="Arial"/>
          <w:color w:val="000000"/>
          <w:sz w:val="24"/>
          <w:szCs w:val="24"/>
          <w:lang w:eastAsia="es-MX"/>
        </w:rPr>
        <w:lastRenderedPageBreak/>
        <w:t>cualquier otro convenio o acuerdo del que sean partes con anterioridad a la fecha de entrada en vigor de este Acuerdo.</w:t>
      </w:r>
      <w:r w:rsidR="002A4A30">
        <w:rPr>
          <w:rFonts w:ascii="Times New Roman" w:eastAsia="Times New Roman" w:hAnsi="Times New Roman" w:cs="Times New Roman"/>
          <w:color w:val="000000"/>
          <w:sz w:val="24"/>
          <w:szCs w:val="24"/>
          <w:lang w:eastAsia="es-MX"/>
        </w:rPr>
        <w:t xml:space="preserve"> </w:t>
      </w:r>
      <w:r w:rsidR="002A4A30" w:rsidRPr="002A4A30">
        <w:rPr>
          <w:rFonts w:ascii="Arial" w:eastAsia="Times New Roman" w:hAnsi="Arial" w:cs="Arial"/>
          <w:color w:val="000000"/>
          <w:sz w:val="24"/>
          <w:szCs w:val="24"/>
          <w:lang w:eastAsia="es-MX"/>
        </w:rPr>
        <w:t>Dicho convenio</w:t>
      </w:r>
      <w:r w:rsidR="002A4A30">
        <w:rPr>
          <w:rFonts w:ascii="Times New Roman" w:eastAsia="Times New Roman" w:hAnsi="Times New Roman" w:cs="Times New Roman"/>
          <w:color w:val="000000"/>
          <w:sz w:val="24"/>
          <w:szCs w:val="24"/>
          <w:lang w:eastAsia="es-MX"/>
        </w:rPr>
        <w:t xml:space="preserve"> </w:t>
      </w:r>
      <w:r>
        <w:rPr>
          <w:rFonts w:ascii="Arial" w:eastAsia="Times New Roman" w:hAnsi="Arial" w:cs="Arial"/>
          <w:bCs/>
          <w:color w:val="000000"/>
          <w:sz w:val="24"/>
          <w:szCs w:val="24"/>
          <w:lang w:eastAsia="es-MX"/>
        </w:rPr>
        <w:t xml:space="preserve">toma en cuenta los elementos establecidos por el marco legal aceptado por los países miembros de ALADI, </w:t>
      </w:r>
      <w:r w:rsidR="002A4A30">
        <w:rPr>
          <w:rFonts w:ascii="Arial" w:eastAsia="Times New Roman" w:hAnsi="Arial" w:cs="Arial"/>
          <w:bCs/>
          <w:color w:val="000000"/>
          <w:sz w:val="24"/>
          <w:szCs w:val="24"/>
          <w:lang w:eastAsia="es-MX"/>
        </w:rPr>
        <w:t xml:space="preserve">por tanto, incluye </w:t>
      </w:r>
      <w:r>
        <w:rPr>
          <w:rFonts w:ascii="Arial" w:eastAsia="Times New Roman" w:hAnsi="Arial" w:cs="Arial"/>
          <w:bCs/>
          <w:color w:val="000000"/>
          <w:sz w:val="24"/>
          <w:szCs w:val="24"/>
          <w:lang w:eastAsia="es-MX"/>
        </w:rPr>
        <w:t>el reconocimiento mutuo de certificados, títulos y/o grados a</w:t>
      </w:r>
      <w:r w:rsidRPr="00AE0FE6">
        <w:rPr>
          <w:rFonts w:ascii="Arial" w:eastAsia="Times New Roman" w:hAnsi="Arial" w:cs="Arial"/>
          <w:bCs/>
          <w:color w:val="000000"/>
          <w:sz w:val="24"/>
          <w:szCs w:val="24"/>
          <w:lang w:eastAsia="es-MX"/>
        </w:rPr>
        <w:t>cadémicos</w:t>
      </w:r>
      <w:r>
        <w:rPr>
          <w:rFonts w:ascii="Arial" w:eastAsia="Times New Roman" w:hAnsi="Arial" w:cs="Arial"/>
          <w:bCs/>
          <w:color w:val="000000"/>
          <w:sz w:val="24"/>
          <w:szCs w:val="24"/>
          <w:lang w:eastAsia="es-MX"/>
        </w:rPr>
        <w:t xml:space="preserve">, </w:t>
      </w:r>
      <w:r w:rsidR="002A4A30">
        <w:rPr>
          <w:rFonts w:ascii="Arial" w:eastAsia="Times New Roman" w:hAnsi="Arial" w:cs="Arial"/>
          <w:bCs/>
          <w:color w:val="000000"/>
          <w:sz w:val="24"/>
          <w:szCs w:val="24"/>
          <w:lang w:eastAsia="es-MX"/>
        </w:rPr>
        <w:t>p</w:t>
      </w:r>
      <w:r w:rsidRPr="002A4A30">
        <w:rPr>
          <w:rFonts w:ascii="Arial" w:eastAsia="Times New Roman" w:hAnsi="Arial" w:cs="Arial"/>
          <w:bCs/>
          <w:color w:val="000000"/>
          <w:sz w:val="24"/>
          <w:szCs w:val="24"/>
          <w:lang w:eastAsia="es-MX"/>
        </w:rPr>
        <w:t xml:space="preserve">rácticas pre-profesionales o servicio social estudiantil así como </w:t>
      </w:r>
      <w:r w:rsidR="002A4A30">
        <w:rPr>
          <w:rFonts w:ascii="Arial" w:eastAsia="Times New Roman" w:hAnsi="Arial" w:cs="Arial"/>
          <w:bCs/>
          <w:color w:val="000000"/>
          <w:sz w:val="24"/>
          <w:szCs w:val="24"/>
          <w:lang w:eastAsia="es-MX"/>
        </w:rPr>
        <w:t xml:space="preserve">los estudios en el extranjero. </w:t>
      </w:r>
    </w:p>
    <w:p w:rsidR="002A4A30" w:rsidRDefault="002A4A30" w:rsidP="00926DEE">
      <w:pPr>
        <w:spacing w:after="0" w:line="480" w:lineRule="auto"/>
        <w:jc w:val="both"/>
        <w:rPr>
          <w:rFonts w:ascii="Arial" w:eastAsia="Times New Roman" w:hAnsi="Arial" w:cs="Arial"/>
          <w:bCs/>
          <w:color w:val="000000"/>
          <w:sz w:val="24"/>
          <w:szCs w:val="24"/>
          <w:lang w:eastAsia="es-MX"/>
        </w:rPr>
      </w:pPr>
      <w:r>
        <w:rPr>
          <w:rFonts w:ascii="Arial" w:eastAsia="Times New Roman" w:hAnsi="Arial" w:cs="Arial"/>
          <w:bCs/>
          <w:color w:val="000000"/>
          <w:sz w:val="24"/>
          <w:szCs w:val="24"/>
          <w:lang w:eastAsia="es-MX"/>
        </w:rPr>
        <w:tab/>
        <w:t xml:space="preserve">Cabe señalar que para el adecuado funcionamiento de este convenio se conformó  el </w:t>
      </w:r>
      <w:r w:rsidRPr="002A4A30">
        <w:rPr>
          <w:rFonts w:ascii="Arial" w:eastAsia="Times New Roman" w:hAnsi="Arial" w:cs="Arial"/>
          <w:bCs/>
          <w:color w:val="000000"/>
          <w:sz w:val="24"/>
          <w:szCs w:val="24"/>
          <w:lang w:eastAsia="es-MX"/>
        </w:rPr>
        <w:t xml:space="preserve">Comité </w:t>
      </w:r>
      <w:r>
        <w:rPr>
          <w:rFonts w:ascii="Arial" w:eastAsia="Times New Roman" w:hAnsi="Arial" w:cs="Arial"/>
          <w:bCs/>
          <w:color w:val="000000"/>
          <w:sz w:val="24"/>
          <w:szCs w:val="24"/>
          <w:lang w:eastAsia="es-MX"/>
        </w:rPr>
        <w:t>d</w:t>
      </w:r>
      <w:r w:rsidRPr="002A4A30">
        <w:rPr>
          <w:rFonts w:ascii="Arial" w:eastAsia="Times New Roman" w:hAnsi="Arial" w:cs="Arial"/>
          <w:bCs/>
          <w:color w:val="000000"/>
          <w:sz w:val="24"/>
          <w:szCs w:val="24"/>
          <w:lang w:eastAsia="es-MX"/>
        </w:rPr>
        <w:t xml:space="preserve">e </w:t>
      </w:r>
      <w:r>
        <w:rPr>
          <w:rFonts w:ascii="Arial" w:eastAsia="Times New Roman" w:hAnsi="Arial" w:cs="Arial"/>
          <w:bCs/>
          <w:color w:val="000000"/>
          <w:sz w:val="24"/>
          <w:szCs w:val="24"/>
          <w:lang w:eastAsia="es-MX"/>
        </w:rPr>
        <w:t>R</w:t>
      </w:r>
      <w:r w:rsidRPr="002A4A30">
        <w:rPr>
          <w:rFonts w:ascii="Arial" w:eastAsia="Times New Roman" w:hAnsi="Arial" w:cs="Arial"/>
          <w:bCs/>
          <w:color w:val="000000"/>
          <w:sz w:val="24"/>
          <w:szCs w:val="24"/>
          <w:lang w:eastAsia="es-MX"/>
        </w:rPr>
        <w:t>econocimiento Mutuo</w:t>
      </w:r>
      <w:r>
        <w:rPr>
          <w:rFonts w:ascii="Arial" w:eastAsia="Times New Roman" w:hAnsi="Arial" w:cs="Arial"/>
          <w:bCs/>
          <w:color w:val="000000"/>
          <w:sz w:val="24"/>
          <w:szCs w:val="24"/>
          <w:lang w:eastAsia="es-MX"/>
        </w:rPr>
        <w:t>, encargado de:</w:t>
      </w:r>
    </w:p>
    <w:p w:rsidR="002A4A30" w:rsidRPr="00203FBC" w:rsidRDefault="002A4A30" w:rsidP="00926DEE">
      <w:pPr>
        <w:spacing w:after="0" w:line="480" w:lineRule="auto"/>
        <w:jc w:val="both"/>
        <w:rPr>
          <w:rFonts w:ascii="Times New Roman" w:eastAsia="Times New Roman" w:hAnsi="Times New Roman" w:cs="Times New Roman"/>
          <w:color w:val="000000"/>
          <w:sz w:val="24"/>
          <w:szCs w:val="24"/>
          <w:lang w:eastAsia="es-MX"/>
        </w:rPr>
      </w:pPr>
      <w:r w:rsidRPr="00203FBC">
        <w:rPr>
          <w:rFonts w:ascii="Arial" w:eastAsia="Times New Roman" w:hAnsi="Arial" w:cs="Arial"/>
          <w:color w:val="000000"/>
          <w:sz w:val="24"/>
          <w:szCs w:val="24"/>
          <w:lang w:eastAsia="es-MX"/>
        </w:rPr>
        <w:t>a) facilitar la ejecución de los compromisos establecidos en este Capítulo;</w:t>
      </w:r>
      <w:r w:rsidRPr="00203FBC">
        <w:rPr>
          <w:rFonts w:ascii="Times New Roman" w:eastAsia="Times New Roman" w:hAnsi="Times New Roman" w:cs="Times New Roman"/>
          <w:color w:val="000000"/>
          <w:sz w:val="24"/>
          <w:szCs w:val="24"/>
          <w:lang w:eastAsia="es-MX"/>
        </w:rPr>
        <w:br/>
      </w:r>
      <w:r w:rsidRPr="00203FBC">
        <w:rPr>
          <w:rFonts w:ascii="Arial" w:eastAsia="Times New Roman" w:hAnsi="Arial" w:cs="Arial"/>
          <w:color w:val="000000"/>
          <w:sz w:val="24"/>
          <w:szCs w:val="24"/>
          <w:lang w:eastAsia="es-MX"/>
        </w:rPr>
        <w:t>b) revisar al menos una vez al año los procedimientos para convalidar los certificados, títulos y/o grados académicos en cada una de las Partes;</w:t>
      </w:r>
      <w:r w:rsidRPr="00203FBC">
        <w:rPr>
          <w:rFonts w:ascii="Times New Roman" w:eastAsia="Times New Roman" w:hAnsi="Times New Roman" w:cs="Times New Roman"/>
          <w:color w:val="000000"/>
          <w:sz w:val="24"/>
          <w:szCs w:val="24"/>
          <w:lang w:eastAsia="es-MX"/>
        </w:rPr>
        <w:t xml:space="preserve">  </w:t>
      </w:r>
    </w:p>
    <w:p w:rsidR="00203FBC" w:rsidRDefault="002A4A30" w:rsidP="00926DEE">
      <w:pPr>
        <w:spacing w:after="0" w:line="480" w:lineRule="auto"/>
        <w:jc w:val="both"/>
        <w:rPr>
          <w:rFonts w:ascii="Times New Roman" w:eastAsia="Times New Roman" w:hAnsi="Times New Roman" w:cs="Times New Roman"/>
          <w:color w:val="000000"/>
          <w:sz w:val="24"/>
          <w:szCs w:val="24"/>
          <w:lang w:eastAsia="es-MX"/>
        </w:rPr>
      </w:pPr>
      <w:r w:rsidRPr="00203FBC">
        <w:rPr>
          <w:rFonts w:ascii="Arial" w:eastAsia="Times New Roman" w:hAnsi="Arial" w:cs="Arial"/>
          <w:color w:val="000000"/>
          <w:sz w:val="24"/>
          <w:szCs w:val="24"/>
          <w:lang w:eastAsia="es-MX"/>
        </w:rPr>
        <w:t>c) definir mecanismos para promover el intercambio de planes de estudios entre universidades, institutos y escuelas superiores vigentes en cada una de las Partes; y</w:t>
      </w:r>
      <w:r w:rsidRPr="00203FBC">
        <w:rPr>
          <w:rFonts w:ascii="Times New Roman" w:eastAsia="Times New Roman" w:hAnsi="Times New Roman" w:cs="Times New Roman"/>
          <w:color w:val="000000"/>
          <w:sz w:val="24"/>
          <w:szCs w:val="24"/>
          <w:lang w:eastAsia="es-MX"/>
        </w:rPr>
        <w:t xml:space="preserve"> </w:t>
      </w:r>
    </w:p>
    <w:p w:rsidR="00203FBC" w:rsidRDefault="002A4A30" w:rsidP="00926DEE">
      <w:pPr>
        <w:spacing w:after="0" w:line="480" w:lineRule="auto"/>
        <w:jc w:val="both"/>
        <w:rPr>
          <w:rFonts w:ascii="Arial" w:eastAsia="Times New Roman" w:hAnsi="Arial" w:cs="Arial"/>
          <w:color w:val="000000"/>
          <w:sz w:val="24"/>
          <w:szCs w:val="24"/>
          <w:lang w:eastAsia="es-MX"/>
        </w:rPr>
      </w:pPr>
      <w:r w:rsidRPr="00203FBC">
        <w:rPr>
          <w:rFonts w:ascii="Arial" w:eastAsia="Times New Roman" w:hAnsi="Arial" w:cs="Arial"/>
          <w:color w:val="000000"/>
          <w:sz w:val="24"/>
          <w:szCs w:val="24"/>
          <w:lang w:eastAsia="es-MX"/>
        </w:rPr>
        <w:t>d) definir mecanismos para promover el intercambio de buenas prácticas en el desarrollo de los sistemas educativos en cada una de las Partes.</w:t>
      </w:r>
    </w:p>
    <w:p w:rsidR="001055C4" w:rsidRDefault="00203FBC" w:rsidP="00B039CD">
      <w:pPr>
        <w:pStyle w:val="Sangradetextonormal"/>
      </w:pPr>
      <w:r>
        <w:t>Como se aprecia, todos los acuerdos de alcance parcial y los acuerdos de complementación económica, incluyen en el anexo de prestación de servicios transfronterizos a la educación superior, en el rubro de presta</w:t>
      </w:r>
      <w:r w:rsidR="001055C4">
        <w:t>ción de servicios profesionales.</w:t>
      </w:r>
    </w:p>
    <w:p w:rsidR="00E21B7A" w:rsidRDefault="00F11FE1" w:rsidP="00926DEE">
      <w:pPr>
        <w:spacing w:after="0" w:line="48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ALCA</w:t>
      </w:r>
    </w:p>
    <w:p w:rsidR="00395E15" w:rsidRPr="00395E15" w:rsidRDefault="00395E15" w:rsidP="00395E15">
      <w:pPr>
        <w:shd w:val="clear" w:color="auto" w:fill="FFFFFF"/>
        <w:spacing w:before="100" w:beforeAutospacing="1" w:after="100" w:afterAutospacing="1" w:line="480" w:lineRule="auto"/>
        <w:jc w:val="both"/>
        <w:rPr>
          <w:rFonts w:ascii="Times New Roman" w:eastAsia="Times New Roman" w:hAnsi="Times New Roman" w:cs="Times New Roman"/>
          <w:color w:val="000000"/>
          <w:sz w:val="24"/>
          <w:szCs w:val="24"/>
          <w:lang w:eastAsia="es-MX"/>
        </w:rPr>
      </w:pPr>
      <w:r>
        <w:rPr>
          <w:rFonts w:ascii="Arial" w:eastAsia="Times New Roman" w:hAnsi="Arial" w:cs="Arial"/>
          <w:color w:val="222222"/>
          <w:sz w:val="24"/>
          <w:szCs w:val="24"/>
          <w:lang w:val="es-ES" w:eastAsia="es-MX"/>
        </w:rPr>
        <w:t>El ALCA es el A</w:t>
      </w:r>
      <w:r w:rsidRPr="00AB25EE">
        <w:rPr>
          <w:rFonts w:ascii="Arial" w:eastAsia="Times New Roman" w:hAnsi="Arial" w:cs="Arial"/>
          <w:color w:val="222222"/>
          <w:sz w:val="24"/>
          <w:szCs w:val="24"/>
          <w:lang w:val="es-ES" w:eastAsia="es-MX"/>
        </w:rPr>
        <w:t xml:space="preserve">cuerdo </w:t>
      </w:r>
      <w:r>
        <w:rPr>
          <w:rFonts w:ascii="Arial" w:eastAsia="Times New Roman" w:hAnsi="Arial" w:cs="Arial"/>
          <w:color w:val="222222"/>
          <w:sz w:val="24"/>
          <w:szCs w:val="24"/>
          <w:lang w:val="es-ES" w:eastAsia="es-MX"/>
        </w:rPr>
        <w:t xml:space="preserve">de Libre Comercio </w:t>
      </w:r>
      <w:r w:rsidRPr="00AB25EE">
        <w:rPr>
          <w:rFonts w:ascii="Arial" w:eastAsia="Times New Roman" w:hAnsi="Arial" w:cs="Arial"/>
          <w:color w:val="222222"/>
          <w:sz w:val="24"/>
          <w:szCs w:val="24"/>
          <w:lang w:val="es-ES" w:eastAsia="es-MX"/>
        </w:rPr>
        <w:t xml:space="preserve">de las </w:t>
      </w:r>
      <w:r>
        <w:rPr>
          <w:rFonts w:ascii="Arial" w:eastAsia="Times New Roman" w:hAnsi="Arial" w:cs="Arial"/>
          <w:color w:val="222222"/>
          <w:sz w:val="24"/>
          <w:szCs w:val="24"/>
          <w:lang w:val="es-ES" w:eastAsia="es-MX"/>
        </w:rPr>
        <w:t>A</w:t>
      </w:r>
      <w:r w:rsidRPr="00AB25EE">
        <w:rPr>
          <w:rFonts w:ascii="Arial" w:eastAsia="Times New Roman" w:hAnsi="Arial" w:cs="Arial"/>
          <w:color w:val="222222"/>
          <w:sz w:val="24"/>
          <w:szCs w:val="24"/>
          <w:lang w:val="es-ES" w:eastAsia="es-MX"/>
        </w:rPr>
        <w:t xml:space="preserve">méricas, </w:t>
      </w:r>
      <w:r>
        <w:rPr>
          <w:rFonts w:ascii="Arial" w:eastAsia="Times New Roman" w:hAnsi="Arial" w:cs="Arial"/>
          <w:color w:val="222222"/>
          <w:sz w:val="24"/>
          <w:szCs w:val="24"/>
          <w:lang w:val="es-ES" w:eastAsia="es-MX"/>
        </w:rPr>
        <w:t xml:space="preserve">cuyo principal objetivo es procurar </w:t>
      </w:r>
      <w:r w:rsidRPr="00AB25EE">
        <w:rPr>
          <w:rFonts w:ascii="Arial" w:eastAsia="Times New Roman" w:hAnsi="Arial" w:cs="Arial"/>
          <w:color w:val="222222"/>
          <w:sz w:val="24"/>
          <w:szCs w:val="24"/>
          <w:lang w:val="es-ES" w:eastAsia="es-MX"/>
        </w:rPr>
        <w:t>la libre circulación del </w:t>
      </w:r>
      <w:r>
        <w:rPr>
          <w:rFonts w:ascii="Arial" w:eastAsia="Times New Roman" w:hAnsi="Arial" w:cs="Arial"/>
          <w:color w:val="222222"/>
          <w:sz w:val="24"/>
          <w:szCs w:val="24"/>
          <w:lang w:val="es-ES" w:eastAsia="es-MX"/>
        </w:rPr>
        <w:t>capital</w:t>
      </w:r>
      <w:r w:rsidRPr="00AB25EE">
        <w:rPr>
          <w:rFonts w:ascii="Arial" w:eastAsia="Times New Roman" w:hAnsi="Arial" w:cs="Arial"/>
          <w:color w:val="222222"/>
          <w:sz w:val="24"/>
          <w:szCs w:val="24"/>
          <w:lang w:val="es-ES" w:eastAsia="es-MX"/>
        </w:rPr>
        <w:t> y las mercancías en todo el continente</w:t>
      </w:r>
      <w:r>
        <w:rPr>
          <w:rFonts w:ascii="Arial" w:eastAsia="Times New Roman" w:hAnsi="Arial" w:cs="Arial"/>
          <w:color w:val="222222"/>
          <w:sz w:val="24"/>
          <w:szCs w:val="24"/>
          <w:lang w:val="es-ES" w:eastAsia="es-MX"/>
        </w:rPr>
        <w:t>.</w:t>
      </w:r>
      <w:r w:rsidRPr="00395E15">
        <w:rPr>
          <w:rFonts w:ascii="Arial" w:eastAsia="Times New Roman" w:hAnsi="Arial" w:cs="Arial"/>
          <w:color w:val="000000"/>
          <w:sz w:val="24"/>
          <w:szCs w:val="24"/>
          <w:lang w:eastAsia="es-MX"/>
        </w:rPr>
        <w:t xml:space="preserve"> </w:t>
      </w:r>
      <w:r w:rsidRPr="00395E15">
        <w:rPr>
          <w:rFonts w:ascii="Arial" w:eastAsia="Times New Roman" w:hAnsi="Arial" w:cs="Arial"/>
          <w:color w:val="000000"/>
          <w:sz w:val="24"/>
          <w:szCs w:val="24"/>
          <w:lang w:eastAsia="es-MX"/>
        </w:rPr>
        <w:lastRenderedPageBreak/>
        <w:t>Las negociaciones del ALCA se desarrollan de acuerdo con una estructura determinada por sus miembros que garantiza una amplia participación geográfica. La Presidencia del proceso en su totalidad, la sede de las negociaciones y la Presidencia y Vicepresidencia de los diversos grupos de negociación y de los otros comités y grupos se rotan entre los países participantes.</w:t>
      </w:r>
    </w:p>
    <w:p w:rsidR="00395E15" w:rsidRDefault="00395E15" w:rsidP="00395E15">
      <w:pPr>
        <w:shd w:val="clear" w:color="auto" w:fill="FFFFFF"/>
        <w:spacing w:before="100" w:beforeAutospacing="1" w:after="100" w:afterAutospacing="1" w:line="480" w:lineRule="auto"/>
        <w:jc w:val="both"/>
        <w:rPr>
          <w:rFonts w:ascii="Arial" w:eastAsia="Times New Roman" w:hAnsi="Arial" w:cs="Arial"/>
          <w:color w:val="000000"/>
          <w:sz w:val="24"/>
          <w:szCs w:val="24"/>
          <w:lang w:eastAsia="es-MX"/>
        </w:rPr>
      </w:pPr>
      <w:r w:rsidRPr="00395E15">
        <w:rPr>
          <w:rFonts w:ascii="Arial" w:eastAsia="Times New Roman" w:hAnsi="Arial" w:cs="Arial"/>
          <w:color w:val="000000"/>
          <w:sz w:val="24"/>
          <w:szCs w:val="24"/>
          <w:lang w:eastAsia="es-MX"/>
        </w:rPr>
        <w:t>La Presidencia de las Negociaciones se rota aproximadamente cada dieciocho meses o al concluir cada Reunión Ministerial. Se designaron a los siguientes países para la Presidencia y la Vicepresidencia del proceso del ALCA para períodos suce</w:t>
      </w:r>
      <w:r>
        <w:rPr>
          <w:rFonts w:ascii="Arial" w:eastAsia="Times New Roman" w:hAnsi="Arial" w:cs="Arial"/>
          <w:color w:val="000000"/>
          <w:sz w:val="24"/>
          <w:szCs w:val="24"/>
          <w:lang w:eastAsia="es-MX"/>
        </w:rPr>
        <w:t>sivos durante las negociaciones.</w:t>
      </w:r>
    </w:p>
    <w:p w:rsidR="00B039CD" w:rsidRPr="00B039CD" w:rsidRDefault="00B039CD" w:rsidP="00B039CD">
      <w:pPr>
        <w:shd w:val="clear" w:color="auto" w:fill="FFFFFF"/>
        <w:spacing w:before="100" w:beforeAutospacing="1" w:after="100" w:afterAutospacing="1" w:line="480" w:lineRule="auto"/>
        <w:jc w:val="both"/>
        <w:rPr>
          <w:rFonts w:ascii="Times New Roman" w:eastAsia="Times New Roman" w:hAnsi="Times New Roman" w:cs="Times New Roman"/>
          <w:color w:val="000000"/>
          <w:sz w:val="24"/>
          <w:szCs w:val="24"/>
          <w:lang w:eastAsia="es-MX"/>
        </w:rPr>
      </w:pPr>
      <w:r w:rsidRPr="00B039CD">
        <w:rPr>
          <w:rFonts w:ascii="Arial" w:eastAsia="Times New Roman" w:hAnsi="Arial" w:cs="Arial"/>
          <w:color w:val="000000"/>
          <w:sz w:val="24"/>
          <w:szCs w:val="24"/>
          <w:lang w:eastAsia="es-MX"/>
        </w:rPr>
        <w:t>Los Ministros responsables del comercio ejercen la supervisión y gestión definitivas de las negociaciones. Generalmente se reúnen cada 18 meses y, desde el inicio de las negociaciones, lo han hecho en el país que ocupa en ese momento la Presidencia del ALCA.</w:t>
      </w:r>
    </w:p>
    <w:p w:rsidR="00B039CD" w:rsidRPr="00B039CD" w:rsidRDefault="00B039CD" w:rsidP="00B039CD">
      <w:pPr>
        <w:shd w:val="clear" w:color="auto" w:fill="FFFFFF"/>
        <w:spacing w:before="100" w:beforeAutospacing="1" w:after="100" w:afterAutospacing="1" w:line="480" w:lineRule="auto"/>
        <w:jc w:val="both"/>
        <w:rPr>
          <w:rFonts w:ascii="Times New Roman" w:eastAsia="Times New Roman" w:hAnsi="Times New Roman" w:cs="Times New Roman"/>
          <w:color w:val="000000"/>
          <w:sz w:val="24"/>
          <w:szCs w:val="24"/>
          <w:lang w:eastAsia="es-MX"/>
        </w:rPr>
      </w:pPr>
      <w:r w:rsidRPr="00B039CD">
        <w:rPr>
          <w:rFonts w:ascii="Arial" w:eastAsia="Times New Roman" w:hAnsi="Arial" w:cs="Arial"/>
          <w:color w:val="000000"/>
          <w:sz w:val="24"/>
          <w:szCs w:val="24"/>
          <w:lang w:eastAsia="es-MX"/>
        </w:rPr>
        <w:t xml:space="preserve">Los Viceministros responsables del comercio, en su calidad de Comité de Negociaciones Comerciales (CNC), desempeñan un papel crucial en la gestión de las negociaciones del ALCA. El CNC orienta el trabajo de los grupos de negociación y de los demás comités y grupos y tiene poder de decisión sobre la estructura general del acuerdo y otros temas institucionales. El CNC también es responsable de asegurar la participación plena de todos los países en el proceso del ALCA, asegurar la transparencia de las negociaciones, supervisar la Secretaría Administrativa y supervisar la identificación e implementación de las </w:t>
      </w:r>
      <w:r w:rsidRPr="00B039CD">
        <w:rPr>
          <w:rFonts w:ascii="Arial" w:eastAsia="Times New Roman" w:hAnsi="Arial" w:cs="Arial"/>
          <w:color w:val="000000"/>
          <w:sz w:val="24"/>
          <w:szCs w:val="24"/>
          <w:lang w:eastAsia="es-MX"/>
        </w:rPr>
        <w:lastRenderedPageBreak/>
        <w:t>medidas de facilitación de negocios. El Comité se reúne siempre que se requiere y como mínimo dos veces al año en forma rotativa en todo el hemisferio.</w:t>
      </w:r>
    </w:p>
    <w:p w:rsidR="00B039CD" w:rsidRPr="00B039CD" w:rsidRDefault="00B039CD" w:rsidP="00B039CD">
      <w:pPr>
        <w:shd w:val="clear" w:color="auto" w:fill="FFFFFF"/>
        <w:spacing w:before="100" w:beforeAutospacing="1" w:after="100" w:afterAutospacing="1" w:line="480" w:lineRule="auto"/>
        <w:jc w:val="both"/>
        <w:rPr>
          <w:rFonts w:ascii="Times New Roman" w:eastAsia="Times New Roman" w:hAnsi="Times New Roman" w:cs="Times New Roman"/>
          <w:color w:val="000000"/>
          <w:sz w:val="24"/>
          <w:szCs w:val="24"/>
          <w:lang w:eastAsia="es-MX"/>
        </w:rPr>
      </w:pPr>
      <w:r w:rsidRPr="00B039CD">
        <w:rPr>
          <w:rFonts w:ascii="Arial" w:eastAsia="Times New Roman" w:hAnsi="Arial" w:cs="Arial"/>
          <w:color w:val="000000"/>
          <w:sz w:val="24"/>
          <w:szCs w:val="24"/>
          <w:lang w:eastAsia="es-MX"/>
        </w:rPr>
        <w:t>Se establecieron nueve grupos de negociación del ALCA en las siguientes áreas: </w:t>
      </w:r>
      <w:hyperlink r:id="rId9" w:history="1">
        <w:r>
          <w:rPr>
            <w:rFonts w:ascii="Arial" w:eastAsia="Times New Roman" w:hAnsi="Arial" w:cs="Arial"/>
            <w:color w:val="000000" w:themeColor="text1"/>
            <w:sz w:val="24"/>
            <w:szCs w:val="24"/>
            <w:lang w:val="es-ES" w:eastAsia="es-MX"/>
          </w:rPr>
          <w:t xml:space="preserve">acceso </w:t>
        </w:r>
        <w:r w:rsidRPr="00B039CD">
          <w:rPr>
            <w:rFonts w:ascii="Arial" w:eastAsia="Times New Roman" w:hAnsi="Arial" w:cs="Arial"/>
            <w:color w:val="000000" w:themeColor="text1"/>
            <w:sz w:val="24"/>
            <w:szCs w:val="24"/>
            <w:lang w:val="es-ES" w:eastAsia="es-MX"/>
          </w:rPr>
          <w:t>a mercados</w:t>
        </w:r>
      </w:hyperlink>
      <w:r w:rsidRPr="00B039CD">
        <w:rPr>
          <w:rFonts w:ascii="Arial" w:eastAsia="Times New Roman" w:hAnsi="Arial" w:cs="Arial"/>
          <w:color w:val="000000" w:themeColor="text1"/>
          <w:sz w:val="24"/>
          <w:szCs w:val="24"/>
          <w:lang w:val="es-ES" w:eastAsia="es-MX"/>
        </w:rPr>
        <w:t>; </w:t>
      </w:r>
      <w:r>
        <w:rPr>
          <w:rFonts w:ascii="Arial" w:eastAsia="Times New Roman" w:hAnsi="Arial" w:cs="Arial"/>
          <w:color w:val="000000" w:themeColor="text1"/>
          <w:sz w:val="24"/>
          <w:szCs w:val="24"/>
          <w:lang w:val="es-ES" w:eastAsia="es-MX"/>
        </w:rPr>
        <w:t xml:space="preserve"> </w:t>
      </w:r>
      <w:hyperlink r:id="rId10" w:history="1">
        <w:r w:rsidRPr="00B039CD">
          <w:rPr>
            <w:rFonts w:ascii="Arial" w:eastAsia="Times New Roman" w:hAnsi="Arial" w:cs="Arial"/>
            <w:color w:val="000000" w:themeColor="text1"/>
            <w:sz w:val="24"/>
            <w:szCs w:val="24"/>
            <w:lang w:val="es-ES" w:eastAsia="es-MX"/>
          </w:rPr>
          <w:t>inversión</w:t>
        </w:r>
      </w:hyperlink>
      <w:r w:rsidRPr="00B039CD">
        <w:rPr>
          <w:rFonts w:ascii="Arial" w:eastAsia="Times New Roman" w:hAnsi="Arial" w:cs="Arial"/>
          <w:color w:val="000000" w:themeColor="text1"/>
          <w:sz w:val="24"/>
          <w:szCs w:val="24"/>
          <w:lang w:val="es-ES" w:eastAsia="es-MX"/>
        </w:rPr>
        <w:t>; </w:t>
      </w:r>
      <w:r>
        <w:rPr>
          <w:rFonts w:ascii="Arial" w:eastAsia="Times New Roman" w:hAnsi="Arial" w:cs="Arial"/>
          <w:color w:val="000000" w:themeColor="text1"/>
          <w:sz w:val="24"/>
          <w:szCs w:val="24"/>
          <w:lang w:val="es-ES" w:eastAsia="es-MX"/>
        </w:rPr>
        <w:t xml:space="preserve"> </w:t>
      </w:r>
      <w:hyperlink r:id="rId11" w:history="1">
        <w:r w:rsidRPr="00B039CD">
          <w:rPr>
            <w:rFonts w:ascii="Arial" w:eastAsia="Times New Roman" w:hAnsi="Arial" w:cs="Arial"/>
            <w:color w:val="000000" w:themeColor="text1"/>
            <w:sz w:val="24"/>
            <w:szCs w:val="24"/>
            <w:lang w:val="es-ES" w:eastAsia="es-MX"/>
          </w:rPr>
          <w:t>servicios</w:t>
        </w:r>
      </w:hyperlink>
      <w:r w:rsidRPr="00B039CD">
        <w:rPr>
          <w:rFonts w:ascii="Arial" w:eastAsia="Times New Roman" w:hAnsi="Arial" w:cs="Arial"/>
          <w:color w:val="000000" w:themeColor="text1"/>
          <w:sz w:val="24"/>
          <w:szCs w:val="24"/>
          <w:lang w:val="es-ES" w:eastAsia="es-MX"/>
        </w:rPr>
        <w:t>; </w:t>
      </w:r>
      <w:r>
        <w:rPr>
          <w:rFonts w:ascii="Arial" w:eastAsia="Times New Roman" w:hAnsi="Arial" w:cs="Arial"/>
          <w:color w:val="000000" w:themeColor="text1"/>
          <w:sz w:val="24"/>
          <w:szCs w:val="24"/>
          <w:lang w:val="es-ES" w:eastAsia="es-MX"/>
        </w:rPr>
        <w:t xml:space="preserve"> </w:t>
      </w:r>
      <w:hyperlink r:id="rId12" w:history="1">
        <w:r w:rsidRPr="00B039CD">
          <w:rPr>
            <w:rFonts w:ascii="Arial" w:eastAsia="Times New Roman" w:hAnsi="Arial" w:cs="Arial"/>
            <w:color w:val="000000" w:themeColor="text1"/>
            <w:sz w:val="24"/>
            <w:szCs w:val="24"/>
            <w:lang w:val="es-ES" w:eastAsia="es-MX"/>
          </w:rPr>
          <w:t>compras del sector público</w:t>
        </w:r>
      </w:hyperlink>
      <w:r w:rsidRPr="00B039CD">
        <w:rPr>
          <w:rFonts w:ascii="Arial" w:eastAsia="Times New Roman" w:hAnsi="Arial" w:cs="Arial"/>
          <w:color w:val="000000" w:themeColor="text1"/>
          <w:sz w:val="24"/>
          <w:szCs w:val="24"/>
          <w:lang w:val="es-ES" w:eastAsia="es-MX"/>
        </w:rPr>
        <w:t>; </w:t>
      </w:r>
      <w:r>
        <w:rPr>
          <w:rFonts w:ascii="Arial" w:eastAsia="Times New Roman" w:hAnsi="Arial" w:cs="Arial"/>
          <w:color w:val="000000" w:themeColor="text1"/>
          <w:sz w:val="24"/>
          <w:szCs w:val="24"/>
          <w:lang w:val="es-ES" w:eastAsia="es-MX"/>
        </w:rPr>
        <w:t xml:space="preserve"> </w:t>
      </w:r>
      <w:hyperlink r:id="rId13" w:history="1">
        <w:r w:rsidRPr="00B039CD">
          <w:rPr>
            <w:rFonts w:ascii="Arial" w:eastAsia="Times New Roman" w:hAnsi="Arial" w:cs="Arial"/>
            <w:color w:val="000000" w:themeColor="text1"/>
            <w:sz w:val="24"/>
            <w:szCs w:val="24"/>
            <w:lang w:val="es-ES" w:eastAsia="es-MX"/>
          </w:rPr>
          <w:t>solución de controversias</w:t>
        </w:r>
      </w:hyperlink>
      <w:r w:rsidRPr="00B039CD">
        <w:rPr>
          <w:rFonts w:ascii="Arial" w:eastAsia="Times New Roman" w:hAnsi="Arial" w:cs="Arial"/>
          <w:color w:val="000000" w:themeColor="text1"/>
          <w:sz w:val="24"/>
          <w:szCs w:val="24"/>
          <w:lang w:val="es-ES" w:eastAsia="es-MX"/>
        </w:rPr>
        <w:t>; </w:t>
      </w:r>
      <w:r>
        <w:rPr>
          <w:rFonts w:ascii="Arial" w:eastAsia="Times New Roman" w:hAnsi="Arial" w:cs="Arial"/>
          <w:color w:val="000000" w:themeColor="text1"/>
          <w:sz w:val="24"/>
          <w:szCs w:val="24"/>
          <w:lang w:val="es-ES" w:eastAsia="es-MX"/>
        </w:rPr>
        <w:t xml:space="preserve"> </w:t>
      </w:r>
      <w:hyperlink r:id="rId14" w:history="1">
        <w:r w:rsidRPr="00B039CD">
          <w:rPr>
            <w:rFonts w:ascii="Arial" w:eastAsia="Times New Roman" w:hAnsi="Arial" w:cs="Arial"/>
            <w:color w:val="000000" w:themeColor="text1"/>
            <w:sz w:val="24"/>
            <w:szCs w:val="24"/>
            <w:lang w:val="es-ES" w:eastAsia="es-MX"/>
          </w:rPr>
          <w:t>agricultura</w:t>
        </w:r>
      </w:hyperlink>
      <w:r w:rsidRPr="00B039CD">
        <w:rPr>
          <w:rFonts w:ascii="Arial" w:eastAsia="Times New Roman" w:hAnsi="Arial" w:cs="Arial"/>
          <w:color w:val="000000" w:themeColor="text1"/>
          <w:sz w:val="24"/>
          <w:szCs w:val="24"/>
          <w:lang w:val="es-ES" w:eastAsia="es-MX"/>
        </w:rPr>
        <w:t>; </w:t>
      </w:r>
      <w:r>
        <w:rPr>
          <w:rFonts w:ascii="Arial" w:eastAsia="Times New Roman" w:hAnsi="Arial" w:cs="Arial"/>
          <w:color w:val="000000" w:themeColor="text1"/>
          <w:sz w:val="24"/>
          <w:szCs w:val="24"/>
          <w:lang w:val="es-ES" w:eastAsia="es-MX"/>
        </w:rPr>
        <w:t xml:space="preserve"> </w:t>
      </w:r>
      <w:hyperlink r:id="rId15" w:history="1">
        <w:r w:rsidRPr="00B039CD">
          <w:rPr>
            <w:rFonts w:ascii="Arial" w:eastAsia="Times New Roman" w:hAnsi="Arial" w:cs="Arial"/>
            <w:color w:val="000000" w:themeColor="text1"/>
            <w:sz w:val="24"/>
            <w:szCs w:val="24"/>
            <w:lang w:val="es-ES" w:eastAsia="es-MX"/>
          </w:rPr>
          <w:t>derechos de propiedad intelectual</w:t>
        </w:r>
      </w:hyperlink>
      <w:r w:rsidRPr="00B039CD">
        <w:rPr>
          <w:rFonts w:ascii="Arial" w:eastAsia="Times New Roman" w:hAnsi="Arial" w:cs="Arial"/>
          <w:color w:val="000000" w:themeColor="text1"/>
          <w:sz w:val="24"/>
          <w:szCs w:val="24"/>
          <w:lang w:val="es-ES" w:eastAsia="es-MX"/>
        </w:rPr>
        <w:t>; </w:t>
      </w:r>
      <w:r>
        <w:rPr>
          <w:rFonts w:ascii="Arial" w:eastAsia="Times New Roman" w:hAnsi="Arial" w:cs="Arial"/>
          <w:color w:val="000000" w:themeColor="text1"/>
          <w:sz w:val="24"/>
          <w:szCs w:val="24"/>
          <w:lang w:val="es-ES" w:eastAsia="es-MX"/>
        </w:rPr>
        <w:t xml:space="preserve"> </w:t>
      </w:r>
      <w:hyperlink r:id="rId16" w:history="1">
        <w:r w:rsidRPr="00B039CD">
          <w:rPr>
            <w:rFonts w:ascii="Arial" w:eastAsia="Times New Roman" w:hAnsi="Arial" w:cs="Arial"/>
            <w:color w:val="000000" w:themeColor="text1"/>
            <w:sz w:val="24"/>
            <w:szCs w:val="24"/>
            <w:lang w:val="es-ES" w:eastAsia="es-MX"/>
          </w:rPr>
          <w:t xml:space="preserve">subsidios, </w:t>
        </w:r>
        <w:r>
          <w:rPr>
            <w:rFonts w:ascii="Arial" w:eastAsia="Times New Roman" w:hAnsi="Arial" w:cs="Arial"/>
            <w:color w:val="000000" w:themeColor="text1"/>
            <w:sz w:val="24"/>
            <w:szCs w:val="24"/>
            <w:lang w:val="es-ES" w:eastAsia="es-MX"/>
          </w:rPr>
          <w:t xml:space="preserve"> </w:t>
        </w:r>
        <w:r w:rsidRPr="00B039CD">
          <w:rPr>
            <w:rFonts w:ascii="Arial" w:eastAsia="Times New Roman" w:hAnsi="Arial" w:cs="Arial"/>
            <w:color w:val="000000" w:themeColor="text1"/>
            <w:sz w:val="24"/>
            <w:szCs w:val="24"/>
            <w:lang w:val="es-ES" w:eastAsia="es-MX"/>
          </w:rPr>
          <w:t>antidumping y derechos compensatorios</w:t>
        </w:r>
      </w:hyperlink>
      <w:r w:rsidRPr="00B039CD">
        <w:rPr>
          <w:rFonts w:ascii="Arial" w:eastAsia="Times New Roman" w:hAnsi="Arial" w:cs="Arial"/>
          <w:color w:val="000000" w:themeColor="text1"/>
          <w:sz w:val="24"/>
          <w:szCs w:val="24"/>
          <w:lang w:val="es-ES" w:eastAsia="es-MX"/>
        </w:rPr>
        <w:t>; y </w:t>
      </w:r>
      <w:hyperlink r:id="rId17" w:history="1">
        <w:r w:rsidRPr="00B039CD">
          <w:rPr>
            <w:rFonts w:ascii="Arial" w:eastAsia="Times New Roman" w:hAnsi="Arial" w:cs="Arial"/>
            <w:color w:val="000000" w:themeColor="text1"/>
            <w:sz w:val="24"/>
            <w:szCs w:val="24"/>
            <w:lang w:val="es-ES" w:eastAsia="es-MX"/>
          </w:rPr>
          <w:t>política de competencia</w:t>
        </w:r>
      </w:hyperlink>
      <w:r w:rsidRPr="00B039CD">
        <w:rPr>
          <w:rFonts w:ascii="Arial" w:eastAsia="Times New Roman" w:hAnsi="Arial" w:cs="Arial"/>
          <w:color w:val="000000" w:themeColor="text1"/>
          <w:sz w:val="24"/>
          <w:szCs w:val="24"/>
          <w:lang w:val="es-ES" w:eastAsia="es-MX"/>
        </w:rPr>
        <w:t>.</w:t>
      </w:r>
      <w:r w:rsidRPr="00B039CD">
        <w:rPr>
          <w:rFonts w:ascii="Arial" w:eastAsia="Times New Roman" w:hAnsi="Arial" w:cs="Arial"/>
          <w:color w:val="000000" w:themeColor="text1"/>
          <w:sz w:val="24"/>
          <w:szCs w:val="24"/>
          <w:lang w:eastAsia="es-MX"/>
        </w:rPr>
        <w:t> </w:t>
      </w:r>
      <w:r w:rsidRPr="00B039CD">
        <w:rPr>
          <w:rFonts w:ascii="Arial" w:eastAsia="Times New Roman" w:hAnsi="Arial" w:cs="Arial"/>
          <w:color w:val="000000"/>
          <w:sz w:val="24"/>
          <w:szCs w:val="24"/>
          <w:lang w:eastAsia="es-MX"/>
        </w:rPr>
        <w:t>Estos grupos de negociación actúan bajo mandatos específicos de los Ministros y del CNC para negociar los textos de sus áreas específicas y se reúnen regularmente a lo largo del año.</w:t>
      </w:r>
    </w:p>
    <w:p w:rsidR="00B039CD" w:rsidRPr="00B039CD" w:rsidRDefault="00B039CD" w:rsidP="00B039CD">
      <w:pPr>
        <w:shd w:val="clear" w:color="auto" w:fill="FFFFFF"/>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s-MX"/>
        </w:rPr>
      </w:pPr>
      <w:r w:rsidRPr="00B039CD">
        <w:rPr>
          <w:rFonts w:ascii="Arial" w:eastAsia="Times New Roman" w:hAnsi="Arial" w:cs="Arial"/>
          <w:color w:val="000000"/>
          <w:sz w:val="24"/>
          <w:szCs w:val="24"/>
          <w:lang w:eastAsia="es-MX"/>
        </w:rPr>
        <w:t>Hay tres comités y grupos que se encargan de temas horizontales relacionados con las negociaciones. Ellos son: el </w:t>
      </w:r>
      <w:hyperlink r:id="rId18" w:history="1">
        <w:r w:rsidRPr="00B039CD">
          <w:rPr>
            <w:rFonts w:ascii="Arial" w:eastAsia="Times New Roman" w:hAnsi="Arial" w:cs="Arial"/>
            <w:color w:val="000000" w:themeColor="text1"/>
            <w:sz w:val="24"/>
            <w:szCs w:val="24"/>
            <w:lang w:eastAsia="es-MX"/>
          </w:rPr>
          <w:t>Grupo Consultivo sobre Economías más Pequeñas</w:t>
        </w:r>
      </w:hyperlink>
      <w:r w:rsidRPr="00B039CD">
        <w:rPr>
          <w:rFonts w:ascii="Arial" w:eastAsia="Times New Roman" w:hAnsi="Arial" w:cs="Arial"/>
          <w:color w:val="000000" w:themeColor="text1"/>
          <w:sz w:val="24"/>
          <w:szCs w:val="24"/>
          <w:lang w:eastAsia="es-MX"/>
        </w:rPr>
        <w:t>, el </w:t>
      </w:r>
      <w:hyperlink r:id="rId19" w:history="1">
        <w:r w:rsidRPr="00B039CD">
          <w:rPr>
            <w:rFonts w:ascii="Arial" w:eastAsia="Times New Roman" w:hAnsi="Arial" w:cs="Arial"/>
            <w:color w:val="000000" w:themeColor="text1"/>
            <w:sz w:val="24"/>
            <w:szCs w:val="24"/>
            <w:lang w:eastAsia="es-MX"/>
          </w:rPr>
          <w:t>Comité de Representantes Gubernamentales sobre la Participación de la Sociedad Civil</w:t>
        </w:r>
      </w:hyperlink>
      <w:r w:rsidRPr="00B039CD">
        <w:rPr>
          <w:rFonts w:ascii="Arial" w:eastAsia="Times New Roman" w:hAnsi="Arial" w:cs="Arial"/>
          <w:color w:val="000000" w:themeColor="text1"/>
          <w:sz w:val="24"/>
          <w:szCs w:val="24"/>
          <w:lang w:eastAsia="es-MX"/>
        </w:rPr>
        <w:t>, y el </w:t>
      </w:r>
      <w:hyperlink r:id="rId20" w:history="1">
        <w:r w:rsidRPr="00B039CD">
          <w:rPr>
            <w:rFonts w:ascii="Arial" w:eastAsia="Times New Roman" w:hAnsi="Arial" w:cs="Arial"/>
            <w:color w:val="000000" w:themeColor="text1"/>
            <w:sz w:val="24"/>
            <w:szCs w:val="24"/>
            <w:lang w:eastAsia="es-MX"/>
          </w:rPr>
          <w:t>Comité Conjunto de Expertos del Sector Público y Privado sobre Comercio Electrónico.</w:t>
        </w:r>
      </w:hyperlink>
    </w:p>
    <w:p w:rsidR="00B039CD" w:rsidRPr="00B039CD" w:rsidRDefault="00B039CD" w:rsidP="00B039CD">
      <w:pPr>
        <w:shd w:val="clear" w:color="auto" w:fill="FFFFFF"/>
        <w:spacing w:before="100" w:beforeAutospacing="1" w:after="100" w:afterAutospacing="1" w:line="480" w:lineRule="auto"/>
        <w:jc w:val="both"/>
        <w:rPr>
          <w:rFonts w:ascii="Times New Roman" w:eastAsia="Times New Roman" w:hAnsi="Times New Roman" w:cs="Times New Roman"/>
          <w:color w:val="000000"/>
          <w:sz w:val="24"/>
          <w:szCs w:val="24"/>
          <w:lang w:eastAsia="es-MX"/>
        </w:rPr>
      </w:pPr>
      <w:r w:rsidRPr="00B039CD">
        <w:rPr>
          <w:rFonts w:ascii="Arial" w:eastAsia="Times New Roman" w:hAnsi="Arial" w:cs="Arial"/>
          <w:color w:val="000000" w:themeColor="text1"/>
          <w:sz w:val="24"/>
          <w:szCs w:val="24"/>
          <w:lang w:eastAsia="es-MX"/>
        </w:rPr>
        <w:t>Se creó además un </w:t>
      </w:r>
      <w:hyperlink r:id="rId21" w:history="1">
        <w:r w:rsidRPr="00B039CD">
          <w:rPr>
            <w:rFonts w:ascii="Arial" w:eastAsia="Times New Roman" w:hAnsi="Arial" w:cs="Arial"/>
            <w:color w:val="000000" w:themeColor="text1"/>
            <w:sz w:val="24"/>
            <w:szCs w:val="24"/>
            <w:lang w:eastAsia="es-MX"/>
          </w:rPr>
          <w:t>Comité Técnico de Asuntos Institucionales</w:t>
        </w:r>
      </w:hyperlink>
      <w:r w:rsidRPr="00B039CD">
        <w:rPr>
          <w:rFonts w:ascii="Arial" w:eastAsia="Times New Roman" w:hAnsi="Arial" w:cs="Arial"/>
          <w:color w:val="000000"/>
          <w:sz w:val="24"/>
          <w:szCs w:val="24"/>
          <w:lang w:eastAsia="es-MX"/>
        </w:rPr>
        <w:t> para considerar la estructura general de un Acuerdo del ALCA (asuntos generales e institucionales). Finalmente, se estableció un grupo de expertos ad hoc para que informara al CNC sobre la implementación de las </w:t>
      </w:r>
      <w:hyperlink r:id="rId22" w:history="1">
        <w:r w:rsidRPr="00B039CD">
          <w:rPr>
            <w:rFonts w:ascii="Arial" w:eastAsia="Times New Roman" w:hAnsi="Arial" w:cs="Arial"/>
            <w:color w:val="000000" w:themeColor="text1"/>
            <w:sz w:val="24"/>
            <w:szCs w:val="24"/>
            <w:lang w:eastAsia="es-MX"/>
          </w:rPr>
          <w:t>medidas de facilitación de negocios</w:t>
        </w:r>
      </w:hyperlink>
      <w:r w:rsidRPr="00B039CD">
        <w:rPr>
          <w:rFonts w:ascii="Arial" w:eastAsia="Times New Roman" w:hAnsi="Arial" w:cs="Arial"/>
          <w:color w:val="000000"/>
          <w:sz w:val="24"/>
          <w:szCs w:val="24"/>
          <w:lang w:eastAsia="es-MX"/>
        </w:rPr>
        <w:t> relacionadas con asuntos aduaneros que se acordaron en Toronto.</w:t>
      </w:r>
    </w:p>
    <w:p w:rsidR="00664EAE" w:rsidRDefault="00B039CD" w:rsidP="00B039CD">
      <w:pPr>
        <w:shd w:val="clear" w:color="auto" w:fill="FFFFFF"/>
        <w:spacing w:before="100" w:beforeAutospacing="1" w:after="100" w:afterAutospacing="1" w:line="480" w:lineRule="auto"/>
        <w:jc w:val="both"/>
        <w:rPr>
          <w:rFonts w:ascii="Arial" w:eastAsia="Times New Roman" w:hAnsi="Arial" w:cs="Arial"/>
          <w:color w:val="000000"/>
          <w:sz w:val="24"/>
          <w:szCs w:val="24"/>
          <w:lang w:eastAsia="es-MX"/>
        </w:rPr>
      </w:pPr>
      <w:r w:rsidRPr="00B039CD">
        <w:rPr>
          <w:rFonts w:ascii="Arial" w:eastAsia="Times New Roman" w:hAnsi="Arial" w:cs="Arial"/>
          <w:color w:val="000000"/>
          <w:sz w:val="24"/>
          <w:szCs w:val="24"/>
          <w:lang w:eastAsia="es-MX"/>
        </w:rPr>
        <w:t>Apoyo técnico y analítico:</w:t>
      </w:r>
      <w:r w:rsidRPr="00B039CD">
        <w:rPr>
          <w:rFonts w:ascii="Times New Roman" w:eastAsia="Times New Roman" w:hAnsi="Times New Roman" w:cs="Times New Roman"/>
          <w:color w:val="000000"/>
          <w:sz w:val="24"/>
          <w:szCs w:val="24"/>
          <w:lang w:eastAsia="es-MX"/>
        </w:rPr>
        <w:t> </w:t>
      </w:r>
      <w:r w:rsidRPr="00B039CD">
        <w:rPr>
          <w:rFonts w:ascii="Arial" w:eastAsia="Times New Roman" w:hAnsi="Arial" w:cs="Arial"/>
          <w:color w:val="000000"/>
          <w:sz w:val="24"/>
          <w:szCs w:val="24"/>
          <w:lang w:eastAsia="es-MX"/>
        </w:rPr>
        <w:t>El Comité Tripartito, que está integrado por:</w:t>
      </w:r>
      <w:r w:rsidR="00664EAE">
        <w:rPr>
          <w:rFonts w:ascii="Arial" w:eastAsia="Times New Roman" w:hAnsi="Arial" w:cs="Arial"/>
          <w:color w:val="000000"/>
          <w:sz w:val="24"/>
          <w:szCs w:val="24"/>
          <w:lang w:eastAsia="es-MX"/>
        </w:rPr>
        <w:t xml:space="preserve"> Banco Interamericano de Desarrollo (BID), Organización de Estados Americanos (OEA) y </w:t>
      </w:r>
      <w:r w:rsidR="00664EAE">
        <w:rPr>
          <w:rFonts w:ascii="Arial" w:eastAsia="Times New Roman" w:hAnsi="Arial" w:cs="Arial"/>
          <w:color w:val="000000"/>
          <w:sz w:val="24"/>
          <w:szCs w:val="24"/>
          <w:lang w:eastAsia="es-MX"/>
        </w:rPr>
        <w:lastRenderedPageBreak/>
        <w:t xml:space="preserve">Comisión </w:t>
      </w:r>
      <w:r w:rsidR="00DB6102">
        <w:rPr>
          <w:rFonts w:ascii="Arial" w:eastAsia="Times New Roman" w:hAnsi="Arial" w:cs="Arial"/>
          <w:color w:val="000000"/>
          <w:sz w:val="24"/>
          <w:szCs w:val="24"/>
          <w:lang w:eastAsia="es-MX"/>
        </w:rPr>
        <w:t>Económica para América Latina y</w:t>
      </w:r>
      <w:r w:rsidR="00664EAE">
        <w:rPr>
          <w:rFonts w:ascii="Arial" w:eastAsia="Times New Roman" w:hAnsi="Arial" w:cs="Arial"/>
          <w:color w:val="000000"/>
          <w:sz w:val="24"/>
          <w:szCs w:val="24"/>
          <w:lang w:eastAsia="es-MX"/>
        </w:rPr>
        <w:t xml:space="preserve"> el Caribe de las Naciones Unidas (CEPAL).</w:t>
      </w:r>
    </w:p>
    <w:p w:rsidR="00B039CD" w:rsidRPr="00664EAE" w:rsidRDefault="00B039CD" w:rsidP="00B039CD">
      <w:pPr>
        <w:shd w:val="clear" w:color="auto" w:fill="FFFFFF"/>
        <w:spacing w:before="100" w:beforeAutospacing="1" w:after="100" w:afterAutospacing="1" w:line="480" w:lineRule="auto"/>
        <w:jc w:val="both"/>
        <w:rPr>
          <w:rFonts w:ascii="Arial" w:eastAsia="Times New Roman" w:hAnsi="Arial" w:cs="Arial"/>
          <w:color w:val="000000"/>
          <w:sz w:val="24"/>
          <w:szCs w:val="24"/>
          <w:lang w:eastAsia="es-MX"/>
        </w:rPr>
      </w:pPr>
      <w:r w:rsidRPr="00B039CD">
        <w:rPr>
          <w:rFonts w:ascii="Arial" w:eastAsia="Times New Roman" w:hAnsi="Arial" w:cs="Arial"/>
          <w:color w:val="000000"/>
          <w:sz w:val="24"/>
          <w:szCs w:val="24"/>
          <w:lang w:eastAsia="es-MX"/>
        </w:rPr>
        <w:t>El Comité Tripartito presta apoyo analítico, técnico y financiero al proceso y mantiene el sitio electrónico oficial del ALCA. Las instituciones individuales del Comité Tripartito también prestan asistencia técnica en temas relacionados con el ALCA, especialmente a las economías más pequeñas del hemisferio.</w:t>
      </w:r>
    </w:p>
    <w:p w:rsidR="00B039CD" w:rsidRPr="00B039CD" w:rsidRDefault="00B039CD" w:rsidP="00B039CD">
      <w:pPr>
        <w:shd w:val="clear" w:color="auto" w:fill="FFFFFF"/>
        <w:spacing w:before="100" w:beforeAutospacing="1" w:after="100" w:afterAutospacing="1" w:line="480" w:lineRule="auto"/>
        <w:jc w:val="both"/>
        <w:rPr>
          <w:rFonts w:ascii="Times New Roman" w:eastAsia="Times New Roman" w:hAnsi="Times New Roman" w:cs="Times New Roman"/>
          <w:color w:val="000000"/>
          <w:sz w:val="24"/>
          <w:szCs w:val="24"/>
          <w:lang w:eastAsia="es-MX"/>
        </w:rPr>
      </w:pPr>
      <w:r w:rsidRPr="00B039CD">
        <w:rPr>
          <w:rFonts w:ascii="Arial" w:eastAsia="Times New Roman" w:hAnsi="Arial" w:cs="Arial"/>
          <w:color w:val="000000"/>
          <w:sz w:val="24"/>
          <w:szCs w:val="24"/>
          <w:lang w:eastAsia="es-MX"/>
        </w:rPr>
        <w:t>Apoyo administrativo:</w:t>
      </w:r>
      <w:r w:rsidRPr="00B039CD">
        <w:rPr>
          <w:rFonts w:ascii="Times New Roman" w:eastAsia="Times New Roman" w:hAnsi="Times New Roman" w:cs="Times New Roman"/>
          <w:color w:val="000000"/>
          <w:sz w:val="24"/>
          <w:szCs w:val="24"/>
          <w:lang w:eastAsia="es-MX"/>
        </w:rPr>
        <w:t> </w:t>
      </w:r>
      <w:r w:rsidRPr="00B039CD">
        <w:rPr>
          <w:rFonts w:ascii="Arial" w:eastAsia="Times New Roman" w:hAnsi="Arial" w:cs="Arial"/>
          <w:color w:val="000000"/>
          <w:sz w:val="24"/>
          <w:szCs w:val="24"/>
          <w:lang w:eastAsia="es-MX"/>
        </w:rPr>
        <w:t>La Secretaría Administrativa del ALCA, localizada en la misma sede de las reuniones de los grupos de negociación, brinda apoyo administrativo y logístico a las negociaciones. La Secretaría lleva los archivos oficiales de las negociaciones y presta servicios de traducción e interpretación. La Secretaría se financia mediante una combinación de recursos locales y recursos provenientes de las instituciones del Comité Tripartito.</w:t>
      </w:r>
    </w:p>
    <w:p w:rsidR="00B039CD" w:rsidRPr="00B039CD" w:rsidRDefault="00B039CD" w:rsidP="00B039CD">
      <w:pPr>
        <w:shd w:val="clear" w:color="auto" w:fill="FFFFFF"/>
        <w:spacing w:before="100" w:beforeAutospacing="1" w:after="100" w:afterAutospacing="1" w:line="480" w:lineRule="auto"/>
        <w:jc w:val="both"/>
        <w:rPr>
          <w:rFonts w:ascii="Times New Roman" w:eastAsia="Times New Roman" w:hAnsi="Times New Roman" w:cs="Times New Roman"/>
          <w:color w:val="000000"/>
          <w:sz w:val="27"/>
          <w:szCs w:val="27"/>
          <w:lang w:eastAsia="es-MX"/>
        </w:rPr>
      </w:pPr>
      <w:r w:rsidRPr="00B039CD">
        <w:rPr>
          <w:rFonts w:ascii="Arial" w:eastAsia="Times New Roman" w:hAnsi="Arial" w:cs="Arial"/>
          <w:color w:val="000000"/>
          <w:sz w:val="24"/>
          <w:szCs w:val="24"/>
          <w:lang w:eastAsia="es-MX"/>
        </w:rPr>
        <w:t>Sede de las negociaciones:</w:t>
      </w:r>
      <w:r w:rsidRPr="00B039CD">
        <w:rPr>
          <w:rFonts w:ascii="Times New Roman" w:eastAsia="Times New Roman" w:hAnsi="Times New Roman" w:cs="Times New Roman"/>
          <w:color w:val="000000"/>
          <w:sz w:val="24"/>
          <w:szCs w:val="24"/>
          <w:lang w:eastAsia="es-MX"/>
        </w:rPr>
        <w:t> </w:t>
      </w:r>
      <w:r w:rsidRPr="00B039CD">
        <w:rPr>
          <w:rFonts w:ascii="Arial" w:eastAsia="Times New Roman" w:hAnsi="Arial" w:cs="Arial"/>
          <w:color w:val="000000"/>
          <w:sz w:val="24"/>
          <w:szCs w:val="24"/>
          <w:lang w:eastAsia="es-MX"/>
        </w:rPr>
        <w:t>También es de carácter rotativo. Se han designado tres países anfitriones para las negociaciones, a saber: de mayo de 1998 a febrero de 2001: Estados Unidos (Miami) ; Panamá (Ciudad de Panamá) , de marzo de</w:t>
      </w:r>
      <w:r w:rsidR="00664EAE">
        <w:rPr>
          <w:rFonts w:ascii="Arial" w:eastAsia="Times New Roman" w:hAnsi="Arial" w:cs="Arial"/>
          <w:color w:val="000000"/>
          <w:sz w:val="24"/>
          <w:szCs w:val="24"/>
          <w:lang w:eastAsia="es-MX"/>
        </w:rPr>
        <w:t xml:space="preserve"> </w:t>
      </w:r>
      <w:r w:rsidRPr="00B039CD">
        <w:rPr>
          <w:rFonts w:ascii="Arial" w:eastAsia="Times New Roman" w:hAnsi="Arial" w:cs="Arial"/>
          <w:color w:val="000000"/>
          <w:sz w:val="24"/>
          <w:szCs w:val="24"/>
          <w:lang w:eastAsia="es-MX"/>
        </w:rPr>
        <w:t>2001 a febrero de 2003; y de marzo de 2003 hasta la conclusión de las negociaciones:  México (Puebla).</w:t>
      </w:r>
    </w:p>
    <w:p w:rsidR="00134241" w:rsidRDefault="00664EAE" w:rsidP="00664EAE">
      <w:pPr>
        <w:pStyle w:val="NormalWeb"/>
        <w:spacing w:before="384" w:beforeAutospacing="0" w:after="0" w:afterAutospacing="0" w:line="480" w:lineRule="auto"/>
        <w:jc w:val="both"/>
        <w:textAlignment w:val="baseline"/>
        <w:rPr>
          <w:rFonts w:ascii="Arial" w:eastAsiaTheme="minorEastAsia" w:hAnsi="Arial" w:cs="Arial"/>
          <w:bCs/>
          <w:color w:val="000000" w:themeColor="text1"/>
          <w:kern w:val="24"/>
          <w:lang w:val="es-ES_tradnl"/>
        </w:rPr>
      </w:pPr>
      <w:r w:rsidRPr="00664EAE">
        <w:rPr>
          <w:rFonts w:ascii="Arial" w:hAnsi="Arial" w:cs="Arial"/>
          <w:color w:val="000000"/>
        </w:rPr>
        <w:t>Como se puede apreciar</w:t>
      </w:r>
      <w:r>
        <w:rPr>
          <w:rFonts w:ascii="Arial" w:hAnsi="Arial" w:cs="Arial"/>
          <w:color w:val="000000"/>
        </w:rPr>
        <w:t xml:space="preserve">, </w:t>
      </w:r>
      <w:r>
        <w:rPr>
          <w:color w:val="000000"/>
        </w:rPr>
        <w:t xml:space="preserve"> </w:t>
      </w:r>
      <w:r w:rsidRPr="00664EAE">
        <w:rPr>
          <w:rFonts w:ascii="Arial" w:hAnsi="Arial" w:cs="Arial"/>
          <w:color w:val="000000"/>
        </w:rPr>
        <w:t>el</w:t>
      </w:r>
      <w:r>
        <w:rPr>
          <w:color w:val="000000"/>
        </w:rPr>
        <w:t xml:space="preserve"> </w:t>
      </w:r>
      <w:r w:rsidR="00E21B7A">
        <w:rPr>
          <w:rFonts w:ascii="Arial" w:hAnsi="Arial" w:cs="Arial"/>
          <w:color w:val="000000"/>
        </w:rPr>
        <w:t xml:space="preserve">ALCA es una instancia internacional que está muy ligada a los tratados de libre comercio, en donde participan de manera determinante diferentes actores ligados a la educación superior como: La Organización Mundial de Comercio (OMC), el Fondo monetario internacional </w:t>
      </w:r>
      <w:r w:rsidR="00E21B7A">
        <w:rPr>
          <w:rFonts w:ascii="Arial" w:hAnsi="Arial" w:cs="Arial"/>
          <w:color w:val="000000"/>
        </w:rPr>
        <w:lastRenderedPageBreak/>
        <w:t xml:space="preserve">(FMI), el Banco Mundial (BM), el Banco interamericano de desarrollo (BID), </w:t>
      </w:r>
      <w:r w:rsidR="00134241">
        <w:rPr>
          <w:rFonts w:ascii="Arial" w:eastAsiaTheme="minorEastAsia" w:hAnsi="Arial" w:cs="Arial"/>
          <w:bCs/>
          <w:color w:val="000000" w:themeColor="text1"/>
          <w:kern w:val="24"/>
          <w:lang w:val="es-ES_tradnl"/>
        </w:rPr>
        <w:t>A</w:t>
      </w:r>
      <w:r w:rsidR="00134241" w:rsidRPr="00E21B7A">
        <w:rPr>
          <w:rFonts w:ascii="Arial" w:eastAsiaTheme="minorEastAsia" w:hAnsi="Arial" w:cs="Arial"/>
          <w:bCs/>
          <w:color w:val="000000" w:themeColor="text1"/>
          <w:kern w:val="24"/>
          <w:lang w:val="es-ES_tradnl"/>
        </w:rPr>
        <w:t>cuerdo general sobre aranceles aduaneros y comercio</w:t>
      </w:r>
      <w:r w:rsidR="00134241">
        <w:rPr>
          <w:rFonts w:ascii="Arial" w:eastAsiaTheme="minorEastAsia" w:hAnsi="Arial" w:cs="Arial"/>
          <w:bCs/>
          <w:color w:val="000000" w:themeColor="text1"/>
          <w:kern w:val="24"/>
          <w:lang w:val="es-ES_tradnl"/>
        </w:rPr>
        <w:t xml:space="preserve"> (</w:t>
      </w:r>
      <w:r w:rsidR="00134241" w:rsidRPr="00E21B7A">
        <w:rPr>
          <w:rFonts w:ascii="Arial" w:eastAsiaTheme="minorEastAsia" w:hAnsi="Arial" w:cs="Arial"/>
          <w:bCs/>
          <w:color w:val="000000" w:themeColor="text1"/>
          <w:kern w:val="24"/>
          <w:lang w:val="es-ES_tradnl"/>
        </w:rPr>
        <w:t>GATT</w:t>
      </w:r>
      <w:r w:rsidR="00134241">
        <w:rPr>
          <w:rFonts w:ascii="Arial" w:eastAsiaTheme="minorEastAsia" w:hAnsi="Arial" w:cs="Arial"/>
          <w:bCs/>
          <w:color w:val="000000" w:themeColor="text1"/>
          <w:kern w:val="24"/>
          <w:lang w:val="es-ES_tradnl"/>
        </w:rPr>
        <w:t>), A</w:t>
      </w:r>
      <w:r w:rsidR="00134241" w:rsidRPr="00E21B7A">
        <w:rPr>
          <w:rFonts w:ascii="Arial" w:eastAsiaTheme="minorEastAsia" w:hAnsi="Arial" w:cs="Arial"/>
          <w:bCs/>
          <w:color w:val="000000" w:themeColor="text1"/>
          <w:kern w:val="24"/>
          <w:lang w:val="es-ES_tradnl"/>
        </w:rPr>
        <w:t>cuerdo general sobre comercio transfronterizo de servicios</w:t>
      </w:r>
      <w:r w:rsidR="00134241">
        <w:rPr>
          <w:rFonts w:ascii="Arial" w:eastAsiaTheme="minorEastAsia" w:hAnsi="Arial" w:cs="Arial"/>
          <w:bCs/>
          <w:color w:val="000000" w:themeColor="text1"/>
          <w:kern w:val="24"/>
          <w:lang w:val="es-ES_tradnl"/>
        </w:rPr>
        <w:t xml:space="preserve"> (</w:t>
      </w:r>
      <w:r w:rsidR="00E21B7A" w:rsidRPr="00E21B7A">
        <w:rPr>
          <w:rFonts w:ascii="Arial" w:eastAsiaTheme="minorEastAsia" w:hAnsi="Arial" w:cs="Arial"/>
          <w:bCs/>
          <w:color w:val="000000" w:themeColor="text1"/>
          <w:kern w:val="24"/>
          <w:lang w:val="es-ES_tradnl"/>
        </w:rPr>
        <w:t>GATS</w:t>
      </w:r>
      <w:r w:rsidR="00134241">
        <w:rPr>
          <w:rFonts w:ascii="Arial" w:eastAsiaTheme="minorEastAsia" w:hAnsi="Arial" w:cs="Arial"/>
          <w:bCs/>
          <w:color w:val="000000" w:themeColor="text1"/>
          <w:kern w:val="24"/>
          <w:lang w:val="es-ES_tradnl"/>
        </w:rPr>
        <w:t xml:space="preserve">), </w:t>
      </w:r>
      <w:r w:rsidR="00E21B7A" w:rsidRPr="00E21B7A">
        <w:rPr>
          <w:rFonts w:ascii="Arial" w:eastAsiaTheme="minorEastAsia" w:hAnsi="Arial" w:cs="Arial"/>
          <w:bCs/>
          <w:color w:val="000000" w:themeColor="text1"/>
          <w:kern w:val="24"/>
          <w:lang w:val="es-ES_tradnl"/>
        </w:rPr>
        <w:t xml:space="preserve"> </w:t>
      </w:r>
      <w:r w:rsidR="00134241">
        <w:rPr>
          <w:rFonts w:ascii="Arial" w:eastAsiaTheme="minorEastAsia" w:hAnsi="Arial" w:cs="Arial"/>
          <w:bCs/>
          <w:color w:val="000000" w:themeColor="text1"/>
          <w:kern w:val="24"/>
          <w:lang w:val="es-ES_tradnl"/>
        </w:rPr>
        <w:t>A</w:t>
      </w:r>
      <w:r w:rsidR="00134241" w:rsidRPr="00E21B7A">
        <w:rPr>
          <w:rFonts w:ascii="Arial" w:eastAsiaTheme="minorEastAsia" w:hAnsi="Arial" w:cs="Arial"/>
          <w:bCs/>
          <w:color w:val="000000" w:themeColor="text1"/>
          <w:kern w:val="24"/>
          <w:lang w:val="es-ES_tradnl"/>
        </w:rPr>
        <w:t>cuerdo sobre d</w:t>
      </w:r>
      <w:r>
        <w:rPr>
          <w:rFonts w:ascii="Arial" w:eastAsiaTheme="minorEastAsia" w:hAnsi="Arial" w:cs="Arial"/>
          <w:bCs/>
          <w:color w:val="000000" w:themeColor="text1"/>
          <w:kern w:val="24"/>
          <w:lang w:val="es-ES_tradnl"/>
        </w:rPr>
        <w:t>erechos de propiedad intelectual.</w:t>
      </w:r>
    </w:p>
    <w:p w:rsidR="008D54ED" w:rsidRPr="000C37E3" w:rsidRDefault="008D54ED" w:rsidP="000C37E3">
      <w:pPr>
        <w:spacing w:after="0" w:line="480" w:lineRule="auto"/>
        <w:contextualSpacing/>
        <w:textAlignment w:val="baseline"/>
        <w:rPr>
          <w:rFonts w:ascii="Arial" w:eastAsia="Times New Roman" w:hAnsi="Arial" w:cs="Arial"/>
          <w:color w:val="000000" w:themeColor="text1"/>
          <w:sz w:val="24"/>
          <w:szCs w:val="24"/>
          <w:lang w:eastAsia="es-MX"/>
        </w:rPr>
      </w:pPr>
    </w:p>
    <w:p w:rsidR="00AB25EE" w:rsidRPr="00AB25EE" w:rsidRDefault="00664EAE" w:rsidP="003E73F4">
      <w:pPr>
        <w:shd w:val="clear" w:color="auto" w:fill="FFFFFF"/>
        <w:spacing w:after="0" w:line="480" w:lineRule="auto"/>
        <w:jc w:val="both"/>
        <w:rPr>
          <w:rFonts w:ascii="Arial" w:eastAsia="Times New Roman" w:hAnsi="Arial" w:cs="Arial"/>
          <w:color w:val="222222"/>
          <w:sz w:val="24"/>
          <w:szCs w:val="24"/>
          <w:lang w:eastAsia="es-MX"/>
        </w:rPr>
      </w:pPr>
      <w:r>
        <w:rPr>
          <w:rFonts w:ascii="Arial" w:eastAsia="Times New Roman" w:hAnsi="Arial" w:cs="Arial"/>
          <w:color w:val="222222"/>
          <w:sz w:val="24"/>
          <w:szCs w:val="24"/>
          <w:lang w:val="es-ES" w:eastAsia="es-MX"/>
        </w:rPr>
        <w:t xml:space="preserve">Este acuerdo está </w:t>
      </w:r>
      <w:r w:rsidR="00AB25EE" w:rsidRPr="00AB25EE">
        <w:rPr>
          <w:rFonts w:ascii="Arial" w:eastAsia="Times New Roman" w:hAnsi="Arial" w:cs="Arial"/>
          <w:color w:val="222222"/>
          <w:sz w:val="24"/>
          <w:szCs w:val="24"/>
          <w:lang w:val="es-ES" w:eastAsia="es-MX"/>
        </w:rPr>
        <w:t xml:space="preserve">en concordancia con la política neoliberal. Este proyecto tiene por objeto imponer en los 34 países americanos (excepto Cuba)  la lógica del libre mercado en el comercio, la agricultura, la industria, la tecnología, la ciencia, etc. </w:t>
      </w:r>
    </w:p>
    <w:p w:rsidR="00AB25EE" w:rsidRPr="00AB25EE" w:rsidRDefault="00AB25EE" w:rsidP="003E73F4">
      <w:pPr>
        <w:shd w:val="clear" w:color="auto" w:fill="FFFFFF"/>
        <w:spacing w:after="0" w:line="480" w:lineRule="auto"/>
        <w:jc w:val="both"/>
        <w:rPr>
          <w:rFonts w:ascii="Arial" w:eastAsia="Times New Roman" w:hAnsi="Arial" w:cs="Arial"/>
          <w:color w:val="222222"/>
          <w:sz w:val="24"/>
          <w:szCs w:val="24"/>
          <w:lang w:eastAsia="es-MX"/>
        </w:rPr>
      </w:pPr>
      <w:r w:rsidRPr="00AB25EE">
        <w:rPr>
          <w:rFonts w:ascii="Arial" w:eastAsia="Times New Roman" w:hAnsi="Arial" w:cs="Arial"/>
          <w:color w:val="222222"/>
          <w:sz w:val="24"/>
          <w:szCs w:val="24"/>
          <w:lang w:val="es-ES" w:eastAsia="es-MX"/>
        </w:rPr>
        <w:t>Este acuerdo afecta directamente a la educación y en especial a la</w:t>
      </w:r>
      <w:r w:rsidR="00664EAE">
        <w:rPr>
          <w:rFonts w:ascii="Arial" w:eastAsia="Times New Roman" w:hAnsi="Arial" w:cs="Arial"/>
          <w:color w:val="222222"/>
          <w:sz w:val="24"/>
          <w:szCs w:val="24"/>
          <w:lang w:val="es-ES" w:eastAsia="es-MX"/>
        </w:rPr>
        <w:t xml:space="preserve"> superior, ya que es considerada</w:t>
      </w:r>
      <w:r w:rsidRPr="00AB25EE">
        <w:rPr>
          <w:rFonts w:ascii="Arial" w:eastAsia="Times New Roman" w:hAnsi="Arial" w:cs="Arial"/>
          <w:color w:val="222222"/>
          <w:sz w:val="24"/>
          <w:szCs w:val="24"/>
          <w:lang w:val="es-ES" w:eastAsia="es-MX"/>
        </w:rPr>
        <w:t xml:space="preserve"> un servicio y no</w:t>
      </w:r>
      <w:r w:rsidR="00DB6102">
        <w:rPr>
          <w:rFonts w:ascii="Arial" w:eastAsia="Times New Roman" w:hAnsi="Arial" w:cs="Arial"/>
          <w:color w:val="222222"/>
          <w:sz w:val="24"/>
          <w:szCs w:val="24"/>
          <w:lang w:val="es-ES" w:eastAsia="es-MX"/>
        </w:rPr>
        <w:t xml:space="preserve"> como </w:t>
      </w:r>
      <w:r w:rsidRPr="00AB25EE">
        <w:rPr>
          <w:rFonts w:ascii="Arial" w:eastAsia="Times New Roman" w:hAnsi="Arial" w:cs="Arial"/>
          <w:color w:val="222222"/>
          <w:sz w:val="24"/>
          <w:szCs w:val="24"/>
          <w:lang w:val="es-ES" w:eastAsia="es-MX"/>
        </w:rPr>
        <w:t xml:space="preserve"> un derecho social, </w:t>
      </w:r>
      <w:r w:rsidR="00664EAE">
        <w:rPr>
          <w:rFonts w:ascii="Arial" w:eastAsia="Times New Roman" w:hAnsi="Arial" w:cs="Arial"/>
          <w:color w:val="222222"/>
          <w:sz w:val="24"/>
          <w:szCs w:val="24"/>
          <w:lang w:val="es-ES" w:eastAsia="es-MX"/>
        </w:rPr>
        <w:t xml:space="preserve">concibiéndola </w:t>
      </w:r>
      <w:r w:rsidRPr="00AB25EE">
        <w:rPr>
          <w:rFonts w:ascii="Arial" w:eastAsia="Times New Roman" w:hAnsi="Arial" w:cs="Arial"/>
          <w:color w:val="222222"/>
          <w:sz w:val="24"/>
          <w:szCs w:val="24"/>
          <w:lang w:val="es-ES" w:eastAsia="es-MX"/>
        </w:rPr>
        <w:t>en la misma categoría que al transporte, la </w:t>
      </w:r>
      <w:r w:rsidR="00664EAE">
        <w:rPr>
          <w:rFonts w:ascii="Arial" w:eastAsia="Times New Roman" w:hAnsi="Arial" w:cs="Arial"/>
          <w:color w:val="222222"/>
          <w:sz w:val="24"/>
          <w:szCs w:val="24"/>
          <w:lang w:val="es-ES" w:eastAsia="es-MX"/>
        </w:rPr>
        <w:t>hotelería</w:t>
      </w:r>
      <w:r w:rsidRPr="00AB25EE">
        <w:rPr>
          <w:rFonts w:ascii="Arial" w:eastAsia="Times New Roman" w:hAnsi="Arial" w:cs="Arial"/>
          <w:color w:val="222222"/>
          <w:sz w:val="24"/>
          <w:szCs w:val="24"/>
          <w:lang w:val="es-ES" w:eastAsia="es-MX"/>
        </w:rPr>
        <w:t>, los restaurantes, etc; es decir, como una mercancía, que permite generar ganancia para el capital, eliminando la esencia misma de la educación. </w:t>
      </w:r>
    </w:p>
    <w:p w:rsidR="00DB6102" w:rsidRDefault="00AB25EE" w:rsidP="003E73F4">
      <w:pPr>
        <w:shd w:val="clear" w:color="auto" w:fill="FFFFFF"/>
        <w:spacing w:after="0" w:line="480" w:lineRule="auto"/>
        <w:jc w:val="both"/>
        <w:rPr>
          <w:rFonts w:ascii="Arial" w:eastAsia="Times New Roman" w:hAnsi="Arial" w:cs="Arial"/>
          <w:color w:val="222222"/>
          <w:sz w:val="24"/>
          <w:szCs w:val="24"/>
          <w:lang w:val="es-ES" w:eastAsia="es-MX"/>
        </w:rPr>
      </w:pPr>
      <w:r w:rsidRPr="00AB25EE">
        <w:rPr>
          <w:rFonts w:ascii="Arial" w:eastAsia="Times New Roman" w:hAnsi="Arial" w:cs="Arial"/>
          <w:color w:val="222222"/>
          <w:sz w:val="24"/>
          <w:szCs w:val="24"/>
          <w:lang w:val="es-ES" w:eastAsia="es-MX"/>
        </w:rPr>
        <w:t xml:space="preserve">La creación de esta área de libre comercio </w:t>
      </w:r>
      <w:r w:rsidR="00664EAE">
        <w:rPr>
          <w:rFonts w:ascii="Arial" w:eastAsia="Times New Roman" w:hAnsi="Arial" w:cs="Arial"/>
          <w:color w:val="222222"/>
          <w:sz w:val="24"/>
          <w:szCs w:val="24"/>
          <w:lang w:val="es-ES" w:eastAsia="es-MX"/>
        </w:rPr>
        <w:t>propiciará que cualquier  corporación invierta en el sector educativo</w:t>
      </w:r>
      <w:r w:rsidR="00664EAE" w:rsidRPr="00AB25EE">
        <w:rPr>
          <w:rFonts w:ascii="Arial" w:eastAsia="Times New Roman" w:hAnsi="Arial" w:cs="Arial"/>
          <w:color w:val="222222"/>
          <w:sz w:val="24"/>
          <w:szCs w:val="24"/>
          <w:lang w:val="es-ES" w:eastAsia="es-MX"/>
        </w:rPr>
        <w:t xml:space="preserve"> </w:t>
      </w:r>
      <w:r w:rsidRPr="00AB25EE">
        <w:rPr>
          <w:rFonts w:ascii="Arial" w:eastAsia="Times New Roman" w:hAnsi="Arial" w:cs="Arial"/>
          <w:color w:val="222222"/>
          <w:sz w:val="24"/>
          <w:szCs w:val="24"/>
          <w:lang w:val="es-ES" w:eastAsia="es-MX"/>
        </w:rPr>
        <w:t>en cualquier país de América, eliminando la autoridad del estado en la política educativa,  ya que, el ALCA  crea reglas que permiten abrir las fronteras para la inversión, y sanciona a cualquier estado que intente controlar o poner restricciones al capital. Esto posibilita que en varios formas el capital extranjero se invierta, fortaleciendo el sector </w:t>
      </w:r>
      <w:r w:rsidR="00DB6102">
        <w:rPr>
          <w:rFonts w:ascii="Arial" w:eastAsia="Times New Roman" w:hAnsi="Arial" w:cs="Arial"/>
          <w:color w:val="222222"/>
          <w:sz w:val="24"/>
          <w:szCs w:val="24"/>
          <w:lang w:val="es-ES" w:eastAsia="es-MX"/>
        </w:rPr>
        <w:t xml:space="preserve">privado </w:t>
      </w:r>
      <w:r w:rsidRPr="00AB25EE">
        <w:rPr>
          <w:rFonts w:ascii="Arial" w:eastAsia="Times New Roman" w:hAnsi="Arial" w:cs="Arial"/>
          <w:color w:val="222222"/>
          <w:sz w:val="24"/>
          <w:szCs w:val="24"/>
          <w:lang w:val="es-ES" w:eastAsia="es-MX"/>
        </w:rPr>
        <w:t xml:space="preserve"> de la educación, </w:t>
      </w:r>
      <w:r w:rsidR="00DB6102">
        <w:rPr>
          <w:rFonts w:ascii="Arial" w:eastAsia="Times New Roman" w:hAnsi="Arial" w:cs="Arial"/>
          <w:color w:val="222222"/>
          <w:sz w:val="24"/>
          <w:szCs w:val="24"/>
          <w:lang w:val="es-ES" w:eastAsia="es-MX"/>
        </w:rPr>
        <w:t xml:space="preserve">  incluso participando grandes consorcios a partir de la creación de franquicias comerciales  cuyas instituciones educativas se instalan en diferentes sedes (países) y algunas de ellas, ofrecen planes de estudios de dudosa calidad, con frecuencia, los  programas y materiales (sobre todo si son programas on line) </w:t>
      </w:r>
      <w:r w:rsidR="00DB6102">
        <w:rPr>
          <w:rFonts w:ascii="Arial" w:eastAsia="Times New Roman" w:hAnsi="Arial" w:cs="Arial"/>
          <w:color w:val="222222"/>
          <w:sz w:val="24"/>
          <w:szCs w:val="24"/>
          <w:lang w:val="es-ES" w:eastAsia="es-MX"/>
        </w:rPr>
        <w:lastRenderedPageBreak/>
        <w:t xml:space="preserve">son elaborados por técnicos que no tienen </w:t>
      </w:r>
      <w:r w:rsidR="008D54ED">
        <w:rPr>
          <w:rFonts w:ascii="Arial" w:eastAsia="Times New Roman" w:hAnsi="Arial" w:cs="Arial"/>
          <w:color w:val="222222"/>
          <w:sz w:val="24"/>
          <w:szCs w:val="24"/>
          <w:lang w:val="es-ES" w:eastAsia="es-MX"/>
        </w:rPr>
        <w:t xml:space="preserve">una </w:t>
      </w:r>
      <w:r w:rsidR="00DB6102">
        <w:rPr>
          <w:rFonts w:ascii="Arial" w:eastAsia="Times New Roman" w:hAnsi="Arial" w:cs="Arial"/>
          <w:color w:val="222222"/>
          <w:sz w:val="24"/>
          <w:szCs w:val="24"/>
          <w:lang w:val="es-ES" w:eastAsia="es-MX"/>
        </w:rPr>
        <w:t xml:space="preserve">idea clara de los </w:t>
      </w:r>
      <w:r w:rsidR="008D54ED">
        <w:rPr>
          <w:rFonts w:ascii="Arial" w:eastAsia="Times New Roman" w:hAnsi="Arial" w:cs="Arial"/>
          <w:color w:val="222222"/>
          <w:sz w:val="24"/>
          <w:szCs w:val="24"/>
          <w:lang w:val="es-ES" w:eastAsia="es-MX"/>
        </w:rPr>
        <w:t>perfiles</w:t>
      </w:r>
      <w:r w:rsidR="00DB6102">
        <w:rPr>
          <w:rFonts w:ascii="Arial" w:eastAsia="Times New Roman" w:hAnsi="Arial" w:cs="Arial"/>
          <w:color w:val="222222"/>
          <w:sz w:val="24"/>
          <w:szCs w:val="24"/>
          <w:lang w:val="es-ES" w:eastAsia="es-MX"/>
        </w:rPr>
        <w:t xml:space="preserve"> profesionales ni del curriculum que sustenta dichos programas. </w:t>
      </w:r>
    </w:p>
    <w:p w:rsidR="00AB25EE" w:rsidRPr="00574156" w:rsidRDefault="00DB6102" w:rsidP="00574156">
      <w:pPr>
        <w:shd w:val="clear" w:color="auto" w:fill="FFFFFF"/>
        <w:spacing w:after="0" w:line="480" w:lineRule="auto"/>
        <w:jc w:val="both"/>
        <w:rPr>
          <w:rFonts w:ascii="Arial" w:eastAsia="Times New Roman" w:hAnsi="Arial" w:cs="Arial"/>
          <w:color w:val="222222"/>
          <w:sz w:val="24"/>
          <w:szCs w:val="24"/>
          <w:lang w:eastAsia="es-MX"/>
        </w:rPr>
      </w:pPr>
      <w:r>
        <w:rPr>
          <w:rFonts w:ascii="Arial" w:eastAsia="Times New Roman" w:hAnsi="Arial" w:cs="Arial"/>
          <w:color w:val="222222"/>
          <w:sz w:val="24"/>
          <w:szCs w:val="24"/>
          <w:lang w:val="es-ES" w:eastAsia="es-MX"/>
        </w:rPr>
        <w:t>L</w:t>
      </w:r>
      <w:r w:rsidR="00AB25EE" w:rsidRPr="00AB25EE">
        <w:rPr>
          <w:rFonts w:ascii="Arial" w:eastAsia="Times New Roman" w:hAnsi="Arial" w:cs="Arial"/>
          <w:color w:val="222222"/>
          <w:sz w:val="24"/>
          <w:szCs w:val="24"/>
          <w:lang w:val="es-ES" w:eastAsia="es-MX"/>
        </w:rPr>
        <w:t xml:space="preserve">o </w:t>
      </w:r>
      <w:r>
        <w:rPr>
          <w:rFonts w:ascii="Arial" w:eastAsia="Times New Roman" w:hAnsi="Arial" w:cs="Arial"/>
          <w:color w:val="222222"/>
          <w:sz w:val="24"/>
          <w:szCs w:val="24"/>
          <w:lang w:val="es-ES" w:eastAsia="es-MX"/>
        </w:rPr>
        <w:t xml:space="preserve">anterior deja claro que esta comercialización de la educación superior retoma los planteamientos del Banco Mundial </w:t>
      </w:r>
      <w:r w:rsidR="00574156">
        <w:rPr>
          <w:rFonts w:ascii="Arial" w:eastAsia="Times New Roman" w:hAnsi="Arial" w:cs="Arial"/>
          <w:color w:val="222222"/>
          <w:sz w:val="24"/>
          <w:szCs w:val="24"/>
          <w:lang w:val="es-ES" w:eastAsia="es-MX"/>
        </w:rPr>
        <w:t xml:space="preserve">cuando señala que hay que </w:t>
      </w:r>
      <w:r w:rsidR="00574156">
        <w:rPr>
          <w:rFonts w:ascii="Arial" w:eastAsia="Times New Roman" w:hAnsi="Arial" w:cs="Arial"/>
          <w:color w:val="000000"/>
          <w:sz w:val="24"/>
          <w:szCs w:val="24"/>
          <w:lang w:val="es-ES" w:eastAsia="es-MX"/>
        </w:rPr>
        <w:t>f</w:t>
      </w:r>
      <w:r w:rsidR="00AB25EE" w:rsidRPr="00AB25EE">
        <w:rPr>
          <w:rFonts w:ascii="Arial" w:eastAsia="Times New Roman" w:hAnsi="Arial" w:cs="Arial"/>
          <w:color w:val="000000"/>
          <w:sz w:val="24"/>
          <w:szCs w:val="24"/>
          <w:lang w:val="es-ES" w:eastAsia="es-MX"/>
        </w:rPr>
        <w:t>omentar la mayor diferenciación de las instituciones, incluido el desarrollo de </w:t>
      </w:r>
      <w:r w:rsidR="00574156">
        <w:rPr>
          <w:rFonts w:ascii="Arial" w:eastAsia="Times New Roman" w:hAnsi="Arial" w:cs="Arial"/>
          <w:color w:val="000000"/>
          <w:sz w:val="24"/>
          <w:szCs w:val="24"/>
          <w:lang w:val="es-ES" w:eastAsia="es-MX"/>
        </w:rPr>
        <w:t>instituciones</w:t>
      </w:r>
      <w:r w:rsidR="00AB25EE" w:rsidRPr="00AB25EE">
        <w:rPr>
          <w:rFonts w:ascii="Arial" w:eastAsia="Times New Roman" w:hAnsi="Arial" w:cs="Arial"/>
          <w:color w:val="000000"/>
          <w:sz w:val="24"/>
          <w:szCs w:val="24"/>
          <w:lang w:val="es-ES" w:eastAsia="es-MX"/>
        </w:rPr>
        <w:t> privadas.</w:t>
      </w:r>
    </w:p>
    <w:p w:rsidR="00AB25EE" w:rsidRPr="00AB25EE" w:rsidRDefault="00AB25EE" w:rsidP="003E73F4">
      <w:pPr>
        <w:shd w:val="clear" w:color="auto" w:fill="FFFFFF"/>
        <w:spacing w:after="0" w:line="480" w:lineRule="auto"/>
        <w:jc w:val="both"/>
        <w:rPr>
          <w:rFonts w:ascii="Arial" w:eastAsia="Times New Roman" w:hAnsi="Arial" w:cs="Arial"/>
          <w:color w:val="000000"/>
          <w:sz w:val="24"/>
          <w:szCs w:val="24"/>
          <w:lang w:eastAsia="es-MX"/>
        </w:rPr>
      </w:pPr>
      <w:r w:rsidRPr="00AB25EE">
        <w:rPr>
          <w:rFonts w:ascii="Arial" w:eastAsia="Times New Roman" w:hAnsi="Arial" w:cs="Arial"/>
          <w:color w:val="000000"/>
          <w:sz w:val="24"/>
          <w:szCs w:val="24"/>
          <w:lang w:val="es-ES" w:eastAsia="es-MX"/>
        </w:rPr>
        <w:t>Proporcionar incentivos para que las instituciones públicas diversifique</w:t>
      </w:r>
      <w:r w:rsidR="00DB6102">
        <w:rPr>
          <w:rFonts w:ascii="Arial" w:eastAsia="Times New Roman" w:hAnsi="Arial" w:cs="Arial"/>
          <w:color w:val="000000"/>
          <w:sz w:val="24"/>
          <w:szCs w:val="24"/>
          <w:lang w:val="es-ES" w:eastAsia="es-MX"/>
        </w:rPr>
        <w:t>n</w:t>
      </w:r>
      <w:r w:rsidRPr="00AB25EE">
        <w:rPr>
          <w:rFonts w:ascii="Arial" w:eastAsia="Times New Roman" w:hAnsi="Arial" w:cs="Arial"/>
          <w:color w:val="000000"/>
          <w:sz w:val="24"/>
          <w:szCs w:val="24"/>
          <w:lang w:val="es-ES" w:eastAsia="es-MX"/>
        </w:rPr>
        <w:t xml:space="preserve"> las fuentes de financiamiento, por ejemplo, la participación de los estudiantes en los gastos y la estrecha vinculación entre el financiamiento fiscal y los resultados</w:t>
      </w:r>
      <w:r w:rsidR="00574156">
        <w:rPr>
          <w:rFonts w:ascii="Arial" w:eastAsia="Times New Roman" w:hAnsi="Arial" w:cs="Arial"/>
          <w:color w:val="000000"/>
          <w:sz w:val="24"/>
          <w:szCs w:val="24"/>
          <w:lang w:val="es-ES" w:eastAsia="es-MX"/>
        </w:rPr>
        <w:t>.</w:t>
      </w:r>
      <w:r w:rsidRPr="00AB25EE">
        <w:rPr>
          <w:rFonts w:ascii="Arial" w:eastAsia="Times New Roman" w:hAnsi="Arial" w:cs="Arial"/>
          <w:color w:val="000000"/>
          <w:sz w:val="24"/>
          <w:szCs w:val="24"/>
          <w:lang w:val="es-ES" w:eastAsia="es-MX"/>
        </w:rPr>
        <w:t> </w:t>
      </w:r>
    </w:p>
    <w:p w:rsidR="00AB25EE" w:rsidRPr="00AB25EE" w:rsidRDefault="00AB25EE" w:rsidP="003E73F4">
      <w:pPr>
        <w:shd w:val="clear" w:color="auto" w:fill="FFFFFF"/>
        <w:spacing w:after="100" w:line="480" w:lineRule="auto"/>
        <w:jc w:val="both"/>
        <w:rPr>
          <w:rFonts w:ascii="Arial" w:eastAsia="Times New Roman" w:hAnsi="Arial" w:cs="Arial"/>
          <w:color w:val="000000"/>
          <w:sz w:val="24"/>
          <w:szCs w:val="24"/>
          <w:lang w:eastAsia="es-MX"/>
        </w:rPr>
      </w:pPr>
      <w:r w:rsidRPr="00AB25EE">
        <w:rPr>
          <w:rFonts w:ascii="Arial" w:eastAsia="Times New Roman" w:hAnsi="Arial" w:cs="Arial"/>
          <w:color w:val="000000"/>
          <w:sz w:val="24"/>
          <w:szCs w:val="24"/>
          <w:lang w:val="es-ES" w:eastAsia="es-MX"/>
        </w:rPr>
        <w:t>Redefinir la función del gob</w:t>
      </w:r>
      <w:r w:rsidR="00574156">
        <w:rPr>
          <w:rFonts w:ascii="Arial" w:eastAsia="Times New Roman" w:hAnsi="Arial" w:cs="Arial"/>
          <w:color w:val="000000"/>
          <w:sz w:val="24"/>
          <w:szCs w:val="24"/>
          <w:lang w:val="es-ES" w:eastAsia="es-MX"/>
        </w:rPr>
        <w:t>ierno en la educación superior</w:t>
      </w:r>
      <w:r w:rsidR="00574156">
        <w:rPr>
          <w:rFonts w:ascii="Arial" w:eastAsia="Times New Roman" w:hAnsi="Arial" w:cs="Arial"/>
          <w:color w:val="000000"/>
          <w:sz w:val="24"/>
          <w:szCs w:val="24"/>
          <w:lang w:val="es-ES" w:eastAsia="es-MX"/>
        </w:rPr>
        <w:br/>
      </w:r>
      <w:r w:rsidRPr="00AB25EE">
        <w:rPr>
          <w:rFonts w:ascii="Arial" w:eastAsia="Times New Roman" w:hAnsi="Arial" w:cs="Arial"/>
          <w:color w:val="000000"/>
          <w:sz w:val="24"/>
          <w:szCs w:val="24"/>
          <w:lang w:val="es-ES" w:eastAsia="es-MX"/>
        </w:rPr>
        <w:t>Adoptar políticas que estén destinadas a otorgar prioridad a los objetivos de calidad y equidad.</w:t>
      </w:r>
    </w:p>
    <w:p w:rsidR="00AB25EE" w:rsidRPr="00AB25EE" w:rsidRDefault="00AB25EE" w:rsidP="003E73F4">
      <w:pPr>
        <w:shd w:val="clear" w:color="auto" w:fill="FFFFFF"/>
        <w:spacing w:after="240" w:line="480" w:lineRule="auto"/>
        <w:jc w:val="both"/>
        <w:rPr>
          <w:rFonts w:ascii="Arial" w:eastAsia="Times New Roman" w:hAnsi="Arial" w:cs="Arial"/>
          <w:color w:val="222222"/>
          <w:sz w:val="24"/>
          <w:szCs w:val="24"/>
          <w:lang w:eastAsia="es-MX"/>
        </w:rPr>
      </w:pPr>
      <w:r w:rsidRPr="00AB25EE">
        <w:rPr>
          <w:rFonts w:ascii="Arial" w:eastAsia="Times New Roman" w:hAnsi="Arial" w:cs="Arial"/>
          <w:color w:val="222222"/>
          <w:sz w:val="24"/>
          <w:szCs w:val="24"/>
          <w:lang w:val="es-ES" w:eastAsia="es-MX"/>
        </w:rPr>
        <w:t>Estas cuatro orientaciones, significan: estimular al sector privado</w:t>
      </w:r>
      <w:r w:rsidR="00574156">
        <w:rPr>
          <w:rFonts w:ascii="Arial" w:eastAsia="Times New Roman" w:hAnsi="Arial" w:cs="Arial"/>
          <w:color w:val="222222"/>
          <w:sz w:val="24"/>
          <w:szCs w:val="24"/>
          <w:lang w:val="es-ES" w:eastAsia="es-MX"/>
        </w:rPr>
        <w:t xml:space="preserve"> </w:t>
      </w:r>
      <w:r w:rsidRPr="00AB25EE">
        <w:rPr>
          <w:rFonts w:ascii="Arial" w:eastAsia="Times New Roman" w:hAnsi="Arial" w:cs="Arial"/>
          <w:color w:val="222222"/>
          <w:sz w:val="24"/>
          <w:szCs w:val="24"/>
          <w:lang w:val="es-ES" w:eastAsia="es-MX"/>
        </w:rPr>
        <w:t>para abordar la educación como negocio, fragmentar las instituciones y las áreas del conocimiento para ofrecer una formación tecnócrata que elimine las materias sociales y humanísticas, eliminar los servicios de bienestar estudiantil, impuestos a los egresados de las universidades, aumento de matrículas y aranceles, cobro de pensiones, injerencia del sector privado en los presupuestos universitarios (creaciones de fundaciones como el caso de la UNAM, entre otras), flexibilización laboral para docentes y trabajadores, evaluación de los centros educativos sobre criterios empresariales y no de procesos educativos</w:t>
      </w:r>
      <w:r w:rsidR="00574156">
        <w:rPr>
          <w:rFonts w:ascii="Arial" w:eastAsia="Times New Roman" w:hAnsi="Arial" w:cs="Arial"/>
          <w:color w:val="222222"/>
          <w:sz w:val="24"/>
          <w:szCs w:val="24"/>
          <w:lang w:val="es-ES" w:eastAsia="es-MX"/>
        </w:rPr>
        <w:t xml:space="preserve"> (Andocilla, V., 2012) </w:t>
      </w:r>
    </w:p>
    <w:p w:rsidR="00FE7EAE" w:rsidRPr="00755896" w:rsidRDefault="008C2778" w:rsidP="00755896">
      <w:pPr>
        <w:pStyle w:val="Ttulo5"/>
      </w:pPr>
      <w:r w:rsidRPr="008C2778">
        <w:lastRenderedPageBreak/>
        <w:t>Bibliografía</w:t>
      </w:r>
    </w:p>
    <w:p w:rsidR="00FE7EAE" w:rsidRDefault="00FE7EAE" w:rsidP="008C2778">
      <w:pPr>
        <w:pStyle w:val="Ttulo3"/>
        <w:shd w:val="clear" w:color="auto" w:fill="FFFFFF"/>
        <w:spacing w:before="180"/>
        <w:jc w:val="both"/>
        <w:rPr>
          <w:rFonts w:ascii="Arial" w:eastAsia="Times New Roman" w:hAnsi="Arial" w:cs="Arial"/>
          <w:b w:val="0"/>
          <w:color w:val="222222"/>
          <w:sz w:val="24"/>
          <w:szCs w:val="24"/>
          <w:lang w:val="es-ES" w:eastAsia="es-MX"/>
        </w:rPr>
      </w:pPr>
      <w:r w:rsidRPr="0016327D">
        <w:rPr>
          <w:rFonts w:ascii="Arial" w:eastAsia="Times New Roman" w:hAnsi="Arial" w:cs="Arial"/>
          <w:b w:val="0"/>
          <w:color w:val="222222"/>
          <w:sz w:val="24"/>
          <w:szCs w:val="24"/>
          <w:lang w:val="es-ES" w:eastAsia="es-MX"/>
        </w:rPr>
        <w:t>Aboites, Hugo (1997), Viento del norte. TLC y privatización de la educación superior en México, UAM y Plaza y Valdés, México</w:t>
      </w:r>
    </w:p>
    <w:p w:rsidR="00755896" w:rsidRDefault="00755896" w:rsidP="00501F14">
      <w:pPr>
        <w:spacing w:after="0" w:line="240" w:lineRule="auto"/>
        <w:jc w:val="both"/>
        <w:rPr>
          <w:rFonts w:ascii="Arial" w:eastAsia="Times New Roman" w:hAnsi="Arial" w:cs="Arial"/>
          <w:bCs/>
          <w:color w:val="000000"/>
          <w:sz w:val="24"/>
          <w:szCs w:val="24"/>
          <w:lang w:eastAsia="es-MX"/>
        </w:rPr>
      </w:pPr>
    </w:p>
    <w:p w:rsidR="00FE7EAE" w:rsidRDefault="00FE7EAE" w:rsidP="00501F14">
      <w:pPr>
        <w:spacing w:after="0" w:line="240" w:lineRule="auto"/>
        <w:jc w:val="both"/>
        <w:rPr>
          <w:rFonts w:ascii="Arial" w:eastAsia="Times New Roman" w:hAnsi="Arial" w:cs="Arial"/>
          <w:bCs/>
          <w:color w:val="000000"/>
          <w:sz w:val="24"/>
          <w:szCs w:val="24"/>
          <w:lang w:eastAsia="es-MX"/>
        </w:rPr>
      </w:pPr>
      <w:r>
        <w:rPr>
          <w:rFonts w:ascii="Arial" w:eastAsia="Times New Roman" w:hAnsi="Arial" w:cs="Arial"/>
          <w:bCs/>
          <w:color w:val="000000"/>
          <w:sz w:val="24"/>
          <w:szCs w:val="24"/>
          <w:lang w:eastAsia="es-MX"/>
        </w:rPr>
        <w:t>A</w:t>
      </w:r>
      <w:r w:rsidRPr="00501F14">
        <w:rPr>
          <w:rFonts w:ascii="Arial" w:eastAsia="Times New Roman" w:hAnsi="Arial" w:cs="Arial"/>
          <w:bCs/>
          <w:color w:val="000000"/>
          <w:sz w:val="24"/>
          <w:szCs w:val="24"/>
          <w:lang w:eastAsia="es-MX"/>
        </w:rPr>
        <w:t xml:space="preserve">cuerdo de integración </w:t>
      </w:r>
      <w:r>
        <w:rPr>
          <w:rFonts w:ascii="Arial" w:eastAsia="Times New Roman" w:hAnsi="Arial" w:cs="Arial"/>
          <w:bCs/>
          <w:color w:val="000000"/>
          <w:sz w:val="24"/>
          <w:szCs w:val="24"/>
          <w:lang w:eastAsia="es-MX"/>
        </w:rPr>
        <w:t>comercial entre los Estados U</w:t>
      </w:r>
      <w:r w:rsidRPr="00501F14">
        <w:rPr>
          <w:rFonts w:ascii="Arial" w:eastAsia="Times New Roman" w:hAnsi="Arial" w:cs="Arial"/>
          <w:bCs/>
          <w:color w:val="000000"/>
          <w:sz w:val="24"/>
          <w:szCs w:val="24"/>
          <w:lang w:eastAsia="es-MX"/>
        </w:rPr>
        <w:t>nido</w:t>
      </w:r>
      <w:r>
        <w:rPr>
          <w:rFonts w:ascii="Arial" w:eastAsia="Times New Roman" w:hAnsi="Arial" w:cs="Arial"/>
          <w:bCs/>
          <w:color w:val="000000"/>
          <w:sz w:val="24"/>
          <w:szCs w:val="24"/>
          <w:lang w:eastAsia="es-MX"/>
        </w:rPr>
        <w:t>s Mexicanos y la República del P</w:t>
      </w:r>
      <w:r w:rsidRPr="00501F14">
        <w:rPr>
          <w:rFonts w:ascii="Arial" w:eastAsia="Times New Roman" w:hAnsi="Arial" w:cs="Arial"/>
          <w:bCs/>
          <w:color w:val="000000"/>
          <w:sz w:val="24"/>
          <w:szCs w:val="24"/>
          <w:lang w:eastAsia="es-MX"/>
        </w:rPr>
        <w:t>erú</w:t>
      </w:r>
      <w:r>
        <w:rPr>
          <w:rFonts w:ascii="Arial" w:eastAsia="Times New Roman" w:hAnsi="Arial" w:cs="Arial"/>
          <w:bCs/>
          <w:color w:val="000000"/>
          <w:sz w:val="24"/>
          <w:szCs w:val="24"/>
          <w:lang w:eastAsia="es-MX"/>
        </w:rPr>
        <w:t>.</w:t>
      </w:r>
    </w:p>
    <w:p w:rsidR="00755896" w:rsidRDefault="00755896" w:rsidP="00501F14">
      <w:pPr>
        <w:tabs>
          <w:tab w:val="center" w:pos="4478"/>
        </w:tabs>
        <w:spacing w:after="0" w:line="240" w:lineRule="auto"/>
        <w:jc w:val="both"/>
        <w:rPr>
          <w:rFonts w:ascii="Arial" w:eastAsia="Times New Roman" w:hAnsi="Arial" w:cs="Times New Roman"/>
          <w:spacing w:val="-3"/>
          <w:sz w:val="24"/>
          <w:szCs w:val="24"/>
          <w:lang w:val="es-ES" w:eastAsia="es-MX"/>
        </w:rPr>
      </w:pPr>
    </w:p>
    <w:p w:rsidR="00FE7EAE" w:rsidRDefault="00FE7EAE" w:rsidP="00501F14">
      <w:pPr>
        <w:tabs>
          <w:tab w:val="center" w:pos="4478"/>
        </w:tabs>
        <w:spacing w:after="0" w:line="240" w:lineRule="auto"/>
        <w:jc w:val="both"/>
        <w:rPr>
          <w:rFonts w:ascii="Arial" w:eastAsia="Times New Roman" w:hAnsi="Arial" w:cs="Times New Roman"/>
          <w:spacing w:val="-3"/>
          <w:sz w:val="24"/>
          <w:szCs w:val="24"/>
          <w:lang w:val="es-ES" w:eastAsia="es-MX"/>
        </w:rPr>
      </w:pPr>
      <w:r>
        <w:rPr>
          <w:rFonts w:ascii="Arial" w:eastAsia="Times New Roman" w:hAnsi="Arial" w:cs="Times New Roman"/>
          <w:spacing w:val="-3"/>
          <w:sz w:val="24"/>
          <w:szCs w:val="24"/>
          <w:lang w:val="es-ES" w:eastAsia="es-MX"/>
        </w:rPr>
        <w:t>Acuerdo regional de C</w:t>
      </w:r>
      <w:r w:rsidRPr="00501F14">
        <w:rPr>
          <w:rFonts w:ascii="Arial" w:eastAsia="Times New Roman" w:hAnsi="Arial" w:cs="Times New Roman"/>
          <w:spacing w:val="-3"/>
          <w:sz w:val="24"/>
          <w:szCs w:val="24"/>
          <w:lang w:val="es-ES" w:eastAsia="es-MX"/>
        </w:rPr>
        <w:t>ooperación</w:t>
      </w:r>
      <w:r>
        <w:rPr>
          <w:rFonts w:ascii="Arial" w:eastAsia="Times New Roman" w:hAnsi="Arial" w:cs="Times New Roman"/>
          <w:spacing w:val="-3"/>
          <w:sz w:val="24"/>
          <w:szCs w:val="24"/>
          <w:lang w:val="es-ES" w:eastAsia="es-MX"/>
        </w:rPr>
        <w:t xml:space="preserve"> C</w:t>
      </w:r>
      <w:r w:rsidRPr="00501F14">
        <w:rPr>
          <w:rFonts w:ascii="Arial" w:eastAsia="Times New Roman" w:hAnsi="Arial" w:cs="Times New Roman"/>
          <w:spacing w:val="-3"/>
          <w:sz w:val="24"/>
          <w:szCs w:val="24"/>
          <w:lang w:val="es-ES" w:eastAsia="es-MX"/>
        </w:rPr>
        <w:t>ientífica</w:t>
      </w:r>
      <w:r>
        <w:rPr>
          <w:rFonts w:ascii="Arial" w:eastAsia="Times New Roman" w:hAnsi="Arial" w:cs="Times New Roman"/>
          <w:spacing w:val="-3"/>
          <w:sz w:val="24"/>
          <w:szCs w:val="24"/>
          <w:lang w:val="es-ES" w:eastAsia="es-MX"/>
        </w:rPr>
        <w:t xml:space="preserve"> y T</w:t>
      </w:r>
      <w:r w:rsidRPr="00501F14">
        <w:rPr>
          <w:rFonts w:ascii="Arial" w:eastAsia="Times New Roman" w:hAnsi="Arial" w:cs="Times New Roman"/>
          <w:spacing w:val="-3"/>
          <w:sz w:val="24"/>
          <w:szCs w:val="24"/>
          <w:lang w:val="es-ES" w:eastAsia="es-MX"/>
        </w:rPr>
        <w:t>ecnológ</w:t>
      </w:r>
      <w:r>
        <w:rPr>
          <w:rFonts w:ascii="Arial" w:eastAsia="Times New Roman" w:hAnsi="Arial" w:cs="Times New Roman"/>
          <w:spacing w:val="-3"/>
          <w:sz w:val="24"/>
          <w:szCs w:val="24"/>
          <w:lang w:val="es-ES" w:eastAsia="es-MX"/>
        </w:rPr>
        <w:t xml:space="preserve">ica (convenio marco) entre los </w:t>
      </w:r>
      <w:r w:rsidRPr="00501F14">
        <w:rPr>
          <w:rFonts w:ascii="Arial" w:eastAsia="Times New Roman" w:hAnsi="Arial" w:cs="Times New Roman"/>
          <w:spacing w:val="-3"/>
          <w:sz w:val="24"/>
          <w:szCs w:val="24"/>
          <w:lang w:val="es-ES" w:eastAsia="es-MX"/>
        </w:rPr>
        <w:t>países miembros de la asociación</w:t>
      </w:r>
      <w:r>
        <w:rPr>
          <w:rFonts w:ascii="Arial" w:eastAsia="Times New Roman" w:hAnsi="Arial" w:cs="Times New Roman"/>
          <w:spacing w:val="-3"/>
          <w:sz w:val="24"/>
          <w:szCs w:val="24"/>
          <w:lang w:val="es-ES" w:eastAsia="es-MX"/>
        </w:rPr>
        <w:t xml:space="preserve">. ALADI, recuperado en </w:t>
      </w:r>
      <w:hyperlink r:id="rId23" w:history="1">
        <w:r w:rsidR="00755896" w:rsidRPr="00FC75F0">
          <w:rPr>
            <w:rStyle w:val="Hipervnculo"/>
            <w:rFonts w:ascii="Arial" w:eastAsia="Times New Roman" w:hAnsi="Arial" w:cs="Times New Roman"/>
            <w:spacing w:val="-3"/>
            <w:sz w:val="24"/>
            <w:szCs w:val="24"/>
            <w:lang w:val="es-ES" w:eastAsia="es-MX"/>
          </w:rPr>
          <w:t>www.aladi.org</w:t>
        </w:r>
      </w:hyperlink>
      <w:r w:rsidR="00755896">
        <w:rPr>
          <w:rFonts w:ascii="Arial" w:eastAsia="Times New Roman" w:hAnsi="Arial" w:cs="Times New Roman"/>
          <w:spacing w:val="-3"/>
          <w:sz w:val="24"/>
          <w:szCs w:val="24"/>
          <w:lang w:val="es-ES" w:eastAsia="es-MX"/>
        </w:rPr>
        <w:t xml:space="preserve"> septiembre 2014.</w:t>
      </w:r>
    </w:p>
    <w:p w:rsidR="00755896" w:rsidRDefault="00755896" w:rsidP="00501F14">
      <w:pPr>
        <w:tabs>
          <w:tab w:val="center" w:pos="4478"/>
        </w:tabs>
        <w:spacing w:after="0" w:line="240" w:lineRule="auto"/>
        <w:jc w:val="both"/>
        <w:rPr>
          <w:rFonts w:ascii="Arial" w:eastAsia="Times New Roman" w:hAnsi="Arial" w:cs="Times New Roman"/>
          <w:spacing w:val="-3"/>
          <w:sz w:val="24"/>
          <w:szCs w:val="24"/>
          <w:lang w:val="es-ES" w:eastAsia="es-MX"/>
        </w:rPr>
      </w:pPr>
    </w:p>
    <w:p w:rsidR="00FE7EAE" w:rsidRPr="009174C3" w:rsidRDefault="00FE7EAE" w:rsidP="009174C3">
      <w:pPr>
        <w:pStyle w:val="Ttulo3"/>
        <w:shd w:val="clear" w:color="auto" w:fill="FFFFFF"/>
        <w:spacing w:line="240" w:lineRule="auto"/>
        <w:jc w:val="both"/>
        <w:rPr>
          <w:rFonts w:ascii="Arial" w:hAnsi="Arial" w:cs="Arial"/>
          <w:b w:val="0"/>
          <w:color w:val="222222"/>
          <w:sz w:val="24"/>
          <w:szCs w:val="24"/>
          <w:shd w:val="clear" w:color="auto" w:fill="FFFFFF"/>
        </w:rPr>
      </w:pPr>
      <w:r w:rsidRPr="008C2778">
        <w:rPr>
          <w:rFonts w:ascii="Arial" w:eastAsia="Times New Roman" w:hAnsi="Arial" w:cs="Arial"/>
          <w:b w:val="0"/>
          <w:color w:val="222222"/>
          <w:sz w:val="24"/>
          <w:szCs w:val="24"/>
          <w:lang w:val="es-ES" w:eastAsia="es-MX"/>
        </w:rPr>
        <w:t>Andocilla, V., 2012</w:t>
      </w:r>
      <w:r>
        <w:rPr>
          <w:rFonts w:ascii="Arial" w:eastAsia="Times New Roman" w:hAnsi="Arial" w:cs="Arial"/>
          <w:b w:val="0"/>
          <w:color w:val="222222"/>
          <w:sz w:val="24"/>
          <w:szCs w:val="24"/>
          <w:lang w:val="es-ES" w:eastAsia="es-MX"/>
        </w:rPr>
        <w:t xml:space="preserve">. </w:t>
      </w:r>
      <w:r w:rsidRPr="008C2778">
        <w:rPr>
          <w:rFonts w:ascii="Arial" w:eastAsia="Times New Roman" w:hAnsi="Arial" w:cs="Arial"/>
          <w:b w:val="0"/>
          <w:bCs w:val="0"/>
          <w:color w:val="222222"/>
          <w:sz w:val="24"/>
          <w:szCs w:val="24"/>
          <w:lang w:eastAsia="es-MX"/>
        </w:rPr>
        <w:t>ALCA y educación superior</w:t>
      </w:r>
      <w:r>
        <w:rPr>
          <w:rFonts w:ascii="Arial" w:eastAsia="Times New Roman" w:hAnsi="Arial" w:cs="Arial"/>
          <w:b w:val="0"/>
          <w:bCs w:val="0"/>
          <w:color w:val="222222"/>
          <w:sz w:val="24"/>
          <w:szCs w:val="24"/>
          <w:lang w:eastAsia="es-MX"/>
        </w:rPr>
        <w:t>. T</w:t>
      </w:r>
      <w:r w:rsidRPr="008C2778">
        <w:rPr>
          <w:rFonts w:ascii="Arial" w:hAnsi="Arial" w:cs="Arial"/>
          <w:b w:val="0"/>
          <w:color w:val="222222"/>
          <w:sz w:val="24"/>
          <w:szCs w:val="24"/>
          <w:shd w:val="clear" w:color="auto" w:fill="FFFFFF"/>
        </w:rPr>
        <w:t>omado de http://w</w:t>
      </w:r>
      <w:r>
        <w:rPr>
          <w:rFonts w:ascii="Arial" w:hAnsi="Arial" w:cs="Arial"/>
          <w:b w:val="0"/>
          <w:color w:val="222222"/>
          <w:sz w:val="24"/>
          <w:szCs w:val="24"/>
          <w:shd w:val="clear" w:color="auto" w:fill="FFFFFF"/>
        </w:rPr>
        <w:t>ww.http://ecuador.indymedia.org-04</w:t>
      </w:r>
      <w:r w:rsidRPr="008C2778">
        <w:rPr>
          <w:rFonts w:ascii="Arial" w:hAnsi="Arial" w:cs="Arial"/>
          <w:b w:val="0"/>
          <w:color w:val="222222"/>
          <w:sz w:val="24"/>
          <w:szCs w:val="24"/>
          <w:shd w:val="clear" w:color="auto" w:fill="FFFFFF"/>
        </w:rPr>
        <w:t>de</w:t>
      </w:r>
      <w:r w:rsidRPr="008C2778">
        <w:rPr>
          <w:rStyle w:val="apple-converted-space"/>
          <w:rFonts w:ascii="Arial" w:hAnsi="Arial" w:cs="Arial"/>
          <w:b w:val="0"/>
          <w:color w:val="222222"/>
          <w:sz w:val="24"/>
          <w:szCs w:val="24"/>
          <w:shd w:val="clear" w:color="auto" w:fill="FFFFFF"/>
        </w:rPr>
        <w:t> </w:t>
      </w:r>
      <w:r w:rsidRPr="008C2778">
        <w:rPr>
          <w:rStyle w:val="lmm029"/>
          <w:rFonts w:ascii="Arial" w:hAnsi="Arial" w:cs="Arial"/>
          <w:b w:val="0"/>
          <w:color w:val="000000" w:themeColor="text1"/>
          <w:sz w:val="24"/>
          <w:szCs w:val="24"/>
          <w:shd w:val="clear" w:color="auto" w:fill="FFFFFF"/>
        </w:rPr>
        <w:t>noviembre</w:t>
      </w:r>
      <w:r w:rsidRPr="008C2778">
        <w:rPr>
          <w:rStyle w:val="apple-converted-space"/>
          <w:rFonts w:ascii="Arial" w:hAnsi="Arial" w:cs="Arial"/>
          <w:b w:val="0"/>
          <w:color w:val="000000" w:themeColor="text1"/>
          <w:sz w:val="24"/>
          <w:szCs w:val="24"/>
          <w:shd w:val="clear" w:color="auto" w:fill="FFFFFF"/>
        </w:rPr>
        <w:t> </w:t>
      </w:r>
      <w:r w:rsidRPr="008C2778">
        <w:rPr>
          <w:rFonts w:ascii="Arial" w:hAnsi="Arial" w:cs="Arial"/>
          <w:b w:val="0"/>
          <w:color w:val="222222"/>
          <w:sz w:val="24"/>
          <w:szCs w:val="24"/>
          <w:shd w:val="clear" w:color="auto" w:fill="FFFFFF"/>
        </w:rPr>
        <w:t>2002</w:t>
      </w:r>
      <w:r>
        <w:rPr>
          <w:rFonts w:ascii="Arial" w:hAnsi="Arial" w:cs="Arial"/>
          <w:b w:val="0"/>
          <w:color w:val="222222"/>
          <w:sz w:val="24"/>
          <w:szCs w:val="24"/>
          <w:shd w:val="clear" w:color="auto" w:fill="FFFFFF"/>
        </w:rPr>
        <w:t>.</w:t>
      </w:r>
    </w:p>
    <w:p w:rsidR="00755896" w:rsidRDefault="00755896" w:rsidP="009174C3">
      <w:pPr>
        <w:pStyle w:val="Ttulo3"/>
        <w:shd w:val="clear" w:color="auto" w:fill="FFFFFF"/>
        <w:spacing w:before="0" w:line="240" w:lineRule="auto"/>
        <w:jc w:val="both"/>
        <w:rPr>
          <w:rFonts w:ascii="Arial" w:eastAsia="Times New Roman" w:hAnsi="Arial" w:cs="Arial"/>
          <w:b w:val="0"/>
          <w:color w:val="222222"/>
          <w:sz w:val="24"/>
          <w:szCs w:val="24"/>
          <w:lang w:val="es-ES" w:eastAsia="es-MX"/>
        </w:rPr>
      </w:pPr>
    </w:p>
    <w:p w:rsidR="00755896" w:rsidRPr="00755896" w:rsidRDefault="00FE7EAE" w:rsidP="004326F6">
      <w:pPr>
        <w:rPr>
          <w:lang w:val="es-ES" w:eastAsia="es-MX"/>
        </w:rPr>
      </w:pPr>
      <w:r>
        <w:rPr>
          <w:lang w:val="es-ES" w:eastAsia="es-MX"/>
        </w:rPr>
        <w:t xml:space="preserve">Área de libre Comercio de las Américas (ALCA) </w:t>
      </w:r>
      <w:hyperlink r:id="rId24" w:anchor="STRUCTURE" w:history="1">
        <w:r w:rsidR="00755896" w:rsidRPr="00FC75F0">
          <w:rPr>
            <w:rStyle w:val="Hipervnculo"/>
            <w:rFonts w:ascii="Arial" w:eastAsia="Times New Roman" w:hAnsi="Arial" w:cs="Arial"/>
            <w:sz w:val="24"/>
            <w:szCs w:val="24"/>
            <w:lang w:val="es-ES" w:eastAsia="es-MX"/>
          </w:rPr>
          <w:t>http://www.ftaa-alca.org/View_s.asp#STRUCTURE</w:t>
        </w:r>
      </w:hyperlink>
      <w:r w:rsidR="00755896">
        <w:rPr>
          <w:b/>
          <w:lang w:val="es-ES" w:eastAsia="es-MX"/>
        </w:rPr>
        <w:t>. Septiembre 2014.</w:t>
      </w:r>
    </w:p>
    <w:p w:rsidR="00FE7EAE" w:rsidRDefault="00FE7EAE" w:rsidP="004326F6">
      <w:pPr>
        <w:tabs>
          <w:tab w:val="center" w:pos="4478"/>
        </w:tabs>
        <w:spacing w:after="0" w:line="240" w:lineRule="auto"/>
        <w:jc w:val="both"/>
        <w:rPr>
          <w:rFonts w:ascii="Arial" w:eastAsia="Times New Roman" w:hAnsi="Arial" w:cs="Times New Roman"/>
          <w:spacing w:val="-3"/>
          <w:sz w:val="24"/>
          <w:szCs w:val="24"/>
          <w:lang w:val="es-ES" w:eastAsia="es-MX"/>
        </w:rPr>
      </w:pPr>
      <w:r>
        <w:rPr>
          <w:rFonts w:ascii="Arial" w:hAnsi="Arial" w:cs="Arial"/>
          <w:sz w:val="24"/>
          <w:szCs w:val="24"/>
        </w:rPr>
        <w:t xml:space="preserve">Comercio Transfronterizo de servicios ALADI, recuperado en  </w:t>
      </w:r>
      <w:hyperlink r:id="rId25" w:history="1">
        <w:r w:rsidR="004326F6" w:rsidRPr="00FC75F0">
          <w:rPr>
            <w:rStyle w:val="Hipervnculo"/>
            <w:rFonts w:ascii="Arial" w:eastAsia="Times New Roman" w:hAnsi="Arial" w:cs="Times New Roman"/>
            <w:spacing w:val="-3"/>
            <w:sz w:val="24"/>
            <w:szCs w:val="24"/>
            <w:lang w:val="es-ES" w:eastAsia="es-MX"/>
          </w:rPr>
          <w:t>www.aladi.org</w:t>
        </w:r>
      </w:hyperlink>
      <w:r w:rsidR="004326F6">
        <w:rPr>
          <w:rFonts w:ascii="Arial" w:eastAsia="Times New Roman" w:hAnsi="Arial" w:cs="Times New Roman"/>
          <w:spacing w:val="-3"/>
          <w:sz w:val="24"/>
          <w:szCs w:val="24"/>
          <w:lang w:val="es-ES" w:eastAsia="es-MX"/>
        </w:rPr>
        <w:t xml:space="preserve"> septiembre 2014.</w:t>
      </w:r>
    </w:p>
    <w:p w:rsidR="004326F6" w:rsidRPr="004326F6" w:rsidRDefault="004326F6" w:rsidP="004326F6">
      <w:pPr>
        <w:tabs>
          <w:tab w:val="center" w:pos="4478"/>
        </w:tabs>
        <w:spacing w:after="0" w:line="240" w:lineRule="auto"/>
        <w:jc w:val="both"/>
        <w:rPr>
          <w:rFonts w:ascii="Arial" w:eastAsia="Times New Roman" w:hAnsi="Arial" w:cs="Times New Roman"/>
          <w:spacing w:val="-3"/>
          <w:sz w:val="24"/>
          <w:szCs w:val="24"/>
          <w:lang w:val="es-ES" w:eastAsia="es-MX"/>
        </w:rPr>
      </w:pPr>
    </w:p>
    <w:p w:rsidR="00FE7EAE" w:rsidRDefault="00FE7EAE" w:rsidP="009174C3">
      <w:pPr>
        <w:spacing w:line="240" w:lineRule="auto"/>
        <w:rPr>
          <w:rFonts w:ascii="Arial" w:hAnsi="Arial" w:cs="Arial"/>
          <w:sz w:val="24"/>
          <w:szCs w:val="24"/>
        </w:rPr>
      </w:pPr>
      <w:r>
        <w:rPr>
          <w:rFonts w:ascii="Arial" w:hAnsi="Arial" w:cs="Arial"/>
          <w:sz w:val="24"/>
          <w:szCs w:val="24"/>
        </w:rPr>
        <w:t xml:space="preserve">Compromiso de Brasilia, metas del plan trienal para el año 2000. </w:t>
      </w:r>
    </w:p>
    <w:p w:rsidR="00FE7EAE" w:rsidRPr="004326F6" w:rsidRDefault="00FE7EAE" w:rsidP="004326F6">
      <w:pPr>
        <w:pStyle w:val="Ttulo3"/>
        <w:shd w:val="clear" w:color="auto" w:fill="FFFFFF"/>
        <w:spacing w:before="0" w:after="240" w:line="240" w:lineRule="auto"/>
        <w:jc w:val="both"/>
        <w:rPr>
          <w:rFonts w:ascii="Arial" w:eastAsia="Times New Roman" w:hAnsi="Arial" w:cs="Arial"/>
          <w:b w:val="0"/>
          <w:color w:val="222222"/>
          <w:sz w:val="24"/>
          <w:szCs w:val="24"/>
          <w:lang w:val="es-ES" w:eastAsia="es-MX"/>
        </w:rPr>
      </w:pPr>
      <w:r w:rsidRPr="004326F6">
        <w:rPr>
          <w:rFonts w:ascii="Arial" w:hAnsi="Arial" w:cs="Arial"/>
          <w:b w:val="0"/>
          <w:color w:val="auto"/>
        </w:rPr>
        <w:t>Convenio de Reconocimiento Mutuo de Certificados de Estudios, Títulos y Académicos de Educación Superior ALCA, recuperado en</w:t>
      </w:r>
      <w:r w:rsidRPr="004326F6">
        <w:rPr>
          <w:rFonts w:ascii="Arial" w:hAnsi="Arial" w:cs="Arial"/>
          <w:iCs/>
          <w:color w:val="auto"/>
          <w:sz w:val="24"/>
          <w:szCs w:val="24"/>
        </w:rPr>
        <w:t xml:space="preserve"> </w:t>
      </w:r>
      <w:hyperlink r:id="rId26" w:anchor="STRUCTURE" w:history="1">
        <w:r w:rsidR="004326F6" w:rsidRPr="00FC75F0">
          <w:rPr>
            <w:rStyle w:val="Hipervnculo"/>
            <w:rFonts w:ascii="Arial" w:eastAsia="Times New Roman" w:hAnsi="Arial" w:cs="Arial"/>
            <w:b w:val="0"/>
            <w:sz w:val="24"/>
            <w:szCs w:val="24"/>
            <w:lang w:val="es-ES" w:eastAsia="es-MX"/>
          </w:rPr>
          <w:t>http://www.ftaa-alca.org/View_s.asp#STRUCTURE</w:t>
        </w:r>
      </w:hyperlink>
      <w:r w:rsidR="004326F6">
        <w:rPr>
          <w:rFonts w:ascii="Arial" w:eastAsia="Times New Roman" w:hAnsi="Arial" w:cs="Arial"/>
          <w:b w:val="0"/>
          <w:color w:val="222222"/>
          <w:sz w:val="24"/>
          <w:szCs w:val="24"/>
          <w:lang w:val="es-ES" w:eastAsia="es-MX"/>
        </w:rPr>
        <w:t>. Septiembre 2014.</w:t>
      </w:r>
    </w:p>
    <w:p w:rsidR="004326F6" w:rsidRDefault="00FE7EAE" w:rsidP="004326F6">
      <w:pPr>
        <w:shd w:val="clear" w:color="auto" w:fill="FFFFFF"/>
        <w:spacing w:after="0"/>
        <w:rPr>
          <w:rFonts w:ascii="Arial" w:eastAsia="Times New Roman" w:hAnsi="Arial" w:cs="Arial"/>
          <w:color w:val="000000"/>
          <w:sz w:val="20"/>
          <w:szCs w:val="20"/>
          <w:lang w:eastAsia="es-MX"/>
        </w:rPr>
      </w:pPr>
      <w:r>
        <w:rPr>
          <w:rFonts w:ascii="Arial" w:hAnsi="Arial" w:cs="Arial"/>
          <w:sz w:val="24"/>
          <w:szCs w:val="24"/>
        </w:rPr>
        <w:t xml:space="preserve">Declaración de Costa Rica (20 de noviembre, 2004), XIV Cumbre Iberoamericana de Jefes de Estado y Gobierno, recuperado en </w:t>
      </w:r>
      <w:hyperlink r:id="rId27" w:tgtFrame="_blank" w:history="1">
        <w:r w:rsidR="004326F6" w:rsidRPr="004326F6">
          <w:rPr>
            <w:rFonts w:ascii="Arial" w:eastAsia="Times New Roman" w:hAnsi="Arial" w:cs="Arial"/>
            <w:color w:val="009933"/>
            <w:sz w:val="20"/>
            <w:szCs w:val="20"/>
            <w:lang w:eastAsia="es-MX"/>
          </w:rPr>
          <w:t>www.summit-americas.org/defaults.htm</w:t>
        </w:r>
      </w:hyperlink>
    </w:p>
    <w:p w:rsidR="00FE7EAE" w:rsidRDefault="004326F6" w:rsidP="004326F6">
      <w:pPr>
        <w:shd w:val="clear" w:color="auto" w:fill="FFFFFF"/>
        <w:spacing w:after="0"/>
        <w:rPr>
          <w:rFonts w:ascii="Arial" w:eastAsia="Times New Roman" w:hAnsi="Arial" w:cs="Arial"/>
          <w:color w:val="000000"/>
          <w:sz w:val="24"/>
          <w:szCs w:val="24"/>
          <w:lang w:eastAsia="es-MX"/>
        </w:rPr>
      </w:pPr>
      <w:r w:rsidRPr="004326F6">
        <w:rPr>
          <w:rFonts w:ascii="Arial" w:eastAsia="Times New Roman" w:hAnsi="Arial" w:cs="Arial"/>
          <w:color w:val="000000"/>
          <w:sz w:val="24"/>
          <w:szCs w:val="24"/>
          <w:lang w:eastAsia="es-MX"/>
        </w:rPr>
        <w:t>Agosto 2014</w:t>
      </w:r>
      <w:r>
        <w:rPr>
          <w:rFonts w:ascii="Arial" w:eastAsia="Times New Roman" w:hAnsi="Arial" w:cs="Arial"/>
          <w:color w:val="000000"/>
          <w:sz w:val="24"/>
          <w:szCs w:val="24"/>
          <w:lang w:eastAsia="es-MX"/>
        </w:rPr>
        <w:t>.</w:t>
      </w:r>
    </w:p>
    <w:p w:rsidR="004326F6" w:rsidRPr="004326F6" w:rsidRDefault="004326F6" w:rsidP="004326F6">
      <w:pPr>
        <w:shd w:val="clear" w:color="auto" w:fill="FFFFFF"/>
        <w:spacing w:after="0"/>
        <w:rPr>
          <w:rFonts w:ascii="Arial" w:eastAsia="Times New Roman" w:hAnsi="Arial" w:cs="Arial"/>
          <w:color w:val="000000"/>
          <w:sz w:val="24"/>
          <w:szCs w:val="24"/>
          <w:lang w:eastAsia="es-MX"/>
        </w:rPr>
      </w:pPr>
    </w:p>
    <w:p w:rsidR="00FE7EAE" w:rsidRPr="004326F6" w:rsidRDefault="00FE7EAE" w:rsidP="004326F6">
      <w:pPr>
        <w:shd w:val="clear" w:color="auto" w:fill="FFFFFF"/>
        <w:rPr>
          <w:rFonts w:ascii="Arial" w:eastAsia="Times New Roman" w:hAnsi="Arial" w:cs="Arial"/>
          <w:color w:val="000000"/>
          <w:sz w:val="20"/>
          <w:szCs w:val="20"/>
          <w:lang w:eastAsia="es-MX"/>
        </w:rPr>
      </w:pPr>
      <w:r>
        <w:rPr>
          <w:rFonts w:ascii="Arial" w:hAnsi="Arial" w:cs="Arial"/>
          <w:sz w:val="24"/>
          <w:szCs w:val="24"/>
        </w:rPr>
        <w:t>Declaración de El Salvador (29-31 de octubre de 2008) XVIII Cumbre Iberoamericana de Jefes de Estado y Gobierno, recuperado en</w:t>
      </w:r>
      <w:r w:rsidR="004326F6">
        <w:rPr>
          <w:rFonts w:ascii="Arial" w:hAnsi="Arial" w:cs="Arial"/>
          <w:sz w:val="24"/>
          <w:szCs w:val="24"/>
        </w:rPr>
        <w:t xml:space="preserve"> </w:t>
      </w:r>
      <w:hyperlink r:id="rId28" w:tgtFrame="_blank" w:history="1">
        <w:r w:rsidR="004326F6" w:rsidRPr="004326F6">
          <w:rPr>
            <w:rFonts w:ascii="Arial" w:eastAsia="Times New Roman" w:hAnsi="Arial" w:cs="Arial"/>
            <w:color w:val="009933"/>
            <w:sz w:val="20"/>
            <w:szCs w:val="20"/>
            <w:lang w:eastAsia="es-MX"/>
          </w:rPr>
          <w:t>www.summit-americas.org/defaults.htm</w:t>
        </w:r>
      </w:hyperlink>
      <w:r w:rsidR="004326F6">
        <w:rPr>
          <w:rFonts w:ascii="Arial" w:eastAsia="Times New Roman" w:hAnsi="Arial" w:cs="Arial"/>
          <w:color w:val="000000"/>
          <w:sz w:val="20"/>
          <w:szCs w:val="20"/>
          <w:lang w:eastAsia="es-MX"/>
        </w:rPr>
        <w:t xml:space="preserve"> Agosto 2014.</w:t>
      </w:r>
    </w:p>
    <w:p w:rsidR="004326F6" w:rsidRPr="004326F6" w:rsidRDefault="00FE7EAE" w:rsidP="004326F6">
      <w:pPr>
        <w:shd w:val="clear" w:color="auto" w:fill="FFFFFF"/>
        <w:rPr>
          <w:rFonts w:ascii="Arial" w:eastAsia="Times New Roman" w:hAnsi="Arial" w:cs="Arial"/>
          <w:color w:val="000000"/>
          <w:sz w:val="20"/>
          <w:szCs w:val="20"/>
          <w:lang w:eastAsia="es-MX"/>
        </w:rPr>
      </w:pPr>
      <w:r>
        <w:rPr>
          <w:rFonts w:ascii="Arial" w:hAnsi="Arial" w:cs="Arial"/>
          <w:sz w:val="24"/>
          <w:szCs w:val="24"/>
        </w:rPr>
        <w:t>Declaración de Lisboa (30 de noviembre y 1º de diciembre de 2009) XIX Cumbre Iberoamericana de Jefes de Estado y Gobierno, recuperado en</w:t>
      </w:r>
      <w:r w:rsidR="004326F6">
        <w:rPr>
          <w:rFonts w:ascii="Arial" w:hAnsi="Arial" w:cs="Arial"/>
          <w:sz w:val="24"/>
          <w:szCs w:val="24"/>
        </w:rPr>
        <w:t xml:space="preserve"> </w:t>
      </w:r>
      <w:hyperlink r:id="rId29" w:tgtFrame="_blank" w:history="1">
        <w:r w:rsidR="004326F6" w:rsidRPr="004326F6">
          <w:rPr>
            <w:rFonts w:ascii="Arial" w:eastAsia="Times New Roman" w:hAnsi="Arial" w:cs="Arial"/>
            <w:color w:val="009933"/>
            <w:sz w:val="20"/>
            <w:szCs w:val="20"/>
            <w:lang w:eastAsia="es-MX"/>
          </w:rPr>
          <w:t>www.summit-americas.org/defaults.htm</w:t>
        </w:r>
      </w:hyperlink>
      <w:r w:rsidR="004326F6">
        <w:rPr>
          <w:rFonts w:ascii="Arial" w:eastAsia="Times New Roman" w:hAnsi="Arial" w:cs="Arial"/>
          <w:color w:val="000000"/>
          <w:sz w:val="20"/>
          <w:szCs w:val="20"/>
          <w:lang w:eastAsia="es-MX"/>
        </w:rPr>
        <w:t xml:space="preserve"> Agosto 2014.</w:t>
      </w:r>
    </w:p>
    <w:p w:rsidR="00FE7EAE" w:rsidRDefault="00FE7EAE" w:rsidP="009174C3">
      <w:pPr>
        <w:spacing w:line="240" w:lineRule="auto"/>
        <w:rPr>
          <w:rFonts w:ascii="Arial" w:hAnsi="Arial" w:cs="Arial"/>
          <w:sz w:val="24"/>
          <w:szCs w:val="24"/>
        </w:rPr>
      </w:pPr>
    </w:p>
    <w:p w:rsidR="00FE7EAE" w:rsidRPr="004326F6" w:rsidRDefault="00FE7EAE" w:rsidP="004326F6">
      <w:pPr>
        <w:shd w:val="clear" w:color="auto" w:fill="FFFFFF"/>
        <w:rPr>
          <w:rFonts w:ascii="Arial" w:eastAsia="Times New Roman" w:hAnsi="Arial" w:cs="Arial"/>
          <w:color w:val="000000"/>
          <w:sz w:val="20"/>
          <w:szCs w:val="20"/>
          <w:lang w:eastAsia="es-MX"/>
        </w:rPr>
      </w:pPr>
      <w:r>
        <w:rPr>
          <w:rFonts w:ascii="Arial" w:hAnsi="Arial" w:cs="Arial"/>
          <w:sz w:val="24"/>
          <w:szCs w:val="24"/>
        </w:rPr>
        <w:t>Declaración de Montevideo (3 y 4 de noviembre de 2006) XVI Cumbre Iberoamericana de Jefes de Estado y Gobierno, recuperado en</w:t>
      </w:r>
      <w:r w:rsidR="004326F6">
        <w:rPr>
          <w:rFonts w:ascii="Arial" w:hAnsi="Arial" w:cs="Arial"/>
          <w:sz w:val="24"/>
          <w:szCs w:val="24"/>
        </w:rPr>
        <w:t xml:space="preserve"> </w:t>
      </w:r>
      <w:hyperlink r:id="rId30" w:tgtFrame="_blank" w:history="1">
        <w:r w:rsidR="004326F6" w:rsidRPr="004326F6">
          <w:rPr>
            <w:rFonts w:ascii="Arial" w:eastAsia="Times New Roman" w:hAnsi="Arial" w:cs="Arial"/>
            <w:color w:val="009933"/>
            <w:sz w:val="20"/>
            <w:szCs w:val="20"/>
            <w:lang w:eastAsia="es-MX"/>
          </w:rPr>
          <w:t>www.summit-americas.org/defaults.htm</w:t>
        </w:r>
      </w:hyperlink>
      <w:r w:rsidR="004326F6">
        <w:rPr>
          <w:rFonts w:ascii="Arial" w:eastAsia="Times New Roman" w:hAnsi="Arial" w:cs="Arial"/>
          <w:color w:val="000000"/>
          <w:sz w:val="20"/>
          <w:szCs w:val="20"/>
          <w:lang w:eastAsia="es-MX"/>
        </w:rPr>
        <w:t xml:space="preserve"> Agosto 2014.</w:t>
      </w:r>
    </w:p>
    <w:p w:rsidR="00FE7EAE" w:rsidRPr="004326F6" w:rsidRDefault="00FE7EAE" w:rsidP="004326F6">
      <w:pPr>
        <w:shd w:val="clear" w:color="auto" w:fill="FFFFFF"/>
        <w:rPr>
          <w:rFonts w:ascii="Arial" w:eastAsia="Times New Roman" w:hAnsi="Arial" w:cs="Arial"/>
          <w:color w:val="000000"/>
          <w:sz w:val="20"/>
          <w:szCs w:val="20"/>
          <w:lang w:eastAsia="es-MX"/>
        </w:rPr>
      </w:pPr>
      <w:r>
        <w:rPr>
          <w:rFonts w:ascii="Arial" w:hAnsi="Arial" w:cs="Arial"/>
          <w:sz w:val="24"/>
          <w:szCs w:val="24"/>
        </w:rPr>
        <w:lastRenderedPageBreak/>
        <w:t>Declaración de Panamá (17 y 18 de noviembre de 2000) X Cumbre Iberoamericana de Jefes de Estado y Gobierno, recuperado en</w:t>
      </w:r>
      <w:r w:rsidR="004326F6">
        <w:rPr>
          <w:rFonts w:ascii="Arial" w:hAnsi="Arial" w:cs="Arial"/>
          <w:sz w:val="24"/>
          <w:szCs w:val="24"/>
        </w:rPr>
        <w:t xml:space="preserve"> </w:t>
      </w:r>
      <w:hyperlink r:id="rId31" w:tgtFrame="_blank" w:history="1">
        <w:r w:rsidR="004326F6" w:rsidRPr="004326F6">
          <w:rPr>
            <w:rFonts w:ascii="Arial" w:eastAsia="Times New Roman" w:hAnsi="Arial" w:cs="Arial"/>
            <w:color w:val="009933"/>
            <w:sz w:val="20"/>
            <w:szCs w:val="20"/>
            <w:lang w:eastAsia="es-MX"/>
          </w:rPr>
          <w:t>www.summit-americas.org/defaults.htm</w:t>
        </w:r>
      </w:hyperlink>
      <w:r w:rsidR="004326F6">
        <w:rPr>
          <w:rFonts w:ascii="Arial" w:eastAsia="Times New Roman" w:hAnsi="Arial" w:cs="Arial"/>
          <w:color w:val="000000"/>
          <w:sz w:val="20"/>
          <w:szCs w:val="20"/>
          <w:lang w:eastAsia="es-MX"/>
        </w:rPr>
        <w:t xml:space="preserve"> Agosto 2014.</w:t>
      </w:r>
    </w:p>
    <w:p w:rsidR="00FE7EAE" w:rsidRPr="004326F6" w:rsidRDefault="00FE7EAE" w:rsidP="004326F6">
      <w:pPr>
        <w:shd w:val="clear" w:color="auto" w:fill="FFFFFF"/>
        <w:rPr>
          <w:rFonts w:ascii="Arial" w:eastAsia="Times New Roman" w:hAnsi="Arial" w:cs="Arial"/>
          <w:color w:val="000000"/>
          <w:sz w:val="20"/>
          <w:szCs w:val="20"/>
          <w:lang w:eastAsia="es-MX"/>
        </w:rPr>
      </w:pPr>
      <w:r>
        <w:rPr>
          <w:rFonts w:ascii="Arial" w:hAnsi="Arial" w:cs="Arial"/>
          <w:sz w:val="24"/>
          <w:szCs w:val="24"/>
        </w:rPr>
        <w:t>Declaración de Salamanca (14 y 15 de octubre de 2005) XV Cumbre Iberoamericana de Jefes de Estado y Gobierno, recuperado en</w:t>
      </w:r>
      <w:r w:rsidR="004326F6">
        <w:rPr>
          <w:rFonts w:ascii="Arial" w:hAnsi="Arial" w:cs="Arial"/>
          <w:sz w:val="24"/>
          <w:szCs w:val="24"/>
        </w:rPr>
        <w:t xml:space="preserve"> </w:t>
      </w:r>
      <w:hyperlink r:id="rId32" w:tgtFrame="_blank" w:history="1">
        <w:r w:rsidR="004326F6" w:rsidRPr="004326F6">
          <w:rPr>
            <w:rFonts w:ascii="Arial" w:eastAsia="Times New Roman" w:hAnsi="Arial" w:cs="Arial"/>
            <w:color w:val="009933"/>
            <w:sz w:val="20"/>
            <w:szCs w:val="20"/>
            <w:lang w:eastAsia="es-MX"/>
          </w:rPr>
          <w:t>www.summit-americas.org/defaults.htm</w:t>
        </w:r>
      </w:hyperlink>
      <w:r w:rsidR="004326F6">
        <w:rPr>
          <w:rFonts w:ascii="Arial" w:eastAsia="Times New Roman" w:hAnsi="Arial" w:cs="Arial"/>
          <w:color w:val="000000"/>
          <w:sz w:val="20"/>
          <w:szCs w:val="20"/>
          <w:lang w:eastAsia="es-MX"/>
        </w:rPr>
        <w:t xml:space="preserve"> Agosto 2014.</w:t>
      </w:r>
    </w:p>
    <w:p w:rsidR="00FE7EAE" w:rsidRPr="004326F6" w:rsidRDefault="00FE7EAE" w:rsidP="004326F6">
      <w:pPr>
        <w:shd w:val="clear" w:color="auto" w:fill="FFFFFF"/>
        <w:rPr>
          <w:rFonts w:ascii="Arial" w:eastAsia="Times New Roman" w:hAnsi="Arial" w:cs="Arial"/>
          <w:color w:val="000000"/>
          <w:sz w:val="20"/>
          <w:szCs w:val="20"/>
          <w:lang w:eastAsia="es-MX"/>
        </w:rPr>
      </w:pPr>
      <w:r>
        <w:rPr>
          <w:rFonts w:ascii="Arial" w:hAnsi="Arial" w:cs="Arial"/>
          <w:sz w:val="24"/>
          <w:szCs w:val="24"/>
        </w:rPr>
        <w:t>Declaración Mar del Plata (3 y 4 de diciembre de 2010) XX Cumbre Iberoamericana de Jefes de Estado y Gobierno, recuperado en</w:t>
      </w:r>
      <w:r w:rsidR="004326F6">
        <w:rPr>
          <w:rFonts w:ascii="Arial" w:hAnsi="Arial" w:cs="Arial"/>
          <w:sz w:val="24"/>
          <w:szCs w:val="24"/>
        </w:rPr>
        <w:t xml:space="preserve"> </w:t>
      </w:r>
      <w:hyperlink r:id="rId33" w:tgtFrame="_blank" w:history="1">
        <w:r w:rsidR="004326F6" w:rsidRPr="004326F6">
          <w:rPr>
            <w:rFonts w:ascii="Arial" w:eastAsia="Times New Roman" w:hAnsi="Arial" w:cs="Arial"/>
            <w:color w:val="009933"/>
            <w:sz w:val="20"/>
            <w:szCs w:val="20"/>
            <w:lang w:eastAsia="es-MX"/>
          </w:rPr>
          <w:t>www.summit-americas.org/defaults.htm</w:t>
        </w:r>
      </w:hyperlink>
      <w:r w:rsidR="004326F6">
        <w:rPr>
          <w:rFonts w:ascii="Arial" w:eastAsia="Times New Roman" w:hAnsi="Arial" w:cs="Arial"/>
          <w:color w:val="000000"/>
          <w:sz w:val="20"/>
          <w:szCs w:val="20"/>
          <w:lang w:eastAsia="es-MX"/>
        </w:rPr>
        <w:t xml:space="preserve"> Agosto 2014.</w:t>
      </w:r>
    </w:p>
    <w:p w:rsidR="00FE7EAE" w:rsidRDefault="00FE7EAE" w:rsidP="009174C3">
      <w:pPr>
        <w:spacing w:before="200" w:line="240" w:lineRule="auto"/>
        <w:rPr>
          <w:rFonts w:ascii="Arial" w:hAnsi="Arial" w:cs="Arial"/>
          <w:sz w:val="24"/>
          <w:szCs w:val="24"/>
        </w:rPr>
      </w:pPr>
      <w:r w:rsidRPr="005B5998">
        <w:rPr>
          <w:rFonts w:ascii="Arial" w:hAnsi="Arial" w:cs="Arial"/>
          <w:sz w:val="24"/>
          <w:szCs w:val="24"/>
        </w:rPr>
        <w:t>García Gaudilla Carmen, Didou Apetit Sylvie y Marquis Carlos</w:t>
      </w:r>
      <w:r w:rsidRPr="005B5998">
        <w:rPr>
          <w:rFonts w:ascii="Arial" w:hAnsi="Arial" w:cs="Arial"/>
          <w:i/>
          <w:sz w:val="24"/>
          <w:szCs w:val="24"/>
        </w:rPr>
        <w:t>. Nuevos proveedores, educación trasnacional y acxreditación de la educación superior en América Latina</w:t>
      </w:r>
      <w:r w:rsidRPr="005B5998">
        <w:rPr>
          <w:rFonts w:ascii="Arial" w:hAnsi="Arial" w:cs="Arial"/>
          <w:sz w:val="24"/>
          <w:szCs w:val="24"/>
        </w:rPr>
        <w:t xml:space="preserve"> IESALC-UNESCO, octubre 2002</w:t>
      </w:r>
    </w:p>
    <w:p w:rsidR="00FE7EAE" w:rsidRPr="004326F6" w:rsidRDefault="00FE7EAE" w:rsidP="004326F6">
      <w:pPr>
        <w:shd w:val="clear" w:color="auto" w:fill="FFFFFF"/>
        <w:rPr>
          <w:rFonts w:ascii="Arial" w:eastAsia="Times New Roman" w:hAnsi="Arial" w:cs="Arial"/>
          <w:color w:val="000000"/>
          <w:sz w:val="20"/>
          <w:szCs w:val="20"/>
          <w:lang w:eastAsia="es-MX"/>
        </w:rPr>
      </w:pPr>
      <w:r>
        <w:rPr>
          <w:rFonts w:ascii="Arial" w:hAnsi="Arial" w:cs="Arial"/>
          <w:sz w:val="24"/>
          <w:szCs w:val="24"/>
        </w:rPr>
        <w:t>Plan 2001-2005 del Sector Educativo del Mercosur, recuperado en</w:t>
      </w:r>
      <w:r w:rsidR="004326F6">
        <w:rPr>
          <w:rFonts w:ascii="Arial" w:hAnsi="Arial" w:cs="Arial"/>
          <w:sz w:val="24"/>
          <w:szCs w:val="24"/>
        </w:rPr>
        <w:t xml:space="preserve"> </w:t>
      </w:r>
      <w:hyperlink r:id="rId34" w:tgtFrame="_blank" w:history="1">
        <w:r w:rsidR="004326F6" w:rsidRPr="004326F6">
          <w:rPr>
            <w:rFonts w:ascii="Arial" w:eastAsia="Times New Roman" w:hAnsi="Arial" w:cs="Arial"/>
            <w:color w:val="009933"/>
            <w:sz w:val="20"/>
            <w:szCs w:val="20"/>
            <w:lang w:eastAsia="es-MX"/>
          </w:rPr>
          <w:t>www.mercosur.int/show?contentid=3862</w:t>
        </w:r>
      </w:hyperlink>
      <w:r w:rsidR="004326F6">
        <w:rPr>
          <w:rFonts w:ascii="Arial" w:eastAsia="Times New Roman" w:hAnsi="Arial" w:cs="Arial"/>
          <w:color w:val="000000"/>
          <w:sz w:val="20"/>
          <w:szCs w:val="20"/>
          <w:lang w:eastAsia="es-MX"/>
        </w:rPr>
        <w:t xml:space="preserve"> Noviembre 2014.</w:t>
      </w:r>
    </w:p>
    <w:p w:rsidR="00FE7EAE" w:rsidRPr="004326F6" w:rsidRDefault="00FE7EAE" w:rsidP="004326F6">
      <w:pPr>
        <w:shd w:val="clear" w:color="auto" w:fill="FFFFFF"/>
        <w:rPr>
          <w:rFonts w:ascii="Arial" w:eastAsia="Times New Roman" w:hAnsi="Arial" w:cs="Arial"/>
          <w:color w:val="000000"/>
          <w:sz w:val="20"/>
          <w:szCs w:val="20"/>
          <w:lang w:eastAsia="es-MX"/>
        </w:rPr>
      </w:pPr>
      <w:r>
        <w:rPr>
          <w:rFonts w:ascii="Arial" w:hAnsi="Arial" w:cs="Arial"/>
          <w:sz w:val="24"/>
          <w:szCs w:val="24"/>
        </w:rPr>
        <w:t xml:space="preserve">Plan de acción del sector educativo del Mercosur 2011-2015, recuperado en </w:t>
      </w:r>
      <w:hyperlink r:id="rId35" w:tgtFrame="_blank" w:history="1">
        <w:r w:rsidR="004326F6" w:rsidRPr="004326F6">
          <w:rPr>
            <w:rFonts w:ascii="Arial" w:eastAsia="Times New Roman" w:hAnsi="Arial" w:cs="Arial"/>
            <w:color w:val="009933"/>
            <w:sz w:val="20"/>
            <w:szCs w:val="20"/>
            <w:lang w:eastAsia="es-MX"/>
          </w:rPr>
          <w:t>www.mercosur.int/show?contentid=3862</w:t>
        </w:r>
      </w:hyperlink>
      <w:r w:rsidR="004326F6">
        <w:rPr>
          <w:rFonts w:ascii="Arial" w:eastAsia="Times New Roman" w:hAnsi="Arial" w:cs="Arial"/>
          <w:color w:val="000000"/>
          <w:sz w:val="20"/>
          <w:szCs w:val="20"/>
          <w:lang w:eastAsia="es-MX"/>
        </w:rPr>
        <w:t xml:space="preserve"> Noviembre 2014.</w:t>
      </w:r>
    </w:p>
    <w:p w:rsidR="00FE7EAE" w:rsidRPr="00304308" w:rsidRDefault="00FE7EAE" w:rsidP="00304308">
      <w:pPr>
        <w:shd w:val="clear" w:color="auto" w:fill="FFFFFF"/>
        <w:rPr>
          <w:rFonts w:ascii="Arial" w:eastAsia="Times New Roman" w:hAnsi="Arial" w:cs="Arial"/>
          <w:color w:val="000000"/>
          <w:sz w:val="20"/>
          <w:szCs w:val="20"/>
          <w:lang w:eastAsia="es-MX"/>
        </w:rPr>
      </w:pPr>
      <w:r>
        <w:rPr>
          <w:rFonts w:ascii="Arial" w:hAnsi="Arial" w:cs="Arial"/>
          <w:sz w:val="24"/>
          <w:szCs w:val="24"/>
        </w:rPr>
        <w:t>Protocolo de admisión de títulos y grados universitarios para el ejercicio de actividades académicas en los países del Mercosur, recuperado en</w:t>
      </w:r>
      <w:r w:rsidR="004326F6">
        <w:rPr>
          <w:rFonts w:ascii="Arial" w:hAnsi="Arial" w:cs="Arial"/>
          <w:sz w:val="24"/>
          <w:szCs w:val="24"/>
        </w:rPr>
        <w:t xml:space="preserve"> </w:t>
      </w:r>
      <w:hyperlink r:id="rId36" w:tgtFrame="_blank" w:history="1">
        <w:r w:rsidR="004326F6" w:rsidRPr="004326F6">
          <w:rPr>
            <w:rFonts w:ascii="Arial" w:eastAsia="Times New Roman" w:hAnsi="Arial" w:cs="Arial"/>
            <w:color w:val="009933"/>
            <w:sz w:val="20"/>
            <w:szCs w:val="20"/>
            <w:lang w:eastAsia="es-MX"/>
          </w:rPr>
          <w:t>www.mercosur.int/show?contentid=3862</w:t>
        </w:r>
      </w:hyperlink>
      <w:r w:rsidR="004326F6">
        <w:rPr>
          <w:rFonts w:ascii="Arial" w:eastAsia="Times New Roman" w:hAnsi="Arial" w:cs="Arial"/>
          <w:color w:val="000000"/>
          <w:sz w:val="20"/>
          <w:szCs w:val="20"/>
          <w:lang w:eastAsia="es-MX"/>
        </w:rPr>
        <w:t xml:space="preserve"> Noviembre 2014</w:t>
      </w:r>
      <w:r w:rsidR="00304308">
        <w:rPr>
          <w:rFonts w:ascii="Arial" w:eastAsia="Times New Roman" w:hAnsi="Arial" w:cs="Arial"/>
          <w:color w:val="000000"/>
          <w:sz w:val="20"/>
          <w:szCs w:val="20"/>
          <w:lang w:eastAsia="es-MX"/>
        </w:rPr>
        <w:t>.</w:t>
      </w:r>
    </w:p>
    <w:p w:rsidR="00FE7EAE" w:rsidRPr="00304308" w:rsidRDefault="00FE7EAE" w:rsidP="00304308">
      <w:pPr>
        <w:shd w:val="clear" w:color="auto" w:fill="FFFFFF"/>
        <w:rPr>
          <w:rFonts w:ascii="Arial" w:eastAsia="Times New Roman" w:hAnsi="Arial" w:cs="Arial"/>
          <w:color w:val="000000"/>
          <w:sz w:val="20"/>
          <w:szCs w:val="20"/>
          <w:lang w:eastAsia="es-MX"/>
        </w:rPr>
      </w:pPr>
      <w:r>
        <w:rPr>
          <w:rFonts w:ascii="Arial" w:hAnsi="Arial" w:cs="Arial"/>
          <w:sz w:val="24"/>
          <w:szCs w:val="24"/>
        </w:rPr>
        <w:t>Protocolo de integración educativa para la formación de recursos humanos a nivel de posgrado entre los países miembros del Mercosur, recuperado en</w:t>
      </w:r>
      <w:r w:rsidR="00304308">
        <w:rPr>
          <w:rFonts w:ascii="Arial" w:hAnsi="Arial" w:cs="Arial"/>
          <w:sz w:val="24"/>
          <w:szCs w:val="24"/>
        </w:rPr>
        <w:t xml:space="preserve"> </w:t>
      </w:r>
      <w:hyperlink r:id="rId37" w:tgtFrame="_blank" w:history="1">
        <w:r w:rsidR="00304308" w:rsidRPr="00304308">
          <w:rPr>
            <w:rFonts w:ascii="Arial" w:eastAsia="Times New Roman" w:hAnsi="Arial" w:cs="Arial"/>
            <w:color w:val="009933"/>
            <w:sz w:val="20"/>
            <w:szCs w:val="20"/>
            <w:lang w:eastAsia="es-MX"/>
          </w:rPr>
          <w:t>www.mercosur.int/show?contentid=3862</w:t>
        </w:r>
      </w:hyperlink>
      <w:r w:rsidR="00304308">
        <w:rPr>
          <w:rFonts w:ascii="Arial" w:eastAsia="Times New Roman" w:hAnsi="Arial" w:cs="Arial"/>
          <w:color w:val="000000"/>
          <w:sz w:val="20"/>
          <w:szCs w:val="20"/>
          <w:lang w:eastAsia="es-MX"/>
        </w:rPr>
        <w:t xml:space="preserve"> Noviembre 2014.</w:t>
      </w:r>
    </w:p>
    <w:p w:rsidR="00FE7EAE" w:rsidRPr="00304308" w:rsidRDefault="00FE7EAE" w:rsidP="00304308">
      <w:pPr>
        <w:shd w:val="clear" w:color="auto" w:fill="FFFFFF"/>
        <w:rPr>
          <w:rFonts w:ascii="Arial" w:eastAsia="Times New Roman" w:hAnsi="Arial" w:cs="Arial"/>
          <w:color w:val="000000"/>
          <w:sz w:val="20"/>
          <w:szCs w:val="20"/>
          <w:lang w:eastAsia="es-MX"/>
        </w:rPr>
      </w:pPr>
      <w:r>
        <w:rPr>
          <w:rFonts w:ascii="Arial" w:hAnsi="Arial" w:cs="Arial"/>
          <w:sz w:val="24"/>
          <w:szCs w:val="24"/>
        </w:rPr>
        <w:t>Protocolo de Integración educativa para la prosecución de estudios de posgrado en las universidades entre los países  miembros del Mercosur, recuperado en</w:t>
      </w:r>
      <w:r w:rsidR="00304308">
        <w:rPr>
          <w:rFonts w:ascii="Arial" w:hAnsi="Arial" w:cs="Arial"/>
          <w:sz w:val="24"/>
          <w:szCs w:val="24"/>
        </w:rPr>
        <w:t xml:space="preserve"> </w:t>
      </w:r>
      <w:hyperlink r:id="rId38" w:tgtFrame="_blank" w:history="1">
        <w:r w:rsidR="00304308" w:rsidRPr="00304308">
          <w:rPr>
            <w:rFonts w:ascii="Arial" w:eastAsia="Times New Roman" w:hAnsi="Arial" w:cs="Arial"/>
            <w:color w:val="009933"/>
            <w:sz w:val="20"/>
            <w:szCs w:val="20"/>
            <w:lang w:eastAsia="es-MX"/>
          </w:rPr>
          <w:t>www.mercosur.int/show?contentid=3862</w:t>
        </w:r>
      </w:hyperlink>
      <w:r w:rsidR="00304308">
        <w:rPr>
          <w:rFonts w:ascii="Arial" w:eastAsia="Times New Roman" w:hAnsi="Arial" w:cs="Arial"/>
          <w:color w:val="000000"/>
          <w:sz w:val="20"/>
          <w:szCs w:val="20"/>
          <w:lang w:eastAsia="es-MX"/>
        </w:rPr>
        <w:t xml:space="preserve"> Noviembre 2014.</w:t>
      </w:r>
    </w:p>
    <w:p w:rsidR="00FE7EAE" w:rsidRPr="009174C3" w:rsidRDefault="00FE7EAE" w:rsidP="009174C3">
      <w:pPr>
        <w:spacing w:line="240" w:lineRule="auto"/>
        <w:rPr>
          <w:rFonts w:ascii="Arial" w:hAnsi="Arial" w:cs="Arial"/>
          <w:sz w:val="24"/>
          <w:szCs w:val="24"/>
        </w:rPr>
      </w:pPr>
      <w:r w:rsidRPr="009174C3">
        <w:rPr>
          <w:rFonts w:ascii="Arial" w:hAnsi="Arial" w:cs="Arial"/>
          <w:sz w:val="24"/>
          <w:szCs w:val="24"/>
        </w:rPr>
        <w:t xml:space="preserve">Rodríguez Gómez, Roberto (2002), “El GATS y la educación superior”, en Observatorio Ciudadano de la Educación, Vol. II, Núm. 24, Nov., México  </w:t>
      </w:r>
    </w:p>
    <w:p w:rsidR="00FE7EAE" w:rsidRDefault="00FE7EAE" w:rsidP="009174C3">
      <w:pPr>
        <w:spacing w:line="240" w:lineRule="auto"/>
        <w:rPr>
          <w:rFonts w:ascii="Arial" w:hAnsi="Arial" w:cs="Arial"/>
          <w:sz w:val="24"/>
          <w:szCs w:val="24"/>
        </w:rPr>
      </w:pPr>
      <w:r w:rsidRPr="009174C3">
        <w:rPr>
          <w:rFonts w:ascii="Arial" w:hAnsi="Arial" w:cs="Arial"/>
          <w:sz w:val="24"/>
          <w:szCs w:val="24"/>
        </w:rPr>
        <w:t>Silva, Verónica (2005), Cooperación en política de competencia y acuerdos comerciales en América Latina y el Caribe, Serie Comercio Internacional, Núm. 49, CEPAL, Santiago de Chile.</w:t>
      </w:r>
    </w:p>
    <w:p w:rsidR="00501F14" w:rsidRPr="00501F14" w:rsidRDefault="00501F14" w:rsidP="00501F14">
      <w:pPr>
        <w:tabs>
          <w:tab w:val="left" w:pos="-720"/>
        </w:tabs>
        <w:spacing w:after="0" w:line="240" w:lineRule="auto"/>
        <w:jc w:val="both"/>
        <w:rPr>
          <w:rFonts w:ascii="Arial" w:eastAsia="Times New Roman" w:hAnsi="Arial" w:cs="Times New Roman"/>
          <w:spacing w:val="-3"/>
          <w:szCs w:val="20"/>
          <w:u w:val="single"/>
          <w:lang w:val="es-ES" w:eastAsia="es-MX"/>
        </w:rPr>
      </w:pPr>
    </w:p>
    <w:p w:rsidR="00501F14" w:rsidRPr="00501F14" w:rsidRDefault="00501F14" w:rsidP="00501F14">
      <w:pPr>
        <w:tabs>
          <w:tab w:val="left" w:pos="-720"/>
        </w:tabs>
        <w:spacing w:after="0" w:line="240" w:lineRule="auto"/>
        <w:jc w:val="both"/>
        <w:rPr>
          <w:rFonts w:ascii="Arial" w:eastAsia="Times New Roman" w:hAnsi="Arial" w:cs="Times New Roman"/>
          <w:spacing w:val="-3"/>
          <w:szCs w:val="20"/>
          <w:u w:val="single"/>
          <w:lang w:val="es-ES" w:eastAsia="es-MX"/>
        </w:rPr>
      </w:pPr>
    </w:p>
    <w:p w:rsidR="00501F14" w:rsidRPr="00501F14" w:rsidRDefault="00501F14" w:rsidP="00501F14">
      <w:pPr>
        <w:spacing w:after="0" w:line="240" w:lineRule="auto"/>
        <w:jc w:val="both"/>
        <w:rPr>
          <w:rFonts w:ascii="Times New Roman" w:eastAsia="Times New Roman" w:hAnsi="Times New Roman" w:cs="Times New Roman"/>
          <w:color w:val="000000"/>
          <w:sz w:val="24"/>
          <w:szCs w:val="24"/>
          <w:lang w:eastAsia="es-MX"/>
        </w:rPr>
      </w:pPr>
    </w:p>
    <w:p w:rsidR="00322E42" w:rsidRPr="001B4CBD" w:rsidRDefault="00322E42" w:rsidP="00322E42">
      <w:pPr>
        <w:spacing w:after="0" w:line="480" w:lineRule="auto"/>
        <w:jc w:val="center"/>
        <w:outlineLvl w:val="0"/>
        <w:rPr>
          <w:rFonts w:cs="Times New Roman"/>
          <w:lang w:val="en-US"/>
        </w:rPr>
      </w:pPr>
      <w:r w:rsidRPr="001B4CBD">
        <w:rPr>
          <w:rFonts w:eastAsia="Times New Roman" w:cs="Times New Roman"/>
          <w:b/>
          <w:bCs/>
          <w:lang w:val="en-US"/>
        </w:rPr>
        <w:t>A Critique toward the Concept of Social Accountability in Higher Education</w:t>
      </w:r>
    </w:p>
    <w:p w:rsidR="00322E42" w:rsidRPr="008A1D41" w:rsidRDefault="00322E42" w:rsidP="00322E42">
      <w:pPr>
        <w:spacing w:after="0" w:line="480" w:lineRule="auto"/>
        <w:jc w:val="right"/>
        <w:rPr>
          <w:rFonts w:eastAsia="Times New Roman" w:cs="Times New Roman"/>
          <w:i/>
          <w:lang w:val="en-US"/>
        </w:rPr>
      </w:pPr>
      <w:r w:rsidRPr="008A1D41">
        <w:rPr>
          <w:rFonts w:eastAsia="Times New Roman" w:cs="Times New Roman"/>
          <w:i/>
          <w:lang w:val="en-US"/>
        </w:rPr>
        <w:t>René Pedroza Flores</w:t>
      </w:r>
    </w:p>
    <w:p w:rsidR="00322E42" w:rsidRPr="008A1D41" w:rsidRDefault="00322E42" w:rsidP="00322E42">
      <w:pPr>
        <w:spacing w:after="0" w:line="480" w:lineRule="auto"/>
        <w:jc w:val="right"/>
        <w:rPr>
          <w:rFonts w:eastAsia="Times New Roman" w:cs="Times New Roman"/>
          <w:i/>
          <w:lang w:val="en-US"/>
        </w:rPr>
      </w:pPr>
      <w:r w:rsidRPr="008A1D41">
        <w:rPr>
          <w:rFonts w:eastAsia="Times New Roman" w:cs="Times New Roman"/>
          <w:i/>
          <w:lang w:val="en-US"/>
        </w:rPr>
        <w:lastRenderedPageBreak/>
        <w:t>Guadalupe Villalobos Monroy</w:t>
      </w:r>
    </w:p>
    <w:p w:rsidR="00322E42" w:rsidRPr="008A1D41" w:rsidRDefault="00322E42" w:rsidP="00322E42">
      <w:pPr>
        <w:spacing w:after="0" w:line="480" w:lineRule="auto"/>
        <w:jc w:val="right"/>
        <w:rPr>
          <w:rFonts w:eastAsia="Times New Roman" w:cs="Times New Roman"/>
          <w:i/>
          <w:lang w:val="en-US"/>
        </w:rPr>
      </w:pPr>
      <w:r w:rsidRPr="008A1D41">
        <w:rPr>
          <w:rFonts w:eastAsia="Times New Roman" w:cs="Times New Roman"/>
          <w:i/>
          <w:lang w:val="en-US"/>
        </w:rPr>
        <w:t>Ana María Reyes Fabela</w:t>
      </w:r>
    </w:p>
    <w:p w:rsidR="00322E42" w:rsidRDefault="00322E42" w:rsidP="00322E42">
      <w:pPr>
        <w:spacing w:after="0" w:line="480" w:lineRule="auto"/>
        <w:jc w:val="center"/>
        <w:rPr>
          <w:rFonts w:eastAsia="Times New Roman" w:cs="Times New Roman"/>
          <w:b/>
          <w:lang w:val="en-US"/>
        </w:rPr>
      </w:pPr>
    </w:p>
    <w:p w:rsidR="00322E42" w:rsidRPr="00201CA6" w:rsidRDefault="00322E42" w:rsidP="00322E42">
      <w:pPr>
        <w:spacing w:after="0" w:line="480" w:lineRule="auto"/>
        <w:jc w:val="center"/>
        <w:rPr>
          <w:rFonts w:cs="Times New Roman"/>
          <w:b/>
          <w:lang w:val="en-US"/>
        </w:rPr>
      </w:pPr>
      <w:r w:rsidRPr="00201CA6">
        <w:rPr>
          <w:rFonts w:eastAsia="Times New Roman" w:cs="Times New Roman"/>
          <w:b/>
          <w:lang w:val="en-US"/>
        </w:rPr>
        <w:t>Abstract</w:t>
      </w:r>
    </w:p>
    <w:p w:rsidR="00322E42" w:rsidRPr="00E07D64" w:rsidRDefault="00322E42" w:rsidP="00322E42">
      <w:pPr>
        <w:spacing w:after="0" w:line="480" w:lineRule="auto"/>
        <w:rPr>
          <w:rFonts w:cs="Times New Roman"/>
          <w:lang w:val="en-US"/>
        </w:rPr>
      </w:pPr>
    </w:p>
    <w:p w:rsidR="00322E42" w:rsidRPr="00E07D64" w:rsidRDefault="00322E42" w:rsidP="00322E42">
      <w:pPr>
        <w:spacing w:after="0" w:line="480" w:lineRule="auto"/>
        <w:rPr>
          <w:rFonts w:cs="Times New Roman"/>
          <w:lang w:val="en-US"/>
        </w:rPr>
      </w:pPr>
      <w:r w:rsidRPr="00E07D64">
        <w:rPr>
          <w:rFonts w:eastAsia="Times New Roman" w:cs="Times New Roman"/>
          <w:lang w:val="en-US"/>
        </w:rPr>
        <w:t xml:space="preserve">This paper attempts to present a critique of the concept and meaning of the term social accountability at the university level from a critical point of view. The main objective is to analyze and re-build the term accountability in order to contextualize it for public universities. We first present the importance of the idea of accountability in universities as a way of being and acting. Then, a comprehensive literature review is presented referring to the term University Social Responsibility (USR, hereafter) using the economic thinking of Milton Friedman and Edward Freeman. Subsequently, we look at the meaning of USR within the framework of higher education. Finally, we concluded that it is necessary to rethink the idea of university accountability </w:t>
      </w:r>
      <w:r w:rsidRPr="00E07D64">
        <w:rPr>
          <w:rFonts w:cs="Times New Roman"/>
          <w:color w:val="262626"/>
          <w:lang w:val="en-US"/>
        </w:rPr>
        <w:t>as opposed to the current policy of USR affecting the policies implemented for public universities</w:t>
      </w:r>
      <w:r w:rsidRPr="00E07D64">
        <w:rPr>
          <w:rFonts w:eastAsia="Times New Roman" w:cs="Times New Roman"/>
          <w:lang w:val="en-US"/>
        </w:rPr>
        <w:t>.</w:t>
      </w:r>
    </w:p>
    <w:p w:rsidR="00322E42" w:rsidRPr="00E07D64" w:rsidRDefault="00322E42" w:rsidP="00322E42">
      <w:pPr>
        <w:spacing w:after="0" w:line="480" w:lineRule="auto"/>
        <w:rPr>
          <w:rFonts w:cs="Times New Roman"/>
          <w:lang w:val="en-US"/>
        </w:rPr>
      </w:pPr>
    </w:p>
    <w:p w:rsidR="00322E42" w:rsidRDefault="00322E42" w:rsidP="00322E42">
      <w:pPr>
        <w:spacing w:after="0" w:line="480" w:lineRule="auto"/>
        <w:jc w:val="center"/>
        <w:outlineLvl w:val="0"/>
        <w:rPr>
          <w:rFonts w:cs="Times New Roman"/>
          <w:i/>
          <w:lang w:val="en-US"/>
        </w:rPr>
      </w:pPr>
      <w:r w:rsidRPr="00E07D64">
        <w:rPr>
          <w:rFonts w:cs="Times New Roman"/>
          <w:b/>
          <w:i/>
          <w:lang w:val="en-US"/>
        </w:rPr>
        <w:t>Key words:</w:t>
      </w:r>
      <w:r w:rsidRPr="00E07D64">
        <w:rPr>
          <w:rFonts w:cs="Times New Roman"/>
          <w:i/>
          <w:lang w:val="en-US"/>
        </w:rPr>
        <w:t xml:space="preserve"> accountability; social responsibility; higher education; educational policy; social order</w:t>
      </w:r>
    </w:p>
    <w:p w:rsidR="00322E42" w:rsidRDefault="00322E42" w:rsidP="00322E42">
      <w:pPr>
        <w:spacing w:after="0" w:line="480" w:lineRule="auto"/>
        <w:jc w:val="center"/>
        <w:outlineLvl w:val="0"/>
        <w:rPr>
          <w:rFonts w:cs="Times New Roman"/>
          <w:i/>
          <w:lang w:val="en-US"/>
        </w:rPr>
      </w:pPr>
    </w:p>
    <w:p w:rsidR="00322E42" w:rsidRDefault="00322E42" w:rsidP="00322E42">
      <w:pPr>
        <w:spacing w:after="0" w:line="480" w:lineRule="auto"/>
        <w:jc w:val="center"/>
        <w:outlineLvl w:val="0"/>
        <w:rPr>
          <w:rFonts w:cs="Times New Roman"/>
          <w:i/>
          <w:lang w:val="en-US"/>
        </w:rPr>
      </w:pPr>
    </w:p>
    <w:p w:rsidR="00322E42" w:rsidRDefault="00322E42" w:rsidP="00322E42">
      <w:pPr>
        <w:spacing w:after="0" w:line="480" w:lineRule="auto"/>
        <w:jc w:val="center"/>
        <w:outlineLvl w:val="0"/>
        <w:rPr>
          <w:rFonts w:cs="Times New Roman"/>
          <w:i/>
          <w:lang w:val="en-US"/>
        </w:rPr>
      </w:pPr>
    </w:p>
    <w:p w:rsidR="00322E42" w:rsidRDefault="00322E42" w:rsidP="00322E42">
      <w:pPr>
        <w:spacing w:after="0" w:line="480" w:lineRule="auto"/>
        <w:jc w:val="center"/>
        <w:outlineLvl w:val="0"/>
        <w:rPr>
          <w:rFonts w:cs="Times New Roman"/>
          <w:i/>
          <w:lang w:val="en-US"/>
        </w:rPr>
      </w:pPr>
    </w:p>
    <w:p w:rsidR="00322E42" w:rsidRDefault="00322E42" w:rsidP="00322E42">
      <w:pPr>
        <w:spacing w:after="0" w:line="480" w:lineRule="auto"/>
        <w:jc w:val="center"/>
        <w:outlineLvl w:val="0"/>
        <w:rPr>
          <w:rFonts w:cs="Times New Roman"/>
          <w:i/>
          <w:lang w:val="en-US"/>
        </w:rPr>
      </w:pPr>
    </w:p>
    <w:p w:rsidR="00322E42" w:rsidRPr="001B4CBD" w:rsidRDefault="00322E42" w:rsidP="00322E42">
      <w:pPr>
        <w:spacing w:after="0" w:line="480" w:lineRule="auto"/>
        <w:jc w:val="center"/>
        <w:outlineLvl w:val="0"/>
        <w:rPr>
          <w:rFonts w:cs="Times New Roman"/>
          <w:lang w:val="en-US"/>
        </w:rPr>
      </w:pPr>
      <w:r w:rsidRPr="001B4CBD">
        <w:rPr>
          <w:rFonts w:eastAsia="Times New Roman" w:cs="Times New Roman"/>
          <w:b/>
          <w:bCs/>
          <w:lang w:val="en-US"/>
        </w:rPr>
        <w:t>A Critique toward the Concept of Social Accountability in Higher Education</w:t>
      </w:r>
    </w:p>
    <w:p w:rsidR="00322E42" w:rsidRDefault="00322E42" w:rsidP="00322E42">
      <w:pPr>
        <w:spacing w:after="0" w:line="480" w:lineRule="auto"/>
        <w:jc w:val="center"/>
        <w:outlineLvl w:val="0"/>
        <w:rPr>
          <w:rFonts w:cs="Times New Roman"/>
          <w:i/>
          <w:lang w:val="en-US"/>
        </w:rPr>
      </w:pPr>
    </w:p>
    <w:p w:rsidR="00322E42" w:rsidRDefault="00322E42" w:rsidP="00322E42">
      <w:pPr>
        <w:spacing w:after="0" w:line="480" w:lineRule="auto"/>
        <w:jc w:val="center"/>
        <w:outlineLvl w:val="0"/>
        <w:rPr>
          <w:rFonts w:cs="Times New Roman"/>
          <w:i/>
          <w:lang w:val="en-US"/>
        </w:rPr>
      </w:pPr>
    </w:p>
    <w:p w:rsidR="00322E42" w:rsidRPr="001B4CBD" w:rsidRDefault="00322E42" w:rsidP="00322E42">
      <w:pPr>
        <w:pStyle w:val="Prrafodelista"/>
        <w:numPr>
          <w:ilvl w:val="0"/>
          <w:numId w:val="31"/>
        </w:numPr>
        <w:spacing w:after="0" w:line="480" w:lineRule="auto"/>
        <w:ind w:left="0" w:firstLine="0"/>
        <w:rPr>
          <w:rFonts w:cs="Times New Roman"/>
          <w:b/>
          <w:lang w:val="en-US"/>
        </w:rPr>
      </w:pPr>
      <w:r w:rsidRPr="001B4CBD">
        <w:rPr>
          <w:rFonts w:eastAsia="Times New Roman" w:cs="Times New Roman"/>
          <w:b/>
          <w:bCs/>
          <w:lang w:val="en-US"/>
        </w:rPr>
        <w:lastRenderedPageBreak/>
        <w:t>Introduction</w:t>
      </w:r>
    </w:p>
    <w:p w:rsidR="00322E42" w:rsidRPr="001B4CBD" w:rsidRDefault="00322E42" w:rsidP="00322E42">
      <w:pPr>
        <w:spacing w:after="0" w:line="480" w:lineRule="auto"/>
        <w:rPr>
          <w:rFonts w:cs="Times New Roman"/>
          <w:lang w:val="en-US"/>
        </w:rPr>
      </w:pPr>
      <w:r w:rsidRPr="001B4CBD">
        <w:rPr>
          <w:rFonts w:eastAsia="Times New Roman" w:cs="Times New Roman"/>
          <w:lang w:val="en-US"/>
        </w:rPr>
        <w:t xml:space="preserve">Public universities have suffered reforms which are translated into program cuts which have had a negative impact on the management of economic resources. In recent years, public universities have experienced a restrictive and limited economic trend based on parameters of efficiency, productivity and quality. In Latin America, the reforms of the last 10 years have been promoting the gradual privatization of higher education (the opening of the academic market), the containment of state financing (cuts and meritocratic controls to the state budget), the </w:t>
      </w:r>
      <w:r w:rsidRPr="001B4CBD">
        <w:rPr>
          <w:rFonts w:eastAsia="Times New Roman" w:cs="Times New Roman"/>
          <w:i/>
          <w:lang w:val="en-US"/>
        </w:rPr>
        <w:t>de-regulation</w:t>
      </w:r>
      <w:r w:rsidRPr="001B4CBD">
        <w:rPr>
          <w:rFonts w:eastAsia="Times New Roman" w:cs="Times New Roman"/>
          <w:lang w:val="en-US"/>
        </w:rPr>
        <w:t xml:space="preserve"> of academic work (lack of work protection and payment based on performance aspects) as well as the commercialization of the academic work.</w:t>
      </w:r>
    </w:p>
    <w:p w:rsidR="00322E42" w:rsidRPr="001B4CBD" w:rsidRDefault="00322E42" w:rsidP="00322E42">
      <w:pPr>
        <w:spacing w:after="0" w:line="480" w:lineRule="auto"/>
        <w:ind w:firstLine="708"/>
        <w:rPr>
          <w:rFonts w:eastAsia="Times New Roman" w:cs="Times New Roman"/>
          <w:lang w:val="en-US"/>
        </w:rPr>
      </w:pPr>
      <w:r w:rsidRPr="001B4CBD">
        <w:rPr>
          <w:rFonts w:eastAsia="Times New Roman" w:cs="Times New Roman"/>
          <w:lang w:val="en-US"/>
        </w:rPr>
        <w:t xml:space="preserve">One aspect that has stood out over the last few decades is the switch of the university management processes. In the last ten years, we have changed from the term accountability to social responsibility (SR). This has also represented a change in the discourse, but not in the rationale with which public universities are administered and managed. With the era of accountability, the emphasis in on productivity and quality as major elements followed by the term </w:t>
      </w:r>
      <w:r w:rsidRPr="001B4CBD">
        <w:rPr>
          <w:rFonts w:eastAsia="Times New Roman" w:cs="Times New Roman"/>
          <w:i/>
          <w:lang w:val="en-US"/>
        </w:rPr>
        <w:t>social responsibility</w:t>
      </w:r>
      <w:r w:rsidRPr="001B4CBD">
        <w:rPr>
          <w:rFonts w:eastAsia="Times New Roman" w:cs="Times New Roman"/>
          <w:lang w:val="en-US"/>
        </w:rPr>
        <w:t xml:space="preserve"> for quality and ethics. In both cases, indicators of accountability are present, associated to the distribution of resources through ISO (</w:t>
      </w:r>
      <w:r w:rsidRPr="001B4CBD">
        <w:rPr>
          <w:rFonts w:eastAsia="Times New Roman" w:cs="Times New Roman"/>
          <w:i/>
          <w:iCs/>
          <w:color w:val="262626"/>
          <w:lang w:val="en-US"/>
        </w:rPr>
        <w:t>International Standard Organization</w:t>
      </w:r>
      <w:r w:rsidRPr="001B4CBD">
        <w:rPr>
          <w:rFonts w:eastAsia="Times New Roman" w:cs="Times New Roman"/>
          <w:color w:val="262626"/>
          <w:lang w:val="en-US"/>
        </w:rPr>
        <w:t>) norms. This policy intends to respond to international standards in order to facilitate commerce, exchange of information and transfer of higher education.</w:t>
      </w:r>
    </w:p>
    <w:p w:rsidR="00322E42" w:rsidRPr="001B4CBD" w:rsidRDefault="00322E42" w:rsidP="00322E42">
      <w:pPr>
        <w:spacing w:after="0" w:line="480" w:lineRule="auto"/>
        <w:ind w:firstLine="708"/>
        <w:rPr>
          <w:rFonts w:cs="Times New Roman"/>
          <w:lang w:val="en-US"/>
        </w:rPr>
      </w:pPr>
      <w:r w:rsidRPr="001B4CBD">
        <w:rPr>
          <w:rFonts w:eastAsia="Times New Roman" w:cs="Times New Roman"/>
          <w:lang w:val="en-US"/>
        </w:rPr>
        <w:t xml:space="preserve">In this context, we consider it important to </w:t>
      </w:r>
      <w:r w:rsidRPr="001B4CBD">
        <w:rPr>
          <w:rFonts w:eastAsia="Times New Roman" w:cs="Times New Roman"/>
          <w:i/>
          <w:lang w:val="en-US"/>
        </w:rPr>
        <w:t>re-evaluate</w:t>
      </w:r>
      <w:r w:rsidRPr="001B4CBD">
        <w:rPr>
          <w:rFonts w:eastAsia="Times New Roman" w:cs="Times New Roman"/>
          <w:lang w:val="en-US"/>
        </w:rPr>
        <w:t xml:space="preserve"> the concept of social responsibility for universities. Applying business like standards to university activities reduces them to those of a commercial establishment or organization. Our main thesis is that universities need to restructure the principle of accountability within the philosophy of universities and not integrate it without reflecting upon the consequences.</w:t>
      </w:r>
    </w:p>
    <w:p w:rsidR="00322E42" w:rsidRPr="001B4CBD" w:rsidRDefault="00322E42" w:rsidP="00322E42">
      <w:pPr>
        <w:spacing w:after="0" w:line="480" w:lineRule="auto"/>
        <w:ind w:firstLine="708"/>
        <w:rPr>
          <w:rFonts w:cs="Times New Roman"/>
          <w:lang w:val="en-US"/>
        </w:rPr>
      </w:pPr>
      <w:r w:rsidRPr="001B4CBD">
        <w:rPr>
          <w:rFonts w:eastAsia="Times New Roman" w:cs="Times New Roman"/>
          <w:lang w:val="en-US"/>
        </w:rPr>
        <w:lastRenderedPageBreak/>
        <w:t xml:space="preserve">Accountability is a broad-based topic to be addressed. For this reason, in the following pages we only present focal points related to the concept such as its history and fundamentals. All this information will be analyzed from the theoretical framework developed by Milton Friedman and Edward Freeman. We will leave the debate open, insisting that we should be talking about university social responsibility and not accountability as understood within the business context. </w:t>
      </w:r>
      <w:r w:rsidRPr="001B4CBD">
        <w:rPr>
          <w:rFonts w:eastAsia="Times New Roman" w:cs="Times New Roman"/>
          <w:lang w:val="en-US"/>
        </w:rPr>
        <w:tab/>
        <w:t xml:space="preserve">The difference between accountability and university social responsibility represents a major question to be discussed because it addresses the essence of public universities. The starting point for this discussion attempts to answer the following question: Why do we want universities to be institutions of knowledge and culture instead of pure commercial establishments? </w:t>
      </w:r>
    </w:p>
    <w:p w:rsidR="00322E42" w:rsidRPr="001B4CBD" w:rsidRDefault="00322E42" w:rsidP="00322E42">
      <w:pPr>
        <w:spacing w:after="0" w:line="480" w:lineRule="auto"/>
        <w:rPr>
          <w:rFonts w:cs="Times New Roman"/>
          <w:lang w:val="en-US"/>
        </w:rPr>
      </w:pPr>
    </w:p>
    <w:p w:rsidR="00322E42" w:rsidRPr="001B4CBD" w:rsidRDefault="00322E42" w:rsidP="00322E42">
      <w:pPr>
        <w:pStyle w:val="Prrafodelista"/>
        <w:numPr>
          <w:ilvl w:val="0"/>
          <w:numId w:val="31"/>
        </w:numPr>
        <w:spacing w:after="0" w:line="480" w:lineRule="auto"/>
        <w:ind w:left="0" w:firstLine="0"/>
        <w:outlineLvl w:val="0"/>
        <w:rPr>
          <w:rFonts w:cs="Times New Roman"/>
          <w:b/>
          <w:lang w:val="en-US"/>
        </w:rPr>
      </w:pPr>
      <w:r w:rsidRPr="001B4CBD">
        <w:rPr>
          <w:rFonts w:eastAsia="Times New Roman" w:cs="Times New Roman"/>
          <w:b/>
          <w:bCs/>
          <w:lang w:val="en-US"/>
        </w:rPr>
        <w:t xml:space="preserve">General </w:t>
      </w:r>
      <w:r>
        <w:rPr>
          <w:rFonts w:eastAsia="Times New Roman" w:cs="Times New Roman"/>
          <w:b/>
          <w:bCs/>
          <w:lang w:val="en-US"/>
        </w:rPr>
        <w:t>background</w:t>
      </w:r>
    </w:p>
    <w:p w:rsidR="00322E42" w:rsidRPr="001B4CBD" w:rsidRDefault="00322E42" w:rsidP="00322E42">
      <w:pPr>
        <w:spacing w:after="0" w:line="480" w:lineRule="auto"/>
        <w:ind w:firstLine="708"/>
        <w:rPr>
          <w:rFonts w:cs="Times New Roman"/>
          <w:lang w:val="en-US"/>
        </w:rPr>
      </w:pPr>
      <w:r w:rsidRPr="001B4CBD">
        <w:rPr>
          <w:rFonts w:eastAsia="Times New Roman" w:cs="Times New Roman"/>
          <w:lang w:val="en-US"/>
        </w:rPr>
        <w:t xml:space="preserve">While reviewing the text </w:t>
      </w:r>
      <w:r w:rsidRPr="001B4CBD">
        <w:rPr>
          <w:rFonts w:eastAsia="Times New Roman" w:cs="Times New Roman"/>
          <w:i/>
          <w:iCs/>
          <w:lang w:val="en-US"/>
        </w:rPr>
        <w:t xml:space="preserve">University Social Accountability, </w:t>
      </w:r>
      <w:r w:rsidRPr="001B4CBD">
        <w:rPr>
          <w:rFonts w:eastAsia="Times New Roman" w:cs="Times New Roman"/>
          <w:lang w:val="en-US"/>
        </w:rPr>
        <w:t xml:space="preserve">which contains the minutes from the Pax Romana Conference of 1966, we found a rich debate about universities. We agree with some of the cases and disagree with others. There is one point in particular that caught our attention, in which the term accountability is associated to institutions of higher education, the cultural component. Culture constitutes one of the most important tasks universities involve since it </w:t>
      </w:r>
      <w:r w:rsidRPr="001B4CBD">
        <w:rPr>
          <w:rFonts w:eastAsia="Times New Roman" w:cs="Times New Roman"/>
          <w:i/>
          <w:iCs/>
          <w:lang w:val="en-US"/>
        </w:rPr>
        <w:t>impacts social order</w:t>
      </w:r>
      <w:r w:rsidRPr="001B4CBD">
        <w:rPr>
          <w:rFonts w:eastAsia="Times New Roman" w:cs="Times New Roman"/>
          <w:lang w:val="en-US"/>
        </w:rPr>
        <w:t xml:space="preserve"> (p. 23). In addition, a crucial passage is offered, towards the understanding of university social responsibility as culture.</w:t>
      </w:r>
    </w:p>
    <w:p w:rsidR="00322E42" w:rsidRPr="001B4CBD" w:rsidRDefault="00322E42" w:rsidP="00322E42">
      <w:pPr>
        <w:spacing w:after="0" w:line="480" w:lineRule="auto"/>
        <w:ind w:left="708"/>
        <w:rPr>
          <w:rFonts w:cs="Times New Roman"/>
          <w:lang w:val="en-US"/>
        </w:rPr>
      </w:pPr>
      <w:r w:rsidRPr="001B4CBD">
        <w:rPr>
          <w:rFonts w:eastAsia="Times New Roman" w:cs="Times New Roman"/>
          <w:lang w:val="en-US"/>
        </w:rPr>
        <w:t xml:space="preserve">A university of research and teaching, whether it be public or private, has the accountability of an authentic culture because it participates essentially in the university of knowledge and because it aspires to situate the riches of a particular culture within an ensemble of spiritual and material values of humanity, establishing a culture.  Within the </w:t>
      </w:r>
      <w:r w:rsidRPr="001B4CBD">
        <w:rPr>
          <w:rFonts w:eastAsia="Times New Roman" w:cs="Times New Roman"/>
          <w:lang w:val="en-US"/>
        </w:rPr>
        <w:lastRenderedPageBreak/>
        <w:t>national community, where the university exists, this should proclaim the indefeasible demands of truth and justice. (p. 24)</w:t>
      </w:r>
    </w:p>
    <w:p w:rsidR="00322E42" w:rsidRPr="001B4CBD" w:rsidRDefault="00322E42" w:rsidP="00322E42">
      <w:pPr>
        <w:spacing w:after="0" w:line="480" w:lineRule="auto"/>
        <w:ind w:firstLine="708"/>
        <w:rPr>
          <w:rFonts w:cs="Times New Roman"/>
          <w:lang w:val="en-US"/>
        </w:rPr>
      </w:pPr>
      <w:r w:rsidRPr="001B4CBD">
        <w:rPr>
          <w:rFonts w:eastAsia="Times New Roman" w:cs="Times New Roman"/>
          <w:lang w:val="en-US"/>
        </w:rPr>
        <w:t xml:space="preserve">This quote reveals that human thinking and its works represent actions that result from university studies, because within them resides the responsibility of an authentic culture. Universities cultivate material and spiritual knowledge, as well as the spirituality and intellectualization of life within the indefeasible values of truth and justice. </w:t>
      </w:r>
    </w:p>
    <w:p w:rsidR="00322E42" w:rsidRPr="001B4CBD" w:rsidRDefault="00322E42" w:rsidP="00322E42">
      <w:pPr>
        <w:spacing w:after="0" w:line="480" w:lineRule="auto"/>
        <w:ind w:firstLine="708"/>
        <w:rPr>
          <w:rFonts w:cs="Times New Roman"/>
          <w:lang w:val="en-US"/>
        </w:rPr>
      </w:pPr>
      <w:r w:rsidRPr="001B4CBD">
        <w:rPr>
          <w:rFonts w:eastAsia="Times New Roman" w:cs="Times New Roman"/>
          <w:lang w:val="en-US"/>
        </w:rPr>
        <w:t xml:space="preserve">The lesson extracted from the Pax Romana Conference is closed to that expressed by other authors. In his book, Basabe (1983) points out that </w:t>
      </w:r>
      <w:r w:rsidRPr="001B4CBD">
        <w:rPr>
          <w:rFonts w:eastAsia="Times New Roman" w:cs="Times New Roman"/>
          <w:i/>
          <w:iCs/>
          <w:lang w:val="en-US"/>
        </w:rPr>
        <w:t>the unit of the human spirit establishes the organic unit of culture</w:t>
      </w:r>
      <w:r w:rsidRPr="001B4CBD">
        <w:rPr>
          <w:rFonts w:eastAsia="Times New Roman" w:cs="Times New Roman"/>
          <w:lang w:val="en-US"/>
        </w:rPr>
        <w:t xml:space="preserve"> (p. 63). Thus, the unit of culture is the foundation of universities, because culture is the fruit and seed of humanity and allows the university to be endowed with the philosophy of human consciousness.</w:t>
      </w:r>
    </w:p>
    <w:p w:rsidR="00322E42" w:rsidRPr="001B4CBD" w:rsidRDefault="00322E42" w:rsidP="00322E42">
      <w:pPr>
        <w:spacing w:after="0" w:line="480" w:lineRule="auto"/>
        <w:ind w:firstLine="708"/>
        <w:rPr>
          <w:rFonts w:cs="Times New Roman"/>
          <w:lang w:val="en-US"/>
        </w:rPr>
      </w:pPr>
      <w:r w:rsidRPr="001B4CBD">
        <w:rPr>
          <w:rFonts w:eastAsia="Times New Roman" w:cs="Times New Roman"/>
          <w:lang w:val="en-US"/>
        </w:rPr>
        <w:t xml:space="preserve">Based on these contributions, we conceive that responsibility of the university is a unit of </w:t>
      </w:r>
      <w:r w:rsidRPr="001B4CBD">
        <w:rPr>
          <w:rFonts w:eastAsia="Times New Roman" w:cs="Times New Roman"/>
          <w:i/>
          <w:lang w:val="en-US"/>
        </w:rPr>
        <w:t>Being and Acting</w:t>
      </w:r>
      <w:r w:rsidRPr="001B4CBD">
        <w:rPr>
          <w:rFonts w:eastAsia="Times New Roman" w:cs="Times New Roman"/>
          <w:lang w:val="en-US"/>
        </w:rPr>
        <w:t>, like an eternal return to the essential questions of life and the infinite de-objectification of the architecture of life. To put it simply, the university must attend to the spiritual and the material in adherence to the universal values of life, such as questioning and a permanent reflection of our past, present and future.</w:t>
      </w:r>
    </w:p>
    <w:p w:rsidR="00322E42" w:rsidRPr="001B4CBD" w:rsidRDefault="00322E42" w:rsidP="00322E42">
      <w:pPr>
        <w:spacing w:after="0" w:line="480" w:lineRule="auto"/>
        <w:ind w:firstLine="708"/>
        <w:rPr>
          <w:rFonts w:cs="Times New Roman"/>
          <w:lang w:val="en-US"/>
        </w:rPr>
      </w:pPr>
      <w:r w:rsidRPr="001B4CBD">
        <w:rPr>
          <w:rFonts w:eastAsia="Times New Roman" w:cs="Times New Roman"/>
          <w:lang w:val="en-US"/>
        </w:rPr>
        <w:t>Asking questions is an inescapable task within the university. In any department or school of higher studies, the faculty and staff tirelessly test diverse questions, some are practical and others are deeper, but all of them implicate a degree of consciousness. Conscience is used in two senses: cognitive and moral. Within these questions, we have the possible and the practical. This begs for a critical attitude while exercising freedom of thought within a liberal type of education.</w:t>
      </w:r>
    </w:p>
    <w:p w:rsidR="00322E42" w:rsidRPr="001B4CBD" w:rsidRDefault="00322E42" w:rsidP="00322E42">
      <w:pPr>
        <w:spacing w:after="0" w:line="480" w:lineRule="auto"/>
        <w:ind w:firstLine="708"/>
        <w:rPr>
          <w:rFonts w:cs="Times New Roman"/>
          <w:lang w:val="en-US"/>
        </w:rPr>
      </w:pPr>
      <w:r w:rsidRPr="001B4CBD">
        <w:rPr>
          <w:rFonts w:eastAsia="Times New Roman" w:cs="Times New Roman"/>
          <w:lang w:val="en-US"/>
        </w:rPr>
        <w:t xml:space="preserve">Tearing apart human constructions is also an inescapable task of universities. None social construction will last forever; no matter how many times they are presented as such. Human architecture is fortunately and inevitably condemned to be </w:t>
      </w:r>
      <w:r w:rsidRPr="001B4CBD">
        <w:rPr>
          <w:rFonts w:eastAsia="Times New Roman" w:cs="Times New Roman"/>
          <w:i/>
          <w:lang w:val="en-US"/>
        </w:rPr>
        <w:t>de-objectified</w:t>
      </w:r>
      <w:r w:rsidRPr="001B4CBD">
        <w:rPr>
          <w:rFonts w:eastAsia="Times New Roman" w:cs="Times New Roman"/>
          <w:lang w:val="en-US"/>
        </w:rPr>
        <w:t xml:space="preserve"> by the judgment of </w:t>
      </w:r>
      <w:r w:rsidRPr="001B4CBD">
        <w:rPr>
          <w:rFonts w:eastAsia="Times New Roman" w:cs="Times New Roman"/>
          <w:lang w:val="en-US"/>
        </w:rPr>
        <w:lastRenderedPageBreak/>
        <w:t>history. That is to say, that it will be judged by new facts and human thought in a different context. When works constructed by man overpower him and acquire a natural vitality, then something is wrong.</w:t>
      </w:r>
    </w:p>
    <w:p w:rsidR="00322E42" w:rsidRPr="001B4CBD" w:rsidRDefault="00322E42" w:rsidP="00322E42">
      <w:pPr>
        <w:spacing w:after="0" w:line="480" w:lineRule="auto"/>
        <w:ind w:firstLine="708"/>
        <w:rPr>
          <w:rFonts w:cs="Times New Roman"/>
          <w:lang w:val="en-US"/>
        </w:rPr>
      </w:pPr>
      <w:r w:rsidRPr="001B4CBD">
        <w:rPr>
          <w:rFonts w:eastAsia="Times New Roman" w:cs="Times New Roman"/>
          <w:lang w:val="en-US"/>
        </w:rPr>
        <w:t xml:space="preserve">University social responsibility, in this congruent unit of being and acting, forms itself within free-thinking. Nevertheless, when the unit is fragmented or the life vision is reduced to only a part of society, institutions of higher education, unmistakably, are in crisis. Fragmentation occurs when the university permits limitations to human education and does not allow for diversity within its areas of reflection and creation. Reduction, on the other hand, occurs when the university is no longer critical and curious about education. Its freedom and autonomy is debilitated and the intellectual and artistic potential of its members are set aside. Reduced education, lacking the comprehensive, curiosity and criticism, ends with the idea of an unfinished conscience and cuts the individual short on what Freire (2010) called </w:t>
      </w:r>
      <w:r w:rsidRPr="001B4CBD">
        <w:rPr>
          <w:rFonts w:eastAsia="Times New Roman" w:cs="Times New Roman"/>
          <w:i/>
          <w:iCs/>
          <w:lang w:val="en-US"/>
        </w:rPr>
        <w:t>educability of being</w:t>
      </w:r>
      <w:r w:rsidRPr="001B4CBD">
        <w:rPr>
          <w:rFonts w:eastAsia="Times New Roman" w:cs="Times New Roman"/>
          <w:lang w:val="en-US"/>
        </w:rPr>
        <w:t>, the education of being and acting like a specificity to the service of life.</w:t>
      </w:r>
    </w:p>
    <w:p w:rsidR="00322E42" w:rsidRPr="001B4CBD" w:rsidRDefault="00322E42" w:rsidP="00322E42">
      <w:pPr>
        <w:spacing w:after="0" w:line="480" w:lineRule="auto"/>
        <w:ind w:firstLine="708"/>
        <w:rPr>
          <w:rFonts w:cs="Times New Roman"/>
          <w:lang w:val="en-US"/>
        </w:rPr>
      </w:pPr>
      <w:r w:rsidRPr="001B4CBD">
        <w:rPr>
          <w:rFonts w:eastAsia="Times New Roman" w:cs="Times New Roman"/>
          <w:lang w:val="en-US"/>
        </w:rPr>
        <w:t xml:space="preserve">In this order of ideas, our thesis is that university social responsibility is currently fragmented. That culture, truth and justice as an essential part of the mission of universities, has been submerged by the weight of the academic market. Universities are going through an identity crisis which is characterized by ambivalence between being a cultural space, in the sense above described, and a commercial establishment of knowledge and diploma producer.  </w:t>
      </w:r>
    </w:p>
    <w:p w:rsidR="00322E42" w:rsidRPr="001B4CBD" w:rsidRDefault="00322E42" w:rsidP="00322E42">
      <w:pPr>
        <w:spacing w:after="0" w:line="480" w:lineRule="auto"/>
        <w:ind w:firstLine="708"/>
        <w:rPr>
          <w:rFonts w:cs="Times New Roman"/>
          <w:lang w:val="en-US"/>
        </w:rPr>
      </w:pPr>
      <w:r w:rsidRPr="001B4CBD">
        <w:rPr>
          <w:rFonts w:eastAsia="Times New Roman" w:cs="Times New Roman"/>
          <w:lang w:val="en-US"/>
        </w:rPr>
        <w:t>If we look at the logic of the commercial establishment of knowledge and diploma mills, the university must comply with the parameters of any company</w:t>
      </w:r>
      <w:r w:rsidRPr="001B4CBD">
        <w:rPr>
          <w:rFonts w:eastAsia="Times New Roman" w:cs="Times New Roman"/>
          <w:i/>
          <w:lang w:val="en-US"/>
        </w:rPr>
        <w:t xml:space="preserve">: efficiency, performance, competitiveness </w:t>
      </w:r>
      <w:r w:rsidRPr="001B4CBD">
        <w:rPr>
          <w:rFonts w:eastAsia="Times New Roman" w:cs="Times New Roman"/>
          <w:lang w:val="en-US"/>
        </w:rPr>
        <w:t xml:space="preserve">and </w:t>
      </w:r>
      <w:r w:rsidRPr="001B4CBD">
        <w:rPr>
          <w:rFonts w:eastAsia="Times New Roman" w:cs="Times New Roman"/>
          <w:i/>
          <w:lang w:val="en-US"/>
        </w:rPr>
        <w:t>benefit.</w:t>
      </w:r>
      <w:r w:rsidRPr="001B4CBD">
        <w:rPr>
          <w:rFonts w:eastAsia="Times New Roman" w:cs="Times New Roman"/>
          <w:lang w:val="en-US"/>
        </w:rPr>
        <w:t xml:space="preserve"> At the same time, it is blamed for the bad structures in society afflicting the planet, including poverty, violence, environmental crisis, etc. Universities have lost their ability to confront the heteronymous powers, mainly the government and the private sector. They also have internal contradictions which have drained their structures.  </w:t>
      </w:r>
    </w:p>
    <w:p w:rsidR="00322E42" w:rsidRPr="001B4CBD" w:rsidRDefault="00322E42" w:rsidP="00322E42">
      <w:pPr>
        <w:spacing w:after="0" w:line="480" w:lineRule="auto"/>
        <w:ind w:firstLine="708"/>
        <w:rPr>
          <w:rFonts w:cs="Times New Roman"/>
          <w:lang w:val="en-US"/>
        </w:rPr>
      </w:pPr>
      <w:r w:rsidRPr="001B4CBD">
        <w:rPr>
          <w:rFonts w:eastAsia="Times New Roman" w:cs="Times New Roman"/>
          <w:lang w:val="en-US"/>
        </w:rPr>
        <w:lastRenderedPageBreak/>
        <w:t>The advancement of knowledge, science and technology within the university represents a titanic struggle against the coercion of money and the ideological ambitions of politics. The everyday struggle for College students, staff and the institution is the ambiguity between duty and material demands. Our duty is to social responsibility, while material demands have converted and fragmented this term into accountability. The balance, for the last three decades, has tipped closer and closer to material demands.</w:t>
      </w:r>
    </w:p>
    <w:p w:rsidR="00322E42" w:rsidRPr="001B4CBD" w:rsidRDefault="00322E42" w:rsidP="00322E42">
      <w:pPr>
        <w:spacing w:after="0" w:line="480" w:lineRule="auto"/>
        <w:ind w:firstLine="708"/>
        <w:rPr>
          <w:rFonts w:cs="Times New Roman"/>
          <w:lang w:val="en-US"/>
        </w:rPr>
      </w:pPr>
      <w:r w:rsidRPr="001B4CBD">
        <w:rPr>
          <w:rFonts w:eastAsia="Times New Roman" w:cs="Times New Roman"/>
          <w:lang w:val="en-US"/>
        </w:rPr>
        <w:t xml:space="preserve">University accountability </w:t>
      </w:r>
      <w:r w:rsidRPr="001B4CBD">
        <w:rPr>
          <w:rFonts w:eastAsia="Times New Roman" w:cs="Times New Roman"/>
          <w:i/>
          <w:iCs/>
          <w:lang w:val="en-US"/>
        </w:rPr>
        <w:t xml:space="preserve">exists </w:t>
      </w:r>
      <w:r w:rsidRPr="001B4CBD">
        <w:rPr>
          <w:rFonts w:eastAsia="Times New Roman" w:cs="Times New Roman"/>
          <w:lang w:val="en-US"/>
        </w:rPr>
        <w:t>under the economic logic of assuming a company type vision. In this context, accountability is regarded as a management mechanism which impacts university identity and relevancy. The university is reduced or equaled to any commercial establishment regulated by quality norms and oriented toward the maximization of profits. The accountability of universities, as in any company, is to maximize benefits.</w:t>
      </w:r>
    </w:p>
    <w:p w:rsidR="00322E42" w:rsidRPr="001B4CBD" w:rsidRDefault="00322E42" w:rsidP="00322E42">
      <w:pPr>
        <w:spacing w:after="0" w:line="480" w:lineRule="auto"/>
        <w:ind w:firstLine="705"/>
        <w:rPr>
          <w:rFonts w:cs="Times New Roman"/>
          <w:lang w:val="en-US"/>
        </w:rPr>
      </w:pPr>
      <w:r w:rsidRPr="001B4CBD">
        <w:rPr>
          <w:rFonts w:eastAsia="Times New Roman" w:cs="Times New Roman"/>
          <w:lang w:val="en-US"/>
        </w:rPr>
        <w:t xml:space="preserve">The accountability of universities, and the idea of maximizing benefits, emerged during the sixties, out of the theoretical framework of economics. The politics of education date back in the eighties during the Ronald Reagan and Margaret Thatcher period. Milton Friedman discusses this in his 1980 book, </w:t>
      </w:r>
      <w:r w:rsidRPr="001B4CBD">
        <w:rPr>
          <w:rFonts w:eastAsia="Times New Roman" w:cs="Times New Roman"/>
          <w:i/>
          <w:iCs/>
          <w:lang w:val="en-US"/>
        </w:rPr>
        <w:t xml:space="preserve">Free to Choose: A Personal Statement. </w:t>
      </w:r>
      <w:r w:rsidRPr="001B4CBD">
        <w:rPr>
          <w:rFonts w:eastAsia="Times New Roman" w:cs="Times New Roman"/>
          <w:iCs/>
          <w:lang w:val="en-US"/>
        </w:rPr>
        <w:t>He</w:t>
      </w:r>
      <w:r w:rsidRPr="001B4CBD">
        <w:rPr>
          <w:rFonts w:eastAsia="Times New Roman" w:cs="Times New Roman"/>
          <w:lang w:val="en-US"/>
        </w:rPr>
        <w:t xml:space="preserve"> lays out the idea that education, including university education, should be part of the economic marketplace in the following way:</w:t>
      </w:r>
      <w:r w:rsidRPr="001B4CBD">
        <w:rPr>
          <w:rFonts w:eastAsia="Times New Roman" w:cs="Times New Roman"/>
          <w:vertAlign w:val="superscript"/>
          <w:lang w:val="en-US"/>
        </w:rPr>
        <w:t xml:space="preserve"> </w:t>
      </w:r>
      <w:r w:rsidRPr="001B4CBD">
        <w:rPr>
          <w:rFonts w:eastAsia="Times New Roman" w:cs="Times New Roman"/>
          <w:lang w:val="en-US"/>
        </w:rPr>
        <w:t xml:space="preserve">“Education must be considered the industry of education and be based upon competitiveness, just like restaurants and bars have to compete for their clients” (p. 235). And he continues: </w:t>
      </w:r>
    </w:p>
    <w:p w:rsidR="00322E42" w:rsidRPr="001B4CBD" w:rsidRDefault="00322E42" w:rsidP="00322E42">
      <w:pPr>
        <w:spacing w:after="0" w:line="480" w:lineRule="auto"/>
        <w:ind w:left="705"/>
        <w:rPr>
          <w:rFonts w:cs="Times New Roman"/>
          <w:lang w:val="en-US"/>
        </w:rPr>
      </w:pPr>
      <w:r w:rsidRPr="001B4CBD">
        <w:rPr>
          <w:rFonts w:eastAsia="Times New Roman" w:cs="Times New Roman"/>
          <w:lang w:val="en-US"/>
        </w:rPr>
        <w:t>The problems in higher education have to do with quality and equality</w:t>
      </w:r>
      <w:r w:rsidRPr="001B4CBD">
        <w:rPr>
          <w:rFonts w:cs="Times New Roman"/>
          <w:lang w:val="en-US"/>
        </w:rPr>
        <w:t xml:space="preserve">. </w:t>
      </w:r>
      <w:r w:rsidRPr="001B4CBD">
        <w:rPr>
          <w:rFonts w:eastAsia="Times New Roman" w:cs="Times New Roman"/>
          <w:lang w:val="en-US"/>
        </w:rPr>
        <w:t xml:space="preserve">The low cost of university attracts not only those who are interested in bettering themselves but also those who are just taking a break before working. The more the cost for university education, the more people would take it seriously […] </w:t>
      </w:r>
      <w:r w:rsidRPr="001B4CBD">
        <w:rPr>
          <w:rFonts w:eastAsia="Times New Roman" w:cs="Times New Roman"/>
          <w:i/>
          <w:iCs/>
          <w:lang w:val="en-US"/>
        </w:rPr>
        <w:t xml:space="preserve">universities sell teaching and the students buy it”. </w:t>
      </w:r>
      <w:r w:rsidRPr="001B4CBD">
        <w:rPr>
          <w:rFonts w:eastAsia="Times New Roman" w:cs="Times New Roman"/>
          <w:lang w:val="en-US"/>
        </w:rPr>
        <w:t>(p. 244)</w:t>
      </w:r>
    </w:p>
    <w:p w:rsidR="00322E42" w:rsidRPr="001B4CBD" w:rsidRDefault="00322E42" w:rsidP="00322E42">
      <w:pPr>
        <w:spacing w:after="0" w:line="480" w:lineRule="auto"/>
        <w:ind w:firstLine="705"/>
        <w:rPr>
          <w:rFonts w:eastAsia="Times New Roman" w:cs="Times New Roman"/>
          <w:lang w:val="en-US"/>
        </w:rPr>
      </w:pPr>
      <w:r w:rsidRPr="001B4CBD">
        <w:rPr>
          <w:rFonts w:eastAsia="Times New Roman" w:cs="Times New Roman"/>
          <w:lang w:val="en-US"/>
        </w:rPr>
        <w:lastRenderedPageBreak/>
        <w:t xml:space="preserve">The same ideas are mentioned in his 1970 article in </w:t>
      </w:r>
      <w:r w:rsidRPr="001B4CBD">
        <w:rPr>
          <w:rFonts w:eastAsia="Times New Roman" w:cs="Times New Roman"/>
          <w:i/>
          <w:iCs/>
          <w:lang w:val="en-US"/>
        </w:rPr>
        <w:t>New York Times Magazine</w:t>
      </w:r>
      <w:r w:rsidRPr="001B4CBD">
        <w:rPr>
          <w:rFonts w:eastAsia="Times New Roman" w:cs="Times New Roman"/>
          <w:lang w:val="en-US"/>
        </w:rPr>
        <w:t xml:space="preserve">, </w:t>
      </w:r>
      <w:r w:rsidRPr="001B4CBD">
        <w:rPr>
          <w:rFonts w:eastAsia="Times New Roman" w:cs="Times New Roman"/>
          <w:i/>
          <w:iCs/>
          <w:lang w:val="en-US"/>
        </w:rPr>
        <w:t>The social responsibility of business is to increase its profits</w:t>
      </w:r>
      <w:r w:rsidRPr="001B4CBD">
        <w:rPr>
          <w:rFonts w:eastAsia="Times New Roman" w:cs="Times New Roman"/>
          <w:lang w:val="en-US"/>
        </w:rPr>
        <w:t>, from which we quote the following remarks: “In a free-enterprise, private-property system, a corporate executive is an employee of the owners of the business. That accountability is to conduct the business in accordance with the owner’s desires, which generally will be to make as much money as possible while conforming to the basic rules of society, both those embodied in law and those embodied in ethical custom” (p. 1).</w:t>
      </w:r>
    </w:p>
    <w:p w:rsidR="00322E42" w:rsidRDefault="00322E42" w:rsidP="00322E42">
      <w:pPr>
        <w:spacing w:after="0" w:line="480" w:lineRule="auto"/>
        <w:rPr>
          <w:rFonts w:eastAsia="Times New Roman" w:cs="Times New Roman"/>
          <w:lang w:val="en-US"/>
        </w:rPr>
      </w:pPr>
      <w:r w:rsidRPr="001B4CBD">
        <w:rPr>
          <w:rFonts w:eastAsia="Times New Roman" w:cs="Times New Roman"/>
          <w:lang w:val="en-US"/>
        </w:rPr>
        <w:t>He adds:</w:t>
      </w:r>
    </w:p>
    <w:p w:rsidR="00322E42" w:rsidRPr="001B4CBD" w:rsidRDefault="00322E42" w:rsidP="00322E42">
      <w:pPr>
        <w:spacing w:after="0" w:line="480" w:lineRule="auto"/>
        <w:ind w:left="705"/>
        <w:rPr>
          <w:rStyle w:val="longtext"/>
          <w:rFonts w:cs="Times New Roman"/>
          <w:lang w:val="en-US"/>
        </w:rPr>
      </w:pPr>
      <w:r w:rsidRPr="001B4CBD">
        <w:rPr>
          <w:rFonts w:eastAsia="Times New Roman" w:cs="Times New Roman"/>
          <w:shd w:val="clear" w:color="auto" w:fill="FFFFFF"/>
          <w:lang w:val="en-US"/>
        </w:rPr>
        <w:t xml:space="preserve">The difficulty of exercising </w:t>
      </w:r>
      <w:r w:rsidRPr="001B4CBD">
        <w:rPr>
          <w:rFonts w:eastAsia="Times New Roman" w:cs="Times New Roman"/>
          <w:bCs/>
          <w:i/>
          <w:shd w:val="clear" w:color="auto" w:fill="FFFFFF"/>
          <w:lang w:val="en-US"/>
        </w:rPr>
        <w:t>social accountability</w:t>
      </w:r>
      <w:r w:rsidRPr="001B4CBD">
        <w:rPr>
          <w:rFonts w:eastAsia="Times New Roman" w:cs="Times New Roman"/>
          <w:b/>
          <w:bCs/>
          <w:shd w:val="clear" w:color="auto" w:fill="FFFFFF"/>
          <w:lang w:val="en-US"/>
        </w:rPr>
        <w:t>,</w:t>
      </w:r>
      <w:r w:rsidRPr="001B4CBD">
        <w:rPr>
          <w:rFonts w:eastAsia="Times New Roman" w:cs="Times New Roman"/>
          <w:shd w:val="clear" w:color="auto" w:fill="FFFFFF"/>
          <w:lang w:val="en-US"/>
        </w:rPr>
        <w:t xml:space="preserve"> illustrates, of course, the great virtue of private competitive enterprise--it forces people to be responsible for their own actions and makes it difficult for them to e</w:t>
      </w:r>
      <w:r w:rsidRPr="001B4CBD">
        <w:rPr>
          <w:rFonts w:eastAsia="Times New Roman" w:cs="Times New Roman"/>
          <w:i/>
          <w:shd w:val="clear" w:color="auto" w:fill="FFFFFF"/>
          <w:lang w:val="en-US"/>
        </w:rPr>
        <w:t>xploit</w:t>
      </w:r>
      <w:r w:rsidRPr="001B4CBD">
        <w:rPr>
          <w:rFonts w:eastAsia="Times New Roman" w:cs="Times New Roman"/>
          <w:shd w:val="clear" w:color="auto" w:fill="FFFFFF"/>
          <w:lang w:val="en-US"/>
        </w:rPr>
        <w:t xml:space="preserve"> others for either selfish or unselfish purposes. </w:t>
      </w:r>
      <w:r w:rsidRPr="001B4CBD">
        <w:rPr>
          <w:rFonts w:eastAsia="Times New Roman" w:cs="Times New Roman"/>
          <w:lang w:val="en-US"/>
        </w:rPr>
        <w:t>They can do good-but only at their own expense. (p. 3)</w:t>
      </w:r>
    </w:p>
    <w:p w:rsidR="00322E42" w:rsidRPr="001B4CBD" w:rsidRDefault="00322E42" w:rsidP="00322E42">
      <w:pPr>
        <w:spacing w:after="0" w:line="480" w:lineRule="auto"/>
        <w:ind w:firstLine="708"/>
        <w:rPr>
          <w:rFonts w:eastAsia="Times New Roman" w:cs="Times New Roman"/>
          <w:lang w:val="en-US"/>
        </w:rPr>
      </w:pPr>
      <w:r w:rsidRPr="001B4CBD">
        <w:rPr>
          <w:rFonts w:eastAsia="Times New Roman" w:cs="Times New Roman"/>
          <w:lang w:val="en-US"/>
        </w:rPr>
        <w:t xml:space="preserve">The assumption of Friedman can be summarized as follows. Universities represent an industry of education, which, just like companies, must produce with quality and efficiency, taking care of the interests of its stockholders and clients and leaving behind problem-solving to the government or other competent individuals. The objective is focused on performance. Under this economic basement, universities are no longer conceived as non-profit cultural institutions, but as an economic organizations or establishments. When assuming this identity, including the historic identity of a cultural institution, it takes on kind of accountability which is not its own and for which it is not prepared. </w:t>
      </w:r>
    </w:p>
    <w:p w:rsidR="00322E42" w:rsidRPr="001B4CBD" w:rsidRDefault="00322E42" w:rsidP="00322E42">
      <w:pPr>
        <w:spacing w:after="0" w:line="480" w:lineRule="auto"/>
        <w:ind w:firstLine="708"/>
        <w:rPr>
          <w:rFonts w:eastAsia="Times New Roman" w:cs="Times New Roman"/>
          <w:lang w:val="en-US"/>
        </w:rPr>
      </w:pPr>
      <w:r w:rsidRPr="001B4CBD">
        <w:rPr>
          <w:rFonts w:eastAsia="Times New Roman" w:cs="Times New Roman"/>
          <w:lang w:val="en-US"/>
        </w:rPr>
        <w:t xml:space="preserve">The idea of knowledge as a common good is lost in transit and turns into a business concept with the need for maximizing efficiency within an economic system. University actions which have to do with solidarity, social action, philanthropy and selflessness appear to be in direct conflict with new parameters and values within the rationale of economic management of social accountability, in a discursive and factual way. We perceive that in the last three decades, there </w:t>
      </w:r>
      <w:r w:rsidRPr="001B4CBD">
        <w:rPr>
          <w:rFonts w:eastAsia="Times New Roman" w:cs="Times New Roman"/>
          <w:lang w:val="en-US"/>
        </w:rPr>
        <w:lastRenderedPageBreak/>
        <w:t>has been a transfer of accountability to social accountability, which has meant the consolidation of the policy of accountability itself.</w:t>
      </w:r>
    </w:p>
    <w:p w:rsidR="00322E42" w:rsidRPr="001B4CBD" w:rsidRDefault="00322E42" w:rsidP="00322E42">
      <w:pPr>
        <w:spacing w:after="0" w:line="480" w:lineRule="auto"/>
        <w:ind w:firstLine="708"/>
        <w:rPr>
          <w:rFonts w:cs="Times New Roman"/>
          <w:lang w:val="en-US"/>
        </w:rPr>
      </w:pPr>
      <w:r>
        <w:rPr>
          <w:rFonts w:eastAsia="Times New Roman" w:cs="Times New Roman"/>
          <w:lang w:val="en-US"/>
        </w:rPr>
        <w:t>I</w:t>
      </w:r>
      <w:r w:rsidRPr="001B4CBD">
        <w:rPr>
          <w:rFonts w:eastAsia="Times New Roman" w:cs="Times New Roman"/>
          <w:lang w:val="en-US"/>
        </w:rPr>
        <w:t>n the area of comparative studies within contemporary universities, it is argued that the transfer of the term accountability to university social responsibility has meant that the university has taken on a new social contract between the government and society, going from a political contract to a company contract. Before, the political contract was based upon autonomy and participation from government in higher education, social commitment, educability of self, a critical conscience for society and, attention to scientific and technological development. Now, the company contract represents a different concept.</w:t>
      </w:r>
    </w:p>
    <w:p w:rsidR="00322E42" w:rsidRPr="001B4CBD" w:rsidRDefault="00322E42" w:rsidP="00322E42">
      <w:pPr>
        <w:spacing w:after="0" w:line="480" w:lineRule="auto"/>
        <w:ind w:firstLine="708"/>
        <w:rPr>
          <w:rFonts w:cs="Times New Roman"/>
          <w:lang w:val="en-US"/>
        </w:rPr>
      </w:pPr>
      <w:r w:rsidRPr="001B4CBD">
        <w:rPr>
          <w:rFonts w:eastAsia="Times New Roman" w:cs="Times New Roman"/>
          <w:lang w:val="en-US"/>
        </w:rPr>
        <w:t>Guy Neave (1994) argues that the new role is based upon the rationale of administrative management and its objective is efficiency in the academic market, generating a large scale economy, which can be perceived in the privatization of universities and higher education in general. Company control has meant that the university is under some control, regulations and, above all, interventionism of heteronymous powers. Neave (1994) illustrates the meaning of this contract with a metaphor: Do we have the right on having represented the western systems of higher education like to the wretch Prometeo, chained to the rock with his entrails torn every day by the eagle of the budget and the intervention? (p. 397).</w:t>
      </w:r>
    </w:p>
    <w:p w:rsidR="00322E42" w:rsidRPr="001B4CBD" w:rsidRDefault="00322E42" w:rsidP="00322E42">
      <w:pPr>
        <w:spacing w:after="0" w:line="480" w:lineRule="auto"/>
        <w:ind w:firstLine="708"/>
        <w:rPr>
          <w:rFonts w:eastAsia="Times New Roman" w:cs="Times New Roman"/>
          <w:lang w:val="en-US"/>
        </w:rPr>
      </w:pPr>
      <w:r w:rsidRPr="001B4CBD">
        <w:rPr>
          <w:rFonts w:eastAsia="Times New Roman" w:cs="Times New Roman"/>
          <w:lang w:val="en-US"/>
        </w:rPr>
        <w:t xml:space="preserve">The idea of this new contract is shared by distinct specialists in the studies about universities, including that of Burton Clark (2000, 2000a, 2000b), Ulrich Teichler and Sadlak (2000), Tony Becher (2001), Joaquin Brunner (2006), and Daniel Levy (2002). </w:t>
      </w:r>
    </w:p>
    <w:p w:rsidR="00322E42" w:rsidRPr="001B4CBD" w:rsidRDefault="00322E42" w:rsidP="00322E42">
      <w:pPr>
        <w:spacing w:after="0" w:line="480" w:lineRule="auto"/>
        <w:ind w:firstLine="708"/>
        <w:rPr>
          <w:rFonts w:cs="Times New Roman"/>
          <w:lang w:val="en-US"/>
        </w:rPr>
      </w:pPr>
      <w:r w:rsidRPr="001B4CBD">
        <w:rPr>
          <w:rFonts w:eastAsia="Times New Roman" w:cs="Times New Roman"/>
          <w:lang w:val="en-US"/>
        </w:rPr>
        <w:t xml:space="preserve">For instance, Daniel Levy (2002) associates the new contract with a tendency towards social accountability, also known as </w:t>
      </w:r>
      <w:r w:rsidRPr="001B4CBD">
        <w:rPr>
          <w:rFonts w:eastAsia="Times New Roman" w:cs="Times New Roman"/>
          <w:i/>
          <w:lang w:val="en-US"/>
        </w:rPr>
        <w:t>Americanization</w:t>
      </w:r>
      <w:r w:rsidRPr="001B4CBD">
        <w:rPr>
          <w:rFonts w:eastAsia="Times New Roman" w:cs="Times New Roman"/>
          <w:lang w:val="en-US"/>
        </w:rPr>
        <w:t xml:space="preserve">. This author identifies accountability as the foundation for the university reform. This word already entails accountability, to which we will add the word social because it responds to the dynamic of the market, accepting its rules and </w:t>
      </w:r>
      <w:r w:rsidRPr="001B4CBD">
        <w:rPr>
          <w:rFonts w:eastAsia="Times New Roman" w:cs="Times New Roman"/>
          <w:lang w:val="en-US"/>
        </w:rPr>
        <w:lastRenderedPageBreak/>
        <w:t xml:space="preserve">imperatives. He points out that this new accountability is associated to two imperatives related to each other in which national legislation is minimal: 1) institutions and their </w:t>
      </w:r>
      <w:r w:rsidRPr="001B4CBD">
        <w:rPr>
          <w:rFonts w:eastAsia="Times New Roman" w:cs="Times New Roman"/>
          <w:i/>
          <w:lang w:val="en-US"/>
        </w:rPr>
        <w:t>clients</w:t>
      </w:r>
      <w:r w:rsidRPr="001B4CBD">
        <w:rPr>
          <w:rFonts w:eastAsia="Times New Roman" w:cs="Times New Roman"/>
          <w:lang w:val="en-US"/>
        </w:rPr>
        <w:t xml:space="preserve"> basically choosing their own highways and, 2) the acceptance of the results of their own choices.  </w:t>
      </w:r>
    </w:p>
    <w:p w:rsidR="00322E42" w:rsidRPr="001B4CBD" w:rsidRDefault="00322E42" w:rsidP="00322E42">
      <w:pPr>
        <w:spacing w:after="0" w:line="480" w:lineRule="auto"/>
        <w:ind w:firstLine="708"/>
        <w:rPr>
          <w:rFonts w:cs="Times New Roman"/>
          <w:lang w:val="en-US"/>
        </w:rPr>
      </w:pPr>
      <w:r w:rsidRPr="001B4CBD">
        <w:rPr>
          <w:rFonts w:eastAsia="Times New Roman" w:cs="Times New Roman"/>
          <w:lang w:val="en-US"/>
        </w:rPr>
        <w:t xml:space="preserve">These results are usually variable, but this does not mean they are wrong or should be annihilated by the national legislation. The new social accountability, as a consequence, represents a very distinct form of the concept of standardization through legislation or public politics. There is a great variety of options and policies: It is a ‘market’ ruling the institutions of higher education. This market is not purely inexpensive and it is definitely not </w:t>
      </w:r>
      <w:r w:rsidRPr="001B4CBD">
        <w:rPr>
          <w:rFonts w:eastAsia="Times New Roman" w:cs="Times New Roman"/>
          <w:i/>
          <w:iCs/>
          <w:lang w:val="en-US"/>
        </w:rPr>
        <w:t>laissez faire</w:t>
      </w:r>
      <w:r w:rsidRPr="001B4CBD">
        <w:rPr>
          <w:rFonts w:eastAsia="Times New Roman" w:cs="Times New Roman"/>
          <w:lang w:val="en-US"/>
        </w:rPr>
        <w:t>, but the word ‘market’ is suitable for expressing the idea of competition with minimum central controls, rules, predetermined action and standardization (p. 56).</w:t>
      </w:r>
    </w:p>
    <w:p w:rsidR="00322E42" w:rsidRPr="001B4CBD" w:rsidRDefault="00322E42" w:rsidP="00322E42">
      <w:pPr>
        <w:spacing w:after="0" w:line="480" w:lineRule="auto"/>
        <w:ind w:firstLine="708"/>
        <w:rPr>
          <w:rFonts w:eastAsia="Times New Roman" w:cs="Times New Roman"/>
          <w:lang w:val="en-US"/>
        </w:rPr>
      </w:pPr>
      <w:r w:rsidRPr="001B4CBD">
        <w:rPr>
          <w:rFonts w:eastAsia="Times New Roman" w:cs="Times New Roman"/>
          <w:lang w:val="en-US"/>
        </w:rPr>
        <w:t xml:space="preserve">This illustrates that the new social accountability of universities is associated with the market, contrary to what was expressed by Levy (2002). Personally, we believe that it is a damaging concept when introduced to the universities as a policy taken directly from the market, since it is determined and ruled by the dynamic of supply and demand. Minimum controls refer to labor deregulation, because there is excessive control over the management of resources and their results. The market is the academic market. The term is recognized in specialized literature concerning studies about universities as </w:t>
      </w:r>
      <w:r w:rsidRPr="001B4CBD">
        <w:rPr>
          <w:rFonts w:eastAsia="Times New Roman" w:cs="Times New Roman"/>
          <w:i/>
          <w:lang w:val="en-US"/>
        </w:rPr>
        <w:t>marketization</w:t>
      </w:r>
      <w:r w:rsidRPr="001B4CBD">
        <w:rPr>
          <w:rFonts w:eastAsia="Times New Roman" w:cs="Times New Roman"/>
          <w:lang w:val="en-US"/>
        </w:rPr>
        <w:t xml:space="preserve">, </w:t>
      </w:r>
      <w:r w:rsidRPr="001B4CBD">
        <w:rPr>
          <w:rFonts w:eastAsia="Times New Roman" w:cs="Times New Roman"/>
          <w:i/>
          <w:lang w:val="en-US"/>
        </w:rPr>
        <w:t>commercialization</w:t>
      </w:r>
      <w:r w:rsidRPr="001B4CBD">
        <w:rPr>
          <w:rFonts w:eastAsia="Times New Roman" w:cs="Times New Roman"/>
          <w:lang w:val="en-US"/>
        </w:rPr>
        <w:t xml:space="preserve"> or </w:t>
      </w:r>
      <w:r w:rsidRPr="001B4CBD">
        <w:rPr>
          <w:rFonts w:eastAsia="Times New Roman" w:cs="Times New Roman"/>
          <w:i/>
          <w:lang w:val="en-US"/>
        </w:rPr>
        <w:t>commoditization</w:t>
      </w:r>
      <w:r w:rsidRPr="001B4CBD">
        <w:rPr>
          <w:rFonts w:eastAsia="Times New Roman" w:cs="Times New Roman"/>
          <w:lang w:val="en-US"/>
        </w:rPr>
        <w:t xml:space="preserve">.  As in all type of markets, the academic is ruled by liberalization, privatization, flexibility, deregulation, the generation of social and human capital, as well as cognitive development. </w:t>
      </w:r>
    </w:p>
    <w:p w:rsidR="00322E42" w:rsidRPr="001B4CBD" w:rsidRDefault="00322E42" w:rsidP="00322E42">
      <w:pPr>
        <w:spacing w:after="0" w:line="480" w:lineRule="auto"/>
        <w:ind w:firstLine="708"/>
        <w:rPr>
          <w:rFonts w:eastAsia="Times New Roman" w:cs="Times New Roman"/>
          <w:lang w:val="en-US"/>
        </w:rPr>
      </w:pPr>
      <w:r w:rsidRPr="001B4CBD">
        <w:rPr>
          <w:rFonts w:eastAsia="Times New Roman" w:cs="Times New Roman"/>
          <w:lang w:val="en-US"/>
        </w:rPr>
        <w:t xml:space="preserve">In other words, there is competition in the market, which Levy (2002) describes as a no purely economics, but we insist that it is. For instance, company rules are accepted, but no one refers to the public university as a company. If we do it, we would cut out the cultural sense of its existence ceasing the real sense on the university. On the contrary, public universities generate </w:t>
      </w:r>
      <w:r w:rsidRPr="001B4CBD">
        <w:rPr>
          <w:rFonts w:eastAsia="Times New Roman" w:cs="Times New Roman"/>
          <w:lang w:val="en-US"/>
        </w:rPr>
        <w:lastRenderedPageBreak/>
        <w:t xml:space="preserve">knowledge, science and technology for management, the containment of their essence and the promotion of human and social capital. </w:t>
      </w:r>
    </w:p>
    <w:p w:rsidR="00322E42" w:rsidRPr="001B4CBD" w:rsidRDefault="00322E42" w:rsidP="00322E42">
      <w:pPr>
        <w:spacing w:after="0" w:line="480" w:lineRule="auto"/>
        <w:ind w:firstLine="708"/>
        <w:rPr>
          <w:rFonts w:cs="Times New Roman"/>
          <w:color w:val="000000"/>
          <w:lang w:val="en-US"/>
        </w:rPr>
      </w:pPr>
      <w:r w:rsidRPr="001B4CBD">
        <w:rPr>
          <w:rFonts w:eastAsia="Times New Roman" w:cs="Times New Roman"/>
          <w:lang w:val="en-US"/>
        </w:rPr>
        <w:t>The new social responsibility of the university rests on the assumption of efficiency and rationalization. Brunner (2006) expresses it clearly:</w:t>
      </w:r>
      <w:r w:rsidRPr="001B4CBD">
        <w:rPr>
          <w:rFonts w:cs="Times New Roman"/>
          <w:color w:val="000000"/>
          <w:lang w:val="en-US"/>
        </w:rPr>
        <w:t xml:space="preserve"> “The assumption is that more competition, less regulations and a major use on the part of the governments of market type of mechanisms, which will result in more productive, efficient, innovative universities, at the same time, there will diminish the costs of dealing caused by the governmental interventions and the bureaucratic regulations” (p. 5).</w:t>
      </w:r>
    </w:p>
    <w:p w:rsidR="00322E42" w:rsidRPr="001B4CBD" w:rsidRDefault="00322E42" w:rsidP="00322E42">
      <w:pPr>
        <w:spacing w:after="0" w:line="480" w:lineRule="auto"/>
        <w:ind w:firstLine="708"/>
        <w:rPr>
          <w:rFonts w:eastAsia="Times New Roman" w:cs="Times New Roman"/>
          <w:color w:val="000000"/>
          <w:lang w:val="en-US"/>
        </w:rPr>
      </w:pPr>
      <w:r w:rsidRPr="001B4CBD">
        <w:rPr>
          <w:rFonts w:eastAsia="Times New Roman" w:cs="Times New Roman"/>
          <w:color w:val="000000"/>
          <w:lang w:val="en-US"/>
        </w:rPr>
        <w:t>There is a direct connection between Milton Friedman’s thesis concerning social responsibility in commercial establishments and, the changes in universities because of the accountability mentioned by the authors we have referred in this paper. We find centrality in the stockholders and a sense of distance from social subjects which are not a part of the dynamics of the market. The reforms in universities and in higher education are tired of this assumption which forced them to commercialize the main services offered by the university</w:t>
      </w:r>
      <w:r w:rsidRPr="001B4CBD">
        <w:rPr>
          <w:rFonts w:eastAsia="Times New Roman" w:cs="Times New Roman"/>
          <w:i/>
          <w:color w:val="000000"/>
          <w:lang w:val="en-US"/>
        </w:rPr>
        <w:t>: education</w:t>
      </w:r>
      <w:r w:rsidRPr="001B4CBD">
        <w:rPr>
          <w:rFonts w:eastAsia="Times New Roman" w:cs="Times New Roman"/>
          <w:color w:val="000000"/>
          <w:lang w:val="en-US"/>
        </w:rPr>
        <w:t xml:space="preserve">, </w:t>
      </w:r>
      <w:r w:rsidRPr="001B4CBD">
        <w:rPr>
          <w:rFonts w:eastAsia="Times New Roman" w:cs="Times New Roman"/>
          <w:i/>
          <w:color w:val="000000"/>
          <w:lang w:val="en-US"/>
        </w:rPr>
        <w:t>development</w:t>
      </w:r>
      <w:r w:rsidRPr="001B4CBD">
        <w:rPr>
          <w:rFonts w:eastAsia="Times New Roman" w:cs="Times New Roman"/>
          <w:color w:val="000000"/>
          <w:lang w:val="en-US"/>
        </w:rPr>
        <w:t xml:space="preserve"> and </w:t>
      </w:r>
      <w:r w:rsidRPr="001B4CBD">
        <w:rPr>
          <w:rFonts w:eastAsia="Times New Roman" w:cs="Times New Roman"/>
          <w:i/>
          <w:color w:val="000000"/>
          <w:lang w:val="en-US"/>
        </w:rPr>
        <w:t>research.</w:t>
      </w:r>
      <w:r w:rsidRPr="001B4CBD">
        <w:rPr>
          <w:rFonts w:eastAsia="Times New Roman" w:cs="Times New Roman"/>
          <w:color w:val="000000"/>
          <w:lang w:val="en-US"/>
        </w:rPr>
        <w:t xml:space="preserve"> We could cite examples of university policies or speeches following this trend; however, we will focus on one which demonstrates this bewilderment for the academic market.</w:t>
      </w:r>
    </w:p>
    <w:p w:rsidR="00322E42" w:rsidRPr="001B4CBD" w:rsidRDefault="00322E42" w:rsidP="00322E42">
      <w:pPr>
        <w:spacing w:after="0" w:line="480" w:lineRule="auto"/>
        <w:ind w:firstLine="708"/>
        <w:rPr>
          <w:rFonts w:cs="Times New Roman"/>
          <w:color w:val="000000"/>
          <w:lang w:val="en-US"/>
        </w:rPr>
      </w:pPr>
      <w:r w:rsidRPr="001B4CBD">
        <w:rPr>
          <w:rFonts w:eastAsia="Times New Roman" w:cs="Times New Roman"/>
          <w:color w:val="000000"/>
          <w:lang w:val="en-US"/>
        </w:rPr>
        <w:t xml:space="preserve">In the year 2010, on August 24, the following statement was published in the newspaper </w:t>
      </w:r>
      <w:r w:rsidRPr="001B4CBD">
        <w:rPr>
          <w:rFonts w:eastAsia="Times New Roman" w:cs="Times New Roman"/>
          <w:i/>
          <w:iCs/>
          <w:color w:val="000000"/>
          <w:lang w:val="en-US"/>
        </w:rPr>
        <w:t>La Jornada</w:t>
      </w:r>
      <w:r w:rsidRPr="001B4CBD">
        <w:rPr>
          <w:rFonts w:eastAsia="Times New Roman" w:cs="Times New Roman"/>
          <w:color w:val="000000"/>
          <w:lang w:val="en-US"/>
        </w:rPr>
        <w:t xml:space="preserve">, in reference to the World Youth Conference 2010. It was lectured by the Secretary of Social Development for the federal government of Mexico.  </w:t>
      </w:r>
    </w:p>
    <w:p w:rsidR="00322E42" w:rsidRPr="001B4CBD" w:rsidRDefault="00322E42" w:rsidP="00322E42">
      <w:pPr>
        <w:spacing w:after="0" w:line="480" w:lineRule="auto"/>
        <w:ind w:left="708"/>
        <w:rPr>
          <w:rFonts w:cs="Times New Roman"/>
          <w:color w:val="000000"/>
          <w:lang w:val="en-US"/>
        </w:rPr>
      </w:pPr>
      <w:r w:rsidRPr="001B4CBD">
        <w:rPr>
          <w:rFonts w:cs="Times New Roman"/>
          <w:lang w:val="en-US"/>
        </w:rPr>
        <w:t>The secretary not only encouraged young people to go to university to become educated and get a good job, but to become entrepreneurs. “Though you may not believe it, we all have this ability and not having the capital is no obstacle, nor should it be an excuse.”</w:t>
      </w:r>
      <w:r w:rsidRPr="001B4CBD">
        <w:rPr>
          <w:rFonts w:eastAsia="Times New Roman" w:cs="Times New Roman"/>
          <w:color w:val="000000"/>
          <w:lang w:val="en-US"/>
        </w:rPr>
        <w:t xml:space="preserve"> He gave them the recipe for achieving this. He said that you must be an entrepreneur and </w:t>
      </w:r>
      <w:r w:rsidRPr="001B4CBD">
        <w:rPr>
          <w:rFonts w:eastAsia="Times New Roman" w:cs="Times New Roman"/>
          <w:color w:val="000000"/>
          <w:lang w:val="en-US"/>
        </w:rPr>
        <w:lastRenderedPageBreak/>
        <w:t>apply the four M’s: market, market, market and more market. But they must also apply the four E’s: enthusiasm, enthusiasm, enthusiasm and more enthusiasm.</w:t>
      </w:r>
    </w:p>
    <w:p w:rsidR="00322E42" w:rsidRPr="001B4CBD" w:rsidRDefault="00322E42" w:rsidP="00322E42">
      <w:pPr>
        <w:spacing w:after="0" w:line="480" w:lineRule="auto"/>
        <w:ind w:firstLine="708"/>
        <w:rPr>
          <w:rFonts w:cs="Times New Roman"/>
          <w:color w:val="000000"/>
          <w:lang w:val="en-US"/>
        </w:rPr>
      </w:pPr>
    </w:p>
    <w:p w:rsidR="00322E42" w:rsidRPr="001B4CBD" w:rsidRDefault="00322E42" w:rsidP="00322E42">
      <w:pPr>
        <w:spacing w:after="0" w:line="480" w:lineRule="auto"/>
        <w:ind w:firstLine="708"/>
        <w:rPr>
          <w:rFonts w:eastAsia="Times New Roman" w:cs="Times New Roman"/>
          <w:color w:val="000000"/>
          <w:lang w:val="en-US"/>
        </w:rPr>
      </w:pPr>
      <w:r w:rsidRPr="001B4CBD">
        <w:rPr>
          <w:rFonts w:eastAsia="Times New Roman" w:cs="Times New Roman"/>
          <w:color w:val="000000"/>
          <w:lang w:val="en-US"/>
        </w:rPr>
        <w:t xml:space="preserve">The new social responsibility of the university associated to the market for the change from a crisis in industrial capitalism towards </w:t>
      </w:r>
      <w:r w:rsidRPr="001B4CBD">
        <w:rPr>
          <w:rFonts w:eastAsia="Times New Roman" w:cs="Times New Roman"/>
          <w:i/>
          <w:color w:val="000000"/>
          <w:lang w:val="en-US"/>
        </w:rPr>
        <w:t>cognitive capitalism</w:t>
      </w:r>
      <w:r w:rsidRPr="001B4CBD">
        <w:rPr>
          <w:rFonts w:eastAsia="Times New Roman" w:cs="Times New Roman"/>
          <w:color w:val="000000"/>
          <w:lang w:val="en-US"/>
        </w:rPr>
        <w:t xml:space="preserve"> or </w:t>
      </w:r>
      <w:r w:rsidRPr="001B4CBD">
        <w:rPr>
          <w:rFonts w:eastAsia="Times New Roman" w:cs="Times New Roman"/>
          <w:i/>
          <w:color w:val="000000"/>
          <w:lang w:val="en-US"/>
        </w:rPr>
        <w:t>biocapitalism</w:t>
      </w:r>
      <w:r w:rsidRPr="001B4CBD">
        <w:rPr>
          <w:rFonts w:eastAsia="Times New Roman" w:cs="Times New Roman"/>
          <w:color w:val="000000"/>
          <w:lang w:val="en-US"/>
        </w:rPr>
        <w:t xml:space="preserve"> (Vercellone, 2004). We are moving from capitalism based purely on physical labor in serial production to capitalism based on knowledge and information. The principles of austerity, privatization, liberalization, deregulation and flexibility which have been present for at least two decades with the logic of the Washington Consensus, have not produced the expected results. They have caused more problems than solutions to capitalism, which was evident during the economic development crisis. To come out of the actual crisis, we looked for goods which were not considered tangible or sellable in the past. This turned out to be knowledge, which universities and other institutions of higher learning possess. </w:t>
      </w:r>
      <w:r w:rsidRPr="001B4CBD">
        <w:rPr>
          <w:rFonts w:eastAsia="Times New Roman" w:cs="Times New Roman"/>
          <w:color w:val="000000"/>
          <w:lang w:val="en-US"/>
        </w:rPr>
        <w:tab/>
        <w:t>With the term accountability applied to the institutions of higher education, the handicap of the knowledge machine emerged. Therefore, the key to economic growth and competitiveness resides in the knowledge economy as a way of putting value to capital.</w:t>
      </w:r>
    </w:p>
    <w:p w:rsidR="00322E42" w:rsidRPr="001B4CBD" w:rsidRDefault="00322E42" w:rsidP="00322E42">
      <w:pPr>
        <w:spacing w:after="0" w:line="480" w:lineRule="auto"/>
        <w:rPr>
          <w:rFonts w:eastAsia="Times New Roman" w:cs="Times New Roman"/>
          <w:color w:val="000000"/>
          <w:lang w:val="en-US"/>
        </w:rPr>
      </w:pPr>
    </w:p>
    <w:p w:rsidR="00322E42" w:rsidRPr="001B4CBD" w:rsidRDefault="00322E42" w:rsidP="00322E42">
      <w:pPr>
        <w:pStyle w:val="Prrafodelista"/>
        <w:numPr>
          <w:ilvl w:val="0"/>
          <w:numId w:val="31"/>
        </w:numPr>
        <w:spacing w:after="0" w:line="480" w:lineRule="auto"/>
        <w:ind w:left="0" w:firstLine="0"/>
        <w:rPr>
          <w:rFonts w:cs="Times New Roman"/>
          <w:b/>
          <w:color w:val="000000"/>
          <w:lang w:val="en-US"/>
        </w:rPr>
      </w:pPr>
      <w:r w:rsidRPr="001B4CBD">
        <w:rPr>
          <w:rFonts w:cs="Times New Roman"/>
          <w:b/>
          <w:color w:val="000000"/>
          <w:lang w:val="en-US"/>
        </w:rPr>
        <w:t xml:space="preserve">Accountability vs Biocapitalism </w:t>
      </w:r>
    </w:p>
    <w:p w:rsidR="00322E42" w:rsidRPr="001B4CBD" w:rsidRDefault="00322E42" w:rsidP="00322E42">
      <w:pPr>
        <w:spacing w:after="0" w:line="480" w:lineRule="auto"/>
        <w:ind w:firstLine="708"/>
        <w:rPr>
          <w:rFonts w:eastAsia="Times New Roman" w:cs="Times New Roman"/>
          <w:color w:val="000000"/>
          <w:lang w:val="en-US"/>
        </w:rPr>
      </w:pPr>
      <w:r w:rsidRPr="001B4CBD">
        <w:rPr>
          <w:rFonts w:eastAsia="Times New Roman" w:cs="Times New Roman"/>
          <w:color w:val="000000"/>
          <w:lang w:val="en-US"/>
        </w:rPr>
        <w:t xml:space="preserve">What Milton Friedman suggested in regards to the term accountability was not enough to address this issue. A shift was observed towards </w:t>
      </w:r>
      <w:r w:rsidRPr="001B4CBD">
        <w:rPr>
          <w:rFonts w:eastAsia="Times New Roman" w:cs="Times New Roman"/>
          <w:i/>
          <w:color w:val="000000"/>
          <w:lang w:val="en-US"/>
        </w:rPr>
        <w:t>biocapitalism</w:t>
      </w:r>
      <w:r w:rsidRPr="001B4CBD">
        <w:rPr>
          <w:rFonts w:eastAsia="Times New Roman" w:cs="Times New Roman"/>
          <w:color w:val="000000"/>
          <w:lang w:val="en-US"/>
        </w:rPr>
        <w:t xml:space="preserve">. This is explained by Carlo Vercellone (2004) underlying three main reasons: the first refers to the ecological limits of industrial growth; 2) the second refers to the opening of a new position in the academic market considered as the social capital and with it, the creation of the New International Division of Labor (NIDL). Finally, the third one embodies the continuity of the State-Nation decline. However, we </w:t>
      </w:r>
      <w:r w:rsidRPr="001B4CBD">
        <w:rPr>
          <w:rFonts w:eastAsia="Times New Roman" w:cs="Times New Roman"/>
          <w:color w:val="000000"/>
          <w:lang w:val="en-US"/>
        </w:rPr>
        <w:lastRenderedPageBreak/>
        <w:t xml:space="preserve">would add a fourth reason to the list which refers to the corporations which expropriate, accumulate great benefits and, at the same time, generate irreversible damage to biodiversity. </w:t>
      </w:r>
    </w:p>
    <w:p w:rsidR="00322E42" w:rsidRPr="001B4CBD" w:rsidRDefault="00322E42" w:rsidP="00322E42">
      <w:pPr>
        <w:spacing w:after="0" w:line="480" w:lineRule="auto"/>
        <w:ind w:firstLine="708"/>
        <w:rPr>
          <w:rFonts w:cs="Times New Roman"/>
          <w:color w:val="000000"/>
          <w:lang w:val="en-US"/>
        </w:rPr>
      </w:pPr>
      <w:r w:rsidRPr="001B4CBD">
        <w:rPr>
          <w:rFonts w:eastAsia="Times New Roman" w:cs="Times New Roman"/>
          <w:color w:val="000000"/>
          <w:lang w:val="en-US"/>
        </w:rPr>
        <w:t xml:space="preserve">The social controversies they have produced in the last few decades have driven these transnational companies to a constant crisis due to corruption at their highest levels and their needs to privatize life. For example, many companies patent natural organisms as well as those created in a lab. </w:t>
      </w:r>
    </w:p>
    <w:p w:rsidR="00322E42" w:rsidRPr="001B4CBD" w:rsidRDefault="00322E42" w:rsidP="00322E42">
      <w:pPr>
        <w:spacing w:after="0" w:line="480" w:lineRule="auto"/>
        <w:rPr>
          <w:rFonts w:cs="Times New Roman"/>
          <w:color w:val="000000"/>
          <w:lang w:val="en-US"/>
        </w:rPr>
      </w:pPr>
      <w:r w:rsidRPr="001B4CBD">
        <w:rPr>
          <w:rFonts w:eastAsia="Times New Roman" w:cs="Times New Roman"/>
          <w:color w:val="000000"/>
          <w:lang w:val="en-US"/>
        </w:rPr>
        <w:t>In this context, the discussion of economic development has taken the form of sustainable development. This posture favors bringing the environment closer and closer to the economy. The initial spirit was weakened once it was expropriated by an economic view of sustainability. When we add a twist of sustainability to social accountability, the company has assumed accountability for its own destructive actions towards the environment. Edward Freeman (1996) is a representative of the new school in social responsibility in its conceptual foundations. The author stated,</w:t>
      </w:r>
    </w:p>
    <w:p w:rsidR="00322E42" w:rsidRPr="001B4CBD" w:rsidRDefault="00322E42" w:rsidP="00322E42">
      <w:pPr>
        <w:spacing w:after="0" w:line="480" w:lineRule="auto"/>
        <w:ind w:left="708"/>
        <w:rPr>
          <w:rFonts w:cs="Times New Roman"/>
          <w:color w:val="000000"/>
          <w:lang w:val="en-US"/>
        </w:rPr>
      </w:pPr>
      <w:r w:rsidRPr="001B4CBD">
        <w:rPr>
          <w:rFonts w:eastAsia="Times New Roman" w:cs="Times New Roman"/>
          <w:color w:val="000000"/>
          <w:lang w:val="en-US"/>
        </w:rPr>
        <w:t xml:space="preserve">The increase of concern for the natural ambience means that there exist new human relations that must happen to be a part of the equation of the organizations, and that the change of the idea of the </w:t>
      </w:r>
      <w:r w:rsidRPr="001B4CBD">
        <w:rPr>
          <w:rFonts w:eastAsia="Times New Roman" w:cs="Times New Roman"/>
          <w:i/>
          <w:color w:val="000000"/>
          <w:lang w:val="en-US"/>
        </w:rPr>
        <w:t>cost-benefit</w:t>
      </w:r>
      <w:r w:rsidRPr="001B4CBD">
        <w:rPr>
          <w:rFonts w:eastAsia="Times New Roman" w:cs="Times New Roman"/>
          <w:color w:val="000000"/>
          <w:lang w:val="en-US"/>
        </w:rPr>
        <w:t xml:space="preserve"> for the concept of </w:t>
      </w:r>
      <w:r w:rsidRPr="001B4CBD">
        <w:rPr>
          <w:rFonts w:eastAsia="Times New Roman" w:cs="Times New Roman"/>
          <w:i/>
          <w:color w:val="000000"/>
          <w:lang w:val="en-US"/>
        </w:rPr>
        <w:t>sustainable development</w:t>
      </w:r>
      <w:r w:rsidRPr="001B4CBD">
        <w:rPr>
          <w:rFonts w:eastAsia="Times New Roman" w:cs="Times New Roman"/>
          <w:color w:val="000000"/>
          <w:lang w:val="en-US"/>
        </w:rPr>
        <w:t xml:space="preserve"> means that the frame of time has changed for the more immediate one. (p. 95)</w:t>
      </w:r>
    </w:p>
    <w:p w:rsidR="00322E42" w:rsidRPr="001B4CBD" w:rsidRDefault="00322E42" w:rsidP="00322E42">
      <w:pPr>
        <w:spacing w:after="0" w:line="480" w:lineRule="auto"/>
        <w:ind w:firstLine="708"/>
        <w:rPr>
          <w:rFonts w:eastAsia="Times New Roman" w:cs="Times New Roman"/>
          <w:color w:val="000000"/>
          <w:lang w:val="en-US"/>
        </w:rPr>
      </w:pPr>
    </w:p>
    <w:p w:rsidR="00322E42" w:rsidRPr="001B4CBD" w:rsidRDefault="00322E42" w:rsidP="00322E42">
      <w:pPr>
        <w:spacing w:after="0" w:line="480" w:lineRule="auto"/>
        <w:ind w:firstLine="708"/>
        <w:rPr>
          <w:rFonts w:eastAsia="Times New Roman" w:cs="Times New Roman"/>
          <w:color w:val="000000"/>
          <w:lang w:val="en-US"/>
        </w:rPr>
      </w:pPr>
      <w:r w:rsidRPr="001B4CBD">
        <w:rPr>
          <w:rFonts w:eastAsia="Times New Roman" w:cs="Times New Roman"/>
          <w:color w:val="000000"/>
          <w:lang w:val="en-US"/>
        </w:rPr>
        <w:t xml:space="preserve">Companies have </w:t>
      </w:r>
      <w:r w:rsidRPr="001B4CBD">
        <w:rPr>
          <w:rFonts w:eastAsia="Times New Roman" w:cs="Times New Roman"/>
          <w:i/>
          <w:iCs/>
          <w:color w:val="000000"/>
          <w:lang w:val="en-US"/>
        </w:rPr>
        <w:t>naturalized</w:t>
      </w:r>
      <w:r w:rsidRPr="001B4CBD">
        <w:rPr>
          <w:rFonts w:eastAsia="Times New Roman" w:cs="Times New Roman"/>
          <w:color w:val="000000"/>
          <w:lang w:val="en-US"/>
        </w:rPr>
        <w:t xml:space="preserve"> –expropriated- the concern for the environment inherited from the green movement and dressed it up as economic development with sustainability, but they have not lost the spirit of profitability and maximization. Privately, they have institutionalized a </w:t>
      </w:r>
      <w:r w:rsidRPr="001B4CBD">
        <w:rPr>
          <w:rFonts w:eastAsia="Times New Roman" w:cs="Times New Roman"/>
          <w:i/>
          <w:iCs/>
          <w:color w:val="000000"/>
          <w:lang w:val="en-US"/>
        </w:rPr>
        <w:t>Fast Track</w:t>
      </w:r>
      <w:r w:rsidRPr="001B4CBD">
        <w:rPr>
          <w:rFonts w:eastAsia="Times New Roman" w:cs="Times New Roman"/>
          <w:color w:val="000000"/>
          <w:lang w:val="en-US"/>
        </w:rPr>
        <w:t xml:space="preserve"> policy towards growth and sustainable development, but publically they present is as social accountability. </w:t>
      </w:r>
    </w:p>
    <w:p w:rsidR="00322E42" w:rsidRPr="001B4CBD" w:rsidRDefault="00322E42" w:rsidP="00322E42">
      <w:pPr>
        <w:spacing w:after="0" w:line="480" w:lineRule="auto"/>
        <w:ind w:firstLine="708"/>
        <w:rPr>
          <w:rFonts w:eastAsia="Times New Roman" w:cs="Times New Roman"/>
          <w:color w:val="000000"/>
          <w:lang w:val="en-US"/>
        </w:rPr>
      </w:pPr>
      <w:r w:rsidRPr="001B4CBD">
        <w:rPr>
          <w:rFonts w:eastAsia="Times New Roman" w:cs="Times New Roman"/>
          <w:color w:val="000000"/>
          <w:lang w:val="en-US"/>
        </w:rPr>
        <w:lastRenderedPageBreak/>
        <w:t xml:space="preserve">Today, we experience the boom of </w:t>
      </w:r>
      <w:r w:rsidRPr="001B4CBD">
        <w:rPr>
          <w:rFonts w:eastAsia="Times New Roman" w:cs="Times New Roman"/>
          <w:i/>
          <w:color w:val="000000"/>
          <w:lang w:val="en-US"/>
        </w:rPr>
        <w:t>company</w:t>
      </w:r>
      <w:r w:rsidRPr="001B4CBD">
        <w:rPr>
          <w:rFonts w:eastAsia="Times New Roman" w:cs="Times New Roman"/>
          <w:color w:val="000000"/>
          <w:lang w:val="en-US"/>
        </w:rPr>
        <w:t xml:space="preserve"> social responsibility worldwide. Paradoxically, we do not know how many forests have been destroyed in the publication of articles about social environmental accountability. Now, the care of the environment has been pulled towards profitability, according to the nature of the market. At the beginning of this century (in 2001), the green book of company social responsibility was published by the European Union, in order to legitimize this aim.</w:t>
      </w:r>
    </w:p>
    <w:p w:rsidR="00322E42" w:rsidRPr="001B4CBD" w:rsidRDefault="00322E42" w:rsidP="00322E42">
      <w:pPr>
        <w:spacing w:after="0" w:line="480" w:lineRule="auto"/>
        <w:ind w:left="708"/>
        <w:rPr>
          <w:rFonts w:cs="Times New Roman"/>
          <w:color w:val="000000"/>
          <w:lang w:val="en-US"/>
        </w:rPr>
      </w:pPr>
      <w:r w:rsidRPr="001B4CBD">
        <w:rPr>
          <w:rFonts w:cs="Times New Roman"/>
          <w:color w:val="000000"/>
          <w:lang w:val="en-US"/>
        </w:rPr>
        <w:t>The majority of the definitions pertaining social responsibility of the companies understand this concept as the voluntary integration of the social and environmental concerns associated to their business transactions as well as their affiliations with the allies. To be socially responsible does not imply only the fulfillment of juridical obligations, but it also entails investing "more" in the human capital, the environment and the relations with their interlocutors. (p. 7)</w:t>
      </w:r>
    </w:p>
    <w:p w:rsidR="00322E42" w:rsidRPr="001B4CBD" w:rsidRDefault="00322E42" w:rsidP="00322E42">
      <w:pPr>
        <w:widowControl w:val="0"/>
        <w:autoSpaceDE w:val="0"/>
        <w:autoSpaceDN w:val="0"/>
        <w:adjustRightInd w:val="0"/>
        <w:spacing w:after="0" w:line="480" w:lineRule="auto"/>
        <w:ind w:firstLine="708"/>
        <w:rPr>
          <w:rFonts w:eastAsia="Times New Roman" w:cs="Times New Roman"/>
          <w:lang w:val="en-US"/>
        </w:rPr>
      </w:pPr>
    </w:p>
    <w:p w:rsidR="00322E42" w:rsidRPr="001B4CBD" w:rsidRDefault="00322E42" w:rsidP="00322E42">
      <w:pPr>
        <w:widowControl w:val="0"/>
        <w:autoSpaceDE w:val="0"/>
        <w:autoSpaceDN w:val="0"/>
        <w:adjustRightInd w:val="0"/>
        <w:spacing w:after="0" w:line="480" w:lineRule="auto"/>
        <w:ind w:firstLine="708"/>
        <w:rPr>
          <w:rFonts w:cs="Times New Roman"/>
          <w:lang w:val="en-US"/>
        </w:rPr>
      </w:pPr>
      <w:r w:rsidRPr="001B4CBD">
        <w:rPr>
          <w:rFonts w:eastAsia="Times New Roman" w:cs="Times New Roman"/>
          <w:lang w:val="en-US"/>
        </w:rPr>
        <w:t xml:space="preserve">Additionally, we find that the companies limit themselves in their degradation of the environment when they find themselves involved in outrages as the cases of </w:t>
      </w:r>
      <w:r w:rsidRPr="001B4CBD">
        <w:rPr>
          <w:rFonts w:eastAsia="Times New Roman" w:cs="Times New Roman"/>
          <w:i/>
          <w:lang w:val="en-US"/>
        </w:rPr>
        <w:t>Monsanto</w:t>
      </w:r>
      <w:r w:rsidRPr="001B4CBD">
        <w:rPr>
          <w:rFonts w:eastAsia="Times New Roman" w:cs="Times New Roman"/>
          <w:lang w:val="en-US"/>
        </w:rPr>
        <w:t xml:space="preserve">, </w:t>
      </w:r>
      <w:r w:rsidRPr="001B4CBD">
        <w:rPr>
          <w:rFonts w:eastAsia="Times New Roman" w:cs="Times New Roman"/>
          <w:i/>
          <w:lang w:val="en-US"/>
        </w:rPr>
        <w:t>Enron</w:t>
      </w:r>
      <w:r w:rsidRPr="001B4CBD">
        <w:rPr>
          <w:rFonts w:eastAsia="Times New Roman" w:cs="Times New Roman"/>
          <w:lang w:val="en-US"/>
        </w:rPr>
        <w:t xml:space="preserve">, </w:t>
      </w:r>
      <w:r w:rsidRPr="001B4CBD">
        <w:rPr>
          <w:rFonts w:eastAsia="Times New Roman" w:cs="Times New Roman"/>
          <w:i/>
          <w:lang w:val="en-US"/>
        </w:rPr>
        <w:t>Kmart</w:t>
      </w:r>
      <w:r w:rsidRPr="001B4CBD">
        <w:rPr>
          <w:rFonts w:eastAsia="Times New Roman" w:cs="Times New Roman"/>
          <w:lang w:val="en-US"/>
        </w:rPr>
        <w:t xml:space="preserve">, </w:t>
      </w:r>
      <w:r w:rsidRPr="001B4CBD">
        <w:rPr>
          <w:rFonts w:eastAsia="Times New Roman" w:cs="Times New Roman"/>
          <w:i/>
          <w:lang w:val="en-US"/>
        </w:rPr>
        <w:t>Walmart</w:t>
      </w:r>
      <w:r w:rsidRPr="001B4CBD">
        <w:rPr>
          <w:rFonts w:eastAsia="Times New Roman" w:cs="Times New Roman"/>
          <w:lang w:val="en-US"/>
        </w:rPr>
        <w:t xml:space="preserve">, </w:t>
      </w:r>
      <w:r w:rsidRPr="001B4CBD">
        <w:rPr>
          <w:rFonts w:eastAsia="Times New Roman" w:cs="Times New Roman"/>
          <w:i/>
          <w:lang w:val="en-US"/>
        </w:rPr>
        <w:t>Xeros</w:t>
      </w:r>
      <w:r w:rsidRPr="001B4CBD">
        <w:rPr>
          <w:rFonts w:eastAsia="Times New Roman" w:cs="Times New Roman"/>
          <w:lang w:val="en-US"/>
        </w:rPr>
        <w:t xml:space="preserve">, etc. These companies have shifted their ethical principles to social responsibility, though more through discourse than reality. The diagnosis was that company ethics were in crisis and the solution consisted of working within a framework of company sustainability. In other words, they move towards an ethic of sustainability that considers the impact provoked by the economic formula of the company without going against the </w:t>
      </w:r>
      <w:r w:rsidRPr="001B4CBD">
        <w:rPr>
          <w:rFonts w:eastAsia="Times New Roman" w:cs="Times New Roman"/>
          <w:i/>
          <w:iCs/>
          <w:lang w:val="en-US"/>
        </w:rPr>
        <w:t>natural laws</w:t>
      </w:r>
      <w:r w:rsidRPr="001B4CBD">
        <w:rPr>
          <w:rFonts w:eastAsia="Times New Roman" w:cs="Times New Roman"/>
          <w:lang w:val="en-US"/>
        </w:rPr>
        <w:t xml:space="preserve"> of the market. </w:t>
      </w:r>
    </w:p>
    <w:p w:rsidR="00322E42" w:rsidRPr="001B4CBD" w:rsidRDefault="00322E42" w:rsidP="00322E42">
      <w:pPr>
        <w:widowControl w:val="0"/>
        <w:autoSpaceDE w:val="0"/>
        <w:autoSpaceDN w:val="0"/>
        <w:adjustRightInd w:val="0"/>
        <w:spacing w:after="0" w:line="480" w:lineRule="auto"/>
        <w:ind w:firstLine="708"/>
        <w:rPr>
          <w:rFonts w:cs="Times New Roman"/>
          <w:lang w:val="en-US"/>
        </w:rPr>
      </w:pPr>
      <w:r w:rsidRPr="001B4CBD">
        <w:rPr>
          <w:rFonts w:eastAsia="Times New Roman" w:cs="Times New Roman"/>
          <w:lang w:val="en-US"/>
        </w:rPr>
        <w:t xml:space="preserve">Ethics are defined in a pragmatic sense when the idea of social responsibility is introduced into the company. Edward Freeman defines the responsibility as follows: “the form in which our decisions affect the others. It also refers to the study of the rights and the obligations of the individuals; the study of the moral rules that they apply when they make decisions, as well as the </w:t>
      </w:r>
      <w:r w:rsidRPr="001B4CBD">
        <w:rPr>
          <w:rFonts w:eastAsia="Times New Roman" w:cs="Times New Roman"/>
          <w:lang w:val="en-US"/>
        </w:rPr>
        <w:lastRenderedPageBreak/>
        <w:t>essence of their personal relationships</w:t>
      </w:r>
      <w:r w:rsidRPr="001B4CBD">
        <w:rPr>
          <w:rFonts w:eastAsia="Times New Roman" w:cs="Times New Roman"/>
          <w:i/>
          <w:iCs/>
          <w:lang w:val="en-US"/>
        </w:rPr>
        <w:t xml:space="preserve">” </w:t>
      </w:r>
      <w:r w:rsidRPr="001B4CBD">
        <w:rPr>
          <w:rFonts w:eastAsia="Times New Roman" w:cs="Times New Roman"/>
          <w:lang w:val="en-US"/>
        </w:rPr>
        <w:t>(p. 106). For this author, there is no difference between morality and ethics. He argues that the rationale behind this provokes ambiguity. For this reason, he suggests to focus on discussion of ethics because the issue about morality makes the business world more uncomfortable.</w:t>
      </w:r>
    </w:p>
    <w:p w:rsidR="00322E42" w:rsidRPr="001B4CBD" w:rsidRDefault="00322E42" w:rsidP="00322E42">
      <w:pPr>
        <w:widowControl w:val="0"/>
        <w:autoSpaceDE w:val="0"/>
        <w:autoSpaceDN w:val="0"/>
        <w:adjustRightInd w:val="0"/>
        <w:spacing w:after="0" w:line="480" w:lineRule="auto"/>
        <w:ind w:firstLine="708"/>
        <w:rPr>
          <w:rFonts w:eastAsia="TimesNewRomanPSMT" w:cs="Times New Roman"/>
          <w:lang w:val="en-US"/>
        </w:rPr>
      </w:pPr>
      <w:r w:rsidRPr="001B4CBD">
        <w:rPr>
          <w:rFonts w:eastAsia="Times New Roman" w:cs="Times New Roman"/>
          <w:lang w:val="en-US"/>
        </w:rPr>
        <w:t>The aforementioned definition highlights that, with respect to the term accountability, the company must take into account all individuals involved in the company. Milton Friedman refers it as the stockholders, but we must also take into account other stakeholders, those who also participate in the success of the company.</w:t>
      </w:r>
      <w:r w:rsidRPr="001B4CBD">
        <w:rPr>
          <w:rFonts w:eastAsia="TimesNewRomanPSMT" w:cs="Times New Roman"/>
          <w:lang w:val="en-US"/>
        </w:rPr>
        <w:t xml:space="preserve">  </w:t>
      </w:r>
    </w:p>
    <w:p w:rsidR="00322E42" w:rsidRPr="001B4CBD" w:rsidRDefault="00322E42" w:rsidP="00322E42">
      <w:pPr>
        <w:widowControl w:val="0"/>
        <w:autoSpaceDE w:val="0"/>
        <w:autoSpaceDN w:val="0"/>
        <w:adjustRightInd w:val="0"/>
        <w:spacing w:after="0" w:line="480" w:lineRule="auto"/>
        <w:rPr>
          <w:rFonts w:eastAsia="TimesNewRomanPSMT" w:cs="Times New Roman"/>
          <w:lang w:val="en-US"/>
        </w:rPr>
      </w:pPr>
    </w:p>
    <w:p w:rsidR="00322E42" w:rsidRPr="001B4CBD" w:rsidRDefault="00322E42" w:rsidP="00322E42">
      <w:pPr>
        <w:widowControl w:val="0"/>
        <w:autoSpaceDE w:val="0"/>
        <w:autoSpaceDN w:val="0"/>
        <w:adjustRightInd w:val="0"/>
        <w:spacing w:after="0" w:line="480" w:lineRule="auto"/>
        <w:rPr>
          <w:rFonts w:eastAsia="TimesNewRomanPSMT" w:cs="Times New Roman"/>
          <w:lang w:val="en-US"/>
        </w:rPr>
      </w:pPr>
    </w:p>
    <w:p w:rsidR="00322E42" w:rsidRPr="001B4CBD" w:rsidRDefault="00322E42" w:rsidP="00322E42">
      <w:pPr>
        <w:pStyle w:val="Prrafodelista"/>
        <w:widowControl w:val="0"/>
        <w:numPr>
          <w:ilvl w:val="0"/>
          <w:numId w:val="31"/>
        </w:numPr>
        <w:autoSpaceDE w:val="0"/>
        <w:autoSpaceDN w:val="0"/>
        <w:adjustRightInd w:val="0"/>
        <w:spacing w:after="0" w:line="480" w:lineRule="auto"/>
        <w:ind w:left="0" w:firstLine="0"/>
        <w:rPr>
          <w:rFonts w:cs="Times New Roman"/>
          <w:b/>
          <w:lang w:val="en-US"/>
        </w:rPr>
      </w:pPr>
      <w:r w:rsidRPr="001B4CBD">
        <w:rPr>
          <w:rFonts w:cs="Times New Roman"/>
          <w:b/>
          <w:lang w:val="en-US"/>
        </w:rPr>
        <w:t xml:space="preserve">Final discussions </w:t>
      </w:r>
    </w:p>
    <w:p w:rsidR="00322E42" w:rsidRPr="001B4CBD" w:rsidRDefault="00322E42" w:rsidP="00322E42">
      <w:pPr>
        <w:spacing w:after="0" w:line="480" w:lineRule="auto"/>
        <w:ind w:firstLine="708"/>
        <w:rPr>
          <w:rFonts w:cs="Times New Roman"/>
          <w:color w:val="000000"/>
          <w:lang w:val="en-US"/>
        </w:rPr>
      </w:pPr>
      <w:r w:rsidRPr="001B4CBD">
        <w:rPr>
          <w:rFonts w:eastAsia="Times New Roman" w:cs="Times New Roman"/>
          <w:color w:val="000000"/>
          <w:lang w:val="en-US"/>
        </w:rPr>
        <w:t>After this concise review of the displacement of the term accountability to social responsibility when applied to institutions of higher education, we find that the arguments of Milton Friedman and Edward Freeman</w:t>
      </w:r>
      <w:r w:rsidRPr="001B4CBD">
        <w:rPr>
          <w:rFonts w:cs="Times New Roman"/>
          <w:color w:val="000000"/>
          <w:lang w:val="en-US"/>
        </w:rPr>
        <w:t xml:space="preserve"> </w:t>
      </w:r>
      <w:r w:rsidRPr="001B4CBD">
        <w:rPr>
          <w:rFonts w:eastAsia="Times New Roman" w:cs="Times New Roman"/>
          <w:color w:val="000000"/>
          <w:lang w:val="en-US"/>
        </w:rPr>
        <w:t>are complementary to each other when it comes to explain and expose the concept of social accountability. For the first author, social responsibility is a term associated with quality and efficiency. For the second, the idea is essentially associated with ethics. Instead of being different approaches on social accountability, the two arguments complement each other because they define a socially responsible company as an efficient being with ethical quality.</w:t>
      </w:r>
    </w:p>
    <w:p w:rsidR="00322E42" w:rsidRPr="001B4CBD" w:rsidRDefault="00322E42" w:rsidP="00322E42">
      <w:pPr>
        <w:widowControl w:val="0"/>
        <w:autoSpaceDE w:val="0"/>
        <w:autoSpaceDN w:val="0"/>
        <w:adjustRightInd w:val="0"/>
        <w:spacing w:after="0" w:line="480" w:lineRule="auto"/>
        <w:ind w:firstLine="708"/>
        <w:rPr>
          <w:rFonts w:eastAsia="TimesNewRomanPSMT" w:cs="Times New Roman"/>
          <w:lang w:val="en-US"/>
        </w:rPr>
      </w:pPr>
      <w:r w:rsidRPr="001B4CBD">
        <w:rPr>
          <w:rFonts w:eastAsia="TimesNewRomanPSMT" w:cs="Times New Roman"/>
          <w:lang w:val="en-US"/>
        </w:rPr>
        <w:t xml:space="preserve">However, what occurs in companies is not distant to what happens in universities. We should remember that these institutions have become, whether they wanted to or not, into a business organizations without being particularly based on businesslike type of structures. At this point, we observe inconsistency as mentioned at the beginning of this paper, which has generated a conflict of identity and accountability when it is analyzed within the institutions of higher </w:t>
      </w:r>
      <w:r w:rsidRPr="001B4CBD">
        <w:rPr>
          <w:rFonts w:eastAsia="TimesNewRomanPSMT" w:cs="Times New Roman"/>
          <w:lang w:val="en-US"/>
        </w:rPr>
        <w:lastRenderedPageBreak/>
        <w:t xml:space="preserve">education. </w:t>
      </w:r>
    </w:p>
    <w:p w:rsidR="00322E42" w:rsidRPr="001B4CBD" w:rsidRDefault="00322E42" w:rsidP="00322E42">
      <w:pPr>
        <w:widowControl w:val="0"/>
        <w:autoSpaceDE w:val="0"/>
        <w:autoSpaceDN w:val="0"/>
        <w:adjustRightInd w:val="0"/>
        <w:spacing w:after="0" w:line="480" w:lineRule="auto"/>
        <w:ind w:firstLine="708"/>
        <w:rPr>
          <w:rFonts w:cs="Times New Roman"/>
          <w:lang w:val="en-US"/>
        </w:rPr>
      </w:pPr>
      <w:r w:rsidRPr="001B4CBD">
        <w:rPr>
          <w:rFonts w:eastAsia="TimesNewRomanPSMT" w:cs="Times New Roman"/>
          <w:lang w:val="en-US"/>
        </w:rPr>
        <w:t>All of this can be noted when accepting a new social contract in higher studies, based on social responsibility (</w:t>
      </w:r>
      <w:r w:rsidRPr="001B4CBD">
        <w:rPr>
          <w:rFonts w:eastAsia="TimesNewRomanPSMT" w:cs="Times New Roman"/>
          <w:i/>
          <w:iCs/>
          <w:lang w:val="en-US"/>
        </w:rPr>
        <w:t>new</w:t>
      </w:r>
      <w:r w:rsidRPr="001B4CBD">
        <w:rPr>
          <w:rFonts w:eastAsia="TimesNewRomanPSMT" w:cs="Times New Roman"/>
          <w:lang w:val="en-US"/>
        </w:rPr>
        <w:t xml:space="preserve"> </w:t>
      </w:r>
      <w:r w:rsidRPr="001B4CBD">
        <w:rPr>
          <w:rFonts w:eastAsia="Times New Roman" w:cs="Times New Roman"/>
          <w:i/>
          <w:iCs/>
          <w:lang w:val="en-US"/>
        </w:rPr>
        <w:t>accountability</w:t>
      </w:r>
      <w:r w:rsidRPr="001B4CBD">
        <w:rPr>
          <w:rFonts w:eastAsia="Times New Roman" w:cs="Times New Roman"/>
          <w:lang w:val="en-US"/>
        </w:rPr>
        <w:t xml:space="preserve">). When there is a change towards sustainability from social responsibility in companies, there is also a change in universities in the same direction.  </w:t>
      </w:r>
      <w:r w:rsidRPr="001B4CBD">
        <w:rPr>
          <w:rFonts w:eastAsia="TimesNewRomanPSMT" w:cs="Times New Roman"/>
          <w:lang w:val="en-US"/>
        </w:rPr>
        <w:t xml:space="preserve">Therefore, university social responsibility is influenced by and adopts accountability from companies. Even though, some institutions still deny it. </w:t>
      </w:r>
    </w:p>
    <w:p w:rsidR="00322E42" w:rsidRPr="001B4CBD" w:rsidRDefault="00322E42" w:rsidP="00322E42">
      <w:pPr>
        <w:widowControl w:val="0"/>
        <w:autoSpaceDE w:val="0"/>
        <w:autoSpaceDN w:val="0"/>
        <w:adjustRightInd w:val="0"/>
        <w:spacing w:after="0" w:line="480" w:lineRule="auto"/>
        <w:ind w:firstLine="708"/>
        <w:rPr>
          <w:rFonts w:eastAsia="TimesNewRomanPSMT" w:cs="Times New Roman"/>
          <w:lang w:val="en-US"/>
        </w:rPr>
      </w:pPr>
      <w:r w:rsidRPr="001B4CBD">
        <w:rPr>
          <w:rFonts w:eastAsia="TimesNewRomanPSMT" w:cs="Times New Roman"/>
          <w:lang w:val="en-US"/>
        </w:rPr>
        <w:t>The term social responsibility as it is used in universities includes the ideas and principles of ethical quality; efficiency of performance; sustainability; attention to environmental impact; consideration of the stakeholders; the formation of social capital; and the standardization with a methodology based on indicators. Just like the concept of accountability, deforestation is now part of the dissemination of university social responsibility, complemented with an urged boom of papers on the topic.</w:t>
      </w:r>
    </w:p>
    <w:p w:rsidR="00322E42" w:rsidRPr="001B4CBD" w:rsidRDefault="00322E42" w:rsidP="00322E42">
      <w:pPr>
        <w:widowControl w:val="0"/>
        <w:autoSpaceDE w:val="0"/>
        <w:autoSpaceDN w:val="0"/>
        <w:adjustRightInd w:val="0"/>
        <w:spacing w:after="0" w:line="480" w:lineRule="auto"/>
        <w:ind w:firstLine="708"/>
        <w:rPr>
          <w:rFonts w:eastAsia="TimesNewRomanPSMT" w:cs="Times New Roman"/>
          <w:lang w:val="en-US"/>
        </w:rPr>
      </w:pPr>
      <w:r w:rsidRPr="001B4CBD">
        <w:rPr>
          <w:rFonts w:eastAsia="TimesNewRomanPSMT" w:cs="Times New Roman"/>
          <w:lang w:val="en-US"/>
        </w:rPr>
        <w:t xml:space="preserve">In this sense, we suggest that the proposals which have been most quoted and taken from </w:t>
      </w:r>
      <w:r w:rsidRPr="001B4CBD">
        <w:rPr>
          <w:rFonts w:eastAsia="TimesNewRomanPSMT" w:cs="Times New Roman"/>
          <w:i/>
          <w:iCs/>
          <w:lang w:val="en-US"/>
        </w:rPr>
        <w:t xml:space="preserve">François Vallaeys </w:t>
      </w:r>
      <w:r w:rsidRPr="001B4CBD">
        <w:rPr>
          <w:rFonts w:eastAsia="TimesNewRomanPSMT" w:cs="Times New Roman"/>
          <w:iCs/>
          <w:lang w:val="en-US"/>
        </w:rPr>
        <w:t>(2008)</w:t>
      </w:r>
      <w:r w:rsidRPr="001B4CBD">
        <w:rPr>
          <w:rFonts w:eastAsia="TimesNewRomanPSMT" w:cs="Times New Roman"/>
          <w:lang w:val="en-US"/>
        </w:rPr>
        <w:t xml:space="preserve"> and the </w:t>
      </w:r>
      <w:r w:rsidRPr="001B4CBD">
        <w:rPr>
          <w:rFonts w:eastAsia="TimesNewRomanPSMT" w:cs="Times New Roman"/>
          <w:i/>
          <w:lang w:val="en-US"/>
        </w:rPr>
        <w:t>Construye University</w:t>
      </w:r>
      <w:r w:rsidRPr="001B4CBD">
        <w:rPr>
          <w:rFonts w:eastAsia="TimesNewRomanPSMT" w:cs="Times New Roman"/>
          <w:lang w:val="en-US"/>
        </w:rPr>
        <w:t xml:space="preserve"> in País, Chile. Besides, the nuances and exceptions of their proposals, we find parallelism in time with the shift of accountability as taken directly from the corporations and its isomorphism into social responsibility as part of the institutions of higher education. In the first case, the changes coincide time-wise within capitalism. In the second case, the conception coincides with the new era of sustainability. For example, Vallaeys defines USR (University Social Responsibility) as:  </w:t>
      </w:r>
    </w:p>
    <w:p w:rsidR="00322E42" w:rsidRPr="001B4CBD" w:rsidRDefault="00322E42" w:rsidP="00322E42">
      <w:pPr>
        <w:widowControl w:val="0"/>
        <w:autoSpaceDE w:val="0"/>
        <w:autoSpaceDN w:val="0"/>
        <w:adjustRightInd w:val="0"/>
        <w:spacing w:after="0" w:line="480" w:lineRule="auto"/>
        <w:ind w:left="708"/>
        <w:rPr>
          <w:rFonts w:cs="Times New Roman"/>
          <w:lang w:val="en-US"/>
        </w:rPr>
      </w:pPr>
      <w:r w:rsidRPr="001B4CBD">
        <w:rPr>
          <w:rFonts w:eastAsia="Times New Roman" w:cs="Times New Roman"/>
          <w:lang w:val="en-US"/>
        </w:rPr>
        <w:t>A policy of continuous improvement in the university conducive to the effective compliance of its social mission through four processes: 1) Ethical and environmental management of the institution; 2) education of responsible and supportive citizens; 3) production and dissemination of socially pertinent knowledge and; 4) social participation and promotion in development which is more humane and sustainable. (p. 208)</w:t>
      </w:r>
    </w:p>
    <w:p w:rsidR="00322E42" w:rsidRPr="001B4CBD" w:rsidRDefault="00322E42" w:rsidP="00322E42">
      <w:pPr>
        <w:widowControl w:val="0"/>
        <w:autoSpaceDE w:val="0"/>
        <w:autoSpaceDN w:val="0"/>
        <w:adjustRightInd w:val="0"/>
        <w:spacing w:after="0" w:line="480" w:lineRule="auto"/>
        <w:ind w:firstLine="708"/>
        <w:rPr>
          <w:rFonts w:eastAsia="TimesNewRomanPSMT" w:cs="Times New Roman"/>
          <w:lang w:val="en-US"/>
        </w:rPr>
      </w:pPr>
    </w:p>
    <w:p w:rsidR="00322E42" w:rsidRPr="001B4CBD" w:rsidRDefault="00322E42" w:rsidP="00322E42">
      <w:pPr>
        <w:widowControl w:val="0"/>
        <w:autoSpaceDE w:val="0"/>
        <w:autoSpaceDN w:val="0"/>
        <w:adjustRightInd w:val="0"/>
        <w:spacing w:after="0" w:line="480" w:lineRule="auto"/>
        <w:ind w:firstLine="708"/>
        <w:rPr>
          <w:rFonts w:cs="Times New Roman"/>
          <w:lang w:val="en-US"/>
        </w:rPr>
      </w:pPr>
      <w:r w:rsidRPr="001B4CBD">
        <w:rPr>
          <w:rFonts w:eastAsia="TimesNewRomanPSMT" w:cs="Times New Roman"/>
          <w:lang w:val="en-US"/>
        </w:rPr>
        <w:t>Although we observe coincidences between companies and institutions of higher education, they have different objectives and directions, as well as risks and benefits. The company restructures itself when faced with a crisis and legitimizes itself while obtaining better comparative advantages in the market. The university accentuates its bipolarity and becomes more fractured in its accountability while going through the process of marketization.</w:t>
      </w:r>
    </w:p>
    <w:p w:rsidR="00322E42" w:rsidRPr="001B4CBD" w:rsidRDefault="00322E42" w:rsidP="00322E42">
      <w:pPr>
        <w:widowControl w:val="0"/>
        <w:autoSpaceDE w:val="0"/>
        <w:autoSpaceDN w:val="0"/>
        <w:adjustRightInd w:val="0"/>
        <w:spacing w:after="0" w:line="480" w:lineRule="auto"/>
        <w:ind w:firstLine="708"/>
        <w:rPr>
          <w:rFonts w:cs="Times New Roman"/>
          <w:lang w:val="en-US"/>
        </w:rPr>
      </w:pPr>
      <w:r w:rsidRPr="001B4CBD">
        <w:rPr>
          <w:rFonts w:eastAsia="TimesNewRomanPSMT" w:cs="Times New Roman"/>
          <w:lang w:val="en-US"/>
        </w:rPr>
        <w:t xml:space="preserve">Both company and institutional social responsibilities, walking hand in hand, will go on to the second wave of the management system based principally on </w:t>
      </w:r>
      <w:r w:rsidRPr="001B4CBD">
        <w:rPr>
          <w:rFonts w:eastAsia="TimesNewRomanPSMT" w:cs="Times New Roman"/>
          <w:i/>
          <w:lang w:val="en-US"/>
        </w:rPr>
        <w:t>product-supply</w:t>
      </w:r>
      <w:r w:rsidRPr="001B4CBD">
        <w:rPr>
          <w:rFonts w:eastAsia="TimesNewRomanPSMT" w:cs="Times New Roman"/>
          <w:lang w:val="en-US"/>
        </w:rPr>
        <w:t xml:space="preserve"> and </w:t>
      </w:r>
      <w:r w:rsidRPr="001B4CBD">
        <w:rPr>
          <w:rFonts w:eastAsia="TimesNewRomanPSMT" w:cs="Times New Roman"/>
          <w:i/>
          <w:lang w:val="en-US"/>
        </w:rPr>
        <w:t>accountability</w:t>
      </w:r>
      <w:r w:rsidRPr="001B4CBD">
        <w:rPr>
          <w:rFonts w:eastAsia="TimesNewRomanPSMT" w:cs="Times New Roman"/>
          <w:lang w:val="en-US"/>
        </w:rPr>
        <w:t xml:space="preserve"> indicators. The first wave dealt with ISO 9000 Quality Management Systems and ISO 14000 Environmental Management systems. The second wave is now introduced by the ISO 26000. The first wave of university social responsibility dates back with the ISO 9001 whose main aim was to certify all the administrative processes, academics and research. On the other hand, ISO 14001 aimed to certify environmental improvement; whereas the second wave, ISO 26000, is mainly oriented to certify the management of social responsibility. Up to now, the certification has been based upon external and internal appraisals and audits which stress on the efficiency of service processes. With the development of university social responsibility, under the shelter of marketization, we need to open new debates about accountability, dryly, from the university, as we try to address in the following paragraphs.</w:t>
      </w:r>
    </w:p>
    <w:p w:rsidR="00322E42" w:rsidRPr="001B4CBD" w:rsidRDefault="00322E42" w:rsidP="00322E42">
      <w:pPr>
        <w:widowControl w:val="0"/>
        <w:autoSpaceDE w:val="0"/>
        <w:autoSpaceDN w:val="0"/>
        <w:adjustRightInd w:val="0"/>
        <w:spacing w:after="0" w:line="480" w:lineRule="auto"/>
        <w:ind w:firstLine="708"/>
        <w:rPr>
          <w:rFonts w:cs="Times New Roman"/>
          <w:lang w:val="en-US"/>
        </w:rPr>
      </w:pPr>
      <w:r w:rsidRPr="001B4CBD">
        <w:rPr>
          <w:rFonts w:eastAsia="TimesNewRomanPSMT" w:cs="Times New Roman"/>
          <w:lang w:val="en-US"/>
        </w:rPr>
        <w:t xml:space="preserve">Our position is that reflection about university accountability should not come from management towards essence, as it is taken when used the term social responsibility when applied to the institutions of higher education. We cannot forget that the university is not a commercial entity. The university is a social institution devoted, in general, to the cultivation of knowledge, art, and the empowerment of individuals through education in a free and responsible manner. It attends to the requests of scientific, humanistic, technological, artistic and professional </w:t>
      </w:r>
      <w:r w:rsidRPr="001B4CBD">
        <w:rPr>
          <w:rFonts w:eastAsia="TimesNewRomanPSMT" w:cs="Times New Roman"/>
          <w:lang w:val="en-US"/>
        </w:rPr>
        <w:lastRenderedPageBreak/>
        <w:t xml:space="preserve">development universes. </w:t>
      </w:r>
    </w:p>
    <w:p w:rsidR="00322E42" w:rsidRPr="001B4CBD" w:rsidRDefault="00322E42" w:rsidP="00322E42">
      <w:pPr>
        <w:widowControl w:val="0"/>
        <w:autoSpaceDE w:val="0"/>
        <w:autoSpaceDN w:val="0"/>
        <w:adjustRightInd w:val="0"/>
        <w:spacing w:after="0" w:line="480" w:lineRule="auto"/>
        <w:ind w:firstLine="708"/>
        <w:rPr>
          <w:rFonts w:cs="Times New Roman"/>
          <w:lang w:val="en-US"/>
        </w:rPr>
      </w:pPr>
      <w:r w:rsidRPr="001B4CBD">
        <w:rPr>
          <w:rFonts w:eastAsia="TimesNewRomanPSMT" w:cs="Times New Roman"/>
          <w:lang w:val="en-US"/>
        </w:rPr>
        <w:t xml:space="preserve">University social responsibility is a social network that articulates different objectives such as education, scientific contributions, technological developments, artistic expressions, and culture. With this in mind, the university is a multiversity or as Burton Clark (2000, 2004a, 2004b) defines it: a confederation which is organized by Divisions, Departments, Faculties, Schools, Institutes, Laboratories, Centers, Coordinators, etc. Each space has an objective within its disciplinary, multidisciplinary, and interdisciplinary domain. Each university community contributes to the knowledge base as well as to the speculative and scientific knowledge. </w:t>
      </w:r>
    </w:p>
    <w:p w:rsidR="00322E42" w:rsidRPr="001B4CBD" w:rsidRDefault="00322E42" w:rsidP="00322E42">
      <w:pPr>
        <w:widowControl w:val="0"/>
        <w:autoSpaceDE w:val="0"/>
        <w:autoSpaceDN w:val="0"/>
        <w:adjustRightInd w:val="0"/>
        <w:spacing w:after="0" w:line="480" w:lineRule="auto"/>
        <w:ind w:firstLine="708"/>
        <w:rPr>
          <w:rFonts w:eastAsia="TimesNewRomanPSMT" w:cs="Times New Roman"/>
          <w:lang w:val="en-US"/>
        </w:rPr>
      </w:pPr>
      <w:r w:rsidRPr="001B4CBD">
        <w:rPr>
          <w:rFonts w:eastAsia="TimesNewRomanPSMT" w:cs="Times New Roman"/>
          <w:lang w:val="en-US"/>
        </w:rPr>
        <w:t>The responsibility of the university has two directions: One from outside-in, and other from inside-out. In the first case, the university has curricular objectives, with scientific programs, technological device programs and programs of art and culture. In the second case, the university has objectives having to do with society and the care of the planet.</w:t>
      </w:r>
      <w:r w:rsidRPr="001B4CBD">
        <w:rPr>
          <w:rFonts w:cs="Times New Roman"/>
          <w:lang w:val="en-US"/>
        </w:rPr>
        <w:t xml:space="preserve"> </w:t>
      </w:r>
      <w:r w:rsidRPr="001B4CBD">
        <w:rPr>
          <w:rFonts w:eastAsia="TimesNewRomanPSMT" w:cs="Times New Roman"/>
          <w:lang w:val="en-US"/>
        </w:rPr>
        <w:t xml:space="preserve">University social responsibility moves in both directions simultaneously. Moreover, it generates and regenerates new interpretations and meta-interpretations. This is the constituent element of the </w:t>
      </w:r>
      <w:r w:rsidRPr="001B4CBD">
        <w:rPr>
          <w:rFonts w:eastAsia="TimesNewRomanPSMT" w:cs="Times New Roman"/>
          <w:i/>
          <w:lang w:val="en-US"/>
        </w:rPr>
        <w:t>Being</w:t>
      </w:r>
      <w:r w:rsidRPr="001B4CBD">
        <w:rPr>
          <w:rFonts w:eastAsia="TimesNewRomanPSMT" w:cs="Times New Roman"/>
          <w:lang w:val="en-US"/>
        </w:rPr>
        <w:t xml:space="preserve"> and </w:t>
      </w:r>
      <w:r w:rsidRPr="001B4CBD">
        <w:rPr>
          <w:rFonts w:eastAsia="TimesNewRomanPSMT" w:cs="Times New Roman"/>
          <w:i/>
          <w:lang w:val="en-US"/>
        </w:rPr>
        <w:t>Acting</w:t>
      </w:r>
      <w:r w:rsidRPr="001B4CBD">
        <w:rPr>
          <w:rFonts w:eastAsia="TimesNewRomanPSMT" w:cs="Times New Roman"/>
          <w:lang w:val="en-US"/>
        </w:rPr>
        <w:t xml:space="preserve"> unit of the university. </w:t>
      </w:r>
    </w:p>
    <w:p w:rsidR="00322E42" w:rsidRPr="001B4CBD" w:rsidRDefault="00322E42" w:rsidP="00322E42">
      <w:pPr>
        <w:widowControl w:val="0"/>
        <w:autoSpaceDE w:val="0"/>
        <w:autoSpaceDN w:val="0"/>
        <w:adjustRightInd w:val="0"/>
        <w:spacing w:after="0" w:line="480" w:lineRule="auto"/>
        <w:ind w:firstLine="708"/>
        <w:rPr>
          <w:rFonts w:cs="Times New Roman"/>
          <w:lang w:val="en-US"/>
        </w:rPr>
      </w:pPr>
      <w:r w:rsidRPr="001B4CBD">
        <w:rPr>
          <w:rFonts w:eastAsia="TimesNewRomanPSMT" w:cs="Times New Roman"/>
          <w:lang w:val="en-US"/>
        </w:rPr>
        <w:t xml:space="preserve">In this sense, university social responsibility includes ontology (the evolution of the university) and ontic values (Ortega &amp; Gasset, 2001). University social responsibility cannot be reduced to a model of management based on performance indicators, because the term accountability does not include the human condition. </w:t>
      </w:r>
    </w:p>
    <w:p w:rsidR="00322E42" w:rsidRPr="001B4CBD" w:rsidRDefault="00322E42" w:rsidP="00322E42">
      <w:pPr>
        <w:widowControl w:val="0"/>
        <w:autoSpaceDE w:val="0"/>
        <w:autoSpaceDN w:val="0"/>
        <w:adjustRightInd w:val="0"/>
        <w:spacing w:after="0" w:line="480" w:lineRule="auto"/>
        <w:rPr>
          <w:rFonts w:cs="Times New Roman"/>
          <w:lang w:val="en-US"/>
        </w:rPr>
      </w:pPr>
      <w:r w:rsidRPr="001B4CBD">
        <w:rPr>
          <w:rFonts w:eastAsia="TimesNewRomanPSMT" w:cs="Times New Roman"/>
          <w:lang w:val="en-US"/>
        </w:rPr>
        <w:t xml:space="preserve">The social responsibility of the university implies a new social contract of the institutions of higher education. In the end, who signs the </w:t>
      </w:r>
      <w:r w:rsidRPr="001B4CBD">
        <w:rPr>
          <w:rFonts w:eastAsia="TimesNewRomanPSMT" w:cs="Times New Roman"/>
          <w:i/>
          <w:iCs/>
          <w:lang w:val="en-US"/>
        </w:rPr>
        <w:t>new contract</w:t>
      </w:r>
      <w:r w:rsidRPr="001B4CBD">
        <w:rPr>
          <w:rFonts w:eastAsia="TimesNewRomanPSMT" w:cs="Times New Roman"/>
          <w:lang w:val="en-US"/>
        </w:rPr>
        <w:t>? This reflection implies asking a series of questions about the immense problems facing the planet.</w:t>
      </w:r>
    </w:p>
    <w:p w:rsidR="00322E42" w:rsidRPr="001B4CBD" w:rsidRDefault="00322E42" w:rsidP="00322E42">
      <w:pPr>
        <w:widowControl w:val="0"/>
        <w:autoSpaceDE w:val="0"/>
        <w:autoSpaceDN w:val="0"/>
        <w:adjustRightInd w:val="0"/>
        <w:spacing w:after="0" w:line="480" w:lineRule="auto"/>
        <w:ind w:firstLine="708"/>
        <w:rPr>
          <w:rFonts w:cs="Times New Roman"/>
          <w:lang w:val="en-US"/>
        </w:rPr>
      </w:pPr>
      <w:r w:rsidRPr="001B4CBD">
        <w:rPr>
          <w:rFonts w:eastAsia="TimesNewRomanPSMT" w:cs="Times New Roman"/>
          <w:lang w:val="en-US"/>
        </w:rPr>
        <w:t xml:space="preserve">First, our spirituality has limits. We are predators and hostile to life on this planet. We act like owners of our environment and behave under the foundations of private property. We forget </w:t>
      </w:r>
      <w:r w:rsidRPr="001B4CBD">
        <w:rPr>
          <w:rFonts w:eastAsia="TimesNewRomanPSMT" w:cs="Times New Roman"/>
          <w:lang w:val="en-US"/>
        </w:rPr>
        <w:lastRenderedPageBreak/>
        <w:t>that in the tree of life we are just another species that inhabits the cosmos. We must come together in the task of the cultural conversion of humanity based on the factual principle that we are only part of the Earth.</w:t>
      </w:r>
      <w:r w:rsidRPr="001B4CBD">
        <w:rPr>
          <w:rStyle w:val="Refdenotaalpie"/>
          <w:rFonts w:cs="Times New Roman"/>
        </w:rPr>
        <w:footnoteReference w:id="1"/>
      </w:r>
      <w:r w:rsidRPr="001B4CBD">
        <w:rPr>
          <w:rFonts w:eastAsia="TimesNewRomanPSMT" w:cs="Times New Roman"/>
          <w:lang w:val="en-US"/>
        </w:rPr>
        <w:t xml:space="preserve"> </w:t>
      </w:r>
    </w:p>
    <w:p w:rsidR="00322E42" w:rsidRPr="001B4CBD" w:rsidRDefault="00322E42" w:rsidP="00322E42">
      <w:pPr>
        <w:widowControl w:val="0"/>
        <w:autoSpaceDE w:val="0"/>
        <w:autoSpaceDN w:val="0"/>
        <w:adjustRightInd w:val="0"/>
        <w:spacing w:after="0" w:line="480" w:lineRule="auto"/>
        <w:ind w:firstLine="708"/>
        <w:rPr>
          <w:rFonts w:cs="Times New Roman"/>
          <w:lang w:val="en-US"/>
        </w:rPr>
      </w:pPr>
      <w:r w:rsidRPr="001B4CBD">
        <w:rPr>
          <w:rFonts w:eastAsia="TimesNewRomanPSMT" w:cs="Times New Roman"/>
          <w:lang w:val="en-US"/>
        </w:rPr>
        <w:t xml:space="preserve">Our knowledge of biodiversity has limits. We are a </w:t>
      </w:r>
      <w:r w:rsidRPr="001B4CBD">
        <w:rPr>
          <w:rFonts w:eastAsia="TimesNewRomanPSMT" w:cs="Times New Roman"/>
          <w:i/>
          <w:lang w:val="en-US"/>
        </w:rPr>
        <w:t>bio-illiterate</w:t>
      </w:r>
      <w:r w:rsidRPr="001B4CBD">
        <w:rPr>
          <w:rFonts w:eastAsia="TimesNewRomanPSMT" w:cs="Times New Roman"/>
          <w:lang w:val="en-US"/>
        </w:rPr>
        <w:t xml:space="preserve"> society. In the Catalogue of Life (2010) published by the </w:t>
      </w:r>
      <w:r w:rsidRPr="001B4CBD">
        <w:rPr>
          <w:rFonts w:eastAsia="Times New Roman" w:cs="Times New Roman"/>
          <w:i/>
          <w:iCs/>
          <w:lang w:val="en-US"/>
        </w:rPr>
        <w:t>UN Convention on Biological Diversity</w:t>
      </w:r>
      <w:r w:rsidRPr="001B4CBD">
        <w:rPr>
          <w:rFonts w:eastAsia="Times New Roman" w:cs="Times New Roman"/>
          <w:lang w:val="en-US"/>
        </w:rPr>
        <w:t xml:space="preserve">, dedicated to the </w:t>
      </w:r>
      <w:r w:rsidRPr="001B4CBD">
        <w:rPr>
          <w:rFonts w:eastAsia="TimesNewRomanPSMT" w:cs="Times New Roman"/>
          <w:i/>
          <w:iCs/>
          <w:lang w:val="en-US"/>
        </w:rPr>
        <w:t>International Year of Biodiversity</w:t>
      </w:r>
      <w:r w:rsidRPr="001B4CBD">
        <w:rPr>
          <w:rFonts w:eastAsia="TimesNewRomanPSMT" w:cs="Times New Roman"/>
          <w:lang w:val="en-US"/>
        </w:rPr>
        <w:t xml:space="preserve">, it is reported the existence of 1.25 million species which represent 10% of the 10 million believed to exist on the planet. These figures reveal that 90% of living species on this planet is not documented. </w:t>
      </w:r>
    </w:p>
    <w:p w:rsidR="00322E42" w:rsidRPr="001B4CBD" w:rsidRDefault="00322E42" w:rsidP="00322E42">
      <w:pPr>
        <w:widowControl w:val="0"/>
        <w:autoSpaceDE w:val="0"/>
        <w:autoSpaceDN w:val="0"/>
        <w:adjustRightInd w:val="0"/>
        <w:spacing w:after="0" w:line="480" w:lineRule="auto"/>
        <w:ind w:firstLine="708"/>
        <w:rPr>
          <w:rFonts w:cs="Times New Roman"/>
          <w:lang w:val="en-US"/>
        </w:rPr>
      </w:pPr>
      <w:r w:rsidRPr="001B4CBD">
        <w:rPr>
          <w:rFonts w:eastAsia="TimesNewRomanPSMT" w:cs="Times New Roman"/>
          <w:lang w:val="en-US"/>
        </w:rPr>
        <w:t xml:space="preserve">Our human judgment has limits, too. We are losing our sensibility to pain. We are indifferent to death. Violence is commonplace and has many manifestations occurring in smaller and smaller spaces. We are losing our ability to be amazed at injustice and irresponsibility which threaten the peace of all species. Wars persist and intensify to the level of a latent nuclear war. There are miles of nuclear warhead capable of reaching their targets within minutes and, in some cases, within seconds. At this moment there are approximately 40 warlike conflicts worldwide. Spiritual, emotional and material poverty is on-the-rise. There are approximately one billion poor in the world. Emotionally –which is much more difficult to calculate– we estimate that each nuclear family is becoming poorer.  Universal health care is still a dream. Annually, 11 million children die from curable diseases. As our senselessness increases each second, so does this </w:t>
      </w:r>
      <w:r w:rsidRPr="001B4CBD">
        <w:rPr>
          <w:rFonts w:eastAsia="TimesNewRomanPSMT" w:cs="Times New Roman"/>
          <w:i/>
          <w:lang w:val="en-US"/>
        </w:rPr>
        <w:t>Must do</w:t>
      </w:r>
      <w:r w:rsidRPr="001B4CBD">
        <w:rPr>
          <w:rFonts w:eastAsia="TimesNewRomanPSMT" w:cs="Times New Roman"/>
          <w:lang w:val="en-US"/>
        </w:rPr>
        <w:t xml:space="preserve"> list.  </w:t>
      </w:r>
    </w:p>
    <w:p w:rsidR="00322E42" w:rsidRPr="001B4CBD" w:rsidRDefault="00322E42" w:rsidP="00322E42">
      <w:pPr>
        <w:widowControl w:val="0"/>
        <w:autoSpaceDE w:val="0"/>
        <w:autoSpaceDN w:val="0"/>
        <w:adjustRightInd w:val="0"/>
        <w:spacing w:after="0" w:line="480" w:lineRule="auto"/>
        <w:rPr>
          <w:rFonts w:cs="Times New Roman"/>
          <w:lang w:val="en-US"/>
        </w:rPr>
      </w:pPr>
      <w:r w:rsidRPr="001B4CBD">
        <w:rPr>
          <w:rFonts w:eastAsia="TimesNewRomanPSMT" w:cs="Times New Roman"/>
          <w:lang w:val="en-US"/>
        </w:rPr>
        <w:t xml:space="preserve">Additionally, our soul has limits which can be referred to as </w:t>
      </w:r>
      <w:r w:rsidRPr="001B4CBD">
        <w:rPr>
          <w:rFonts w:eastAsia="TimesNewRomanPSMT" w:cs="Times New Roman"/>
          <w:i/>
          <w:lang w:val="en-US"/>
        </w:rPr>
        <w:t>the anemic life</w:t>
      </w:r>
      <w:r w:rsidRPr="001B4CBD">
        <w:rPr>
          <w:rFonts w:eastAsia="TimesNewRomanPSMT" w:cs="Times New Roman"/>
          <w:lang w:val="en-US"/>
        </w:rPr>
        <w:t xml:space="preserve">. Selfishness, greed, lies, the disregard for life, etc., appears to be non-stoppable. Emotions are erratic and confused around the world.  </w:t>
      </w:r>
    </w:p>
    <w:p w:rsidR="00322E42" w:rsidRPr="001B4CBD" w:rsidRDefault="00322E42" w:rsidP="00322E42">
      <w:pPr>
        <w:widowControl w:val="0"/>
        <w:autoSpaceDE w:val="0"/>
        <w:autoSpaceDN w:val="0"/>
        <w:adjustRightInd w:val="0"/>
        <w:spacing w:after="0" w:line="480" w:lineRule="auto"/>
        <w:rPr>
          <w:rFonts w:cs="Times New Roman"/>
          <w:lang w:val="en-US"/>
        </w:rPr>
      </w:pPr>
      <w:r w:rsidRPr="001B4CBD">
        <w:rPr>
          <w:rFonts w:eastAsia="TimesNewRomanPSMT" w:cs="Times New Roman"/>
          <w:lang w:val="en-US"/>
        </w:rPr>
        <w:t xml:space="preserve">We have to think about the limits we are confronted with. Universities, the quintessential home of </w:t>
      </w:r>
      <w:r w:rsidRPr="001B4CBD">
        <w:rPr>
          <w:rFonts w:eastAsia="TimesNewRomanPSMT" w:cs="Times New Roman"/>
          <w:lang w:val="en-US"/>
        </w:rPr>
        <w:lastRenderedPageBreak/>
        <w:t xml:space="preserve">culture and free-thinking, need to reconstruct their responsibility to respond to the feelings and actions of life, taking a step back and escaping from a gradual process of marketization. </w:t>
      </w:r>
      <w:r w:rsidRPr="001B4CBD">
        <w:rPr>
          <w:rFonts w:eastAsia="Times New Roman" w:cs="Times New Roman"/>
          <w:lang w:val="en-US"/>
        </w:rPr>
        <w:t>University social responsibility is located within the social demands of reality, but at the same time, it is separated from the reality of humankind. On one side, it is the medium with which we can improve the environment, and on the other side, it is the end of humanity along with other species. As stated by Boff (2010), a change in the paradigm is urgent:</w:t>
      </w:r>
    </w:p>
    <w:p w:rsidR="00322E42" w:rsidRPr="001B4CBD" w:rsidRDefault="00322E42" w:rsidP="00322E42">
      <w:pPr>
        <w:pStyle w:val="NormalWeb"/>
        <w:spacing w:line="480" w:lineRule="auto"/>
        <w:ind w:left="708"/>
        <w:rPr>
          <w:lang w:val="en-US"/>
        </w:rPr>
      </w:pPr>
      <w:r w:rsidRPr="001B4CBD">
        <w:rPr>
          <w:rFonts w:eastAsia="Times"/>
          <w:lang w:val="en-US"/>
        </w:rPr>
        <w:t xml:space="preserve">Without spirituality, without a radical experience of </w:t>
      </w:r>
      <w:r w:rsidRPr="001B4CBD">
        <w:rPr>
          <w:rFonts w:eastAsia="Times"/>
          <w:i/>
          <w:lang w:val="en-US"/>
        </w:rPr>
        <w:t>Being</w:t>
      </w:r>
      <w:r w:rsidRPr="001B4CBD">
        <w:rPr>
          <w:rFonts w:eastAsia="Times"/>
          <w:lang w:val="en-US"/>
        </w:rPr>
        <w:t xml:space="preserve"> and without an immersion into the original</w:t>
      </w:r>
      <w:r w:rsidRPr="001B4CBD">
        <w:rPr>
          <w:rFonts w:eastAsia="Times"/>
          <w:i/>
          <w:lang w:val="en-US"/>
        </w:rPr>
        <w:t xml:space="preserve"> Source</w:t>
      </w:r>
      <w:r w:rsidRPr="001B4CBD">
        <w:rPr>
          <w:rFonts w:eastAsia="Times"/>
          <w:lang w:val="en-US"/>
        </w:rPr>
        <w:t xml:space="preserve"> of all human beings, where a new horizon of hope, certainly we will not achieve a joyful journey. We struggle because the old is still around and the new cannot emerge yet. We live in urgent times. These urgencies make us think and the dangers make us create Noah’s arks in order to save ourselves. We have not confronted the Earth’s current situation. But we still believe that building a world where we can co-exist well is still within our reach. (p. 1) </w:t>
      </w:r>
    </w:p>
    <w:p w:rsidR="00322E42" w:rsidRPr="001B4CBD" w:rsidRDefault="00322E42" w:rsidP="00322E42">
      <w:pPr>
        <w:widowControl w:val="0"/>
        <w:autoSpaceDE w:val="0"/>
        <w:autoSpaceDN w:val="0"/>
        <w:adjustRightInd w:val="0"/>
        <w:spacing w:after="0" w:line="480" w:lineRule="auto"/>
        <w:rPr>
          <w:rFonts w:eastAsia="TimesNewRomanPSMT" w:cs="Times New Roman"/>
          <w:i/>
          <w:iCs/>
          <w:lang w:val="en-US"/>
        </w:rPr>
      </w:pPr>
      <w:r w:rsidRPr="001B4CBD">
        <w:rPr>
          <w:rFonts w:eastAsia="Times New Roman" w:cs="Times New Roman"/>
          <w:lang w:val="en-US"/>
        </w:rPr>
        <w:t xml:space="preserve">This is where university social responsibility should rely on, the radical experience of </w:t>
      </w:r>
      <w:r w:rsidRPr="001B4CBD">
        <w:rPr>
          <w:rFonts w:eastAsia="Times New Roman" w:cs="Times New Roman"/>
          <w:i/>
          <w:lang w:val="en-US"/>
        </w:rPr>
        <w:t xml:space="preserve">Being </w:t>
      </w:r>
      <w:r w:rsidRPr="001B4CBD">
        <w:rPr>
          <w:rFonts w:eastAsia="Times New Roman" w:cs="Times New Roman"/>
          <w:lang w:val="en-US"/>
        </w:rPr>
        <w:t xml:space="preserve">and </w:t>
      </w:r>
      <w:r w:rsidRPr="001B4CBD">
        <w:rPr>
          <w:rFonts w:eastAsia="Times New Roman" w:cs="Times New Roman"/>
          <w:i/>
          <w:lang w:val="en-US"/>
        </w:rPr>
        <w:t>Acting</w:t>
      </w:r>
      <w:r w:rsidRPr="001B4CBD">
        <w:rPr>
          <w:rFonts w:eastAsia="Times New Roman" w:cs="Times New Roman"/>
          <w:lang w:val="en-US"/>
        </w:rPr>
        <w:t>. Institutions of higher education, especially public ones, have an advantage being diverse, where each universe can complete its work, nourishing itself with critical and fundamental experiences. The real social responsibility of the universe is with life, cultivating a variety of knowledge and duties.</w:t>
      </w:r>
      <w:r w:rsidRPr="001B4CBD">
        <w:rPr>
          <w:rFonts w:eastAsia="TimesNewRomanPSMT" w:cs="Times New Roman"/>
          <w:lang w:val="en-US"/>
        </w:rPr>
        <w:t xml:space="preserve"> We know that this symbolizes more utopia than reality, but a diurnal utopia is preferable upon the actual darkness which represents the failure of different systems of higher education in Mexico and Latin America.</w:t>
      </w:r>
    </w:p>
    <w:p w:rsidR="00322E42" w:rsidRPr="001B4CBD" w:rsidRDefault="00322E42" w:rsidP="00322E42">
      <w:pPr>
        <w:widowControl w:val="0"/>
        <w:autoSpaceDE w:val="0"/>
        <w:autoSpaceDN w:val="0"/>
        <w:adjustRightInd w:val="0"/>
        <w:spacing w:after="0" w:line="480" w:lineRule="auto"/>
        <w:rPr>
          <w:rFonts w:cs="Times New Roman"/>
          <w:lang w:val="en-US"/>
        </w:rPr>
      </w:pPr>
      <w:r w:rsidRPr="001B4CBD">
        <w:rPr>
          <w:rFonts w:eastAsia="TimesNewRomanPSMT" w:cs="Times New Roman"/>
          <w:lang w:val="en-US"/>
        </w:rPr>
        <w:t xml:space="preserve">As a final conclusion, the actual university management system is mainly based upon the model of accountability directly taken from the business discourse. The management model should be </w:t>
      </w:r>
      <w:r w:rsidRPr="001B4CBD">
        <w:rPr>
          <w:rFonts w:eastAsia="TimesNewRomanPSMT" w:cs="Times New Roman"/>
          <w:i/>
          <w:lang w:val="en-US"/>
        </w:rPr>
        <w:t>re</w:t>
      </w:r>
      <w:r w:rsidRPr="001B4CBD">
        <w:rPr>
          <w:rFonts w:eastAsia="TimesNewRomanPSMT" w:cs="Times New Roman"/>
          <w:lang w:val="en-US"/>
        </w:rPr>
        <w:t>-</w:t>
      </w:r>
      <w:r w:rsidRPr="001B4CBD">
        <w:rPr>
          <w:rFonts w:eastAsia="TimesNewRomanPSMT" w:cs="Times New Roman"/>
          <w:lang w:val="en-US"/>
        </w:rPr>
        <w:lastRenderedPageBreak/>
        <w:t xml:space="preserve">constructed in the opposite manner, looking at what </w:t>
      </w:r>
      <w:r w:rsidRPr="001B4CBD">
        <w:rPr>
          <w:rFonts w:eastAsia="TimesNewRomanPSMT" w:cs="Times New Roman"/>
          <w:i/>
          <w:lang w:val="en-US"/>
        </w:rPr>
        <w:t>the being</w:t>
      </w:r>
      <w:r w:rsidRPr="001B4CBD">
        <w:rPr>
          <w:rFonts w:eastAsia="TimesNewRomanPSMT" w:cs="Times New Roman"/>
          <w:lang w:val="en-US"/>
        </w:rPr>
        <w:t xml:space="preserve"> of the university and, later, determining the way it should be administratively driven. In the quest to create an efficient university with ethical qualities based upon company models, resources are regulated without reinforcing their capacity, and applying an incorrect principal of social responsibility.</w:t>
      </w:r>
    </w:p>
    <w:p w:rsidR="00322E42" w:rsidRPr="001B4CBD" w:rsidRDefault="00322E42" w:rsidP="00322E42">
      <w:pPr>
        <w:spacing w:after="0" w:line="480" w:lineRule="auto"/>
        <w:outlineLvl w:val="0"/>
        <w:rPr>
          <w:rFonts w:cs="Times New Roman"/>
          <w:b/>
        </w:rPr>
      </w:pPr>
      <w:r w:rsidRPr="001B4CBD">
        <w:rPr>
          <w:rFonts w:cs="Times New Roman"/>
          <w:b/>
        </w:rPr>
        <w:t>References</w:t>
      </w:r>
    </w:p>
    <w:p w:rsidR="00322E42" w:rsidRPr="001B4CBD" w:rsidRDefault="00322E42" w:rsidP="00322E42">
      <w:pPr>
        <w:spacing w:after="0" w:line="480" w:lineRule="auto"/>
        <w:rPr>
          <w:rFonts w:cs="Times New Roman"/>
        </w:rPr>
      </w:pPr>
      <w:r w:rsidRPr="001B4CBD">
        <w:rPr>
          <w:rFonts w:cs="Times New Roman"/>
        </w:rPr>
        <w:t xml:space="preserve">Basave, F. V. (1983). </w:t>
      </w:r>
      <w:r w:rsidRPr="001B4CBD">
        <w:rPr>
          <w:rFonts w:cs="Times New Roman"/>
          <w:i/>
        </w:rPr>
        <w:t xml:space="preserve">Ser y Que Hacer de la Universidad: Estructura y misión de la </w:t>
      </w:r>
      <w:r w:rsidRPr="001B4CBD">
        <w:rPr>
          <w:rFonts w:cs="Times New Roman"/>
          <w:i/>
        </w:rPr>
        <w:tab/>
        <w:t>universidad vocacional</w:t>
      </w:r>
      <w:r w:rsidRPr="001B4CBD">
        <w:rPr>
          <w:rFonts w:cs="Times New Roman"/>
        </w:rPr>
        <w:t>. Mexico: Promesa.</w:t>
      </w:r>
    </w:p>
    <w:p w:rsidR="00322E42" w:rsidRPr="001B4CBD" w:rsidRDefault="00322E42" w:rsidP="00322E42">
      <w:pPr>
        <w:spacing w:after="0" w:line="480" w:lineRule="auto"/>
        <w:rPr>
          <w:rFonts w:cs="Times New Roman"/>
        </w:rPr>
      </w:pPr>
      <w:r w:rsidRPr="001B4CBD">
        <w:rPr>
          <w:rFonts w:cs="Times New Roman"/>
        </w:rPr>
        <w:t xml:space="preserve">Becher, T. (2001). Tribus y territorios académicos. La indignación intelectual y las </w:t>
      </w:r>
      <w:r w:rsidRPr="001B4CBD">
        <w:rPr>
          <w:rFonts w:cs="Times New Roman"/>
        </w:rPr>
        <w:tab/>
        <w:t>culturas de las disciplinas. Barcelona, España: Gedisa.</w:t>
      </w:r>
    </w:p>
    <w:p w:rsidR="00322E42" w:rsidRPr="001B4CBD" w:rsidRDefault="00322E42" w:rsidP="00322E42">
      <w:pPr>
        <w:spacing w:after="0" w:line="480" w:lineRule="auto"/>
        <w:rPr>
          <w:rFonts w:cs="Times New Roman"/>
          <w:lang w:val="en-US"/>
        </w:rPr>
      </w:pPr>
      <w:r w:rsidRPr="001B4CBD">
        <w:rPr>
          <w:rFonts w:cs="Times New Roman"/>
        </w:rPr>
        <w:t xml:space="preserve">Boff, L. (2010). Lo viejo agoniza y a lo nuevo le cuesta nacer. </w:t>
      </w:r>
      <w:r w:rsidRPr="001B4CBD">
        <w:rPr>
          <w:rFonts w:cs="Times New Roman"/>
          <w:lang w:val="en-US"/>
        </w:rPr>
        <w:t xml:space="preserve">In </w:t>
      </w:r>
      <w:r w:rsidRPr="001B4CBD">
        <w:rPr>
          <w:rFonts w:cs="Times New Roman"/>
          <w:i/>
          <w:lang w:val="en-US"/>
        </w:rPr>
        <w:t>Koinonia</w:t>
      </w:r>
      <w:r>
        <w:rPr>
          <w:rFonts w:cs="Times New Roman"/>
          <w:lang w:val="en-US"/>
        </w:rPr>
        <w:t xml:space="preserve">. </w:t>
      </w:r>
      <w:r w:rsidRPr="001B4CBD">
        <w:rPr>
          <w:rFonts w:cs="Times New Roman"/>
          <w:lang w:val="en-US"/>
        </w:rPr>
        <w:t xml:space="preserve">Available </w:t>
      </w:r>
      <w:r>
        <w:rPr>
          <w:rFonts w:cs="Times New Roman"/>
          <w:lang w:val="en-US"/>
        </w:rPr>
        <w:tab/>
      </w:r>
      <w:r w:rsidRPr="001B4CBD">
        <w:rPr>
          <w:rFonts w:cs="Times New Roman"/>
          <w:lang w:val="en-US"/>
        </w:rPr>
        <w:t xml:space="preserve">at </w:t>
      </w:r>
      <w:r>
        <w:rPr>
          <w:rFonts w:cs="Times New Roman"/>
          <w:lang w:val="en-US"/>
        </w:rPr>
        <w:tab/>
      </w:r>
      <w:hyperlink r:id="rId39" w:history="1">
        <w:r w:rsidRPr="001B4CBD">
          <w:rPr>
            <w:rStyle w:val="Hipervnculo"/>
            <w:rFonts w:cs="Times New Roman"/>
            <w:lang w:val="en-US"/>
          </w:rPr>
          <w:t>http://www.servicioskoinonia.org/boff/articulo.php?num=396</w:t>
        </w:r>
      </w:hyperlink>
      <w:r w:rsidRPr="001B4CBD">
        <w:rPr>
          <w:rFonts w:cs="Times New Roman"/>
          <w:lang w:val="en-US"/>
        </w:rPr>
        <w:t>.</w:t>
      </w:r>
    </w:p>
    <w:p w:rsidR="00322E42" w:rsidRPr="001B4CBD" w:rsidRDefault="00322E42" w:rsidP="00322E42">
      <w:pPr>
        <w:spacing w:after="0" w:line="480" w:lineRule="auto"/>
        <w:rPr>
          <w:rFonts w:cs="Times New Roman"/>
        </w:rPr>
      </w:pPr>
      <w:r w:rsidRPr="001B4CBD">
        <w:rPr>
          <w:rFonts w:cs="Times New Roman"/>
        </w:rPr>
        <w:t xml:space="preserve">Brunner, J. (2006). </w:t>
      </w:r>
      <w:r w:rsidRPr="001B4CBD">
        <w:rPr>
          <w:rFonts w:cs="Times New Roman"/>
          <w:i/>
        </w:rPr>
        <w:t xml:space="preserve">Mercados universitarios: Ideas, instrumentos y seis tesis en </w:t>
      </w:r>
      <w:r w:rsidRPr="001B4CBD">
        <w:rPr>
          <w:rFonts w:cs="Times New Roman"/>
          <w:i/>
        </w:rPr>
        <w:tab/>
        <w:t>conclusión</w:t>
      </w:r>
      <w:r w:rsidRPr="001B4CBD">
        <w:rPr>
          <w:rFonts w:cs="Times New Roman"/>
        </w:rPr>
        <w:t>. Santiago de Chile: Centro de Estudio Miguel Enríquez.</w:t>
      </w:r>
    </w:p>
    <w:p w:rsidR="00322E42" w:rsidRPr="001B4CBD" w:rsidRDefault="00322E42" w:rsidP="00322E42">
      <w:pPr>
        <w:spacing w:after="0" w:line="480" w:lineRule="auto"/>
        <w:rPr>
          <w:rFonts w:eastAsia="Times New Roman" w:cs="Times New Roman"/>
          <w:lang w:val="en-US" w:eastAsia="es-MX"/>
        </w:rPr>
      </w:pPr>
      <w:r w:rsidRPr="001B4CBD">
        <w:rPr>
          <w:rFonts w:eastAsia="Times New Roman" w:cs="Times New Roman"/>
          <w:lang w:val="en-US" w:eastAsia="es-MX"/>
        </w:rPr>
        <w:t xml:space="preserve">Burton, C. (2000). Collegial entrepreneurialism in proactive universities. In </w:t>
      </w:r>
      <w:r w:rsidRPr="001B4CBD">
        <w:rPr>
          <w:rFonts w:eastAsia="Times New Roman" w:cs="Times New Roman"/>
          <w:lang w:val="en-US" w:eastAsia="es-MX"/>
        </w:rPr>
        <w:tab/>
      </w:r>
      <w:r w:rsidRPr="001B4CBD">
        <w:rPr>
          <w:rFonts w:eastAsia="Times New Roman" w:cs="Times New Roman"/>
          <w:i/>
          <w:lang w:val="en-US" w:eastAsia="es-MX"/>
        </w:rPr>
        <w:t>Change</w:t>
      </w:r>
      <w:r w:rsidRPr="001B4CBD">
        <w:rPr>
          <w:rFonts w:eastAsia="Times New Roman" w:cs="Times New Roman"/>
          <w:lang w:val="en-US" w:eastAsia="es-MX"/>
        </w:rPr>
        <w:t xml:space="preserve">, </w:t>
      </w:r>
      <w:r>
        <w:rPr>
          <w:rFonts w:eastAsia="Times New Roman" w:cs="Times New Roman"/>
          <w:lang w:val="en-US" w:eastAsia="es-MX"/>
        </w:rPr>
        <w:tab/>
      </w:r>
      <w:r w:rsidRPr="001B4CBD">
        <w:rPr>
          <w:rFonts w:eastAsia="Times New Roman" w:cs="Times New Roman"/>
          <w:lang w:val="en-US" w:eastAsia="es-MX"/>
        </w:rPr>
        <w:t>Vol. 32, No. 1. pp. 10-12.</w:t>
      </w:r>
    </w:p>
    <w:p w:rsidR="00322E42" w:rsidRPr="001B4CBD" w:rsidRDefault="00322E42" w:rsidP="00322E42">
      <w:pPr>
        <w:spacing w:after="0" w:line="480" w:lineRule="auto"/>
        <w:rPr>
          <w:rFonts w:eastAsia="Times New Roman" w:cs="Times New Roman"/>
          <w:lang w:val="en-US" w:eastAsia="es-MX"/>
        </w:rPr>
      </w:pPr>
      <w:r w:rsidRPr="001B4CBD">
        <w:rPr>
          <w:rFonts w:eastAsia="Times New Roman" w:cs="Times New Roman"/>
          <w:lang w:val="en-US" w:eastAsia="es-MX"/>
        </w:rPr>
        <w:t xml:space="preserve">Burton, C. (2004a). Sustaining change in universities. </w:t>
      </w:r>
      <w:r w:rsidRPr="001B4CBD">
        <w:rPr>
          <w:rFonts w:eastAsia="Times New Roman" w:cs="Times New Roman"/>
          <w:i/>
          <w:lang w:val="en-US" w:eastAsia="es-MX"/>
        </w:rPr>
        <w:t xml:space="preserve">Society for Research </w:t>
      </w:r>
      <w:r w:rsidRPr="001B4CBD">
        <w:rPr>
          <w:rFonts w:eastAsia="Times New Roman" w:cs="Times New Roman"/>
          <w:i/>
          <w:lang w:val="en-US" w:eastAsia="es-MX"/>
        </w:rPr>
        <w:tab/>
        <w:t>into Higher Education</w:t>
      </w:r>
      <w:r w:rsidRPr="001B4CBD">
        <w:rPr>
          <w:rFonts w:eastAsia="Times New Roman" w:cs="Times New Roman"/>
          <w:lang w:val="en-US" w:eastAsia="es-MX"/>
        </w:rPr>
        <w:t>. London: Open University Press.</w:t>
      </w:r>
    </w:p>
    <w:p w:rsidR="00322E42" w:rsidRPr="001B4CBD" w:rsidRDefault="00322E42" w:rsidP="00322E42">
      <w:pPr>
        <w:spacing w:after="0" w:line="480" w:lineRule="auto"/>
        <w:rPr>
          <w:rFonts w:eastAsia="Times New Roman" w:cs="Times New Roman"/>
          <w:lang w:eastAsia="es-MX"/>
        </w:rPr>
      </w:pPr>
      <w:r w:rsidRPr="001B4CBD">
        <w:rPr>
          <w:rFonts w:eastAsia="Times New Roman" w:cs="Times New Roman"/>
          <w:lang w:val="en-US" w:eastAsia="es-MX"/>
        </w:rPr>
        <w:t xml:space="preserve">Burton, C. (2004b). Delineating the character of the entrepreneurial university. </w:t>
      </w:r>
      <w:r w:rsidRPr="001B4CBD">
        <w:rPr>
          <w:rFonts w:eastAsia="Times New Roman" w:cs="Times New Roman"/>
          <w:lang w:val="en-US" w:eastAsia="es-MX"/>
        </w:rPr>
        <w:tab/>
      </w:r>
      <w:r w:rsidRPr="001B4CBD">
        <w:rPr>
          <w:rFonts w:eastAsia="Times New Roman" w:cs="Times New Roman"/>
          <w:i/>
          <w:lang w:eastAsia="es-MX"/>
        </w:rPr>
        <w:t xml:space="preserve">Higher </w:t>
      </w:r>
      <w:r>
        <w:rPr>
          <w:rFonts w:eastAsia="Times New Roman" w:cs="Times New Roman"/>
          <w:i/>
          <w:lang w:eastAsia="es-MX"/>
        </w:rPr>
        <w:tab/>
      </w:r>
      <w:r w:rsidRPr="001B4CBD">
        <w:rPr>
          <w:rFonts w:eastAsia="Times New Roman" w:cs="Times New Roman"/>
          <w:i/>
          <w:lang w:eastAsia="es-MX"/>
        </w:rPr>
        <w:t>Education Policy</w:t>
      </w:r>
      <w:r w:rsidRPr="001B4CBD">
        <w:rPr>
          <w:rFonts w:eastAsia="Times New Roman" w:cs="Times New Roman"/>
          <w:lang w:eastAsia="es-MX"/>
        </w:rPr>
        <w:t>, Vol. 17. pp. 355-370.</w:t>
      </w:r>
    </w:p>
    <w:p w:rsidR="00322E42" w:rsidRPr="001B4CBD" w:rsidRDefault="00322E42" w:rsidP="00322E42">
      <w:pPr>
        <w:spacing w:after="0" w:line="480" w:lineRule="auto"/>
        <w:outlineLvl w:val="0"/>
        <w:rPr>
          <w:rFonts w:cs="Times New Roman"/>
        </w:rPr>
      </w:pPr>
      <w:r w:rsidRPr="001B4CBD">
        <w:rPr>
          <w:rFonts w:cs="Times New Roman"/>
        </w:rPr>
        <w:t xml:space="preserve">COMISIÓN DE LAS COMUNIDADES EUROPEAS (CCE). (2001). </w:t>
      </w:r>
      <w:r w:rsidRPr="001B4CBD">
        <w:rPr>
          <w:rFonts w:cs="Times New Roman"/>
          <w:i/>
          <w:iCs/>
        </w:rPr>
        <w:t xml:space="preserve">Libro Verde: </w:t>
      </w:r>
      <w:r w:rsidRPr="001B4CBD">
        <w:rPr>
          <w:rFonts w:cs="Times New Roman"/>
          <w:i/>
          <w:iCs/>
        </w:rPr>
        <w:tab/>
        <w:t>Fomentar un marco europeo para la responsabilidad social de las empresas.</w:t>
      </w:r>
      <w:r w:rsidRPr="001B4CBD">
        <w:rPr>
          <w:rFonts w:cs="Times New Roman"/>
        </w:rPr>
        <w:t xml:space="preserve"> </w:t>
      </w:r>
      <w:r>
        <w:rPr>
          <w:rFonts w:cs="Times New Roman"/>
        </w:rPr>
        <w:tab/>
      </w:r>
      <w:r w:rsidRPr="001B4CBD">
        <w:rPr>
          <w:rFonts w:cs="Times New Roman"/>
        </w:rPr>
        <w:t>Brusela: CCE, 2001</w:t>
      </w:r>
    </w:p>
    <w:p w:rsidR="00322E42" w:rsidRPr="001B4CBD" w:rsidRDefault="00322E42" w:rsidP="00322E42">
      <w:pPr>
        <w:spacing w:after="0" w:line="480" w:lineRule="auto"/>
        <w:outlineLvl w:val="0"/>
        <w:rPr>
          <w:rFonts w:cs="Times New Roman"/>
        </w:rPr>
      </w:pPr>
      <w:r w:rsidRPr="001B4CBD">
        <w:rPr>
          <w:rFonts w:cs="Times New Roman"/>
        </w:rPr>
        <w:t xml:space="preserve">Freeman, E. et al. (1996). </w:t>
      </w:r>
      <w:r w:rsidRPr="001B4CBD">
        <w:rPr>
          <w:rFonts w:cs="Times New Roman"/>
          <w:i/>
        </w:rPr>
        <w:t>Administración</w:t>
      </w:r>
      <w:r w:rsidRPr="001B4CBD">
        <w:rPr>
          <w:rFonts w:cs="Times New Roman"/>
        </w:rPr>
        <w:t>. México: Pearson Prentice Hall.</w:t>
      </w:r>
    </w:p>
    <w:p w:rsidR="00322E42" w:rsidRPr="001B4CBD" w:rsidRDefault="00322E42" w:rsidP="00322E42">
      <w:pPr>
        <w:spacing w:after="0" w:line="480" w:lineRule="auto"/>
        <w:outlineLvl w:val="0"/>
        <w:rPr>
          <w:rFonts w:cs="Times New Roman"/>
        </w:rPr>
      </w:pPr>
      <w:r w:rsidRPr="001B4CBD">
        <w:rPr>
          <w:rFonts w:cs="Times New Roman"/>
        </w:rPr>
        <w:t xml:space="preserve">Freire, P. (2010). </w:t>
      </w:r>
      <w:r w:rsidRPr="001B4CBD">
        <w:rPr>
          <w:rFonts w:cs="Times New Roman"/>
          <w:i/>
        </w:rPr>
        <w:t>El grito manso.</w:t>
      </w:r>
      <w:r w:rsidRPr="001B4CBD">
        <w:rPr>
          <w:rFonts w:cs="Times New Roman"/>
        </w:rPr>
        <w:t xml:space="preserve"> México: Siglo XXI.</w:t>
      </w:r>
    </w:p>
    <w:p w:rsidR="00322E42" w:rsidRPr="001B4CBD" w:rsidRDefault="00322E42" w:rsidP="00322E42">
      <w:pPr>
        <w:spacing w:after="0" w:line="480" w:lineRule="auto"/>
        <w:rPr>
          <w:rFonts w:cs="Times New Roman"/>
          <w:lang w:val="en-US"/>
        </w:rPr>
      </w:pPr>
      <w:r w:rsidRPr="001B4CBD">
        <w:rPr>
          <w:rFonts w:cs="Times New Roman"/>
        </w:rPr>
        <w:lastRenderedPageBreak/>
        <w:t xml:space="preserve">Friedman, M.,&amp; Rose, F. (1980). </w:t>
      </w:r>
      <w:r w:rsidRPr="001B4CBD">
        <w:rPr>
          <w:rFonts w:cs="Times New Roman"/>
          <w:i/>
        </w:rPr>
        <w:t xml:space="preserve">Libertad de elegir. Hacia un nuevo liberalismo </w:t>
      </w:r>
      <w:r w:rsidRPr="001B4CBD">
        <w:rPr>
          <w:rFonts w:cs="Times New Roman"/>
          <w:i/>
        </w:rPr>
        <w:tab/>
        <w:t>económico</w:t>
      </w:r>
      <w:r w:rsidRPr="001B4CBD">
        <w:rPr>
          <w:rFonts w:cs="Times New Roman"/>
        </w:rPr>
        <w:t xml:space="preserve">. </w:t>
      </w:r>
      <w:r w:rsidRPr="001B4CBD">
        <w:rPr>
          <w:rFonts w:cs="Times New Roman"/>
          <w:lang w:val="en-US"/>
        </w:rPr>
        <w:t>Barcelona, España: Grijalbo.</w:t>
      </w:r>
    </w:p>
    <w:p w:rsidR="00322E42" w:rsidRPr="00C962EF" w:rsidRDefault="00322E42" w:rsidP="00322E42">
      <w:pPr>
        <w:spacing w:after="0" w:line="480" w:lineRule="auto"/>
        <w:rPr>
          <w:rFonts w:cs="Times New Roman"/>
          <w:lang w:val="en-US"/>
        </w:rPr>
      </w:pPr>
      <w:r w:rsidRPr="001B4CBD">
        <w:rPr>
          <w:rFonts w:cs="Times New Roman"/>
          <w:lang w:val="en-US"/>
        </w:rPr>
        <w:t xml:space="preserve">Friedman, M. (Sep, 1970). The social responsibility of business is to increase its </w:t>
      </w:r>
      <w:r w:rsidRPr="001B4CBD">
        <w:rPr>
          <w:rFonts w:cs="Times New Roman"/>
          <w:lang w:val="en-US"/>
        </w:rPr>
        <w:tab/>
        <w:t xml:space="preserve">profits. </w:t>
      </w:r>
      <w:r>
        <w:rPr>
          <w:rFonts w:cs="Times New Roman"/>
          <w:lang w:val="en-US"/>
        </w:rPr>
        <w:tab/>
      </w:r>
      <w:r w:rsidRPr="00C962EF">
        <w:rPr>
          <w:rFonts w:cs="Times New Roman"/>
          <w:i/>
        </w:rPr>
        <w:t>The New York Times Magazine</w:t>
      </w:r>
      <w:r w:rsidRPr="00C962EF">
        <w:rPr>
          <w:rFonts w:cs="Times New Roman"/>
        </w:rPr>
        <w:t xml:space="preserve">. </w:t>
      </w:r>
      <w:r w:rsidRPr="00C962EF">
        <w:rPr>
          <w:rFonts w:cs="Times New Roman"/>
          <w:lang w:val="en-US"/>
        </w:rPr>
        <w:t xml:space="preserve">Available at </w:t>
      </w:r>
      <w:r w:rsidRPr="00C962EF">
        <w:rPr>
          <w:rFonts w:cs="Times New Roman"/>
          <w:lang w:val="en-US"/>
        </w:rPr>
        <w:tab/>
      </w:r>
      <w:hyperlink r:id="rId40" w:history="1">
        <w:r w:rsidRPr="00C962EF">
          <w:rPr>
            <w:rStyle w:val="Hipervnculo"/>
            <w:rFonts w:cs="Times New Roman"/>
            <w:lang w:val="en-US"/>
          </w:rPr>
          <w:t>http://www.colorado.edu/studentgroups/libertarians/issues/friedman-soc-resp-</w:t>
        </w:r>
        <w:r w:rsidRPr="00C962EF">
          <w:rPr>
            <w:rStyle w:val="Hipervnculo"/>
            <w:rFonts w:cs="Times New Roman"/>
            <w:lang w:val="en-US"/>
          </w:rPr>
          <w:tab/>
          <w:t>business.html</w:t>
        </w:r>
      </w:hyperlink>
    </w:p>
    <w:p w:rsidR="00322E42" w:rsidRPr="001B4CBD" w:rsidRDefault="00322E42" w:rsidP="00322E42">
      <w:pPr>
        <w:spacing w:after="0" w:line="480" w:lineRule="auto"/>
        <w:rPr>
          <w:rFonts w:cs="Times New Roman"/>
        </w:rPr>
      </w:pPr>
      <w:r w:rsidRPr="001B4CBD">
        <w:rPr>
          <w:rFonts w:cs="Times New Roman"/>
        </w:rPr>
        <w:t xml:space="preserve">Jarque, J. (1966). </w:t>
      </w:r>
      <w:r w:rsidRPr="001B4CBD">
        <w:rPr>
          <w:rFonts w:cs="Times New Roman"/>
          <w:i/>
        </w:rPr>
        <w:t>La responsabilidad social de la universidad.</w:t>
      </w:r>
      <w:r w:rsidRPr="001B4CBD">
        <w:rPr>
          <w:rFonts w:cs="Times New Roman"/>
        </w:rPr>
        <w:t xml:space="preserve"> Pax Romana. </w:t>
      </w:r>
      <w:r w:rsidRPr="001B4CBD">
        <w:rPr>
          <w:rFonts w:cs="Times New Roman"/>
        </w:rPr>
        <w:tab/>
        <w:t xml:space="preserve">Barcelona: </w:t>
      </w:r>
      <w:r>
        <w:rPr>
          <w:rFonts w:cs="Times New Roman"/>
        </w:rPr>
        <w:tab/>
      </w:r>
      <w:r w:rsidRPr="001B4CBD">
        <w:rPr>
          <w:rFonts w:cs="Times New Roman"/>
        </w:rPr>
        <w:t>Estela.</w:t>
      </w:r>
    </w:p>
    <w:p w:rsidR="00322E42" w:rsidRPr="001B4CBD" w:rsidRDefault="00322E42" w:rsidP="00322E42">
      <w:pPr>
        <w:spacing w:after="0" w:line="480" w:lineRule="auto"/>
        <w:rPr>
          <w:rFonts w:cs="Times New Roman"/>
        </w:rPr>
      </w:pPr>
      <w:r w:rsidRPr="001B4CBD">
        <w:rPr>
          <w:rFonts w:cs="Times New Roman"/>
        </w:rPr>
        <w:t xml:space="preserve">Levy, D. (2002). “La nueva responsabilidad social en la educación superior. </w:t>
      </w:r>
      <w:r w:rsidRPr="001B4CBD">
        <w:rPr>
          <w:rFonts w:cs="Times New Roman"/>
        </w:rPr>
        <w:tab/>
        <w:t xml:space="preserve">Repercusiones en el Estado y el derecho”. In Andrés Bernasconi (ed). </w:t>
      </w:r>
      <w:r w:rsidRPr="001B4CBD">
        <w:rPr>
          <w:rFonts w:cs="Times New Roman"/>
          <w:i/>
        </w:rPr>
        <w:t xml:space="preserve">La </w:t>
      </w:r>
      <w:r w:rsidRPr="001B4CBD">
        <w:rPr>
          <w:rFonts w:cs="Times New Roman"/>
          <w:i/>
        </w:rPr>
        <w:tab/>
        <w:t xml:space="preserve">educación </w:t>
      </w:r>
      <w:r>
        <w:rPr>
          <w:rFonts w:cs="Times New Roman"/>
          <w:i/>
        </w:rPr>
        <w:tab/>
      </w:r>
      <w:r w:rsidRPr="001B4CBD">
        <w:rPr>
          <w:rFonts w:cs="Times New Roman"/>
          <w:i/>
        </w:rPr>
        <w:t>superior ante el derecho,</w:t>
      </w:r>
      <w:r w:rsidRPr="001B4CBD">
        <w:rPr>
          <w:rFonts w:cs="Times New Roman"/>
        </w:rPr>
        <w:t xml:space="preserve"> Santiago de Chile: Editorial Biblioteca </w:t>
      </w:r>
      <w:r w:rsidRPr="001B4CBD">
        <w:rPr>
          <w:rFonts w:cs="Times New Roman"/>
        </w:rPr>
        <w:tab/>
        <w:t>Americana.</w:t>
      </w:r>
    </w:p>
    <w:p w:rsidR="00322E42" w:rsidRPr="001B4CBD" w:rsidRDefault="00322E42" w:rsidP="00322E42">
      <w:pPr>
        <w:spacing w:after="0" w:line="480" w:lineRule="auto"/>
        <w:rPr>
          <w:rFonts w:cs="Times New Roman"/>
        </w:rPr>
      </w:pPr>
      <w:r w:rsidRPr="001B4CBD">
        <w:rPr>
          <w:rFonts w:cs="Times New Roman"/>
        </w:rPr>
        <w:t xml:space="preserve">Neave, G. et al. (1994). </w:t>
      </w:r>
      <w:r w:rsidRPr="001B4CBD">
        <w:rPr>
          <w:rFonts w:cs="Times New Roman"/>
          <w:i/>
        </w:rPr>
        <w:t>Prometeo encadenado. Estado y educación en Europa</w:t>
      </w:r>
      <w:r w:rsidRPr="001B4CBD">
        <w:rPr>
          <w:rFonts w:cs="Times New Roman"/>
        </w:rPr>
        <w:t xml:space="preserve">, </w:t>
      </w:r>
      <w:r w:rsidRPr="001B4CBD">
        <w:rPr>
          <w:rFonts w:cs="Times New Roman"/>
        </w:rPr>
        <w:tab/>
        <w:t xml:space="preserve">Barcelona: </w:t>
      </w:r>
      <w:r>
        <w:rPr>
          <w:rFonts w:cs="Times New Roman"/>
        </w:rPr>
        <w:tab/>
      </w:r>
      <w:r w:rsidRPr="001B4CBD">
        <w:rPr>
          <w:rFonts w:cs="Times New Roman"/>
        </w:rPr>
        <w:t>Gedisa.</w:t>
      </w:r>
    </w:p>
    <w:p w:rsidR="00322E42" w:rsidRPr="001B4CBD" w:rsidRDefault="00322E42" w:rsidP="00322E42">
      <w:pPr>
        <w:spacing w:after="0" w:line="480" w:lineRule="auto"/>
        <w:rPr>
          <w:rFonts w:cs="Times New Roman"/>
        </w:rPr>
      </w:pPr>
      <w:r w:rsidRPr="001B4CBD">
        <w:rPr>
          <w:rFonts w:cs="Times New Roman"/>
        </w:rPr>
        <w:t xml:space="preserve">Ortega, J., &amp; Gasset. (2001). Misión de la universidad. Buenos Aires, Available at </w:t>
      </w:r>
      <w:r w:rsidRPr="001B4CBD">
        <w:rPr>
          <w:rFonts w:cs="Times New Roman"/>
        </w:rPr>
        <w:tab/>
      </w:r>
      <w:hyperlink r:id="rId41" w:history="1">
        <w:r w:rsidRPr="001B4CBD">
          <w:rPr>
            <w:rStyle w:val="Hipervnculo"/>
            <w:rFonts w:cs="Times New Roman"/>
          </w:rPr>
          <w:t>http://www.esi2.us.es/~fabio/mision.pdf</w:t>
        </w:r>
      </w:hyperlink>
    </w:p>
    <w:p w:rsidR="00322E42" w:rsidRPr="001B4CBD" w:rsidRDefault="00322E42" w:rsidP="00322E42">
      <w:pPr>
        <w:spacing w:line="480" w:lineRule="auto"/>
        <w:rPr>
          <w:rFonts w:cs="Times New Roman"/>
          <w:lang w:val="en-US"/>
        </w:rPr>
      </w:pPr>
      <w:r w:rsidRPr="001B4CBD">
        <w:rPr>
          <w:rFonts w:cs="Times New Roman"/>
        </w:rPr>
        <w:t xml:space="preserve">Poy, Laura; García, Carlos. (2010), Heriberto Félix critica la </w:t>
      </w:r>
      <w:r w:rsidRPr="001B4CBD">
        <w:rPr>
          <w:rFonts w:cs="Times New Roman"/>
          <w:i/>
        </w:rPr>
        <w:t>esquezofrenia</w:t>
      </w:r>
      <w:r w:rsidRPr="001B4CBD">
        <w:rPr>
          <w:rFonts w:cs="Times New Roman"/>
        </w:rPr>
        <w:t xml:space="preserve"> y receta </w:t>
      </w:r>
      <w:r w:rsidRPr="001B4CBD">
        <w:rPr>
          <w:rFonts w:cs="Times New Roman"/>
        </w:rPr>
        <w:tab/>
        <w:t xml:space="preserve">mercado y más mercado. </w:t>
      </w:r>
      <w:r w:rsidRPr="001B4CBD">
        <w:rPr>
          <w:rFonts w:cs="Times New Roman"/>
          <w:i/>
          <w:lang w:val="en-US"/>
        </w:rPr>
        <w:t>La Jornada, p.</w:t>
      </w:r>
      <w:r w:rsidRPr="001B4CBD">
        <w:rPr>
          <w:rFonts w:cs="Times New Roman"/>
          <w:lang w:val="en-US"/>
        </w:rPr>
        <w:t>3.</w:t>
      </w:r>
    </w:p>
    <w:p w:rsidR="00322E42" w:rsidRPr="001B4CBD" w:rsidRDefault="00322E42" w:rsidP="00322E42">
      <w:pPr>
        <w:spacing w:after="0" w:line="480" w:lineRule="auto"/>
        <w:rPr>
          <w:rFonts w:eastAsia="Times New Roman" w:cs="Times New Roman"/>
          <w:lang w:eastAsia="es-MX"/>
        </w:rPr>
      </w:pPr>
      <w:r w:rsidRPr="001B4CBD">
        <w:rPr>
          <w:rFonts w:eastAsia="Times New Roman" w:cs="Times New Roman"/>
          <w:lang w:val="en-US" w:eastAsia="es-MX"/>
        </w:rPr>
        <w:t xml:space="preserve">Teichler, U. &amp; Sadlak, J. (eds) (2000). Higher education research: Its relationship </w:t>
      </w:r>
      <w:r w:rsidRPr="001B4CBD">
        <w:rPr>
          <w:rFonts w:eastAsia="Times New Roman" w:cs="Times New Roman"/>
          <w:lang w:val="en-US" w:eastAsia="es-MX"/>
        </w:rPr>
        <w:tab/>
        <w:t xml:space="preserve">to </w:t>
      </w:r>
      <w:r>
        <w:rPr>
          <w:rFonts w:eastAsia="Times New Roman" w:cs="Times New Roman"/>
          <w:lang w:val="en-US" w:eastAsia="es-MX"/>
        </w:rPr>
        <w:tab/>
      </w:r>
      <w:r w:rsidRPr="001B4CBD">
        <w:rPr>
          <w:rFonts w:eastAsia="Times New Roman" w:cs="Times New Roman"/>
          <w:lang w:val="en-US" w:eastAsia="es-MX"/>
        </w:rPr>
        <w:t xml:space="preserve">policy and practice. </w:t>
      </w:r>
      <w:r w:rsidRPr="001B4CBD">
        <w:rPr>
          <w:rFonts w:eastAsia="Times New Roman" w:cs="Times New Roman"/>
          <w:lang w:eastAsia="es-MX"/>
        </w:rPr>
        <w:t>Oxford: Pergamon/IAU Press.</w:t>
      </w:r>
    </w:p>
    <w:p w:rsidR="00322E42" w:rsidRPr="001B4CBD" w:rsidRDefault="00322E42" w:rsidP="00322E42">
      <w:pPr>
        <w:widowControl w:val="0"/>
        <w:autoSpaceDE w:val="0"/>
        <w:autoSpaceDN w:val="0"/>
        <w:adjustRightInd w:val="0"/>
        <w:spacing w:after="0" w:line="480" w:lineRule="auto"/>
        <w:rPr>
          <w:rFonts w:cs="Times New Roman"/>
        </w:rPr>
      </w:pPr>
      <w:r w:rsidRPr="001B4CBD">
        <w:rPr>
          <w:rFonts w:cs="Times New Roman"/>
        </w:rPr>
        <w:t xml:space="preserve">Vallaeys F. (2008). Responsabilidad social universitaria: Una nueva filosofía de </w:t>
      </w:r>
      <w:r w:rsidRPr="001B4CBD">
        <w:rPr>
          <w:rFonts w:cs="Times New Roman"/>
        </w:rPr>
        <w:tab/>
        <w:t xml:space="preserve">gestión </w:t>
      </w:r>
      <w:r>
        <w:rPr>
          <w:rFonts w:cs="Times New Roman"/>
        </w:rPr>
        <w:tab/>
      </w:r>
      <w:r w:rsidRPr="001B4CBD">
        <w:rPr>
          <w:rFonts w:cs="Times New Roman"/>
        </w:rPr>
        <w:t xml:space="preserve">ética e inteligente para las universidades. In </w:t>
      </w:r>
      <w:r w:rsidRPr="001B4CBD">
        <w:rPr>
          <w:rFonts w:cs="Times New Roman"/>
          <w:i/>
        </w:rPr>
        <w:t xml:space="preserve">Revista de Educación Superior y </w:t>
      </w:r>
      <w:r>
        <w:rPr>
          <w:rFonts w:cs="Times New Roman"/>
          <w:i/>
        </w:rPr>
        <w:tab/>
      </w:r>
      <w:r w:rsidRPr="001B4CBD">
        <w:rPr>
          <w:rFonts w:cs="Times New Roman"/>
          <w:i/>
        </w:rPr>
        <w:t>Sociedad</w:t>
      </w:r>
      <w:r w:rsidRPr="001B4CBD">
        <w:rPr>
          <w:rFonts w:cs="Times New Roman"/>
        </w:rPr>
        <w:t xml:space="preserve">, Nueva época, año 13, núm. 2, sep. Caracas: </w:t>
      </w:r>
      <w:r w:rsidRPr="001B4CBD">
        <w:rPr>
          <w:rFonts w:cs="Times New Roman"/>
        </w:rPr>
        <w:tab/>
        <w:t>IESALC.</w:t>
      </w:r>
    </w:p>
    <w:p w:rsidR="00322E42" w:rsidRPr="001B4CBD" w:rsidRDefault="00322E42" w:rsidP="00322E42">
      <w:pPr>
        <w:widowControl w:val="0"/>
        <w:autoSpaceDE w:val="0"/>
        <w:autoSpaceDN w:val="0"/>
        <w:adjustRightInd w:val="0"/>
        <w:spacing w:after="0" w:line="480" w:lineRule="auto"/>
        <w:rPr>
          <w:rFonts w:cs="Times New Roman"/>
          <w:bCs/>
          <w:iCs/>
        </w:rPr>
      </w:pPr>
      <w:r w:rsidRPr="001B4CBD">
        <w:rPr>
          <w:rFonts w:cs="Times New Roman"/>
        </w:rPr>
        <w:t xml:space="preserve">Vercellone, C. (2004). </w:t>
      </w:r>
      <w:r w:rsidRPr="001B4CBD">
        <w:rPr>
          <w:rFonts w:cs="Times New Roman"/>
          <w:bCs/>
          <w:iCs/>
        </w:rPr>
        <w:t xml:space="preserve">Las políticas de desarrollo en tiempos del capitalismo cognitivo. </w:t>
      </w:r>
      <w:r>
        <w:rPr>
          <w:rFonts w:cs="Times New Roman"/>
          <w:bCs/>
          <w:iCs/>
        </w:rPr>
        <w:tab/>
      </w:r>
      <w:r w:rsidRPr="001B4CBD">
        <w:rPr>
          <w:rFonts w:cs="Times New Roman"/>
          <w:bCs/>
          <w:iCs/>
        </w:rPr>
        <w:t xml:space="preserve">In </w:t>
      </w:r>
      <w:r w:rsidRPr="001B4CBD">
        <w:rPr>
          <w:rFonts w:cs="Times New Roman"/>
          <w:i/>
        </w:rPr>
        <w:t>Oliver Blondeau</w:t>
      </w:r>
      <w:r w:rsidRPr="001B4CBD">
        <w:rPr>
          <w:rFonts w:cs="Times New Roman"/>
        </w:rPr>
        <w:t xml:space="preserve"> </w:t>
      </w:r>
      <w:r w:rsidRPr="001B4CBD">
        <w:rPr>
          <w:rFonts w:cs="Times New Roman"/>
          <w:i/>
        </w:rPr>
        <w:t>et al. Capitalismo cognitivo, propiedad intelectual y creación colectiva</w:t>
      </w:r>
      <w:r w:rsidRPr="001B4CBD">
        <w:rPr>
          <w:rFonts w:cs="Times New Roman"/>
        </w:rPr>
        <w:t xml:space="preserve">, </w:t>
      </w:r>
      <w:r>
        <w:rPr>
          <w:rFonts w:cs="Times New Roman"/>
        </w:rPr>
        <w:tab/>
      </w:r>
      <w:r w:rsidRPr="001B4CBD">
        <w:rPr>
          <w:rFonts w:cs="Times New Roman"/>
        </w:rPr>
        <w:t xml:space="preserve">Madrid: </w:t>
      </w:r>
      <w:r w:rsidRPr="001B4CBD">
        <w:rPr>
          <w:rFonts w:cs="Times New Roman"/>
        </w:rPr>
        <w:lastRenderedPageBreak/>
        <w:t>Traficante de sueños.</w:t>
      </w:r>
    </w:p>
    <w:p w:rsidR="00322E42" w:rsidRPr="001F4ECA" w:rsidRDefault="00322E42" w:rsidP="00322E42">
      <w:pPr>
        <w:jc w:val="both"/>
        <w:rPr>
          <w:rFonts w:ascii="Arial" w:hAnsi="Arial" w:cs="Arial"/>
          <w:b/>
          <w:lang w:val="en-US"/>
        </w:rPr>
      </w:pPr>
      <w:r w:rsidRPr="00C84402">
        <w:rPr>
          <w:rFonts w:ascii="Arial" w:eastAsia="Arial" w:hAnsi="Arial" w:cs="Arial"/>
          <w:b/>
          <w:bCs/>
          <w:lang w:val="en-US"/>
        </w:rPr>
        <w:t>Compensatory Policies to Attend to Equality and Inequality in Educational Practice among Vulnerable Groups in Higher Education in Mexico</w:t>
      </w:r>
    </w:p>
    <w:p w:rsidR="00322E42" w:rsidRPr="001F4ECA" w:rsidRDefault="00322E42" w:rsidP="00322E42">
      <w:pPr>
        <w:spacing w:line="360" w:lineRule="auto"/>
        <w:jc w:val="both"/>
        <w:rPr>
          <w:rFonts w:ascii="Arial" w:hAnsi="Arial" w:cs="Arial"/>
          <w:lang w:val="en-US"/>
        </w:rPr>
      </w:pPr>
    </w:p>
    <w:p w:rsidR="00322E42" w:rsidRDefault="00322E42" w:rsidP="00322E42">
      <w:pPr>
        <w:spacing w:line="360" w:lineRule="auto"/>
        <w:jc w:val="right"/>
      </w:pPr>
      <w:r>
        <w:rPr>
          <w:rFonts w:ascii="Times New Roman" w:eastAsia="Times New Roman" w:hAnsi="Times New Roman" w:cs="Times New Roman"/>
          <w:lang w:val="en-US"/>
        </w:rPr>
        <w:t>René Pedroza Flores</w:t>
      </w:r>
    </w:p>
    <w:p w:rsidR="00322E42" w:rsidRDefault="00322E42" w:rsidP="00322E42">
      <w:pPr>
        <w:spacing w:line="360" w:lineRule="auto"/>
        <w:jc w:val="right"/>
        <w:rPr>
          <w:rFonts w:ascii="Times New Roman" w:eastAsia="Times New Roman" w:hAnsi="Times New Roman" w:cs="Times New Roman"/>
          <w:lang w:val="en-US"/>
        </w:rPr>
      </w:pPr>
      <w:r>
        <w:rPr>
          <w:rFonts w:ascii="Times New Roman" w:eastAsia="Times New Roman" w:hAnsi="Times New Roman" w:cs="Times New Roman"/>
          <w:lang w:val="en-US"/>
        </w:rPr>
        <w:t>Guadalupe Villalobos Monroy</w:t>
      </w:r>
    </w:p>
    <w:p w:rsidR="00322E42" w:rsidRPr="001F4ECA" w:rsidRDefault="00322E42" w:rsidP="00322E42">
      <w:pPr>
        <w:spacing w:line="360" w:lineRule="auto"/>
        <w:jc w:val="right"/>
        <w:rPr>
          <w:lang w:val="en-US"/>
        </w:rPr>
      </w:pPr>
      <w:r>
        <w:rPr>
          <w:rFonts w:ascii="Times New Roman" w:eastAsia="Times New Roman" w:hAnsi="Times New Roman" w:cs="Times New Roman"/>
          <w:lang w:val="en-US"/>
        </w:rPr>
        <w:t>Ana María Reyes Fabela</w:t>
      </w:r>
    </w:p>
    <w:p w:rsidR="00322E42" w:rsidRPr="001F4ECA" w:rsidRDefault="00322E42" w:rsidP="00322E42">
      <w:pPr>
        <w:spacing w:line="360" w:lineRule="auto"/>
        <w:jc w:val="both"/>
        <w:rPr>
          <w:lang w:val="en-US"/>
        </w:rPr>
      </w:pPr>
    </w:p>
    <w:p w:rsidR="00322E42" w:rsidRPr="001F4ECA" w:rsidRDefault="00322E42" w:rsidP="00322E42">
      <w:pPr>
        <w:spacing w:line="360" w:lineRule="auto"/>
        <w:jc w:val="both"/>
        <w:rPr>
          <w:lang w:val="en-US"/>
        </w:rPr>
      </w:pPr>
    </w:p>
    <w:p w:rsidR="00322E42" w:rsidRPr="001F4ECA" w:rsidRDefault="00322E42" w:rsidP="00322E42">
      <w:pPr>
        <w:spacing w:line="360" w:lineRule="auto"/>
        <w:jc w:val="both"/>
        <w:rPr>
          <w:rFonts w:ascii="Arial" w:hAnsi="Arial" w:cs="Arial"/>
          <w:b/>
          <w:lang w:val="en-US"/>
        </w:rPr>
      </w:pPr>
      <w:r w:rsidRPr="00C84402">
        <w:rPr>
          <w:rFonts w:ascii="Arial" w:eastAsia="Arial" w:hAnsi="Arial" w:cs="Arial"/>
          <w:b/>
          <w:bCs/>
          <w:lang w:val="en-US"/>
        </w:rPr>
        <w:t>1. The Problem of Poverty and Social Vulnerability</w:t>
      </w:r>
    </w:p>
    <w:p w:rsidR="00322E42" w:rsidRPr="001F4ECA" w:rsidRDefault="00322E42" w:rsidP="00322E42">
      <w:pPr>
        <w:spacing w:line="360" w:lineRule="auto"/>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There is a vicious circle between poverty and higher education because socioeconomic disadvantages general educational disadvantages and vice versa.  Unequal economic distribution make educational opportunities more difficult to access, continue studying and graduate from higher education. The lack of higher education puts youth opportunities at risk and threatens their ability to achieve a higher quality of life. This opens a divide of inequality between young people because many do not live in the same conditions or have the same opportunities to attend higher education. Also, not all of those who are accepted receive a high quality of education because of the precarious situation in education. More so, many students who finish their studies do not study a postgraduate degree or enter the labor market because of lack of professional development opportunities. Throughout their studies, from the possibility of entrance and up until the possibility of entering the work force, these young people play a game of chance with conditions of vulnerability.</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These conditions of poverty and vulnerability while trying to access better standards of living as well educational inequality continue to grow. The number of poor (extreme and moderate) and vulnerable (according to income and social need) increased from 2008 through 2010. The number of people in this situation went from 89.9 million to 90.8 million, which represents 80.64% of the Mexican population. Only 19.36% of the population is not considered poor or vulnerable.</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lastRenderedPageBreak/>
        <w:t>In the data reported by the Consejo Nacional de Evaluación de la Política de Desarrollo Social (CONEVAL) which translates to the National Council of Political and Social Development Evaluation, the number of poor and vulnerable due to income is growing. This group includes those who do not have enough income to live a decent living and who do not have a stable income:</w:t>
      </w:r>
    </w:p>
    <w:p w:rsidR="00322E42" w:rsidRPr="001F4ECA" w:rsidRDefault="00322E42" w:rsidP="00322E42">
      <w:pPr>
        <w:spacing w:line="360" w:lineRule="auto"/>
        <w:jc w:val="both"/>
        <w:rPr>
          <w:rFonts w:ascii="Arial" w:hAnsi="Arial" w:cs="Arial"/>
          <w:lang w:val="en-US"/>
        </w:rPr>
      </w:pPr>
    </w:p>
    <w:p w:rsidR="00322E42" w:rsidRDefault="00322E42" w:rsidP="00322E42">
      <w:pPr>
        <w:spacing w:line="360" w:lineRule="auto"/>
        <w:jc w:val="both"/>
        <w:rPr>
          <w:rFonts w:ascii="Arial" w:hAnsi="Arial" w:cs="Arial"/>
        </w:rPr>
      </w:pPr>
      <w:r w:rsidRPr="001F4ECA">
        <w:rPr>
          <w:rFonts w:ascii="Arial" w:hAnsi="Arial" w:cs="Arial"/>
          <w:lang w:val="en-US"/>
        </w:rPr>
        <w:t xml:space="preserve"> </w:t>
      </w:r>
      <w:r>
        <w:rPr>
          <w:noProof/>
          <w:lang w:eastAsia="es-MX"/>
        </w:rPr>
        <w:drawing>
          <wp:inline distT="0" distB="0" distL="0" distR="0" wp14:anchorId="6429F1A8" wp14:editId="3828B6DD">
            <wp:extent cx="5612130" cy="3825663"/>
            <wp:effectExtent l="19050" t="0" r="26670" b="3387"/>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322E42" w:rsidRPr="001F4ECA" w:rsidRDefault="00322E42" w:rsidP="00322E42">
      <w:pPr>
        <w:spacing w:line="360" w:lineRule="auto"/>
        <w:jc w:val="both"/>
        <w:rPr>
          <w:rFonts w:ascii="Arial" w:hAnsi="Arial" w:cs="Arial"/>
          <w:sz w:val="20"/>
          <w:szCs w:val="20"/>
          <w:lang w:val="en-US"/>
        </w:rPr>
      </w:pPr>
      <w:r w:rsidRPr="0071686D">
        <w:rPr>
          <w:rFonts w:ascii="Arial" w:eastAsia="Arial" w:hAnsi="Arial" w:cs="Arial"/>
          <w:sz w:val="20"/>
          <w:szCs w:val="20"/>
          <w:lang w:val="en-US"/>
        </w:rPr>
        <w:t>Source: CONEVAL, 2011</w:t>
      </w:r>
    </w:p>
    <w:p w:rsidR="00322E42" w:rsidRPr="001F4ECA" w:rsidRDefault="00322E42" w:rsidP="00322E42">
      <w:pPr>
        <w:spacing w:line="360" w:lineRule="auto"/>
        <w:jc w:val="both"/>
        <w:rPr>
          <w:rFonts w:ascii="Arial" w:hAnsi="Arial" w:cs="Arial"/>
          <w:sz w:val="20"/>
          <w:szCs w:val="20"/>
          <w:lang w:val="en-US"/>
        </w:rPr>
      </w:pPr>
    </w:p>
    <w:p w:rsidR="00322E42" w:rsidRPr="001F4ECA" w:rsidRDefault="00322E42" w:rsidP="00322E42">
      <w:pPr>
        <w:jc w:val="both"/>
        <w:rPr>
          <w:rFonts w:ascii="Arial" w:hAnsi="Arial" w:cs="Arial"/>
          <w:lang w:val="en-US"/>
        </w:rPr>
      </w:pPr>
      <w:r>
        <w:rPr>
          <w:rFonts w:ascii="Arial" w:eastAsia="Arial" w:hAnsi="Arial" w:cs="Arial"/>
          <w:lang w:val="en-US"/>
        </w:rPr>
        <w:t>We can see in the data that the vulnerable population, which goes back and forth between social inclusion and exclusion (Castel, 2000), has been more susceptible to going under the line of well being than going over it. This attributes to the number of people in moderate poverty. The area of integration (people who are not poor or vulnerable) may have grown, but the salary vulnerability of those who have unstable work situations and other adverse life conditions helped increase the population in the exclusion area.</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lastRenderedPageBreak/>
        <w:t>The exclusion of millions of citizens from the minimum indicators of social well being creates distinct behavior in the media, between federal entities and between groups of the population. There is a huge contrast between rural and urban areas. In 2010, 23.9 million citizens lived in extreme poverty in rural areas while 6.3 million lived in the same extreme poverty but in urban areas</w:t>
      </w:r>
      <w:r>
        <w:rPr>
          <w:rStyle w:val="Refdenotaalpie"/>
          <w:rFonts w:ascii="Arial" w:hAnsi="Arial" w:cs="Arial"/>
        </w:rPr>
        <w:footnoteReference w:id="2"/>
      </w:r>
      <w:r>
        <w:rPr>
          <w:rFonts w:ascii="Arial" w:eastAsia="Arial" w:hAnsi="Arial" w:cs="Arial"/>
          <w:lang w:val="en-US"/>
        </w:rPr>
        <w:t>. The states of Mexico experienced different situations. The number of moderate poor grew in all states except for Michoacán, Morelos, Coahuila and Puebla. The number of extreme poor grew in 15 states and went down in 17. The states with the most growth in extreme poor were Veracruz and Mexico State</w:t>
      </w:r>
      <w:r>
        <w:rPr>
          <w:rStyle w:val="Refdenotaalpie"/>
          <w:rFonts w:ascii="Arial" w:hAnsi="Arial" w:cs="Arial"/>
        </w:rPr>
        <w:footnoteReference w:id="3"/>
      </w:r>
      <w:r>
        <w:rPr>
          <w:rFonts w:ascii="Arial" w:eastAsia="Arial" w:hAnsi="Arial" w:cs="Arial"/>
          <w:lang w:val="en-US"/>
        </w:rPr>
        <w:t xml:space="preserve">. With respect to population groups, the poverty of indigenous groups from 2008 to 2010 is notorious. There was no positive change in the situation. The number of poor went from 5.3 million to 5.4 million.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Poverty is defined by CONEVAL as </w:t>
      </w:r>
      <w:r>
        <w:rPr>
          <w:rFonts w:ascii="Arial" w:eastAsia="Arial" w:hAnsi="Arial" w:cs="Arial"/>
          <w:i/>
          <w:iCs/>
          <w:lang w:val="en-US"/>
        </w:rPr>
        <w:t>not having enough to obtain a decent standard of living</w:t>
      </w:r>
      <w:r>
        <w:rPr>
          <w:rFonts w:ascii="Arial" w:eastAsia="Arial" w:hAnsi="Arial" w:cs="Arial"/>
          <w:lang w:val="en-US"/>
        </w:rPr>
        <w:t>. This has to with the Gross Domestic Product (GDP) per capita. One supposes that with a higher ability to earn a decent living, poverty should diminish. Nevertheless, we do not always see this behavior because what each person receives from the GDP depends upon how income is distributed. It is possible to have an increase in the GDP, but for this to have no favorable impact on poverty because the distribution can be unequal, especially in the highest deciles</w:t>
      </w:r>
      <w:r>
        <w:rPr>
          <w:rStyle w:val="Refdenotaalpie"/>
          <w:rFonts w:ascii="Arial" w:hAnsi="Arial" w:cs="Arial"/>
        </w:rPr>
        <w:footnoteReference w:id="4"/>
      </w:r>
      <w:r>
        <w:rPr>
          <w:rFonts w:ascii="Arial" w:eastAsia="Arial" w:hAnsi="Arial" w:cs="Arial"/>
          <w:lang w:val="en-US"/>
        </w:rPr>
        <w:t>. Poverty can also decrease even if the GDP per capita has not increased because of better distribution among poorest deciles (Cortés, 2010).</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The distribution of income was unequal in Mexico from 2008 through 2010. 30% of the homes are in the three highest deciles with 62.2% of the income. 70% of the remaining homes are within the first through seventh decile and take home 37.8%. There is a large gap between the first decile and the tenth decile which can be perceived in the following aspects:</w:t>
      </w:r>
    </w:p>
    <w:p w:rsidR="00322E42" w:rsidRPr="001F4ECA" w:rsidRDefault="00322E42" w:rsidP="00322E42">
      <w:pPr>
        <w:pStyle w:val="Textonotapie"/>
        <w:rPr>
          <w:rFonts w:ascii="Arial" w:hAnsi="Arial" w:cs="Arial"/>
          <w:lang w:val="en-US"/>
        </w:rPr>
      </w:pPr>
    </w:p>
    <w:p w:rsidR="00322E42" w:rsidRPr="001F4ECA" w:rsidRDefault="00322E42" w:rsidP="00322E42">
      <w:pPr>
        <w:pStyle w:val="Textonotapie"/>
        <w:numPr>
          <w:ilvl w:val="0"/>
          <w:numId w:val="32"/>
        </w:numPr>
        <w:rPr>
          <w:rFonts w:ascii="Arial" w:hAnsi="Arial" w:cs="Arial"/>
          <w:lang w:val="en-US"/>
        </w:rPr>
      </w:pPr>
      <w:r w:rsidRPr="00085009">
        <w:rPr>
          <w:rFonts w:ascii="Arial" w:eastAsia="Arial" w:hAnsi="Arial" w:cs="Arial"/>
          <w:lang w:val="en-US"/>
        </w:rPr>
        <w:t xml:space="preserve">The tenth decile, the richest, has 33.9% of the income and the first decile, the poorest, has only 1.8%. </w:t>
      </w:r>
    </w:p>
    <w:p w:rsidR="00322E42" w:rsidRPr="001F4ECA" w:rsidRDefault="00322E42" w:rsidP="00322E42">
      <w:pPr>
        <w:pStyle w:val="Textonotapie"/>
        <w:numPr>
          <w:ilvl w:val="0"/>
          <w:numId w:val="32"/>
        </w:numPr>
        <w:rPr>
          <w:rFonts w:ascii="Arial" w:hAnsi="Arial" w:cs="Arial"/>
          <w:lang w:val="en-US"/>
        </w:rPr>
      </w:pPr>
      <w:r w:rsidRPr="00085009">
        <w:rPr>
          <w:rFonts w:ascii="Arial" w:eastAsia="Arial" w:hAnsi="Arial" w:cs="Arial"/>
          <w:lang w:val="en-US"/>
        </w:rPr>
        <w:t>The source of income in these two groups w</w:t>
      </w:r>
      <w:r>
        <w:rPr>
          <w:rFonts w:ascii="Arial" w:eastAsia="Arial" w:hAnsi="Arial" w:cs="Arial"/>
          <w:lang w:val="en-US"/>
        </w:rPr>
        <w:t>as</w:t>
      </w:r>
      <w:r w:rsidRPr="00085009">
        <w:rPr>
          <w:rFonts w:ascii="Arial" w:eastAsia="Arial" w:hAnsi="Arial" w:cs="Arial"/>
          <w:lang w:val="en-US"/>
        </w:rPr>
        <w:t xml:space="preserve"> different. In the tenth decile, 37.5% were government transfers, 67% from subordinate work, property income at 8.4%, 9.0% from independent work and 1.2% from property income. In the first decile, government transfers accounted for 40.3%, subordinate work at 35.7%, independent work at 16.5%, income for other work was 6.0% and property income was 1.2%. </w:t>
      </w:r>
    </w:p>
    <w:p w:rsidR="00322E42" w:rsidRDefault="00322E42" w:rsidP="00322E42">
      <w:pPr>
        <w:pStyle w:val="Textonotapie"/>
        <w:numPr>
          <w:ilvl w:val="0"/>
          <w:numId w:val="32"/>
        </w:numPr>
        <w:rPr>
          <w:rFonts w:ascii="Arial" w:hAnsi="Arial" w:cs="Arial"/>
        </w:rPr>
      </w:pPr>
      <w:r>
        <w:rPr>
          <w:rFonts w:ascii="Arial" w:eastAsia="Arial" w:hAnsi="Arial" w:cs="Arial"/>
          <w:lang w:val="en-US"/>
        </w:rPr>
        <w:lastRenderedPageBreak/>
        <w:t xml:space="preserve">Expenditures were also different. The tenth decile spent 19.5% on education, while the first only allotted 5.4%. In the case of the richest, education is their second priority and in the case of the poorest, education is their sixth priority. We can see this in the following graphic:   </w:t>
      </w:r>
    </w:p>
    <w:p w:rsidR="00322E42" w:rsidRDefault="00322E42" w:rsidP="00322E42">
      <w:pPr>
        <w:pStyle w:val="Textonotapie"/>
        <w:spacing w:line="360" w:lineRule="auto"/>
        <w:rPr>
          <w:rFonts w:ascii="Arial" w:hAnsi="Arial" w:cs="Arial"/>
        </w:rPr>
      </w:pPr>
      <w:r>
        <w:rPr>
          <w:noProof/>
          <w:lang w:val="es-MX" w:eastAsia="es-MX"/>
        </w:rPr>
        <w:drawing>
          <wp:inline distT="0" distB="0" distL="0" distR="0" wp14:anchorId="05A21067" wp14:editId="355BF465">
            <wp:extent cx="5612130" cy="4867275"/>
            <wp:effectExtent l="19050" t="0" r="2667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322E42" w:rsidRPr="001F4ECA" w:rsidRDefault="00322E42" w:rsidP="00322E42">
      <w:pPr>
        <w:pStyle w:val="Textonotapie"/>
        <w:spacing w:line="360" w:lineRule="auto"/>
        <w:rPr>
          <w:rFonts w:ascii="Arial" w:hAnsi="Arial" w:cs="Arial"/>
          <w:sz w:val="20"/>
          <w:szCs w:val="20"/>
          <w:lang w:val="en-US"/>
        </w:rPr>
      </w:pPr>
      <w:r w:rsidRPr="00304AC9">
        <w:rPr>
          <w:rFonts w:ascii="Arial" w:eastAsia="Arial" w:hAnsi="Arial" w:cs="Arial"/>
          <w:sz w:val="20"/>
          <w:szCs w:val="20"/>
          <w:lang w:val="en-US"/>
        </w:rPr>
        <w:t>Source: INEGI, 2011a</w:t>
      </w:r>
    </w:p>
    <w:p w:rsidR="00322E42" w:rsidRPr="001F4ECA" w:rsidRDefault="00322E42" w:rsidP="00322E42">
      <w:pPr>
        <w:spacing w:line="360" w:lineRule="auto"/>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Two relevant aspects stand above for this study. The first is the inequality of income distribution because it is concentrated in the tenth decile corresponding to the richest. The second is the inequality in education expenses because the smaller the income, the less the “investment” in education. 50% of the income of the poor is used for food. Education is not one of their main priorities. In contrast, education is a main priority for the richest decile. This confirms the vicious circle between poverty and education impacting all the way up to the third level.</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b/>
          <w:lang w:val="en-US"/>
        </w:rPr>
      </w:pPr>
      <w:r>
        <w:rPr>
          <w:rFonts w:ascii="Arial" w:eastAsia="Arial" w:hAnsi="Arial" w:cs="Arial"/>
          <w:b/>
          <w:bCs/>
          <w:lang w:val="en-US"/>
        </w:rPr>
        <w:t>2. The Inequality of Higher Education in Vulnerable Groups</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Young people and their families in a situation of poverty and vulnerability have had to ¨compete¨ for a place in higher education, in an effort to jump the gap of inequality in education. In recent years, statistical data has been presented dealing with the coverage of higher education. The data confirms that the problem of inequality in higher education continues.</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Karina Avilés, in January, 2010, in the newspaper </w:t>
      </w:r>
      <w:r>
        <w:rPr>
          <w:rFonts w:ascii="Arial" w:eastAsia="Arial" w:hAnsi="Arial" w:cs="Arial"/>
          <w:i/>
          <w:iCs/>
          <w:lang w:val="en-US"/>
        </w:rPr>
        <w:t>La Jornada</w:t>
      </w:r>
      <w:r>
        <w:rPr>
          <w:rFonts w:ascii="Arial" w:eastAsia="Arial" w:hAnsi="Arial" w:cs="Arial"/>
          <w:lang w:val="en-US"/>
        </w:rPr>
        <w:t>, quoted data given to her by the Subsecretaría de Educación Superior (SES) or the Under-secretary of Higher Education, concerning the higher education access gap for young people between 19 and 23 years of age. Only 4.9% of the youth in the first decile attended an institution of higher education. While in the tenth decile relating to the richest sector, 58% had a place in higher education.</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Tuirán, one year later, indicated in the newspaper supplement </w:t>
      </w:r>
      <w:r>
        <w:rPr>
          <w:rFonts w:ascii="Arial" w:eastAsia="Arial" w:hAnsi="Arial" w:cs="Arial"/>
          <w:i/>
          <w:iCs/>
          <w:lang w:val="en-US"/>
        </w:rPr>
        <w:t>Campus Milenio,</w:t>
      </w:r>
      <w:r>
        <w:rPr>
          <w:rFonts w:ascii="Arial" w:eastAsia="Arial" w:hAnsi="Arial" w:cs="Arial"/>
          <w:lang w:val="en-US"/>
        </w:rPr>
        <w:t xml:space="preserve"> that the country was far from achieving equality in access to higher education. A young person in the tenth decile was four times more likely to enter higher education than a young person in the first decile.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Not only those with less resources are excluded from higher education. The vulnerability is extended to other groups like women, indigenous peoples and those with disabilities.</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In the case of women, the percentage of those attending higher education is lower than that of men, by almost one percentage point. In 2010, the information reported by INEGI was the following: 28.4% (men) and 27.3% (women). Women suffer double inequality, that of gender and that of poverty. Being a woman and being poor puts women in a more adverse situation than men.    </w:t>
      </w:r>
    </w:p>
    <w:p w:rsidR="00322E42" w:rsidRPr="001F4ECA" w:rsidRDefault="00322E42" w:rsidP="00322E42">
      <w:pPr>
        <w:spacing w:line="360" w:lineRule="auto"/>
        <w:jc w:val="both"/>
        <w:rPr>
          <w:rFonts w:ascii="Arial" w:hAnsi="Arial" w:cs="Arial"/>
          <w:lang w:val="en-US"/>
        </w:rPr>
      </w:pPr>
    </w:p>
    <w:p w:rsidR="00322E42" w:rsidRPr="001F4ECA" w:rsidRDefault="00322E42" w:rsidP="00322E42">
      <w:pPr>
        <w:spacing w:line="360" w:lineRule="auto"/>
        <w:jc w:val="center"/>
        <w:rPr>
          <w:rFonts w:ascii="Arial" w:hAnsi="Arial" w:cs="Arial"/>
          <w:b/>
          <w:sz w:val="20"/>
          <w:szCs w:val="20"/>
          <w:lang w:val="en-US"/>
        </w:rPr>
      </w:pPr>
      <w:r w:rsidRPr="00E90C79">
        <w:rPr>
          <w:rFonts w:ascii="Arial" w:eastAsia="Arial" w:hAnsi="Arial" w:cs="Arial"/>
          <w:b/>
          <w:bCs/>
          <w:sz w:val="20"/>
          <w:szCs w:val="20"/>
          <w:lang w:val="en-US"/>
        </w:rPr>
        <w:t>Table 1</w:t>
      </w:r>
    </w:p>
    <w:p w:rsidR="00322E42" w:rsidRPr="001F4ECA" w:rsidRDefault="00322E42" w:rsidP="00322E42">
      <w:pPr>
        <w:widowControl w:val="0"/>
        <w:autoSpaceDE w:val="0"/>
        <w:autoSpaceDN w:val="0"/>
        <w:adjustRightInd w:val="0"/>
        <w:jc w:val="center"/>
        <w:rPr>
          <w:rFonts w:ascii="Arial" w:hAnsi="Arial" w:cs="Arial"/>
          <w:sz w:val="20"/>
          <w:szCs w:val="20"/>
          <w:lang w:val="en-US"/>
        </w:rPr>
      </w:pPr>
      <w:r w:rsidRPr="00E90C79">
        <w:rPr>
          <w:rFonts w:ascii="Arial" w:eastAsia="Arial" w:hAnsi="Arial" w:cs="Arial"/>
          <w:sz w:val="20"/>
          <w:szCs w:val="20"/>
          <w:lang w:val="en-US"/>
        </w:rPr>
        <w:t xml:space="preserve">Percentage of the population between 18 and 29 that attend school according to the size of the community, </w:t>
      </w:r>
      <w:r>
        <w:rPr>
          <w:rFonts w:ascii="Arial" w:eastAsia="Arial" w:hAnsi="Arial" w:cs="Arial"/>
          <w:sz w:val="20"/>
          <w:szCs w:val="20"/>
          <w:lang w:val="en-US"/>
        </w:rPr>
        <w:t>as per</w:t>
      </w:r>
      <w:r w:rsidRPr="00E90C79">
        <w:rPr>
          <w:rFonts w:ascii="Arial" w:eastAsia="Arial" w:hAnsi="Arial" w:cs="Arial"/>
          <w:sz w:val="20"/>
          <w:szCs w:val="20"/>
          <w:lang w:val="en-US"/>
        </w:rPr>
        <w:t xml:space="preserve"> age and sex (2010)</w:t>
      </w:r>
    </w:p>
    <w:p w:rsidR="00322E42" w:rsidRPr="001F4ECA" w:rsidRDefault="00322E42" w:rsidP="00322E42">
      <w:pPr>
        <w:spacing w:line="360" w:lineRule="auto"/>
        <w:jc w:val="both"/>
        <w:rPr>
          <w:rFonts w:ascii="Arial" w:hAnsi="Arial" w:cs="Arial"/>
          <w:lang w:val="en-US"/>
        </w:rPr>
      </w:pPr>
    </w:p>
    <w:tbl>
      <w:tblPr>
        <w:tblStyle w:val="Sombreadoclaro"/>
        <w:tblW w:w="0" w:type="auto"/>
        <w:jc w:val="center"/>
        <w:tblLook w:val="04A0" w:firstRow="1" w:lastRow="0" w:firstColumn="1" w:lastColumn="0" w:noHBand="0" w:noVBand="1"/>
      </w:tblPr>
      <w:tblGrid>
        <w:gridCol w:w="2651"/>
        <w:gridCol w:w="606"/>
        <w:gridCol w:w="906"/>
        <w:gridCol w:w="606"/>
        <w:gridCol w:w="906"/>
      </w:tblGrid>
      <w:tr w:rsidR="00322E42" w:rsidTr="00D501E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322E42" w:rsidRPr="001F4ECA" w:rsidRDefault="00322E42" w:rsidP="00D501E7">
            <w:pPr>
              <w:jc w:val="both"/>
              <w:rPr>
                <w:rFonts w:ascii="Arial" w:hAnsi="Arial" w:cs="Arial"/>
                <w:sz w:val="20"/>
                <w:szCs w:val="20"/>
                <w:lang w:val="en-US"/>
              </w:rPr>
            </w:pPr>
          </w:p>
        </w:tc>
        <w:tc>
          <w:tcPr>
            <w:tcW w:w="0" w:type="auto"/>
            <w:gridSpan w:val="4"/>
          </w:tcPr>
          <w:p w:rsidR="00322E42" w:rsidRPr="008D3017" w:rsidRDefault="00322E42" w:rsidP="00D501E7">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8D3017">
              <w:rPr>
                <w:rFonts w:ascii="Arial" w:eastAsia="Arial" w:hAnsi="Arial" w:cs="Arial"/>
                <w:b w:val="0"/>
                <w:color w:val="auto"/>
                <w:sz w:val="20"/>
                <w:szCs w:val="20"/>
                <w:lang w:val="en-US"/>
              </w:rPr>
              <w:t>Age</w:t>
            </w:r>
          </w:p>
        </w:tc>
      </w:tr>
      <w:tr w:rsidR="00322E42" w:rsidTr="00D501E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322E42" w:rsidRPr="008D3017" w:rsidRDefault="00322E42" w:rsidP="00D501E7">
            <w:pPr>
              <w:jc w:val="both"/>
              <w:rPr>
                <w:rFonts w:ascii="Arial" w:hAnsi="Arial" w:cs="Arial"/>
                <w:sz w:val="20"/>
                <w:szCs w:val="20"/>
              </w:rPr>
            </w:pPr>
          </w:p>
        </w:tc>
        <w:tc>
          <w:tcPr>
            <w:tcW w:w="0" w:type="auto"/>
            <w:gridSpan w:val="2"/>
          </w:tcPr>
          <w:p w:rsidR="00322E42" w:rsidRPr="008D3017" w:rsidRDefault="00322E42" w:rsidP="00D501E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D3017">
              <w:rPr>
                <w:rFonts w:ascii="Arial" w:hAnsi="Arial" w:cs="Arial"/>
                <w:sz w:val="20"/>
                <w:szCs w:val="20"/>
              </w:rPr>
              <w:t>18-24</w:t>
            </w:r>
          </w:p>
        </w:tc>
        <w:tc>
          <w:tcPr>
            <w:tcW w:w="0" w:type="auto"/>
            <w:gridSpan w:val="2"/>
          </w:tcPr>
          <w:p w:rsidR="00322E42" w:rsidRPr="008D3017" w:rsidRDefault="00322E42" w:rsidP="00D501E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D3017">
              <w:rPr>
                <w:rFonts w:ascii="Arial" w:hAnsi="Arial" w:cs="Arial"/>
                <w:sz w:val="20"/>
                <w:szCs w:val="20"/>
              </w:rPr>
              <w:t>25-20</w:t>
            </w:r>
          </w:p>
        </w:tc>
      </w:tr>
      <w:tr w:rsidR="00322E42" w:rsidTr="00D501E7">
        <w:trPr>
          <w:jc w:val="center"/>
        </w:trPr>
        <w:tc>
          <w:tcPr>
            <w:cnfStyle w:val="001000000000" w:firstRow="0" w:lastRow="0" w:firstColumn="1" w:lastColumn="0" w:oddVBand="0" w:evenVBand="0" w:oddHBand="0" w:evenHBand="0" w:firstRowFirstColumn="0" w:firstRowLastColumn="0" w:lastRowFirstColumn="0" w:lastRowLastColumn="0"/>
            <w:tcW w:w="0" w:type="auto"/>
          </w:tcPr>
          <w:p w:rsidR="00322E42" w:rsidRPr="008D3017" w:rsidRDefault="00322E42" w:rsidP="00D501E7">
            <w:pPr>
              <w:jc w:val="both"/>
              <w:rPr>
                <w:rFonts w:ascii="Arial" w:hAnsi="Arial" w:cs="Arial"/>
                <w:sz w:val="20"/>
                <w:szCs w:val="20"/>
              </w:rPr>
            </w:pPr>
          </w:p>
        </w:tc>
        <w:tc>
          <w:tcPr>
            <w:tcW w:w="0" w:type="auto"/>
          </w:tcPr>
          <w:p w:rsidR="00322E42" w:rsidRPr="008D3017" w:rsidRDefault="00322E42" w:rsidP="00D501E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D3017">
              <w:rPr>
                <w:rFonts w:ascii="Arial" w:eastAsia="Arial" w:hAnsi="Arial" w:cs="Arial"/>
                <w:color w:val="auto"/>
                <w:sz w:val="20"/>
                <w:szCs w:val="20"/>
                <w:lang w:val="en-US"/>
              </w:rPr>
              <w:t>Men</w:t>
            </w:r>
          </w:p>
        </w:tc>
        <w:tc>
          <w:tcPr>
            <w:tcW w:w="0" w:type="auto"/>
          </w:tcPr>
          <w:p w:rsidR="00322E42" w:rsidRPr="008D3017" w:rsidRDefault="00322E42" w:rsidP="00D501E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D3017">
              <w:rPr>
                <w:rFonts w:ascii="Arial" w:eastAsia="Arial" w:hAnsi="Arial" w:cs="Arial"/>
                <w:color w:val="auto"/>
                <w:sz w:val="20"/>
                <w:szCs w:val="20"/>
                <w:lang w:val="en-US"/>
              </w:rPr>
              <w:t>Women</w:t>
            </w:r>
          </w:p>
        </w:tc>
        <w:tc>
          <w:tcPr>
            <w:tcW w:w="0" w:type="auto"/>
          </w:tcPr>
          <w:p w:rsidR="00322E42" w:rsidRPr="008D3017" w:rsidRDefault="00322E42" w:rsidP="00D501E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D3017">
              <w:rPr>
                <w:rFonts w:ascii="Arial" w:eastAsia="Arial" w:hAnsi="Arial" w:cs="Arial"/>
                <w:color w:val="auto"/>
                <w:sz w:val="20"/>
                <w:szCs w:val="20"/>
                <w:lang w:val="en-US"/>
              </w:rPr>
              <w:t xml:space="preserve">Men </w:t>
            </w:r>
          </w:p>
        </w:tc>
        <w:tc>
          <w:tcPr>
            <w:tcW w:w="0" w:type="auto"/>
          </w:tcPr>
          <w:p w:rsidR="00322E42" w:rsidRPr="008D3017" w:rsidRDefault="00322E42" w:rsidP="00D501E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D3017">
              <w:rPr>
                <w:rFonts w:ascii="Arial" w:eastAsia="Arial" w:hAnsi="Arial" w:cs="Arial"/>
                <w:color w:val="auto"/>
                <w:sz w:val="20"/>
                <w:szCs w:val="20"/>
                <w:lang w:val="en-US"/>
              </w:rPr>
              <w:t>Women</w:t>
            </w:r>
          </w:p>
        </w:tc>
      </w:tr>
      <w:tr w:rsidR="00322E42" w:rsidTr="00D501E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322E42" w:rsidRPr="008D3017" w:rsidRDefault="00322E42" w:rsidP="00D501E7">
            <w:pPr>
              <w:jc w:val="both"/>
              <w:rPr>
                <w:rFonts w:ascii="Arial" w:hAnsi="Arial" w:cs="Arial"/>
                <w:sz w:val="20"/>
                <w:szCs w:val="20"/>
              </w:rPr>
            </w:pPr>
            <w:r w:rsidRPr="008D3017">
              <w:rPr>
                <w:rFonts w:ascii="Arial" w:eastAsia="Arial" w:hAnsi="Arial" w:cs="Arial"/>
                <w:b w:val="0"/>
                <w:color w:val="auto"/>
                <w:sz w:val="20"/>
                <w:szCs w:val="20"/>
                <w:lang w:val="en-US"/>
              </w:rPr>
              <w:t>Less than 2500 inhabitants</w:t>
            </w:r>
          </w:p>
        </w:tc>
        <w:tc>
          <w:tcPr>
            <w:tcW w:w="0" w:type="auto"/>
          </w:tcPr>
          <w:p w:rsidR="00322E42" w:rsidRPr="008D3017" w:rsidRDefault="00322E42" w:rsidP="00D501E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14.7</w:t>
            </w:r>
          </w:p>
        </w:tc>
        <w:tc>
          <w:tcPr>
            <w:tcW w:w="0" w:type="auto"/>
          </w:tcPr>
          <w:p w:rsidR="00322E42" w:rsidRPr="008D3017" w:rsidRDefault="00322E42" w:rsidP="00D501E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14.4</w:t>
            </w:r>
          </w:p>
        </w:tc>
        <w:tc>
          <w:tcPr>
            <w:tcW w:w="0" w:type="auto"/>
          </w:tcPr>
          <w:p w:rsidR="00322E42" w:rsidRPr="008D3017" w:rsidRDefault="00322E42" w:rsidP="00D501E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2.5</w:t>
            </w:r>
          </w:p>
        </w:tc>
        <w:tc>
          <w:tcPr>
            <w:tcW w:w="0" w:type="auto"/>
          </w:tcPr>
          <w:p w:rsidR="00322E42" w:rsidRPr="008D3017" w:rsidRDefault="00322E42" w:rsidP="00D501E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2.6</w:t>
            </w:r>
          </w:p>
        </w:tc>
      </w:tr>
      <w:tr w:rsidR="00322E42" w:rsidTr="00D501E7">
        <w:trPr>
          <w:jc w:val="center"/>
        </w:trPr>
        <w:tc>
          <w:tcPr>
            <w:cnfStyle w:val="001000000000" w:firstRow="0" w:lastRow="0" w:firstColumn="1" w:lastColumn="0" w:oddVBand="0" w:evenVBand="0" w:oddHBand="0" w:evenHBand="0" w:firstRowFirstColumn="0" w:firstRowLastColumn="0" w:lastRowFirstColumn="0" w:lastRowLastColumn="0"/>
            <w:tcW w:w="0" w:type="auto"/>
          </w:tcPr>
          <w:p w:rsidR="00322E42" w:rsidRPr="008D3017" w:rsidRDefault="00322E42" w:rsidP="00D501E7">
            <w:pPr>
              <w:jc w:val="both"/>
              <w:rPr>
                <w:rFonts w:ascii="Arial" w:hAnsi="Arial" w:cs="Arial"/>
                <w:sz w:val="20"/>
                <w:szCs w:val="20"/>
              </w:rPr>
            </w:pPr>
            <w:r>
              <w:rPr>
                <w:rFonts w:ascii="Arial" w:hAnsi="Arial" w:cs="Arial"/>
                <w:sz w:val="20"/>
                <w:szCs w:val="20"/>
              </w:rPr>
              <w:t>2500-14999</w:t>
            </w:r>
          </w:p>
        </w:tc>
        <w:tc>
          <w:tcPr>
            <w:tcW w:w="0" w:type="auto"/>
          </w:tcPr>
          <w:p w:rsidR="00322E42" w:rsidRPr="008D3017" w:rsidRDefault="00322E42" w:rsidP="00D501E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23.1</w:t>
            </w:r>
          </w:p>
        </w:tc>
        <w:tc>
          <w:tcPr>
            <w:tcW w:w="0" w:type="auto"/>
          </w:tcPr>
          <w:p w:rsidR="00322E42" w:rsidRPr="008D3017" w:rsidRDefault="00322E42" w:rsidP="00D501E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22.2</w:t>
            </w:r>
          </w:p>
        </w:tc>
        <w:tc>
          <w:tcPr>
            <w:tcW w:w="0" w:type="auto"/>
          </w:tcPr>
          <w:p w:rsidR="00322E42" w:rsidRPr="008D3017" w:rsidRDefault="00322E42" w:rsidP="00D501E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4.2</w:t>
            </w:r>
          </w:p>
        </w:tc>
        <w:tc>
          <w:tcPr>
            <w:tcW w:w="0" w:type="auto"/>
          </w:tcPr>
          <w:p w:rsidR="00322E42" w:rsidRPr="008D3017" w:rsidRDefault="00322E42" w:rsidP="00D501E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4.0</w:t>
            </w:r>
          </w:p>
        </w:tc>
      </w:tr>
      <w:tr w:rsidR="00322E42" w:rsidTr="00D501E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322E42" w:rsidRPr="008D3017" w:rsidRDefault="00322E42" w:rsidP="00D501E7">
            <w:pPr>
              <w:jc w:val="both"/>
              <w:rPr>
                <w:rFonts w:ascii="Arial" w:hAnsi="Arial" w:cs="Arial"/>
                <w:sz w:val="20"/>
                <w:szCs w:val="20"/>
              </w:rPr>
            </w:pPr>
            <w:r>
              <w:rPr>
                <w:rFonts w:ascii="Arial" w:hAnsi="Arial" w:cs="Arial"/>
                <w:sz w:val="20"/>
                <w:szCs w:val="20"/>
              </w:rPr>
              <w:t>15000-99999</w:t>
            </w:r>
          </w:p>
        </w:tc>
        <w:tc>
          <w:tcPr>
            <w:tcW w:w="0" w:type="auto"/>
          </w:tcPr>
          <w:p w:rsidR="00322E42" w:rsidRPr="008D3017" w:rsidRDefault="00322E42" w:rsidP="00D501E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29.1</w:t>
            </w:r>
          </w:p>
        </w:tc>
        <w:tc>
          <w:tcPr>
            <w:tcW w:w="0" w:type="auto"/>
          </w:tcPr>
          <w:p w:rsidR="00322E42" w:rsidRPr="008D3017" w:rsidRDefault="00322E42" w:rsidP="00D501E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27.7</w:t>
            </w:r>
          </w:p>
        </w:tc>
        <w:tc>
          <w:tcPr>
            <w:tcW w:w="0" w:type="auto"/>
          </w:tcPr>
          <w:p w:rsidR="00322E42" w:rsidRPr="008D3017" w:rsidRDefault="00322E42" w:rsidP="00D501E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5.7</w:t>
            </w:r>
          </w:p>
        </w:tc>
        <w:tc>
          <w:tcPr>
            <w:tcW w:w="0" w:type="auto"/>
          </w:tcPr>
          <w:p w:rsidR="00322E42" w:rsidRPr="008D3017" w:rsidRDefault="00322E42" w:rsidP="00D501E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5.1</w:t>
            </w:r>
          </w:p>
        </w:tc>
      </w:tr>
      <w:tr w:rsidR="00322E42" w:rsidTr="00D501E7">
        <w:trPr>
          <w:jc w:val="center"/>
        </w:trPr>
        <w:tc>
          <w:tcPr>
            <w:cnfStyle w:val="001000000000" w:firstRow="0" w:lastRow="0" w:firstColumn="1" w:lastColumn="0" w:oddVBand="0" w:evenVBand="0" w:oddHBand="0" w:evenHBand="0" w:firstRowFirstColumn="0" w:firstRowLastColumn="0" w:lastRowFirstColumn="0" w:lastRowLastColumn="0"/>
            <w:tcW w:w="0" w:type="auto"/>
          </w:tcPr>
          <w:p w:rsidR="00322E42" w:rsidRPr="008D3017" w:rsidRDefault="00322E42" w:rsidP="00D501E7">
            <w:pPr>
              <w:jc w:val="both"/>
              <w:rPr>
                <w:rFonts w:ascii="Arial" w:hAnsi="Arial" w:cs="Arial"/>
                <w:sz w:val="20"/>
                <w:szCs w:val="20"/>
              </w:rPr>
            </w:pPr>
            <w:r>
              <w:rPr>
                <w:rFonts w:ascii="Arial" w:eastAsia="Arial" w:hAnsi="Arial" w:cs="Arial"/>
                <w:b w:val="0"/>
                <w:color w:val="auto"/>
                <w:sz w:val="20"/>
                <w:szCs w:val="20"/>
                <w:lang w:val="en-US"/>
              </w:rPr>
              <w:t>100000 or more inhabitants</w:t>
            </w:r>
          </w:p>
        </w:tc>
        <w:tc>
          <w:tcPr>
            <w:tcW w:w="0" w:type="auto"/>
          </w:tcPr>
          <w:p w:rsidR="00322E42" w:rsidRPr="008D3017" w:rsidRDefault="00322E42" w:rsidP="00D501E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36.2</w:t>
            </w:r>
          </w:p>
        </w:tc>
        <w:tc>
          <w:tcPr>
            <w:tcW w:w="0" w:type="auto"/>
          </w:tcPr>
          <w:p w:rsidR="00322E42" w:rsidRPr="008D3017" w:rsidRDefault="00322E42" w:rsidP="00D501E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34.9</w:t>
            </w:r>
          </w:p>
        </w:tc>
        <w:tc>
          <w:tcPr>
            <w:tcW w:w="0" w:type="auto"/>
          </w:tcPr>
          <w:p w:rsidR="00322E42" w:rsidRPr="008D3017" w:rsidRDefault="00322E42" w:rsidP="00D501E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9.2</w:t>
            </w:r>
          </w:p>
        </w:tc>
        <w:tc>
          <w:tcPr>
            <w:tcW w:w="0" w:type="auto"/>
          </w:tcPr>
          <w:p w:rsidR="00322E42" w:rsidRPr="008D3017" w:rsidRDefault="00322E42" w:rsidP="00D501E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7.5</w:t>
            </w:r>
          </w:p>
        </w:tc>
      </w:tr>
    </w:tbl>
    <w:p w:rsidR="00322E42" w:rsidRPr="001F4ECA" w:rsidRDefault="00322E42" w:rsidP="00322E42">
      <w:pPr>
        <w:ind w:firstLine="708"/>
        <w:jc w:val="both"/>
        <w:rPr>
          <w:rFonts w:ascii="Arial" w:hAnsi="Arial" w:cs="Arial"/>
          <w:sz w:val="20"/>
          <w:szCs w:val="20"/>
          <w:lang w:val="en-US"/>
        </w:rPr>
      </w:pPr>
      <w:r w:rsidRPr="00432F54">
        <w:rPr>
          <w:rFonts w:ascii="Arial" w:eastAsia="Arial" w:hAnsi="Arial" w:cs="Arial"/>
          <w:sz w:val="20"/>
          <w:szCs w:val="20"/>
          <w:lang w:val="en-US"/>
        </w:rPr>
        <w:t>Source: INEGI, 2010. Population and Housing Census Information from Basic Questionnaire</w:t>
      </w:r>
    </w:p>
    <w:p w:rsidR="00322E42" w:rsidRPr="001F4ECA" w:rsidRDefault="00322E42" w:rsidP="00322E42">
      <w:pPr>
        <w:spacing w:line="360" w:lineRule="auto"/>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The lowest proportion of women studying in post secondary institutions occurs at the lowest levels with only 14.4%, in other words, approximately 15 out of 100 women, between the ages of 18 and 24. As the number of inhabitants in a community rises, so does the participation of women, but not in the same proportion as men. Another aspect noted is that the older the woman, the lower the possibility of her accessing education. In summary, women suffer inequality in education in three ways: gender, poverty and age.</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With respect to indigenous communities, Mexico is a multicultural nation because there are approximately 62 indigenous groups. The indigenous population, according to official numbers, is over 10 million inhabitants, representing 9.8% of the total population. These indigenous communities are mostly located in the southern and south-eastern states of the country: Oaxaca (1.5 million inhabitants), Chiapas (1.2 million inhabitants), Veracruz (more than 900 thousand inhabitant), Yucatán (more than 900 thousand inhabitants) and Puebla (more than 900 thousand inhabitants). Another 4.2 million inhabitants are distributed throughout other states.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Indigenous communities suffer doubly from both social and educational exclusion. The poverty rates are high. Living conditions are lacking in many areas. When it comes to education, they have problems in two areas of the Human Development Index (HDI). There is a high rate of illiteracy which is three times higher than the national average. Only 64% of the indigenous population between 15 and 64 years old have a basic education. The rate of school attendance, the limited educational services in indigenous communities, the low quality of education and lack of basic services all influence the rate of school drop-outs. These problems create a breeding ground for inequality in education nourished by several different social, economic and cultural </w:t>
      </w:r>
      <w:r>
        <w:rPr>
          <w:rFonts w:ascii="Arial" w:eastAsia="Arial" w:hAnsi="Arial" w:cs="Arial"/>
          <w:i/>
          <w:iCs/>
          <w:lang w:val="en-US"/>
        </w:rPr>
        <w:t>roots</w:t>
      </w:r>
      <w:r>
        <w:rPr>
          <w:rFonts w:ascii="Arial" w:eastAsia="Arial" w:hAnsi="Arial" w:cs="Arial"/>
          <w:lang w:val="en-US"/>
        </w:rPr>
        <w:t>, which have been pointed out by the studies done at the Comisión Nacional para el Desarrollo de los Pueblos Indígenas (CDI) or National Commission for the Development of Indigenous Peoples:</w:t>
      </w:r>
    </w:p>
    <w:p w:rsidR="00322E42" w:rsidRPr="001F4ECA" w:rsidRDefault="00322E42" w:rsidP="00322E42">
      <w:pPr>
        <w:jc w:val="both"/>
        <w:rPr>
          <w:rFonts w:ascii="Arial" w:hAnsi="Arial" w:cs="Arial"/>
          <w:lang w:val="en-US"/>
        </w:rPr>
      </w:pPr>
    </w:p>
    <w:p w:rsidR="00322E42" w:rsidRPr="001F4ECA" w:rsidRDefault="00322E42" w:rsidP="00322E42">
      <w:pPr>
        <w:widowControl w:val="0"/>
        <w:autoSpaceDE w:val="0"/>
        <w:autoSpaceDN w:val="0"/>
        <w:adjustRightInd w:val="0"/>
        <w:jc w:val="both"/>
        <w:rPr>
          <w:rFonts w:ascii="Arial" w:hAnsi="Arial" w:cs="Arial"/>
          <w:lang w:val="en-US"/>
        </w:rPr>
      </w:pPr>
      <w:r w:rsidRPr="0067096B">
        <w:rPr>
          <w:rFonts w:ascii="Arial" w:eastAsia="Arial" w:hAnsi="Arial" w:cs="Arial"/>
          <w:lang w:val="en-US"/>
        </w:rPr>
        <w:t xml:space="preserve">- because of exclusion from or difficulty in accessing the system, which includes the type and sufficiency of quality educational services, as well as the existence of accessible physical infrastructures adequate to the needs, circumstances and community interests as well as those of the population being served, and including the modification and flexibility </w:t>
      </w:r>
      <w:r w:rsidRPr="0067096B">
        <w:rPr>
          <w:rFonts w:ascii="Arial" w:eastAsia="Arial" w:hAnsi="Arial" w:cs="Arial"/>
          <w:lang w:val="en-US"/>
        </w:rPr>
        <w:lastRenderedPageBreak/>
        <w:t xml:space="preserve">of the schedules and school calendars. </w:t>
      </w:r>
    </w:p>
    <w:p w:rsidR="00322E42" w:rsidRPr="001F4ECA" w:rsidRDefault="00322E42" w:rsidP="00322E42">
      <w:pPr>
        <w:widowControl w:val="0"/>
        <w:autoSpaceDE w:val="0"/>
        <w:autoSpaceDN w:val="0"/>
        <w:adjustRightInd w:val="0"/>
        <w:jc w:val="both"/>
        <w:rPr>
          <w:rFonts w:ascii="Arial" w:hAnsi="Arial" w:cs="Arial"/>
          <w:lang w:val="en-US"/>
        </w:rPr>
      </w:pPr>
      <w:r w:rsidRPr="0067096B">
        <w:rPr>
          <w:rFonts w:ascii="Arial" w:eastAsia="Arial" w:hAnsi="Arial" w:cs="Arial"/>
          <w:lang w:val="en-US"/>
        </w:rPr>
        <w:t>- because of the small amount of cultural indigenous content at the curricular level, educational materials and educational practice, which use very little of the diversity and the specificity of the indigenous cultures including: history, songs, dance, musical instruments as well as knowledge, among others.</w:t>
      </w:r>
    </w:p>
    <w:p w:rsidR="00322E42" w:rsidRPr="001F4ECA" w:rsidRDefault="00322E42" w:rsidP="00322E42">
      <w:pPr>
        <w:widowControl w:val="0"/>
        <w:autoSpaceDE w:val="0"/>
        <w:autoSpaceDN w:val="0"/>
        <w:adjustRightInd w:val="0"/>
        <w:jc w:val="both"/>
        <w:rPr>
          <w:rFonts w:ascii="Arial" w:hAnsi="Arial" w:cs="Arial"/>
          <w:lang w:val="en-US"/>
        </w:rPr>
      </w:pPr>
      <w:r w:rsidRPr="0067096B">
        <w:rPr>
          <w:rFonts w:ascii="Arial" w:eastAsia="Arial" w:hAnsi="Arial" w:cs="Arial"/>
          <w:lang w:val="en-US"/>
        </w:rPr>
        <w:t>- because of the presence of bilingual</w:t>
      </w:r>
      <w:r>
        <w:rPr>
          <w:rFonts w:ascii="Arial" w:eastAsia="Arial" w:hAnsi="Arial" w:cs="Arial"/>
          <w:lang w:val="en-US"/>
        </w:rPr>
        <w:t xml:space="preserve"> education (S</w:t>
      </w:r>
      <w:r w:rsidRPr="0067096B">
        <w:rPr>
          <w:rFonts w:ascii="Arial" w:eastAsia="Arial" w:hAnsi="Arial" w:cs="Arial"/>
          <w:lang w:val="en-US"/>
        </w:rPr>
        <w:t>panish-indigenous language) which has been seen as more of a problem than as a cultural necessity with enriching potential for the country as a whole.</w:t>
      </w:r>
    </w:p>
    <w:p w:rsidR="00322E42" w:rsidRPr="001F4ECA" w:rsidRDefault="00322E42" w:rsidP="00322E42">
      <w:pPr>
        <w:widowControl w:val="0"/>
        <w:autoSpaceDE w:val="0"/>
        <w:autoSpaceDN w:val="0"/>
        <w:adjustRightInd w:val="0"/>
        <w:jc w:val="both"/>
        <w:rPr>
          <w:rFonts w:ascii="Arial" w:hAnsi="Arial" w:cs="Arial"/>
          <w:lang w:val="en-US"/>
        </w:rPr>
      </w:pPr>
      <w:r w:rsidRPr="0067096B">
        <w:rPr>
          <w:rFonts w:ascii="Arial" w:eastAsia="Arial" w:hAnsi="Arial" w:cs="Arial"/>
          <w:lang w:val="en-US"/>
        </w:rPr>
        <w:t>- because of the lack of educational materials in indigenous languages.</w:t>
      </w:r>
    </w:p>
    <w:p w:rsidR="00322E42" w:rsidRPr="001F4ECA" w:rsidRDefault="00322E42" w:rsidP="00322E42">
      <w:pPr>
        <w:widowControl w:val="0"/>
        <w:autoSpaceDE w:val="0"/>
        <w:autoSpaceDN w:val="0"/>
        <w:adjustRightInd w:val="0"/>
        <w:jc w:val="both"/>
        <w:rPr>
          <w:rFonts w:ascii="Arial" w:hAnsi="Arial" w:cs="Arial"/>
          <w:lang w:val="en-US"/>
        </w:rPr>
      </w:pPr>
      <w:r w:rsidRPr="0067096B">
        <w:rPr>
          <w:rFonts w:ascii="Arial" w:eastAsia="Arial" w:hAnsi="Arial" w:cs="Arial"/>
          <w:lang w:val="en-US"/>
        </w:rPr>
        <w:t xml:space="preserve">- because in the majority of cases the bilingual teachers act as “Spanish translators”, they do not use the indigenous language for the transmission of the scientific and technological knowledge. This sometimes causes a devaluation of indigenous identity and culture (CNI, 2006, 93).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The problem with inequality in education for indigenous groups has to do with diversity, identity, language, values, educational practices, curriculum, pedagogical methods, educational materials and respect for other cultures. All of this has repercussions in all educational levels. This is particularly true in higher education, which impacts doubly: structurally because there is insufficient coverage, infrastructure and inadequate equipment, a lack of an inadequate distribution of economic resources; in academic results because of the teachers´ lack of education, traditional educational practices, high drop-out rates and academic failure in general.    </w:t>
      </w:r>
    </w:p>
    <w:p w:rsidR="00322E42" w:rsidRPr="001F4ECA" w:rsidRDefault="00322E42" w:rsidP="00322E42">
      <w:pPr>
        <w:jc w:val="both"/>
        <w:rPr>
          <w:rFonts w:ascii="Arial" w:hAnsi="Arial" w:cs="Arial"/>
          <w:lang w:val="en-US"/>
        </w:rPr>
      </w:pPr>
      <w:r w:rsidRPr="001F4ECA">
        <w:rPr>
          <w:rFonts w:ascii="Arial" w:hAnsi="Arial" w:cs="Arial"/>
          <w:lang w:val="en-US"/>
        </w:rPr>
        <w:t xml:space="preserve">  </w:t>
      </w:r>
    </w:p>
    <w:p w:rsidR="00322E42" w:rsidRPr="001F4ECA" w:rsidRDefault="00322E42" w:rsidP="00322E42">
      <w:pPr>
        <w:jc w:val="both"/>
        <w:rPr>
          <w:rFonts w:ascii="Arial" w:hAnsi="Arial" w:cs="Arial"/>
          <w:lang w:val="en-US"/>
        </w:rPr>
      </w:pPr>
      <w:r>
        <w:rPr>
          <w:rFonts w:ascii="Arial" w:eastAsia="Arial" w:hAnsi="Arial" w:cs="Arial"/>
          <w:lang w:val="en-US"/>
        </w:rPr>
        <w:t xml:space="preserve">In summary, the indigenous population suffers a inequality in education at the post secondary level because of its ethnicity and poverty. Only 1% of youth between 19 and 23 years old access higher education (Castillo, 2002). Indigenous women have less opportunity then men to continue studying.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Another vulnerable group of people who encounter difficulties in higher education are those with disabilities. Using the data from the 12th General Census of Population and Housing 2000, there is a population of one million seven hundred fifteen thousand inhabitants with some disability. This represents 1.8% of the Mexican population. Some information related to education are: in the population between 15 and 29 years old, only 15% attend school, and 32.9% of the population 15 years of age or older do not know how to read or write (INEGI, 2011b).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lastRenderedPageBreak/>
        <w:t xml:space="preserve">The numbers in higher education are not at all comforting: there are approximately 41 thousand students in higher education with some disability (43% with blindness, 38% with some kind of motor impairment, 13% hearing impaired and the rest with some other disability). Only 2 of every 100 people 15 years old or older received higher education.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People with disabilities suffer inequality in education because of their disabilities and discrimination. Institutions of higher education do not have the proper facilities, professors who are prepared to attend to people with a disability, educational practices that are designed for people with a disability or appropriate educational material.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In this brief summary of the problem, we see that vulnerable groups must confront the problem of inequality in higher education from several different perspectives: socioeconomic, gender, ethnicity and disability. Giving proper attention to vulnerable groups requires a comprehensive and inclusive vision. It is necessary to focus on the origins of their exclusion from higher education in order to solve their problems. Not all young people in vulnerable groups have the same level of vulnerability. Some suffer more than others and some live their vulnerability one way and other another way. For example, women have a higher possibility of being vulnerable than men. Men with a disability have a higher possibility of being vulnerable than men without a disability. Levels of vulnerability vary. We can see this in the following table:</w:t>
      </w:r>
    </w:p>
    <w:p w:rsidR="00322E42" w:rsidRPr="001F4ECA" w:rsidRDefault="00322E42" w:rsidP="00322E42">
      <w:pPr>
        <w:spacing w:line="360" w:lineRule="auto"/>
        <w:jc w:val="both"/>
        <w:rPr>
          <w:rFonts w:ascii="Arial" w:hAnsi="Arial" w:cs="Arial"/>
          <w:lang w:val="en-US"/>
        </w:rPr>
      </w:pPr>
    </w:p>
    <w:p w:rsidR="00322E42" w:rsidRPr="001F4ECA" w:rsidRDefault="00322E42" w:rsidP="00322E42">
      <w:pPr>
        <w:spacing w:line="360" w:lineRule="auto"/>
        <w:jc w:val="both"/>
        <w:rPr>
          <w:rFonts w:ascii="Arial" w:hAnsi="Arial" w:cs="Arial"/>
          <w:lang w:val="en-US"/>
        </w:rPr>
      </w:pPr>
    </w:p>
    <w:p w:rsidR="00322E42" w:rsidRPr="001F4ECA" w:rsidRDefault="00322E42" w:rsidP="00322E42">
      <w:pPr>
        <w:spacing w:line="360" w:lineRule="auto"/>
        <w:jc w:val="both"/>
        <w:rPr>
          <w:rFonts w:ascii="Arial" w:hAnsi="Arial" w:cs="Arial"/>
          <w:lang w:val="en-US"/>
        </w:rPr>
      </w:pPr>
    </w:p>
    <w:p w:rsidR="00322E42" w:rsidRPr="001F4ECA" w:rsidRDefault="00322E42" w:rsidP="00322E42">
      <w:pPr>
        <w:spacing w:line="360" w:lineRule="auto"/>
        <w:jc w:val="center"/>
        <w:rPr>
          <w:rFonts w:ascii="Arial" w:hAnsi="Arial" w:cs="Arial"/>
          <w:b/>
          <w:sz w:val="20"/>
          <w:szCs w:val="20"/>
          <w:lang w:val="en-US"/>
        </w:rPr>
      </w:pPr>
      <w:r>
        <w:rPr>
          <w:rFonts w:ascii="Arial" w:eastAsia="Arial" w:hAnsi="Arial" w:cs="Arial"/>
          <w:b/>
          <w:bCs/>
          <w:sz w:val="20"/>
          <w:szCs w:val="20"/>
          <w:lang w:val="en-US"/>
        </w:rPr>
        <w:t>Table 2</w:t>
      </w:r>
    </w:p>
    <w:p w:rsidR="00322E42" w:rsidRPr="001F4ECA" w:rsidRDefault="00322E42" w:rsidP="00322E42">
      <w:pPr>
        <w:spacing w:line="360" w:lineRule="auto"/>
        <w:jc w:val="center"/>
        <w:rPr>
          <w:rFonts w:ascii="Arial" w:hAnsi="Arial" w:cs="Arial"/>
          <w:b/>
          <w:sz w:val="20"/>
          <w:szCs w:val="20"/>
          <w:lang w:val="en-US"/>
        </w:rPr>
      </w:pPr>
      <w:r>
        <w:rPr>
          <w:rFonts w:ascii="Arial" w:eastAsia="Arial" w:hAnsi="Arial" w:cs="Arial"/>
          <w:b/>
          <w:bCs/>
          <w:sz w:val="20"/>
          <w:szCs w:val="20"/>
          <w:lang w:val="en-US"/>
        </w:rPr>
        <w:t xml:space="preserve">Conditions of Inequality in Higher Education </w:t>
      </w:r>
    </w:p>
    <w:tbl>
      <w:tblPr>
        <w:tblStyle w:val="Tablaconcuadrcula"/>
        <w:tblW w:w="0" w:type="auto"/>
        <w:tblLook w:val="04A0" w:firstRow="1" w:lastRow="0" w:firstColumn="1" w:lastColumn="0" w:noHBand="0" w:noVBand="1"/>
      </w:tblPr>
      <w:tblGrid>
        <w:gridCol w:w="3436"/>
        <w:gridCol w:w="750"/>
        <w:gridCol w:w="1301"/>
        <w:gridCol w:w="1648"/>
        <w:gridCol w:w="768"/>
      </w:tblGrid>
      <w:tr w:rsidR="00322E42" w:rsidTr="00D501E7">
        <w:tc>
          <w:tcPr>
            <w:tcW w:w="0" w:type="auto"/>
          </w:tcPr>
          <w:p w:rsidR="00322E42" w:rsidRPr="001F4ECA" w:rsidRDefault="00322E42" w:rsidP="00D501E7">
            <w:pPr>
              <w:spacing w:line="360" w:lineRule="auto"/>
              <w:jc w:val="center"/>
              <w:rPr>
                <w:rFonts w:ascii="Arial" w:hAnsi="Arial" w:cs="Arial"/>
                <w:b/>
                <w:sz w:val="16"/>
                <w:szCs w:val="16"/>
                <w:lang w:val="en-US"/>
              </w:rPr>
            </w:pPr>
          </w:p>
        </w:tc>
        <w:tc>
          <w:tcPr>
            <w:tcW w:w="0" w:type="auto"/>
            <w:gridSpan w:val="4"/>
          </w:tcPr>
          <w:p w:rsidR="00322E42" w:rsidRPr="00773C86" w:rsidRDefault="00322E42" w:rsidP="00D501E7">
            <w:pPr>
              <w:spacing w:line="360" w:lineRule="auto"/>
              <w:jc w:val="center"/>
              <w:rPr>
                <w:rFonts w:ascii="Arial" w:hAnsi="Arial" w:cs="Arial"/>
                <w:b/>
                <w:sz w:val="16"/>
                <w:szCs w:val="16"/>
              </w:rPr>
            </w:pPr>
            <w:r>
              <w:rPr>
                <w:rFonts w:ascii="Arial" w:eastAsia="Arial" w:hAnsi="Arial" w:cs="Arial"/>
                <w:b/>
                <w:bCs/>
                <w:sz w:val="16"/>
                <w:szCs w:val="16"/>
                <w:lang w:val="en-US"/>
              </w:rPr>
              <w:t>TYPE OF VULNERABILITY</w:t>
            </w:r>
          </w:p>
        </w:tc>
      </w:tr>
      <w:tr w:rsidR="00322E42" w:rsidTr="00D501E7">
        <w:tc>
          <w:tcPr>
            <w:tcW w:w="0" w:type="auto"/>
          </w:tcPr>
          <w:p w:rsidR="00322E42" w:rsidRPr="00773C86" w:rsidRDefault="00322E42" w:rsidP="00D501E7">
            <w:pPr>
              <w:spacing w:line="360" w:lineRule="auto"/>
              <w:jc w:val="both"/>
              <w:rPr>
                <w:rFonts w:ascii="Arial" w:hAnsi="Arial" w:cs="Arial"/>
                <w:sz w:val="16"/>
                <w:szCs w:val="16"/>
              </w:rPr>
            </w:pPr>
          </w:p>
        </w:tc>
        <w:tc>
          <w:tcPr>
            <w:tcW w:w="0" w:type="auto"/>
          </w:tcPr>
          <w:p w:rsidR="00322E42" w:rsidRPr="00773C86" w:rsidRDefault="00322E42" w:rsidP="00D501E7">
            <w:pPr>
              <w:spacing w:line="360" w:lineRule="auto"/>
              <w:jc w:val="both"/>
              <w:rPr>
                <w:rFonts w:ascii="Arial" w:hAnsi="Arial" w:cs="Arial"/>
                <w:sz w:val="16"/>
                <w:szCs w:val="16"/>
              </w:rPr>
            </w:pPr>
            <w:r>
              <w:rPr>
                <w:rFonts w:ascii="Arial" w:eastAsia="Arial" w:hAnsi="Arial" w:cs="Arial"/>
                <w:sz w:val="16"/>
                <w:szCs w:val="16"/>
                <w:lang w:val="en-US"/>
              </w:rPr>
              <w:t>Gender</w:t>
            </w:r>
          </w:p>
        </w:tc>
        <w:tc>
          <w:tcPr>
            <w:tcW w:w="0" w:type="auto"/>
          </w:tcPr>
          <w:p w:rsidR="00322E42" w:rsidRPr="00773C86" w:rsidRDefault="00322E42" w:rsidP="00D501E7">
            <w:pPr>
              <w:spacing w:line="360" w:lineRule="auto"/>
              <w:jc w:val="both"/>
              <w:rPr>
                <w:rFonts w:ascii="Arial" w:hAnsi="Arial" w:cs="Arial"/>
                <w:sz w:val="16"/>
                <w:szCs w:val="16"/>
              </w:rPr>
            </w:pPr>
            <w:r w:rsidRPr="00773C86">
              <w:rPr>
                <w:rFonts w:ascii="Arial" w:eastAsia="Arial" w:hAnsi="Arial" w:cs="Arial"/>
                <w:sz w:val="16"/>
                <w:szCs w:val="16"/>
                <w:lang w:val="en-US"/>
              </w:rPr>
              <w:t>Socioeconomic</w:t>
            </w:r>
          </w:p>
        </w:tc>
        <w:tc>
          <w:tcPr>
            <w:tcW w:w="0" w:type="auto"/>
          </w:tcPr>
          <w:p w:rsidR="00322E42" w:rsidRPr="00773C86" w:rsidRDefault="00322E42" w:rsidP="00D501E7">
            <w:pPr>
              <w:spacing w:line="360" w:lineRule="auto"/>
              <w:jc w:val="both"/>
              <w:rPr>
                <w:rFonts w:ascii="Arial" w:hAnsi="Arial" w:cs="Arial"/>
                <w:sz w:val="16"/>
                <w:szCs w:val="16"/>
              </w:rPr>
            </w:pPr>
            <w:r>
              <w:rPr>
                <w:rFonts w:ascii="Arial" w:eastAsia="Arial" w:hAnsi="Arial" w:cs="Arial"/>
                <w:sz w:val="16"/>
                <w:szCs w:val="16"/>
                <w:lang w:val="en-US"/>
              </w:rPr>
              <w:t>Physical and Mental</w:t>
            </w:r>
          </w:p>
        </w:tc>
        <w:tc>
          <w:tcPr>
            <w:tcW w:w="0" w:type="auto"/>
          </w:tcPr>
          <w:p w:rsidR="00322E42" w:rsidRPr="00773C86" w:rsidRDefault="00322E42" w:rsidP="00D501E7">
            <w:pPr>
              <w:spacing w:line="360" w:lineRule="auto"/>
              <w:jc w:val="both"/>
              <w:rPr>
                <w:rFonts w:ascii="Arial" w:hAnsi="Arial" w:cs="Arial"/>
                <w:sz w:val="16"/>
                <w:szCs w:val="16"/>
              </w:rPr>
            </w:pPr>
            <w:r>
              <w:rPr>
                <w:rFonts w:ascii="Arial" w:eastAsia="Arial" w:hAnsi="Arial" w:cs="Arial"/>
                <w:sz w:val="16"/>
                <w:szCs w:val="16"/>
                <w:lang w:val="en-US"/>
              </w:rPr>
              <w:t>Cultural</w:t>
            </w:r>
          </w:p>
        </w:tc>
      </w:tr>
      <w:tr w:rsidR="00322E42" w:rsidTr="00D501E7">
        <w:tc>
          <w:tcPr>
            <w:tcW w:w="0" w:type="auto"/>
          </w:tcPr>
          <w:p w:rsidR="00322E42" w:rsidRPr="00773C86" w:rsidRDefault="00322E42" w:rsidP="00D501E7">
            <w:pPr>
              <w:spacing w:line="360" w:lineRule="auto"/>
              <w:jc w:val="both"/>
              <w:rPr>
                <w:rFonts w:ascii="Arial" w:hAnsi="Arial" w:cs="Arial"/>
                <w:sz w:val="16"/>
                <w:szCs w:val="16"/>
              </w:rPr>
            </w:pPr>
            <w:r w:rsidRPr="00773C86">
              <w:rPr>
                <w:rFonts w:ascii="Arial" w:eastAsia="Arial" w:hAnsi="Arial" w:cs="Arial"/>
                <w:sz w:val="16"/>
                <w:szCs w:val="16"/>
                <w:lang w:val="en-US"/>
              </w:rPr>
              <w:t>Woman</w:t>
            </w:r>
          </w:p>
        </w:tc>
        <w:tc>
          <w:tcPr>
            <w:tcW w:w="0" w:type="auto"/>
            <w:shd w:val="clear" w:color="auto" w:fill="D9D9D9" w:themeFill="background1" w:themeFillShade="D9"/>
          </w:tcPr>
          <w:p w:rsidR="00322E42" w:rsidRPr="00773C86" w:rsidRDefault="00322E42" w:rsidP="00D501E7">
            <w:pPr>
              <w:spacing w:line="360" w:lineRule="auto"/>
              <w:jc w:val="both"/>
              <w:rPr>
                <w:rFonts w:ascii="Arial" w:hAnsi="Arial" w:cs="Arial"/>
                <w:sz w:val="16"/>
                <w:szCs w:val="16"/>
              </w:rPr>
            </w:pPr>
          </w:p>
        </w:tc>
        <w:tc>
          <w:tcPr>
            <w:tcW w:w="0" w:type="auto"/>
          </w:tcPr>
          <w:p w:rsidR="00322E42" w:rsidRPr="00773C86" w:rsidRDefault="00322E42" w:rsidP="00D501E7">
            <w:pPr>
              <w:spacing w:line="360" w:lineRule="auto"/>
              <w:jc w:val="both"/>
              <w:rPr>
                <w:rFonts w:ascii="Arial" w:hAnsi="Arial" w:cs="Arial"/>
                <w:sz w:val="16"/>
                <w:szCs w:val="16"/>
              </w:rPr>
            </w:pPr>
          </w:p>
        </w:tc>
        <w:tc>
          <w:tcPr>
            <w:tcW w:w="0" w:type="auto"/>
          </w:tcPr>
          <w:p w:rsidR="00322E42" w:rsidRPr="00773C86" w:rsidRDefault="00322E42" w:rsidP="00D501E7">
            <w:pPr>
              <w:spacing w:line="360" w:lineRule="auto"/>
              <w:jc w:val="both"/>
              <w:rPr>
                <w:rFonts w:ascii="Arial" w:hAnsi="Arial" w:cs="Arial"/>
                <w:sz w:val="16"/>
                <w:szCs w:val="16"/>
              </w:rPr>
            </w:pPr>
          </w:p>
        </w:tc>
        <w:tc>
          <w:tcPr>
            <w:tcW w:w="0" w:type="auto"/>
          </w:tcPr>
          <w:p w:rsidR="00322E42" w:rsidRPr="00773C86" w:rsidRDefault="00322E42" w:rsidP="00D501E7">
            <w:pPr>
              <w:spacing w:line="360" w:lineRule="auto"/>
              <w:jc w:val="both"/>
              <w:rPr>
                <w:rFonts w:ascii="Arial" w:hAnsi="Arial" w:cs="Arial"/>
                <w:sz w:val="16"/>
                <w:szCs w:val="16"/>
              </w:rPr>
            </w:pPr>
          </w:p>
        </w:tc>
      </w:tr>
      <w:tr w:rsidR="00322E42" w:rsidTr="00D501E7">
        <w:tc>
          <w:tcPr>
            <w:tcW w:w="0" w:type="auto"/>
          </w:tcPr>
          <w:p w:rsidR="00322E42" w:rsidRPr="00773C86" w:rsidRDefault="00322E42" w:rsidP="00D501E7">
            <w:pPr>
              <w:spacing w:line="360" w:lineRule="auto"/>
              <w:jc w:val="both"/>
              <w:rPr>
                <w:rFonts w:ascii="Arial" w:hAnsi="Arial" w:cs="Arial"/>
                <w:sz w:val="16"/>
                <w:szCs w:val="16"/>
              </w:rPr>
            </w:pPr>
            <w:r w:rsidRPr="00773C86">
              <w:rPr>
                <w:rFonts w:ascii="Arial" w:eastAsia="Arial" w:hAnsi="Arial" w:cs="Arial"/>
                <w:sz w:val="16"/>
                <w:szCs w:val="16"/>
                <w:lang w:val="en-US"/>
              </w:rPr>
              <w:t>Poor Woman</w:t>
            </w:r>
          </w:p>
        </w:tc>
        <w:tc>
          <w:tcPr>
            <w:tcW w:w="0" w:type="auto"/>
            <w:shd w:val="clear" w:color="auto" w:fill="BFBFBF" w:themeFill="background1" w:themeFillShade="BF"/>
          </w:tcPr>
          <w:p w:rsidR="00322E42" w:rsidRPr="00773C86" w:rsidRDefault="00322E42" w:rsidP="00D501E7">
            <w:pPr>
              <w:spacing w:line="360" w:lineRule="auto"/>
              <w:jc w:val="both"/>
              <w:rPr>
                <w:rFonts w:ascii="Arial" w:hAnsi="Arial" w:cs="Arial"/>
                <w:sz w:val="16"/>
                <w:szCs w:val="16"/>
              </w:rPr>
            </w:pPr>
          </w:p>
        </w:tc>
        <w:tc>
          <w:tcPr>
            <w:tcW w:w="0" w:type="auto"/>
            <w:shd w:val="clear" w:color="auto" w:fill="BFBFBF" w:themeFill="background1" w:themeFillShade="BF"/>
          </w:tcPr>
          <w:p w:rsidR="00322E42" w:rsidRPr="00773C86" w:rsidRDefault="00322E42" w:rsidP="00D501E7">
            <w:pPr>
              <w:spacing w:line="360" w:lineRule="auto"/>
              <w:jc w:val="both"/>
              <w:rPr>
                <w:rFonts w:ascii="Arial" w:hAnsi="Arial" w:cs="Arial"/>
                <w:sz w:val="16"/>
                <w:szCs w:val="16"/>
              </w:rPr>
            </w:pPr>
          </w:p>
        </w:tc>
        <w:tc>
          <w:tcPr>
            <w:tcW w:w="0" w:type="auto"/>
          </w:tcPr>
          <w:p w:rsidR="00322E42" w:rsidRPr="00773C86" w:rsidRDefault="00322E42" w:rsidP="00D501E7">
            <w:pPr>
              <w:spacing w:line="360" w:lineRule="auto"/>
              <w:jc w:val="both"/>
              <w:rPr>
                <w:rFonts w:ascii="Arial" w:hAnsi="Arial" w:cs="Arial"/>
                <w:sz w:val="16"/>
                <w:szCs w:val="16"/>
              </w:rPr>
            </w:pPr>
          </w:p>
        </w:tc>
        <w:tc>
          <w:tcPr>
            <w:tcW w:w="0" w:type="auto"/>
          </w:tcPr>
          <w:p w:rsidR="00322E42" w:rsidRPr="00773C86" w:rsidRDefault="00322E42" w:rsidP="00D501E7">
            <w:pPr>
              <w:spacing w:line="360" w:lineRule="auto"/>
              <w:jc w:val="both"/>
              <w:rPr>
                <w:rFonts w:ascii="Arial" w:hAnsi="Arial" w:cs="Arial"/>
                <w:sz w:val="16"/>
                <w:szCs w:val="16"/>
              </w:rPr>
            </w:pPr>
          </w:p>
        </w:tc>
      </w:tr>
      <w:tr w:rsidR="00322E42" w:rsidRPr="001F4ECA" w:rsidTr="00D501E7">
        <w:tc>
          <w:tcPr>
            <w:tcW w:w="0" w:type="auto"/>
          </w:tcPr>
          <w:p w:rsidR="00322E42" w:rsidRPr="001F4ECA" w:rsidRDefault="00322E42" w:rsidP="00D501E7">
            <w:pPr>
              <w:spacing w:line="360" w:lineRule="auto"/>
              <w:jc w:val="both"/>
              <w:rPr>
                <w:rFonts w:ascii="Arial" w:hAnsi="Arial" w:cs="Arial"/>
                <w:sz w:val="16"/>
                <w:szCs w:val="16"/>
                <w:lang w:val="en-US"/>
              </w:rPr>
            </w:pPr>
            <w:r w:rsidRPr="00773C86">
              <w:rPr>
                <w:rFonts w:ascii="Arial" w:eastAsia="Arial" w:hAnsi="Arial" w:cs="Arial"/>
                <w:sz w:val="16"/>
                <w:szCs w:val="16"/>
                <w:lang w:val="en-US"/>
              </w:rPr>
              <w:t>Poor Woman with a Disability</w:t>
            </w:r>
          </w:p>
        </w:tc>
        <w:tc>
          <w:tcPr>
            <w:tcW w:w="0" w:type="auto"/>
            <w:shd w:val="clear" w:color="auto" w:fill="A6A6A6" w:themeFill="background1" w:themeFillShade="A6"/>
          </w:tcPr>
          <w:p w:rsidR="00322E42" w:rsidRPr="001F4ECA" w:rsidRDefault="00322E42" w:rsidP="00D501E7">
            <w:pPr>
              <w:spacing w:line="360" w:lineRule="auto"/>
              <w:jc w:val="both"/>
              <w:rPr>
                <w:rFonts w:ascii="Arial" w:hAnsi="Arial" w:cs="Arial"/>
                <w:sz w:val="16"/>
                <w:szCs w:val="16"/>
                <w:lang w:val="en-US"/>
              </w:rPr>
            </w:pPr>
          </w:p>
        </w:tc>
        <w:tc>
          <w:tcPr>
            <w:tcW w:w="0" w:type="auto"/>
            <w:shd w:val="clear" w:color="auto" w:fill="A6A6A6" w:themeFill="background1" w:themeFillShade="A6"/>
          </w:tcPr>
          <w:p w:rsidR="00322E42" w:rsidRPr="001F4ECA" w:rsidRDefault="00322E42" w:rsidP="00D501E7">
            <w:pPr>
              <w:spacing w:line="360" w:lineRule="auto"/>
              <w:jc w:val="both"/>
              <w:rPr>
                <w:rFonts w:ascii="Arial" w:hAnsi="Arial" w:cs="Arial"/>
                <w:sz w:val="16"/>
                <w:szCs w:val="16"/>
                <w:lang w:val="en-US"/>
              </w:rPr>
            </w:pPr>
          </w:p>
        </w:tc>
        <w:tc>
          <w:tcPr>
            <w:tcW w:w="0" w:type="auto"/>
            <w:shd w:val="clear" w:color="auto" w:fill="A6A6A6" w:themeFill="background1" w:themeFillShade="A6"/>
          </w:tcPr>
          <w:p w:rsidR="00322E42" w:rsidRPr="001F4ECA" w:rsidRDefault="00322E42" w:rsidP="00D501E7">
            <w:pPr>
              <w:spacing w:line="360" w:lineRule="auto"/>
              <w:jc w:val="both"/>
              <w:rPr>
                <w:rFonts w:ascii="Arial" w:hAnsi="Arial" w:cs="Arial"/>
                <w:sz w:val="16"/>
                <w:szCs w:val="16"/>
                <w:lang w:val="en-US"/>
              </w:rPr>
            </w:pPr>
          </w:p>
        </w:tc>
        <w:tc>
          <w:tcPr>
            <w:tcW w:w="0" w:type="auto"/>
          </w:tcPr>
          <w:p w:rsidR="00322E42" w:rsidRPr="001F4ECA" w:rsidRDefault="00322E42" w:rsidP="00D501E7">
            <w:pPr>
              <w:spacing w:line="360" w:lineRule="auto"/>
              <w:jc w:val="both"/>
              <w:rPr>
                <w:rFonts w:ascii="Arial" w:hAnsi="Arial" w:cs="Arial"/>
                <w:sz w:val="16"/>
                <w:szCs w:val="16"/>
                <w:lang w:val="en-US"/>
              </w:rPr>
            </w:pPr>
          </w:p>
        </w:tc>
      </w:tr>
      <w:tr w:rsidR="00322E42" w:rsidRPr="001F4ECA" w:rsidTr="00D501E7">
        <w:tc>
          <w:tcPr>
            <w:tcW w:w="0" w:type="auto"/>
          </w:tcPr>
          <w:p w:rsidR="00322E42" w:rsidRPr="001F4ECA" w:rsidRDefault="00322E42" w:rsidP="00D501E7">
            <w:pPr>
              <w:spacing w:line="360" w:lineRule="auto"/>
              <w:jc w:val="both"/>
              <w:rPr>
                <w:rFonts w:ascii="Arial" w:hAnsi="Arial" w:cs="Arial"/>
                <w:sz w:val="16"/>
                <w:szCs w:val="16"/>
                <w:lang w:val="en-US"/>
              </w:rPr>
            </w:pPr>
            <w:r>
              <w:rPr>
                <w:rFonts w:ascii="Arial" w:eastAsia="Arial" w:hAnsi="Arial" w:cs="Arial"/>
                <w:sz w:val="16"/>
                <w:szCs w:val="16"/>
                <w:lang w:val="en-US"/>
              </w:rPr>
              <w:t>Poor Woman with a Disability and Indigenous</w:t>
            </w:r>
          </w:p>
        </w:tc>
        <w:tc>
          <w:tcPr>
            <w:tcW w:w="0" w:type="auto"/>
            <w:shd w:val="clear" w:color="auto" w:fill="808080" w:themeFill="background1" w:themeFillShade="80"/>
          </w:tcPr>
          <w:p w:rsidR="00322E42" w:rsidRPr="001F4ECA" w:rsidRDefault="00322E42" w:rsidP="00D501E7">
            <w:pPr>
              <w:spacing w:line="360" w:lineRule="auto"/>
              <w:jc w:val="both"/>
              <w:rPr>
                <w:rFonts w:ascii="Arial" w:hAnsi="Arial" w:cs="Arial"/>
                <w:sz w:val="16"/>
                <w:szCs w:val="16"/>
                <w:lang w:val="en-US"/>
              </w:rPr>
            </w:pPr>
          </w:p>
        </w:tc>
        <w:tc>
          <w:tcPr>
            <w:tcW w:w="0" w:type="auto"/>
            <w:shd w:val="clear" w:color="auto" w:fill="808080" w:themeFill="background1" w:themeFillShade="80"/>
          </w:tcPr>
          <w:p w:rsidR="00322E42" w:rsidRPr="001F4ECA" w:rsidRDefault="00322E42" w:rsidP="00D501E7">
            <w:pPr>
              <w:spacing w:line="360" w:lineRule="auto"/>
              <w:jc w:val="both"/>
              <w:rPr>
                <w:rFonts w:ascii="Arial" w:hAnsi="Arial" w:cs="Arial"/>
                <w:sz w:val="16"/>
                <w:szCs w:val="16"/>
                <w:lang w:val="en-US"/>
              </w:rPr>
            </w:pPr>
          </w:p>
        </w:tc>
        <w:tc>
          <w:tcPr>
            <w:tcW w:w="0" w:type="auto"/>
            <w:shd w:val="clear" w:color="auto" w:fill="808080" w:themeFill="background1" w:themeFillShade="80"/>
          </w:tcPr>
          <w:p w:rsidR="00322E42" w:rsidRPr="001F4ECA" w:rsidRDefault="00322E42" w:rsidP="00D501E7">
            <w:pPr>
              <w:spacing w:line="360" w:lineRule="auto"/>
              <w:jc w:val="both"/>
              <w:rPr>
                <w:rFonts w:ascii="Arial" w:hAnsi="Arial" w:cs="Arial"/>
                <w:sz w:val="16"/>
                <w:szCs w:val="16"/>
                <w:lang w:val="en-US"/>
              </w:rPr>
            </w:pPr>
          </w:p>
        </w:tc>
        <w:tc>
          <w:tcPr>
            <w:tcW w:w="0" w:type="auto"/>
            <w:shd w:val="clear" w:color="auto" w:fill="808080" w:themeFill="background1" w:themeFillShade="80"/>
          </w:tcPr>
          <w:p w:rsidR="00322E42" w:rsidRPr="001F4ECA" w:rsidRDefault="00322E42" w:rsidP="00D501E7">
            <w:pPr>
              <w:spacing w:line="360" w:lineRule="auto"/>
              <w:jc w:val="both"/>
              <w:rPr>
                <w:rFonts w:ascii="Arial" w:hAnsi="Arial" w:cs="Arial"/>
                <w:sz w:val="16"/>
                <w:szCs w:val="16"/>
                <w:lang w:val="en-US"/>
              </w:rPr>
            </w:pPr>
          </w:p>
        </w:tc>
      </w:tr>
      <w:tr w:rsidR="00322E42" w:rsidRPr="001F4ECA" w:rsidTr="00D501E7">
        <w:tc>
          <w:tcPr>
            <w:tcW w:w="0" w:type="auto"/>
            <w:gridSpan w:val="5"/>
          </w:tcPr>
          <w:p w:rsidR="00322E42" w:rsidRPr="001F4ECA" w:rsidRDefault="00322E42" w:rsidP="00D501E7">
            <w:pPr>
              <w:spacing w:line="360" w:lineRule="auto"/>
              <w:jc w:val="both"/>
              <w:rPr>
                <w:rFonts w:ascii="Arial" w:hAnsi="Arial" w:cs="Arial"/>
                <w:sz w:val="16"/>
                <w:szCs w:val="16"/>
                <w:lang w:val="en-US"/>
              </w:rPr>
            </w:pPr>
          </w:p>
        </w:tc>
      </w:tr>
      <w:tr w:rsidR="00322E42" w:rsidTr="00D501E7">
        <w:tc>
          <w:tcPr>
            <w:tcW w:w="0" w:type="auto"/>
          </w:tcPr>
          <w:p w:rsidR="00322E42" w:rsidRPr="00773C86" w:rsidRDefault="00322E42" w:rsidP="00D501E7">
            <w:pPr>
              <w:spacing w:line="360" w:lineRule="auto"/>
              <w:jc w:val="both"/>
              <w:rPr>
                <w:rFonts w:ascii="Arial" w:hAnsi="Arial" w:cs="Arial"/>
                <w:sz w:val="16"/>
                <w:szCs w:val="16"/>
              </w:rPr>
            </w:pPr>
            <w:r w:rsidRPr="00773C86">
              <w:rPr>
                <w:rFonts w:ascii="Arial" w:eastAsia="Arial" w:hAnsi="Arial" w:cs="Arial"/>
                <w:sz w:val="16"/>
                <w:szCs w:val="16"/>
                <w:lang w:val="en-US"/>
              </w:rPr>
              <w:t>Poor Man</w:t>
            </w:r>
          </w:p>
        </w:tc>
        <w:tc>
          <w:tcPr>
            <w:tcW w:w="0" w:type="auto"/>
          </w:tcPr>
          <w:p w:rsidR="00322E42" w:rsidRPr="00773C86" w:rsidRDefault="00322E42" w:rsidP="00D501E7">
            <w:pPr>
              <w:spacing w:line="360" w:lineRule="auto"/>
              <w:jc w:val="both"/>
              <w:rPr>
                <w:rFonts w:ascii="Arial" w:hAnsi="Arial" w:cs="Arial"/>
                <w:sz w:val="16"/>
                <w:szCs w:val="16"/>
              </w:rPr>
            </w:pPr>
          </w:p>
        </w:tc>
        <w:tc>
          <w:tcPr>
            <w:tcW w:w="0" w:type="auto"/>
            <w:shd w:val="clear" w:color="auto" w:fill="D9D9D9" w:themeFill="background1" w:themeFillShade="D9"/>
          </w:tcPr>
          <w:p w:rsidR="00322E42" w:rsidRPr="00773C86" w:rsidRDefault="00322E42" w:rsidP="00D501E7">
            <w:pPr>
              <w:spacing w:line="360" w:lineRule="auto"/>
              <w:jc w:val="both"/>
              <w:rPr>
                <w:rFonts w:ascii="Arial" w:hAnsi="Arial" w:cs="Arial"/>
                <w:sz w:val="16"/>
                <w:szCs w:val="16"/>
              </w:rPr>
            </w:pPr>
          </w:p>
        </w:tc>
        <w:tc>
          <w:tcPr>
            <w:tcW w:w="0" w:type="auto"/>
          </w:tcPr>
          <w:p w:rsidR="00322E42" w:rsidRPr="00773C86" w:rsidRDefault="00322E42" w:rsidP="00D501E7">
            <w:pPr>
              <w:spacing w:line="360" w:lineRule="auto"/>
              <w:jc w:val="both"/>
              <w:rPr>
                <w:rFonts w:ascii="Arial" w:hAnsi="Arial" w:cs="Arial"/>
                <w:sz w:val="16"/>
                <w:szCs w:val="16"/>
              </w:rPr>
            </w:pPr>
          </w:p>
        </w:tc>
        <w:tc>
          <w:tcPr>
            <w:tcW w:w="0" w:type="auto"/>
          </w:tcPr>
          <w:p w:rsidR="00322E42" w:rsidRPr="00773C86" w:rsidRDefault="00322E42" w:rsidP="00D501E7">
            <w:pPr>
              <w:spacing w:line="360" w:lineRule="auto"/>
              <w:jc w:val="both"/>
              <w:rPr>
                <w:rFonts w:ascii="Arial" w:hAnsi="Arial" w:cs="Arial"/>
                <w:sz w:val="16"/>
                <w:szCs w:val="16"/>
              </w:rPr>
            </w:pPr>
          </w:p>
        </w:tc>
      </w:tr>
      <w:tr w:rsidR="00322E42" w:rsidRPr="001F4ECA" w:rsidTr="00D501E7">
        <w:tc>
          <w:tcPr>
            <w:tcW w:w="0" w:type="auto"/>
          </w:tcPr>
          <w:p w:rsidR="00322E42" w:rsidRPr="001F4ECA" w:rsidRDefault="00322E42" w:rsidP="00D501E7">
            <w:pPr>
              <w:spacing w:line="360" w:lineRule="auto"/>
              <w:jc w:val="both"/>
              <w:rPr>
                <w:rFonts w:ascii="Arial" w:hAnsi="Arial" w:cs="Arial"/>
                <w:sz w:val="16"/>
                <w:szCs w:val="16"/>
                <w:lang w:val="en-US"/>
              </w:rPr>
            </w:pPr>
            <w:r w:rsidRPr="00773C86">
              <w:rPr>
                <w:rFonts w:ascii="Arial" w:eastAsia="Arial" w:hAnsi="Arial" w:cs="Arial"/>
                <w:sz w:val="16"/>
                <w:szCs w:val="16"/>
                <w:lang w:val="en-US"/>
              </w:rPr>
              <w:t>Poor Man with a Disability</w:t>
            </w:r>
          </w:p>
        </w:tc>
        <w:tc>
          <w:tcPr>
            <w:tcW w:w="0" w:type="auto"/>
          </w:tcPr>
          <w:p w:rsidR="00322E42" w:rsidRPr="001F4ECA" w:rsidRDefault="00322E42" w:rsidP="00D501E7">
            <w:pPr>
              <w:spacing w:line="360" w:lineRule="auto"/>
              <w:jc w:val="both"/>
              <w:rPr>
                <w:rFonts w:ascii="Arial" w:hAnsi="Arial" w:cs="Arial"/>
                <w:sz w:val="16"/>
                <w:szCs w:val="16"/>
                <w:lang w:val="en-US"/>
              </w:rPr>
            </w:pPr>
          </w:p>
        </w:tc>
        <w:tc>
          <w:tcPr>
            <w:tcW w:w="0" w:type="auto"/>
            <w:shd w:val="clear" w:color="auto" w:fill="BFBFBF" w:themeFill="background1" w:themeFillShade="BF"/>
          </w:tcPr>
          <w:p w:rsidR="00322E42" w:rsidRPr="001F4ECA" w:rsidRDefault="00322E42" w:rsidP="00D501E7">
            <w:pPr>
              <w:spacing w:line="360" w:lineRule="auto"/>
              <w:jc w:val="both"/>
              <w:rPr>
                <w:rFonts w:ascii="Arial" w:hAnsi="Arial" w:cs="Arial"/>
                <w:sz w:val="16"/>
                <w:szCs w:val="16"/>
                <w:lang w:val="en-US"/>
              </w:rPr>
            </w:pPr>
          </w:p>
        </w:tc>
        <w:tc>
          <w:tcPr>
            <w:tcW w:w="0" w:type="auto"/>
            <w:shd w:val="clear" w:color="auto" w:fill="BFBFBF" w:themeFill="background1" w:themeFillShade="BF"/>
          </w:tcPr>
          <w:p w:rsidR="00322E42" w:rsidRPr="001F4ECA" w:rsidRDefault="00322E42" w:rsidP="00D501E7">
            <w:pPr>
              <w:spacing w:line="360" w:lineRule="auto"/>
              <w:jc w:val="both"/>
              <w:rPr>
                <w:rFonts w:ascii="Arial" w:hAnsi="Arial" w:cs="Arial"/>
                <w:sz w:val="16"/>
                <w:szCs w:val="16"/>
                <w:lang w:val="en-US"/>
              </w:rPr>
            </w:pPr>
          </w:p>
        </w:tc>
        <w:tc>
          <w:tcPr>
            <w:tcW w:w="0" w:type="auto"/>
          </w:tcPr>
          <w:p w:rsidR="00322E42" w:rsidRPr="001F4ECA" w:rsidRDefault="00322E42" w:rsidP="00D501E7">
            <w:pPr>
              <w:spacing w:line="360" w:lineRule="auto"/>
              <w:jc w:val="both"/>
              <w:rPr>
                <w:rFonts w:ascii="Arial" w:hAnsi="Arial" w:cs="Arial"/>
                <w:sz w:val="16"/>
                <w:szCs w:val="16"/>
                <w:lang w:val="en-US"/>
              </w:rPr>
            </w:pPr>
          </w:p>
        </w:tc>
      </w:tr>
      <w:tr w:rsidR="00322E42" w:rsidRPr="001F4ECA" w:rsidTr="00D501E7">
        <w:tc>
          <w:tcPr>
            <w:tcW w:w="0" w:type="auto"/>
          </w:tcPr>
          <w:p w:rsidR="00322E42" w:rsidRPr="001F4ECA" w:rsidRDefault="00322E42" w:rsidP="00D501E7">
            <w:pPr>
              <w:spacing w:line="360" w:lineRule="auto"/>
              <w:jc w:val="both"/>
              <w:rPr>
                <w:rFonts w:ascii="Arial" w:hAnsi="Arial" w:cs="Arial"/>
                <w:sz w:val="16"/>
                <w:szCs w:val="16"/>
                <w:lang w:val="en-US"/>
              </w:rPr>
            </w:pPr>
            <w:r w:rsidRPr="00773C86">
              <w:rPr>
                <w:rFonts w:ascii="Arial" w:eastAsia="Arial" w:hAnsi="Arial" w:cs="Arial"/>
                <w:sz w:val="16"/>
                <w:szCs w:val="16"/>
                <w:lang w:val="en-US"/>
              </w:rPr>
              <w:t>Poor Man with a Disability and Indigenous</w:t>
            </w:r>
          </w:p>
        </w:tc>
        <w:tc>
          <w:tcPr>
            <w:tcW w:w="0" w:type="auto"/>
          </w:tcPr>
          <w:p w:rsidR="00322E42" w:rsidRPr="001F4ECA" w:rsidRDefault="00322E42" w:rsidP="00D501E7">
            <w:pPr>
              <w:spacing w:line="360" w:lineRule="auto"/>
              <w:jc w:val="both"/>
              <w:rPr>
                <w:rFonts w:ascii="Arial" w:hAnsi="Arial" w:cs="Arial"/>
                <w:sz w:val="16"/>
                <w:szCs w:val="16"/>
                <w:lang w:val="en-US"/>
              </w:rPr>
            </w:pPr>
          </w:p>
        </w:tc>
        <w:tc>
          <w:tcPr>
            <w:tcW w:w="0" w:type="auto"/>
            <w:shd w:val="clear" w:color="auto" w:fill="A6A6A6" w:themeFill="background1" w:themeFillShade="A6"/>
          </w:tcPr>
          <w:p w:rsidR="00322E42" w:rsidRPr="001F4ECA" w:rsidRDefault="00322E42" w:rsidP="00D501E7">
            <w:pPr>
              <w:spacing w:line="360" w:lineRule="auto"/>
              <w:jc w:val="both"/>
              <w:rPr>
                <w:rFonts w:ascii="Arial" w:hAnsi="Arial" w:cs="Arial"/>
                <w:sz w:val="16"/>
                <w:szCs w:val="16"/>
                <w:lang w:val="en-US"/>
              </w:rPr>
            </w:pPr>
          </w:p>
        </w:tc>
        <w:tc>
          <w:tcPr>
            <w:tcW w:w="0" w:type="auto"/>
            <w:shd w:val="clear" w:color="auto" w:fill="A6A6A6" w:themeFill="background1" w:themeFillShade="A6"/>
          </w:tcPr>
          <w:p w:rsidR="00322E42" w:rsidRPr="001F4ECA" w:rsidRDefault="00322E42" w:rsidP="00D501E7">
            <w:pPr>
              <w:spacing w:line="360" w:lineRule="auto"/>
              <w:jc w:val="both"/>
              <w:rPr>
                <w:rFonts w:ascii="Arial" w:hAnsi="Arial" w:cs="Arial"/>
                <w:sz w:val="16"/>
                <w:szCs w:val="16"/>
                <w:lang w:val="en-US"/>
              </w:rPr>
            </w:pPr>
          </w:p>
        </w:tc>
        <w:tc>
          <w:tcPr>
            <w:tcW w:w="0" w:type="auto"/>
            <w:shd w:val="clear" w:color="auto" w:fill="A6A6A6" w:themeFill="background1" w:themeFillShade="A6"/>
          </w:tcPr>
          <w:p w:rsidR="00322E42" w:rsidRPr="001F4ECA" w:rsidRDefault="00322E42" w:rsidP="00D501E7">
            <w:pPr>
              <w:spacing w:line="360" w:lineRule="auto"/>
              <w:jc w:val="both"/>
              <w:rPr>
                <w:rFonts w:ascii="Arial" w:hAnsi="Arial" w:cs="Arial"/>
                <w:sz w:val="16"/>
                <w:szCs w:val="16"/>
                <w:lang w:val="en-US"/>
              </w:rPr>
            </w:pPr>
          </w:p>
        </w:tc>
      </w:tr>
    </w:tbl>
    <w:p w:rsidR="00322E42" w:rsidRPr="001F4ECA" w:rsidRDefault="00322E42" w:rsidP="00322E42">
      <w:pPr>
        <w:spacing w:line="360" w:lineRule="auto"/>
        <w:jc w:val="both"/>
        <w:rPr>
          <w:rFonts w:ascii="Arial" w:hAnsi="Arial" w:cs="Arial"/>
          <w:sz w:val="20"/>
          <w:szCs w:val="20"/>
          <w:lang w:val="en-US"/>
        </w:rPr>
      </w:pPr>
      <w:r w:rsidRPr="00773C86">
        <w:rPr>
          <w:rFonts w:ascii="Arial" w:eastAsia="Arial" w:hAnsi="Arial" w:cs="Arial"/>
          <w:sz w:val="20"/>
          <w:szCs w:val="20"/>
          <w:lang w:val="en-US"/>
        </w:rPr>
        <w:t>Source: Authors.</w:t>
      </w:r>
    </w:p>
    <w:p w:rsidR="00322E42" w:rsidRPr="001F4ECA" w:rsidRDefault="00322E42" w:rsidP="00322E42">
      <w:pPr>
        <w:spacing w:line="360" w:lineRule="auto"/>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We can see a list of disadvantages in educational opportunities at the post secondary level, with their level of vulnerability. Not all people have the same level of vulnerability. Some have a higher or lower possibility of crossing the line of educational exclusion. Those who are farthest from the line are indigenous women with a disability and poor men are closer.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b/>
          <w:lang w:val="en-US"/>
        </w:rPr>
      </w:pPr>
      <w:r w:rsidRPr="00067FA1">
        <w:rPr>
          <w:rFonts w:ascii="Arial" w:eastAsia="Arial" w:hAnsi="Arial" w:cs="Arial"/>
          <w:b/>
          <w:bCs/>
          <w:lang w:val="en-US"/>
        </w:rPr>
        <w:t>3. Compensatory Policies in Educational Politics and Educational Practice</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The problem of inequality in higher education is observable in socioeconomic position as well as in educational practice. There are disadvantages in the teaching-learning process, from the beginning of their studies and until the end, because of the conditions of educational practice. To socioeconomic vulnerability we can add vulnerability in the acquisition of knowledge, abilities, skills and values, because of the variety of abilities, motivations and emotional states.</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Inequality in education is a political and economic problem, but it is also a problem of justice which impacts poverty and school failure. It turns out paradoxical that education is considered leverage for social development and that vulnerable groups do not have enough support to overcome their situation of inequality. The criteria of distribution and recognition is based upon merit, those who receive the highest grades get more financial support.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Educational policies and educational practice are important in the distribution of resources and the assessment of the subjects. With educational politics, a national project is designed and implemented. With educational practice, a project is designed and implemented for an educational institution. With respect to compensation and diversity of the parties involved in educational politics, compensatory policies are designed and implemented in an effort to provide equality in education. Educational practice attends to the question of diversity in order to attain quality in education.</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Many studies have tackled the problem of compensatory policies within the framework of educational politics, mainly focusing on opportunity equality. We have the studies by Bolívar (2005), Roemer (2000), Reimers (2007) and Rivero (2005), who look at opportunity inequality in distributive social justice, from a political liberalism point of view and with the influence of Rawls. They coincide in their belief that in order to guarantee opportunity </w:t>
      </w:r>
      <w:r>
        <w:rPr>
          <w:rFonts w:ascii="Arial" w:eastAsia="Arial" w:hAnsi="Arial" w:cs="Arial"/>
          <w:lang w:val="en-US"/>
        </w:rPr>
        <w:lastRenderedPageBreak/>
        <w:t>equality in less fortunate groups, they have to be supported with more resources to compensate for their situations of opportunity inequality, not only at the beginning but during the entire educational process.</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These authors have emphasized the different moments of the educational process where we should diversify the compensation. They point out four moments specifically: opportunities for study, access to education, continuity and results. With this we can attend to the conditions and obtain the support needed to participate in a more diverse offering. These groups can then comply with the requirements of acceptance, deal with the academic demands leading to continuity and achieve the final requirements of graduation.</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Compensatory policies, also known as affirmative action, are those which support vulnerable groups in order to achieve the principles of equality, liberty and opportunity, basic human rights within the framework of distributive social justice. These policies also achieve a more cosmopolitan population within the framework of globalization. This objective has been to reduce the gap of social inequality, insuring quality in education.</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The objective of compensatory policies has not gone by unnoticed in Mexico. Since the modernization of education in the 90s, these policies have been incorporated into educational politics. In the last 24 years, which include two terms governed by the Institutional Revolutionary Party (Carlos Salinas and Ernesto Zedillo) and two terms governed by the National Action Party (Vicente Fox and Felipe Calderón), the National Development Plans included the topics of equality in education and equal opportunities in higher education.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i/>
          <w:lang w:val="en-US"/>
        </w:rPr>
      </w:pPr>
      <w:r>
        <w:rPr>
          <w:rFonts w:ascii="Arial" w:eastAsia="Arial" w:hAnsi="Arial" w:cs="Arial"/>
          <w:lang w:val="en-US"/>
        </w:rPr>
        <w:t xml:space="preserve">Though ideologically the two parties are different, there was no variation in the way problems of inequality in education within the framework of compensatory policies. Both political powers look at compensatory policies from a liberalism point of view, as a way to support less fortunate groups in their access to and conclusion of higher education. For comparison sake, we present two brief extracts corresponding to the National Development Plans (NDP) of Carlos Salinas (1989-1994) and Felipe Calderón (2006-2012), where we can see the insistence upon compensatory help in education with a liberalism concept. In the NDP of the first, we see: </w:t>
      </w:r>
      <w:r>
        <w:rPr>
          <w:rFonts w:ascii="Arial" w:eastAsia="Arial" w:hAnsi="Arial" w:cs="Arial"/>
          <w:i/>
          <w:iCs/>
          <w:color w:val="1A1A1A"/>
          <w:lang w:val="en-US"/>
        </w:rPr>
        <w:t xml:space="preserve">In order to improve the rates of school attendance, it will be necessary to diversity and improve curricular options, improve the coverage of initial education, preschool, elementary and junior high as well as </w:t>
      </w:r>
      <w:r>
        <w:rPr>
          <w:rFonts w:ascii="Arial" w:eastAsia="Arial" w:hAnsi="Arial" w:cs="Arial"/>
          <w:b/>
          <w:bCs/>
          <w:i/>
          <w:iCs/>
          <w:color w:val="1A1A1A"/>
          <w:lang w:val="en-US"/>
        </w:rPr>
        <w:t>promote opportunity equality for beginning and concluding studies at any level</w:t>
      </w:r>
      <w:r>
        <w:rPr>
          <w:rStyle w:val="Refdenotaalpie"/>
          <w:rFonts w:ascii="Arial" w:hAnsi="Arial" w:cs="Arial"/>
          <w:b/>
          <w:i/>
          <w:color w:val="1A1A1A"/>
          <w:lang w:val="es-ES"/>
        </w:rPr>
        <w:footnoteReference w:id="5"/>
      </w:r>
      <w:r>
        <w:rPr>
          <w:rFonts w:ascii="Arial" w:eastAsia="Arial" w:hAnsi="Arial" w:cs="Arial"/>
          <w:i/>
          <w:iCs/>
          <w:color w:val="1A1A1A"/>
          <w:lang w:val="en-US"/>
        </w:rPr>
        <w:t xml:space="preserve">; </w:t>
      </w:r>
      <w:r>
        <w:rPr>
          <w:rFonts w:ascii="Arial" w:eastAsia="Arial" w:hAnsi="Arial" w:cs="Arial"/>
          <w:color w:val="1A1A1A"/>
          <w:lang w:val="en-US"/>
        </w:rPr>
        <w:t xml:space="preserve">in the NDP of the second, objective number 10 corresponds to transformation in education and is </w:t>
      </w:r>
      <w:r>
        <w:rPr>
          <w:rFonts w:ascii="Arial" w:eastAsia="Arial" w:hAnsi="Arial" w:cs="Arial"/>
          <w:color w:val="1A1A1A"/>
          <w:lang w:val="en-US"/>
        </w:rPr>
        <w:lastRenderedPageBreak/>
        <w:t>titled</w:t>
      </w:r>
      <w:r>
        <w:rPr>
          <w:rFonts w:ascii="Arial" w:eastAsia="Arial" w:hAnsi="Arial" w:cs="Arial"/>
          <w:i/>
          <w:iCs/>
          <w:color w:val="1A1A1A"/>
          <w:lang w:val="en-US"/>
        </w:rPr>
        <w:t xml:space="preserve">: </w:t>
      </w:r>
      <w:r>
        <w:rPr>
          <w:rFonts w:ascii="Arial" w:eastAsia="Arial" w:hAnsi="Arial" w:cs="Arial"/>
          <w:i/>
          <w:iCs/>
          <w:color w:val="262626"/>
          <w:lang w:val="en-US"/>
        </w:rPr>
        <w:t>Reducing regional inequalities in educational opportunities, according to gender and  social groups</w:t>
      </w:r>
      <w:r>
        <w:rPr>
          <w:rStyle w:val="Refdenotaalpie"/>
          <w:rFonts w:ascii="Arial" w:hAnsi="Arial" w:cs="Arial"/>
          <w:bCs/>
          <w:i/>
          <w:color w:val="262626"/>
          <w:lang w:val="es-ES"/>
        </w:rPr>
        <w:footnoteReference w:id="6"/>
      </w:r>
      <w:r>
        <w:rPr>
          <w:rFonts w:ascii="Arial" w:eastAsia="Arial" w:hAnsi="Arial" w:cs="Arial"/>
          <w:i/>
          <w:iCs/>
          <w:color w:val="262626"/>
          <w:lang w:val="en-US"/>
        </w:rPr>
        <w:t xml:space="preserve">. </w:t>
      </w:r>
      <w:r>
        <w:rPr>
          <w:rFonts w:ascii="Arial" w:eastAsia="Arial" w:hAnsi="Arial" w:cs="Arial"/>
          <w:i/>
          <w:iCs/>
          <w:color w:val="1A1A1A"/>
          <w:lang w:val="en-US"/>
        </w:rPr>
        <w:t xml:space="preserve"> </w:t>
      </w:r>
      <w:r>
        <w:rPr>
          <w:rFonts w:ascii="Arial" w:eastAsia="Arial" w:hAnsi="Arial" w:cs="Arial"/>
          <w:i/>
          <w:iCs/>
          <w:lang w:val="en-US"/>
        </w:rPr>
        <w:t xml:space="preserve">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In both documents, though not written at the same time, the topic of equality in opportunities is constant. The reason is that there has been no reduction of inequality in education and access to opportunities. Each 6 year term over the last 24 years has carried out different actions within their Educational Development Program, including legal changes and political strategies. Without going into too much detail, we will present some relevant aspects which show the tendencies and oversights in the persistent problem of equality in opportunity.</w:t>
      </w:r>
    </w:p>
    <w:p w:rsidR="00322E42" w:rsidRPr="001F4ECA" w:rsidRDefault="00322E42" w:rsidP="00322E42">
      <w:pPr>
        <w:jc w:val="both"/>
        <w:rPr>
          <w:rFonts w:ascii="Arial" w:hAnsi="Arial" w:cs="Arial"/>
          <w:lang w:val="en-US"/>
        </w:rPr>
      </w:pPr>
    </w:p>
    <w:p w:rsidR="00322E42" w:rsidRDefault="00322E42" w:rsidP="00322E42">
      <w:pPr>
        <w:jc w:val="both"/>
        <w:rPr>
          <w:rFonts w:ascii="Arial" w:hAnsi="Arial" w:cs="Arial"/>
        </w:rPr>
      </w:pPr>
      <w:r>
        <w:rPr>
          <w:rFonts w:ascii="Arial" w:eastAsia="Arial" w:hAnsi="Arial" w:cs="Arial"/>
          <w:lang w:val="en-US"/>
        </w:rPr>
        <w:t xml:space="preserve">Mexico, unlike other countries in Latin America, has included the topic of compensatory policies in educational norms of the country.  In the General Law of Education, published on July 13, 1993 and reformed on April 9, 2012, the title of part III is </w:t>
      </w:r>
      <w:r>
        <w:rPr>
          <w:rFonts w:ascii="Arial" w:eastAsia="Arial" w:hAnsi="Arial" w:cs="Arial"/>
          <w:i/>
          <w:iCs/>
          <w:lang w:val="en-US"/>
        </w:rPr>
        <w:t>Equality in Education</w:t>
      </w:r>
      <w:r>
        <w:rPr>
          <w:rFonts w:ascii="Arial" w:eastAsia="Arial" w:hAnsi="Arial" w:cs="Arial"/>
          <w:lang w:val="en-US"/>
        </w:rPr>
        <w:t>. It includes several different articles which explain the help required by groups with disadvantages to achieving equality in education and equal opportunities of access and permanence during these studies. Two articles in particular are very important:</w:t>
      </w:r>
    </w:p>
    <w:p w:rsidR="00322E42" w:rsidRDefault="00322E42" w:rsidP="00322E42">
      <w:pPr>
        <w:jc w:val="both"/>
        <w:rPr>
          <w:rFonts w:ascii="Arial" w:hAnsi="Arial" w:cs="Arial"/>
        </w:rPr>
      </w:pPr>
    </w:p>
    <w:p w:rsidR="00322E42" w:rsidRPr="00220307" w:rsidRDefault="00322E42" w:rsidP="00322E42">
      <w:pPr>
        <w:pStyle w:val="Prrafodelista"/>
        <w:widowControl w:val="0"/>
        <w:numPr>
          <w:ilvl w:val="0"/>
          <w:numId w:val="33"/>
        </w:numPr>
        <w:autoSpaceDE w:val="0"/>
        <w:autoSpaceDN w:val="0"/>
        <w:adjustRightInd w:val="0"/>
        <w:spacing w:after="0" w:line="240" w:lineRule="auto"/>
        <w:jc w:val="both"/>
        <w:rPr>
          <w:rFonts w:ascii="Arial" w:hAnsi="Arial" w:cs="Arial"/>
          <w:lang w:val="es-ES"/>
        </w:rPr>
      </w:pPr>
      <w:r w:rsidRPr="00220307">
        <w:rPr>
          <w:rFonts w:ascii="Arial" w:eastAsia="Arial" w:hAnsi="Arial" w:cs="Arial"/>
          <w:lang w:val="en-US"/>
        </w:rPr>
        <w:t>Article 32: The education authorities will take measure to establish conditions which will allow citizens to exercise their right to education, more equality in education as well as effective equal opportunities of access and permanence in educational services. These measures will be directed towards groups and regions with the most underdevelopment in education or those who are confronted with economic and social conditions of disadvantage as per articles 7 and 8 of the law. (p. 12).</w:t>
      </w:r>
    </w:p>
    <w:p w:rsidR="00322E42" w:rsidRDefault="00322E42" w:rsidP="00322E42">
      <w:pPr>
        <w:widowControl w:val="0"/>
        <w:autoSpaceDE w:val="0"/>
        <w:autoSpaceDN w:val="0"/>
        <w:adjustRightInd w:val="0"/>
        <w:jc w:val="both"/>
        <w:rPr>
          <w:rFonts w:ascii="Arial" w:hAnsi="Arial" w:cs="Arial"/>
          <w:lang w:val="es-ES"/>
        </w:rPr>
      </w:pPr>
    </w:p>
    <w:p w:rsidR="00322E42" w:rsidRPr="00220307" w:rsidRDefault="00322E42" w:rsidP="00322E42">
      <w:pPr>
        <w:pStyle w:val="Prrafodelista"/>
        <w:widowControl w:val="0"/>
        <w:numPr>
          <w:ilvl w:val="0"/>
          <w:numId w:val="33"/>
        </w:numPr>
        <w:autoSpaceDE w:val="0"/>
        <w:autoSpaceDN w:val="0"/>
        <w:adjustRightInd w:val="0"/>
        <w:spacing w:after="0" w:line="240" w:lineRule="auto"/>
        <w:jc w:val="both"/>
        <w:rPr>
          <w:rFonts w:ascii="Arial" w:hAnsi="Arial" w:cs="Arial"/>
          <w:lang w:val="es-ES"/>
        </w:rPr>
      </w:pPr>
      <w:r w:rsidRPr="00220307">
        <w:rPr>
          <w:rFonts w:ascii="Arial" w:eastAsia="Arial" w:hAnsi="Arial" w:cs="Arial"/>
          <w:lang w:val="en-US"/>
        </w:rPr>
        <w:t xml:space="preserve">Article 34: ...the federal executive power will create compensatory programs which will provide economic support specifically to states with the most underdevelopment in education, with prior agreements specifying the amounts and </w:t>
      </w:r>
      <w:r w:rsidRPr="00220307">
        <w:rPr>
          <w:rFonts w:ascii="Arial" w:eastAsia="Arial" w:hAnsi="Arial" w:cs="Arial"/>
          <w:lang w:val="en-US"/>
        </w:rPr>
        <w:lastRenderedPageBreak/>
        <w:t>the actions required by the local education authorities to promote development in these areas. The Secretariat will evaluate the results of these compensatory programs. (p. 13).</w:t>
      </w:r>
    </w:p>
    <w:p w:rsidR="00322E42" w:rsidRDefault="00322E42" w:rsidP="00322E42">
      <w:pPr>
        <w:widowControl w:val="0"/>
        <w:autoSpaceDE w:val="0"/>
        <w:autoSpaceDN w:val="0"/>
        <w:adjustRightInd w:val="0"/>
        <w:jc w:val="both"/>
        <w:rPr>
          <w:rFonts w:ascii="Arial" w:hAnsi="Arial" w:cs="Arial"/>
        </w:rPr>
      </w:pPr>
    </w:p>
    <w:p w:rsidR="00322E42" w:rsidRPr="001F4ECA" w:rsidRDefault="00322E42" w:rsidP="00322E42">
      <w:pPr>
        <w:widowControl w:val="0"/>
        <w:autoSpaceDE w:val="0"/>
        <w:autoSpaceDN w:val="0"/>
        <w:adjustRightInd w:val="0"/>
        <w:jc w:val="both"/>
        <w:rPr>
          <w:rFonts w:ascii="Arial" w:hAnsi="Arial" w:cs="Arial"/>
          <w:lang w:val="en-US"/>
        </w:rPr>
      </w:pPr>
      <w:r>
        <w:rPr>
          <w:rFonts w:ascii="Arial" w:eastAsia="Arial" w:hAnsi="Arial" w:cs="Arial"/>
          <w:lang w:val="en-US"/>
        </w:rPr>
        <w:t xml:space="preserve">These legal provisions are important for groups and regions with educational underdevelopment in that they help establish compensatory programs, helping them to overcome their situation of vulnerability. This means that groups in poverty can demand support programs from the government in order to achieve effective equality in educational opportunities. </w:t>
      </w:r>
    </w:p>
    <w:p w:rsidR="00322E42" w:rsidRPr="001F4ECA" w:rsidRDefault="00322E42" w:rsidP="00322E42">
      <w:pPr>
        <w:widowControl w:val="0"/>
        <w:autoSpaceDE w:val="0"/>
        <w:autoSpaceDN w:val="0"/>
        <w:adjustRightInd w:val="0"/>
        <w:jc w:val="both"/>
        <w:rPr>
          <w:rFonts w:ascii="Arial" w:hAnsi="Arial" w:cs="Arial"/>
          <w:lang w:val="en-US"/>
        </w:rPr>
      </w:pPr>
    </w:p>
    <w:p w:rsidR="00322E42" w:rsidRPr="001F4ECA" w:rsidRDefault="00322E42" w:rsidP="00322E42">
      <w:pPr>
        <w:widowControl w:val="0"/>
        <w:autoSpaceDE w:val="0"/>
        <w:autoSpaceDN w:val="0"/>
        <w:adjustRightInd w:val="0"/>
        <w:jc w:val="both"/>
        <w:rPr>
          <w:rFonts w:ascii="Arial" w:hAnsi="Arial" w:cs="Arial"/>
          <w:lang w:val="en-US"/>
        </w:rPr>
      </w:pPr>
      <w:r w:rsidRPr="00917E8F">
        <w:rPr>
          <w:rFonts w:ascii="Arial" w:eastAsia="Arial" w:hAnsi="Arial" w:cs="Arial"/>
          <w:lang w:val="en-US"/>
        </w:rPr>
        <w:t>Another good point in the General Law of Education, with respect to the topic of educational equality, is the content in article 41 which makes reference to the inclusion of diversity and attending to the conditions of social and gender inequality.</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This legal tendency is accompanied with actions in educational politics. These actions are varied and are aimed at specific vulnerable groups: women, indigenous, people with disabilities and groups living in poverty.</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a) Compensatory Policies that Attend to the Vulnerability of Gender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As pointed out by Palomar (2004), gender, meaning sexual difference, has been incorporated into higher education over the last few years. Many different organizations have worked to resolve the problem of gender inequality including: The Secretariat of Public Education (SEP in Spanish), the National Institute for Women (INMUJERES) and the National Association of Universities and Institutions of Higher Learning (ANUIES). We would like to highlight some of the actions taken from the year 2000 to the present. Without a doubt, some of the actions taken in the last few years have helped make important strides: </w:t>
      </w:r>
    </w:p>
    <w:p w:rsidR="00322E42" w:rsidRPr="001F4ECA" w:rsidRDefault="00322E42" w:rsidP="00322E42">
      <w:pPr>
        <w:jc w:val="both"/>
        <w:rPr>
          <w:rFonts w:ascii="Arial" w:hAnsi="Arial" w:cs="Arial"/>
          <w:lang w:val="en-US"/>
        </w:rPr>
      </w:pPr>
    </w:p>
    <w:p w:rsidR="00322E42" w:rsidRPr="001F4ECA" w:rsidRDefault="00322E42" w:rsidP="00322E42">
      <w:pPr>
        <w:pStyle w:val="Prrafodelista"/>
        <w:numPr>
          <w:ilvl w:val="0"/>
          <w:numId w:val="34"/>
        </w:numPr>
        <w:spacing w:after="0" w:line="240" w:lineRule="auto"/>
        <w:jc w:val="both"/>
        <w:rPr>
          <w:rFonts w:ascii="Arial" w:hAnsi="Arial" w:cs="Arial"/>
          <w:lang w:val="en-US"/>
        </w:rPr>
      </w:pPr>
      <w:r w:rsidRPr="00E23E33">
        <w:rPr>
          <w:rFonts w:ascii="Arial" w:eastAsia="Arial" w:hAnsi="Arial" w:cs="Arial"/>
          <w:lang w:val="en-US"/>
        </w:rPr>
        <w:t>The National Program for Equal Opportunity for Women (PROequidad: 2000), among their objectives in education, they mention affirmative action agreements principally in indigenous areas (rural and urban), increase the female presence in higher education by 15% and that 20% of the commercials transmitted by the SEP on television and radio be about equality and gender.</w:t>
      </w:r>
    </w:p>
    <w:p w:rsidR="00322E42" w:rsidRPr="001F4ECA" w:rsidRDefault="00322E42" w:rsidP="00322E42">
      <w:pPr>
        <w:jc w:val="both"/>
        <w:rPr>
          <w:rFonts w:ascii="Arial" w:hAnsi="Arial" w:cs="Arial"/>
          <w:lang w:val="en-US"/>
        </w:rPr>
      </w:pPr>
    </w:p>
    <w:p w:rsidR="00322E42" w:rsidRPr="001F4ECA" w:rsidRDefault="00322E42" w:rsidP="00322E42">
      <w:pPr>
        <w:pStyle w:val="Prrafodelista"/>
        <w:numPr>
          <w:ilvl w:val="0"/>
          <w:numId w:val="34"/>
        </w:numPr>
        <w:spacing w:after="0" w:line="240" w:lineRule="auto"/>
        <w:jc w:val="both"/>
        <w:rPr>
          <w:rFonts w:ascii="Arial" w:hAnsi="Arial" w:cs="Arial"/>
          <w:lang w:val="en-US"/>
        </w:rPr>
      </w:pPr>
      <w:r w:rsidRPr="00E23E33">
        <w:rPr>
          <w:rFonts w:ascii="Arial" w:eastAsia="Arial" w:hAnsi="Arial" w:cs="Arial"/>
          <w:lang w:val="en-US"/>
        </w:rPr>
        <w:t xml:space="preserve">INMUJERES (2003) and ANUIES propose incorporating perspectives about gender into institutions of higher learning, in order to deal with the inequality of </w:t>
      </w:r>
      <w:r w:rsidRPr="00E23E33">
        <w:rPr>
          <w:rFonts w:ascii="Arial" w:eastAsia="Arial" w:hAnsi="Arial" w:cs="Arial"/>
          <w:lang w:val="en-US"/>
        </w:rPr>
        <w:lastRenderedPageBreak/>
        <w:t>opportunities and conditions of permanence and work within these institutions.   The areas of attention to achieve the equality of women are divided four ways: policies, plans, programs and projects. The</w:t>
      </w:r>
      <w:r>
        <w:rPr>
          <w:rFonts w:ascii="Arial" w:eastAsia="Arial" w:hAnsi="Arial" w:cs="Arial"/>
          <w:lang w:val="en-US"/>
        </w:rPr>
        <w:t xml:space="preserve"> </w:t>
      </w:r>
      <w:r w:rsidRPr="00E23E33">
        <w:rPr>
          <w:rFonts w:ascii="Arial" w:eastAsia="Arial" w:hAnsi="Arial" w:cs="Arial"/>
          <w:i/>
          <w:iCs/>
          <w:lang w:val="en-US"/>
        </w:rPr>
        <w:t>National Network of Academic Gender Connections</w:t>
      </w:r>
      <w:r w:rsidRPr="00E23E33">
        <w:rPr>
          <w:rFonts w:ascii="Arial" w:eastAsia="Arial" w:hAnsi="Arial" w:cs="Arial"/>
          <w:lang w:val="en-US"/>
        </w:rPr>
        <w:t xml:space="preserve"> was proposed as a strategy for achieving the agreement objectives.</w:t>
      </w:r>
    </w:p>
    <w:p w:rsidR="00322E42" w:rsidRPr="001F4ECA" w:rsidRDefault="00322E42" w:rsidP="00322E42">
      <w:pPr>
        <w:jc w:val="both"/>
        <w:rPr>
          <w:rFonts w:ascii="Arial" w:hAnsi="Arial" w:cs="Arial"/>
          <w:lang w:val="en-US"/>
        </w:rPr>
      </w:pPr>
    </w:p>
    <w:p w:rsidR="00322E42" w:rsidRPr="001F4ECA" w:rsidRDefault="00322E42" w:rsidP="00322E42">
      <w:pPr>
        <w:pStyle w:val="Prrafodelista"/>
        <w:widowControl w:val="0"/>
        <w:numPr>
          <w:ilvl w:val="0"/>
          <w:numId w:val="34"/>
        </w:numPr>
        <w:autoSpaceDE w:val="0"/>
        <w:autoSpaceDN w:val="0"/>
        <w:adjustRightInd w:val="0"/>
        <w:spacing w:after="0" w:line="240" w:lineRule="auto"/>
        <w:jc w:val="both"/>
        <w:rPr>
          <w:rFonts w:ascii="Arial" w:hAnsi="Arial" w:cs="Times New Roman"/>
          <w:lang w:val="en-US"/>
        </w:rPr>
      </w:pPr>
      <w:r w:rsidRPr="00E23E33">
        <w:rPr>
          <w:rFonts w:ascii="Arial" w:eastAsia="Arial" w:hAnsi="Arial" w:cs="Arial"/>
          <w:lang w:val="en-US"/>
        </w:rPr>
        <w:t xml:space="preserve">The Federal Law for Preventing and Eliminating Discrimination, published on July 11, 2003, in article 5, section I, mentions non-discriminatory actions to compensate for situations of inequality: Education laws or positive public and compensatory policies which do not affect the rights of third parties establish different treatment and have the objective of promoting real equal opportunity. (p. 2). Part III is dedicated to the positive and compensatory measures created to achieve equal opportunity. </w:t>
      </w:r>
    </w:p>
    <w:p w:rsidR="00322E42" w:rsidRPr="001F4ECA" w:rsidRDefault="00322E42" w:rsidP="00322E42">
      <w:pPr>
        <w:widowControl w:val="0"/>
        <w:autoSpaceDE w:val="0"/>
        <w:autoSpaceDN w:val="0"/>
        <w:adjustRightInd w:val="0"/>
        <w:jc w:val="both"/>
        <w:rPr>
          <w:rFonts w:ascii="Arial" w:hAnsi="Arial" w:cs="Times New Roman"/>
          <w:lang w:val="en-US"/>
        </w:rPr>
      </w:pPr>
    </w:p>
    <w:p w:rsidR="00322E42" w:rsidRPr="001F4ECA" w:rsidRDefault="00322E42" w:rsidP="00322E42">
      <w:pPr>
        <w:pStyle w:val="Prrafodelista"/>
        <w:numPr>
          <w:ilvl w:val="0"/>
          <w:numId w:val="34"/>
        </w:numPr>
        <w:spacing w:after="0" w:line="240" w:lineRule="auto"/>
        <w:jc w:val="both"/>
        <w:rPr>
          <w:rFonts w:ascii="Arial" w:hAnsi="Arial" w:cs="Arial"/>
          <w:lang w:val="en-US"/>
        </w:rPr>
      </w:pPr>
      <w:r w:rsidRPr="00E23E33">
        <w:rPr>
          <w:rFonts w:ascii="Arial" w:eastAsia="Arial" w:hAnsi="Arial" w:cs="Arial"/>
          <w:lang w:val="en-US"/>
        </w:rPr>
        <w:t>The General Law for the Equality of Men and Women, published August 2, 2006, in articl</w:t>
      </w:r>
      <w:r>
        <w:rPr>
          <w:rFonts w:ascii="Arial" w:eastAsia="Arial" w:hAnsi="Arial" w:cs="Arial"/>
          <w:lang w:val="en-US"/>
        </w:rPr>
        <w:t>e 5, defined affirmative action</w:t>
      </w:r>
      <w:r w:rsidRPr="00E23E33">
        <w:rPr>
          <w:rFonts w:ascii="Arial" w:eastAsia="Arial" w:hAnsi="Arial" w:cs="Arial"/>
          <w:lang w:val="en-US"/>
        </w:rPr>
        <w:t xml:space="preserve"> as temporary measures which accelerate the equality of women and men.  Article 12, section V, deals with affirmative action within compensatory policies in order to insure equal opportunity.</w:t>
      </w:r>
    </w:p>
    <w:p w:rsidR="00322E42" w:rsidRPr="001F4ECA" w:rsidRDefault="00322E42" w:rsidP="00322E42">
      <w:pPr>
        <w:jc w:val="both"/>
        <w:rPr>
          <w:rFonts w:ascii="Arial" w:hAnsi="Arial" w:cs="Arial"/>
          <w:lang w:val="en-US"/>
        </w:rPr>
      </w:pPr>
    </w:p>
    <w:p w:rsidR="00322E42" w:rsidRPr="001F4ECA" w:rsidRDefault="00322E42" w:rsidP="00322E42">
      <w:pPr>
        <w:pStyle w:val="Prrafodelista"/>
        <w:numPr>
          <w:ilvl w:val="0"/>
          <w:numId w:val="34"/>
        </w:numPr>
        <w:spacing w:after="0" w:line="240" w:lineRule="auto"/>
        <w:jc w:val="both"/>
        <w:rPr>
          <w:rFonts w:ascii="Arial" w:hAnsi="Arial" w:cs="Arial"/>
          <w:lang w:val="en-US"/>
        </w:rPr>
      </w:pPr>
      <w:r w:rsidRPr="00E23E33">
        <w:rPr>
          <w:rFonts w:ascii="Arial" w:eastAsia="Arial" w:hAnsi="Arial" w:cs="Arial"/>
          <w:lang w:val="en-US"/>
        </w:rPr>
        <w:t>The General Law of Access to a Life Free of Violence against Women, published February 1, 2007, in article 5, section IX, proposed eliminating the causes of oppression, inequality and gender injustice, promoting gender equality through the advancement and well being of women which will ensure a society where women are considered of equal value to men. And in article 45, sections I and III, it is mentioned that the Secretariat of Public Education should create policies aimed at gender equality and guarantee policies and actions which advance the situation of women.</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 b) Compensatory Policies that Attend to the Vulnerability of Indigenous Peoples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Schmelkes (2003) mentions three strategies that in the last few years have been applied to indigenous groups: affirmative action policies like the National Scholarship Program (PRONABES</w:t>
      </w:r>
      <w:r>
        <w:rPr>
          <w:rStyle w:val="Refdenotaalpie"/>
          <w:rFonts w:ascii="Arial" w:hAnsi="Arial" w:cs="Arial"/>
        </w:rPr>
        <w:footnoteReference w:id="7"/>
      </w:r>
      <w:r>
        <w:rPr>
          <w:rFonts w:ascii="Arial" w:eastAsia="Arial" w:hAnsi="Arial" w:cs="Arial"/>
          <w:lang w:val="en-US"/>
        </w:rPr>
        <w:t xml:space="preserve">), the creation of intercultural universities and a combination of affirmative actions through scholarships and the application of compensatory mechanisms by institutions of higher education to ensure consistency during the entire period of study.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Several different public and private institutions have participated in these strategies, most notably the Secretariat of Public Education by means of the General Office of Intercultural Education (CGEIB in Spanish), ANUIES and the Ford Foundation (with the program </w:t>
      </w:r>
      <w:r>
        <w:rPr>
          <w:rFonts w:ascii="Arial" w:eastAsia="Arial" w:hAnsi="Arial" w:cs="Arial"/>
          <w:i/>
          <w:iCs/>
          <w:lang w:val="en-US"/>
        </w:rPr>
        <w:t>Pathways</w:t>
      </w:r>
      <w:r>
        <w:rPr>
          <w:rFonts w:ascii="Arial" w:eastAsia="Arial" w:hAnsi="Arial" w:cs="Arial"/>
          <w:lang w:val="en-US"/>
        </w:rPr>
        <w:t>).</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In order to attend to the problem of inequality in education, lack of coverage, insufficient infrastructure and the lack of financing for indigenous groups in higher education, as well as the academic problems of drop-outs, ANUIES and the Ford Foundation created the Support Program for Indigenous Students in Higher Education (PAEIIES in Spanish).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lang w:val="en-US"/>
        </w:rPr>
      </w:pPr>
      <w:r>
        <w:rPr>
          <w:rFonts w:ascii="Arial" w:eastAsia="Arial" w:hAnsi="Arial" w:cs="Arial"/>
          <w:lang w:val="en-US"/>
        </w:rPr>
        <w:t>The PAEIIES includes several different indigenous groups including:</w:t>
      </w:r>
      <w:r>
        <w:rPr>
          <w:rFonts w:ascii="Times New Roman" w:eastAsia="Times New Roman" w:hAnsi="Times New Roman" w:cs="Times New Roman"/>
          <w:sz w:val="23"/>
          <w:szCs w:val="23"/>
          <w:lang w:val="en-US"/>
        </w:rPr>
        <w:t xml:space="preserve"> </w:t>
      </w:r>
      <w:r>
        <w:rPr>
          <w:rFonts w:ascii="Arial" w:eastAsia="Arial" w:hAnsi="Arial" w:cs="Arial"/>
          <w:lang w:val="en-US"/>
        </w:rPr>
        <w:t>Huastecos, Huicholes, Matlatzintecos, Mayas, Mazahuas, Mazatecos, Mixes, Mixtecos, Nahuas, Otomíes, Popolucas, Purépechas, Totonacas, Tzeltales, Tzotziles and Zapotecos. The program covers a large part of the country and includes the states of: Sonora, Sinaloa, Chihuahua, Nayarit, Jalisco, Michoacán, Guerrero, Mexico State, Hidalgo, Puebla, Tlaxcala, Veracruz, Oaxaca, Chiapas, Quintana Roo, Yucatán, Campeche and Mexico City.</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With this program, there are five areas of priority in intercultural education: graduation (thesis projects, final exams and paperwork), tutoring, oral and written expression, academic consistency and improving PAEIIES. These are all oriented towards the compliance of the PAEIIES objectives which are:</w:t>
      </w:r>
    </w:p>
    <w:p w:rsidR="00322E42" w:rsidRPr="001F4ECA" w:rsidRDefault="00322E42" w:rsidP="00322E42">
      <w:pPr>
        <w:jc w:val="both"/>
        <w:rPr>
          <w:rFonts w:ascii="Arial" w:hAnsi="Arial" w:cs="Arial"/>
          <w:lang w:val="en-US"/>
        </w:rPr>
      </w:pPr>
    </w:p>
    <w:p w:rsidR="00322E42" w:rsidRPr="001F4ECA" w:rsidRDefault="00322E42" w:rsidP="00322E42">
      <w:pPr>
        <w:pStyle w:val="Prrafodelista"/>
        <w:widowControl w:val="0"/>
        <w:numPr>
          <w:ilvl w:val="0"/>
          <w:numId w:val="35"/>
        </w:numPr>
        <w:autoSpaceDE w:val="0"/>
        <w:autoSpaceDN w:val="0"/>
        <w:adjustRightInd w:val="0"/>
        <w:spacing w:after="0" w:line="240" w:lineRule="auto"/>
        <w:ind w:left="714" w:hanging="357"/>
        <w:jc w:val="both"/>
        <w:rPr>
          <w:rFonts w:ascii="Arial" w:hAnsi="Arial" w:cs="Times New Roman"/>
          <w:lang w:val="en-US"/>
        </w:rPr>
      </w:pPr>
      <w:r>
        <w:rPr>
          <w:rFonts w:ascii="Arial" w:eastAsia="Arial" w:hAnsi="Arial" w:cs="Arial"/>
          <w:lang w:val="en-US"/>
        </w:rPr>
        <w:t>Increase the number of indigenous students in higher education.</w:t>
      </w:r>
    </w:p>
    <w:p w:rsidR="00322E42" w:rsidRPr="001F4ECA" w:rsidRDefault="00322E42" w:rsidP="00322E42">
      <w:pPr>
        <w:pStyle w:val="Prrafodelista"/>
        <w:widowControl w:val="0"/>
        <w:numPr>
          <w:ilvl w:val="0"/>
          <w:numId w:val="35"/>
        </w:numPr>
        <w:autoSpaceDE w:val="0"/>
        <w:autoSpaceDN w:val="0"/>
        <w:adjustRightInd w:val="0"/>
        <w:spacing w:after="0" w:line="240" w:lineRule="auto"/>
        <w:ind w:left="714" w:hanging="357"/>
        <w:jc w:val="both"/>
        <w:rPr>
          <w:rFonts w:ascii="Arial" w:hAnsi="Arial" w:cs="Times New Roman"/>
          <w:lang w:val="en-US"/>
        </w:rPr>
      </w:pPr>
      <w:r>
        <w:rPr>
          <w:rFonts w:ascii="Arial" w:eastAsia="Arial" w:hAnsi="Arial" w:cs="Arial"/>
          <w:lang w:val="en-US"/>
        </w:rPr>
        <w:t>I</w:t>
      </w:r>
      <w:r w:rsidRPr="000E39AD">
        <w:rPr>
          <w:rFonts w:ascii="Arial" w:eastAsia="Arial" w:hAnsi="Arial" w:cs="Arial"/>
          <w:lang w:val="en-US"/>
        </w:rPr>
        <w:t>ndigenous students ach</w:t>
      </w:r>
      <w:r>
        <w:rPr>
          <w:rFonts w:ascii="Arial" w:eastAsia="Arial" w:hAnsi="Arial" w:cs="Arial"/>
          <w:lang w:val="en-US"/>
        </w:rPr>
        <w:t>i</w:t>
      </w:r>
      <w:r w:rsidRPr="000E39AD">
        <w:rPr>
          <w:rFonts w:ascii="Arial" w:eastAsia="Arial" w:hAnsi="Arial" w:cs="Arial"/>
          <w:lang w:val="en-US"/>
        </w:rPr>
        <w:t>eve good academic standing in bachelor degree programs and earn access to graduate programs.</w:t>
      </w:r>
    </w:p>
    <w:p w:rsidR="00322E42" w:rsidRPr="001F4ECA" w:rsidRDefault="00322E42" w:rsidP="00322E42">
      <w:pPr>
        <w:pStyle w:val="Prrafodelista"/>
        <w:widowControl w:val="0"/>
        <w:numPr>
          <w:ilvl w:val="0"/>
          <w:numId w:val="35"/>
        </w:numPr>
        <w:autoSpaceDE w:val="0"/>
        <w:autoSpaceDN w:val="0"/>
        <w:adjustRightInd w:val="0"/>
        <w:spacing w:after="0" w:line="240" w:lineRule="auto"/>
        <w:ind w:left="714" w:hanging="357"/>
        <w:jc w:val="both"/>
        <w:rPr>
          <w:rFonts w:ascii="Arial" w:hAnsi="Arial" w:cs="Times New Roman"/>
          <w:lang w:val="en-US"/>
        </w:rPr>
      </w:pPr>
      <w:r w:rsidRPr="000E39AD">
        <w:rPr>
          <w:rFonts w:ascii="Arial" w:eastAsia="Arial" w:hAnsi="Arial" w:cs="Arial"/>
          <w:lang w:val="en-US"/>
        </w:rPr>
        <w:t>Guarantee permanence and increase graduation efficiency.</w:t>
      </w:r>
    </w:p>
    <w:p w:rsidR="00322E42" w:rsidRPr="001F4ECA" w:rsidRDefault="00322E42" w:rsidP="00322E42">
      <w:pPr>
        <w:pStyle w:val="Prrafodelista"/>
        <w:widowControl w:val="0"/>
        <w:numPr>
          <w:ilvl w:val="0"/>
          <w:numId w:val="35"/>
        </w:numPr>
        <w:autoSpaceDE w:val="0"/>
        <w:autoSpaceDN w:val="0"/>
        <w:adjustRightInd w:val="0"/>
        <w:spacing w:after="0" w:line="240" w:lineRule="auto"/>
        <w:ind w:left="714" w:hanging="357"/>
        <w:jc w:val="both"/>
        <w:rPr>
          <w:rFonts w:ascii="Arial" w:hAnsi="Arial" w:cs="Times New Roman"/>
          <w:lang w:val="en-US"/>
        </w:rPr>
      </w:pPr>
      <w:r w:rsidRPr="000E39AD">
        <w:rPr>
          <w:rFonts w:ascii="Arial" w:eastAsia="Arial" w:hAnsi="Arial" w:cs="Arial"/>
          <w:lang w:val="en-US"/>
        </w:rPr>
        <w:t xml:space="preserve">Contribute to changes in institutional and community policies. </w:t>
      </w:r>
    </w:p>
    <w:p w:rsidR="00322E42" w:rsidRPr="001F4ECA" w:rsidRDefault="00322E42" w:rsidP="00322E42">
      <w:pPr>
        <w:pStyle w:val="Prrafodelista"/>
        <w:widowControl w:val="0"/>
        <w:numPr>
          <w:ilvl w:val="0"/>
          <w:numId w:val="35"/>
        </w:numPr>
        <w:autoSpaceDE w:val="0"/>
        <w:autoSpaceDN w:val="0"/>
        <w:adjustRightInd w:val="0"/>
        <w:spacing w:after="0" w:line="240" w:lineRule="auto"/>
        <w:ind w:left="714" w:hanging="357"/>
        <w:jc w:val="both"/>
        <w:rPr>
          <w:rFonts w:ascii="Arial" w:hAnsi="Arial" w:cs="Times New Roman"/>
          <w:lang w:val="en-US"/>
        </w:rPr>
      </w:pPr>
      <w:r w:rsidRPr="000E39AD">
        <w:rPr>
          <w:rFonts w:ascii="Arial" w:eastAsia="Arial" w:hAnsi="Arial" w:cs="Arial"/>
          <w:lang w:val="en-US"/>
        </w:rPr>
        <w:t>Reinforce the recognition and respect for cultural diversity in the university community.</w:t>
      </w:r>
    </w:p>
    <w:p w:rsidR="00322E42" w:rsidRPr="001F4ECA" w:rsidRDefault="00322E42" w:rsidP="00322E42">
      <w:pPr>
        <w:pStyle w:val="Prrafodelista"/>
        <w:widowControl w:val="0"/>
        <w:numPr>
          <w:ilvl w:val="0"/>
          <w:numId w:val="35"/>
        </w:numPr>
        <w:autoSpaceDE w:val="0"/>
        <w:autoSpaceDN w:val="0"/>
        <w:adjustRightInd w:val="0"/>
        <w:spacing w:after="0" w:line="240" w:lineRule="auto"/>
        <w:ind w:left="714" w:hanging="357"/>
        <w:jc w:val="both"/>
        <w:rPr>
          <w:rFonts w:ascii="Arial" w:hAnsi="Arial" w:cs="Times New Roman"/>
          <w:lang w:val="en-US"/>
        </w:rPr>
      </w:pPr>
      <w:r w:rsidRPr="000E39AD">
        <w:rPr>
          <w:rFonts w:ascii="Arial" w:eastAsia="Arial" w:hAnsi="Arial" w:cs="Arial"/>
          <w:lang w:val="en-US"/>
        </w:rPr>
        <w:t>Connect indigenous students with their communities through practicum</w:t>
      </w:r>
      <w:r>
        <w:rPr>
          <w:rFonts w:ascii="Arial" w:eastAsia="Arial" w:hAnsi="Arial" w:cs="Arial"/>
          <w:lang w:val="en-US"/>
        </w:rPr>
        <w:t>s</w:t>
      </w:r>
      <w:r w:rsidRPr="000E39AD">
        <w:rPr>
          <w:rFonts w:ascii="Arial" w:eastAsia="Arial" w:hAnsi="Arial" w:cs="Arial"/>
          <w:lang w:val="en-US"/>
        </w:rPr>
        <w:t xml:space="preserve"> and cultural dissemination.</w:t>
      </w:r>
    </w:p>
    <w:p w:rsidR="00322E42" w:rsidRPr="001F4ECA" w:rsidRDefault="00322E42" w:rsidP="00322E42">
      <w:pPr>
        <w:pStyle w:val="Prrafodelista"/>
        <w:numPr>
          <w:ilvl w:val="0"/>
          <w:numId w:val="35"/>
        </w:numPr>
        <w:spacing w:after="0" w:line="240" w:lineRule="auto"/>
        <w:ind w:left="714" w:hanging="357"/>
        <w:jc w:val="both"/>
        <w:rPr>
          <w:rFonts w:ascii="Arial" w:hAnsi="Arial" w:cs="Arial"/>
          <w:lang w:val="en-US"/>
        </w:rPr>
      </w:pPr>
      <w:r w:rsidRPr="000E39AD">
        <w:rPr>
          <w:rFonts w:ascii="Arial" w:eastAsia="Arial" w:hAnsi="Arial" w:cs="Arial"/>
          <w:lang w:val="en-US"/>
        </w:rPr>
        <w:t>Promote research projects dealing with indigenous difficulties (Castillo, 2002, p. 4)</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The impact of PAEIIES has been favorable up to now. The most recent efficiency data reported highlights the fact that 2677 students have completed their course loads and 1004 have graduated. The PAEIIES is the most important affirmative action program within the multicultural framework of higher education.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c) Compensatory Policies that Attend to the Vulnerability of the Disabled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lastRenderedPageBreak/>
        <w:t xml:space="preserve">There has been significant progress in the laws of this country, especially at the beginning of this century. In 2003, the Federal Law for the Prevention and Elimination of Discrimination was published. Article 2, dealing with liberty and equality, is complemented by article 5, which mentions the positive and compensatory policies in the area of education. Chapter III, entitled </w:t>
      </w:r>
      <w:r>
        <w:rPr>
          <w:rFonts w:ascii="Arial" w:eastAsia="Arial" w:hAnsi="Arial" w:cs="Arial"/>
          <w:i/>
          <w:iCs/>
          <w:lang w:val="en-US"/>
        </w:rPr>
        <w:t>Positive and Compensatory Measures for Equal Opportunity</w:t>
      </w:r>
      <w:r>
        <w:rPr>
          <w:rFonts w:ascii="Arial" w:eastAsia="Arial" w:hAnsi="Arial" w:cs="Arial"/>
          <w:lang w:val="en-US"/>
        </w:rPr>
        <w:t xml:space="preserve">, includes article 13 referring to people with a disability.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In 2005, the General Law for People with Disabilities is published. In article 5, section V, refers to equal opportunity, where public affirmative action policies are mentioned.</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In 2011, the General Law of Inclusion for People with Disabilities is published. In article 2, section XV, equal opportunity is mentioned with affirmative action. Articles 5 and 6 mention the beginning of public policies for equal opportunity and the guarantee of fairness. Chapter III is dedicated to education, mentioning scholarships in a compensatory sense in section VIII.</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During the same period, ANUIES (2002), published a Manual for the Integration of People with Disabilities in Institutions of Higher Learning (MIPDIES in Spanish).   The purpose was to move towards an inclusive university using actions of equal opportunity and equal rights towards disabled persons in institutions of higher learning.</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One point in the manual that stands out is the attention paid to the academic process more than policy.  Accessibility is looked at in admission opportunities, academic consistency and graduation. Paying attention to teacher training, educational practice with pedagogical adaptations and changes to the curriculum are essential to becoming an inclusive university.</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b/>
          <w:lang w:val="en-US"/>
        </w:rPr>
      </w:pPr>
      <w:r w:rsidRPr="007B0872">
        <w:rPr>
          <w:rFonts w:ascii="Arial" w:eastAsia="Arial" w:hAnsi="Arial" w:cs="Arial"/>
          <w:b/>
          <w:bCs/>
          <w:lang w:val="en-US"/>
        </w:rPr>
        <w:t>4. Conclusion</w:t>
      </w:r>
    </w:p>
    <w:p w:rsidR="00322E42" w:rsidRPr="001F4ECA" w:rsidRDefault="00322E42" w:rsidP="00322E42">
      <w:pPr>
        <w:jc w:val="both"/>
        <w:rPr>
          <w:rFonts w:ascii="Arial" w:hAnsi="Arial" w:cs="Arial"/>
          <w:b/>
          <w:lang w:val="en-US"/>
        </w:rPr>
      </w:pPr>
    </w:p>
    <w:p w:rsidR="00322E42" w:rsidRPr="001F4ECA" w:rsidRDefault="00322E42" w:rsidP="00322E42">
      <w:pPr>
        <w:jc w:val="both"/>
        <w:rPr>
          <w:rFonts w:ascii="Arial" w:hAnsi="Arial" w:cs="Arial"/>
          <w:lang w:val="en-US"/>
        </w:rPr>
      </w:pPr>
      <w:r>
        <w:rPr>
          <w:rFonts w:ascii="Arial" w:eastAsia="Arial" w:hAnsi="Arial" w:cs="Arial"/>
          <w:lang w:val="en-US"/>
        </w:rPr>
        <w:t>It was obvious that the economic model based on neoliberalism is not providing answers to the problems which occur from dividing up the gross domestic product per capita. This distribution is characterized by inequality. Even with compensatory programs, the number of poor rises.</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lastRenderedPageBreak/>
        <w:t xml:space="preserve">This is proven by the following data: With respect to education expenditures, for inhabitants in the tenth decile, education is their second priority and they set aside 19.5% of the income for this expense. Those in the first decile (the poorest) only set aside 5.4% of their income. This is logical, since the priorities for the poor are food, travel expenses to work, clothing and rent. If there is enough money, the youngest in the family go to school and the older children must help out with expenses.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Many authors have said that schools create an elitist society and contribute to polarization. In other words, the only people who can go to school are those who have enough income to do so, making higher education a privilege rather than a right.</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The lack of access to higher education intensifies if on top of being poor, the person belongs to a vulnerable group (women, indigenous or with a disability). This makes the situation worse, nevertheless, there are alternative for people in this situation of vulnerability. We are referring to affirmative action or compensatory politics.</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sidRPr="005863B5">
        <w:rPr>
          <w:rFonts w:ascii="Arial" w:eastAsia="Arial" w:hAnsi="Arial" w:cs="Arial"/>
          <w:lang w:val="en-US"/>
        </w:rPr>
        <w:t>The progress made in Mexico</w:t>
      </w:r>
      <w:r>
        <w:rPr>
          <w:rFonts w:ascii="Arial" w:eastAsia="Arial" w:hAnsi="Arial" w:cs="Arial"/>
          <w:lang w:val="en-US"/>
        </w:rPr>
        <w:t>,</w:t>
      </w:r>
      <w:r w:rsidRPr="005863B5">
        <w:rPr>
          <w:rFonts w:ascii="Arial" w:eastAsia="Arial" w:hAnsi="Arial" w:cs="Arial"/>
          <w:lang w:val="en-US"/>
        </w:rPr>
        <w:t xml:space="preserve"> when it comes to compensatory policies for equality in education</w:t>
      </w:r>
      <w:r>
        <w:rPr>
          <w:rFonts w:ascii="Arial" w:eastAsia="Arial" w:hAnsi="Arial" w:cs="Arial"/>
          <w:lang w:val="en-US"/>
        </w:rPr>
        <w:t>,</w:t>
      </w:r>
      <w:r w:rsidRPr="005863B5">
        <w:rPr>
          <w:rFonts w:ascii="Arial" w:eastAsia="Arial" w:hAnsi="Arial" w:cs="Arial"/>
          <w:lang w:val="en-US"/>
        </w:rPr>
        <w:t xml:space="preserve"> are notable. There have been enough laws passed to establish priorities in access, consistency and graduation from higher education for groups with a social disadvantage. Nevertheless, the reality tells us something different. The government is still designing policies and strategies meant to establish affirmative or compensatory actions from a liberalism po</w:t>
      </w:r>
      <w:r>
        <w:rPr>
          <w:rFonts w:ascii="Arial" w:eastAsia="Arial" w:hAnsi="Arial" w:cs="Arial"/>
          <w:lang w:val="en-US"/>
        </w:rPr>
        <w:t>i</w:t>
      </w:r>
      <w:r w:rsidRPr="005863B5">
        <w:rPr>
          <w:rFonts w:ascii="Arial" w:eastAsia="Arial" w:hAnsi="Arial" w:cs="Arial"/>
          <w:lang w:val="en-US"/>
        </w:rPr>
        <w:t xml:space="preserve">nt of view. For example, scholarships helping students access or remain in higher education still take into account the student´s grade. Here we must ask how a poor, indigenous, disabled woman would be able to maintain a high grade point average. If a student is part of a vulnerable group, the criteria should be set up according to their situation. A young person with little economic resources, but young and living in a city with his/her family has a higher probability of obtaining a good grade point average than the woman describer earlier. </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With respect to vulnerable groups, each person´s situation is different. This is why compensatory programs must be specific and this means that resources are needed to attack this situation. The application must be reviewed with an ethics and humanity, considering personal growth and making the most of each person´s abilities and opportunities.</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 xml:space="preserve">When it comes to educational practice, teachers who teach this type of student should be sensitive to their abilities and limitations. These students require different attention even </w:t>
      </w:r>
      <w:r>
        <w:rPr>
          <w:rFonts w:ascii="Arial" w:eastAsia="Arial" w:hAnsi="Arial" w:cs="Arial"/>
          <w:lang w:val="en-US"/>
        </w:rPr>
        <w:lastRenderedPageBreak/>
        <w:t>though they are inserted into groups and educational institutions created for all types of people. We need educational practice based upon respect for human rights, reflection and creativity to propose alternatives, as well as the design and application of teaching and learning strategies which facilitate particular learning styles.</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r>
        <w:rPr>
          <w:rFonts w:ascii="Arial" w:eastAsia="Arial" w:hAnsi="Arial" w:cs="Arial"/>
          <w:lang w:val="en-US"/>
        </w:rPr>
        <w:t>In order to achieve all of this, the teacher must be willing to take into account the needs of these students, but above all discover which aspects of their educational practice can be modified in favor of better teaching. The teacher needs to maximize the resources he/she has already has and strive to implement new actions derived from intelligent and efficient management.</w:t>
      </w:r>
    </w:p>
    <w:p w:rsidR="00322E42" w:rsidRPr="001F4ECA" w:rsidRDefault="00322E42" w:rsidP="00322E42">
      <w:pPr>
        <w:jc w:val="both"/>
        <w:rPr>
          <w:rFonts w:ascii="Arial" w:hAnsi="Arial" w:cs="Arial"/>
          <w:lang w:val="en-US"/>
        </w:rPr>
      </w:pPr>
    </w:p>
    <w:p w:rsidR="00322E42" w:rsidRPr="001F4ECA" w:rsidRDefault="00322E42" w:rsidP="00322E42">
      <w:pPr>
        <w:jc w:val="both"/>
        <w:rPr>
          <w:rFonts w:ascii="Arial" w:hAnsi="Arial" w:cs="Arial"/>
          <w:lang w:val="en-US"/>
        </w:rPr>
      </w:pPr>
    </w:p>
    <w:p w:rsidR="00322E42" w:rsidRPr="005F6DC8" w:rsidRDefault="00322E42" w:rsidP="00322E42">
      <w:pPr>
        <w:jc w:val="both"/>
        <w:rPr>
          <w:rFonts w:ascii="Arial" w:hAnsi="Arial" w:cs="Arial"/>
          <w:b/>
        </w:rPr>
      </w:pPr>
      <w:r w:rsidRPr="001F4ECA">
        <w:rPr>
          <w:rFonts w:ascii="Arial" w:eastAsia="Arial" w:hAnsi="Arial" w:cs="Arial"/>
          <w:b/>
          <w:bCs/>
          <w:lang w:val="es-ES"/>
        </w:rPr>
        <w:t>Bibliography</w:t>
      </w:r>
    </w:p>
    <w:p w:rsidR="00322E42" w:rsidRDefault="00322E42" w:rsidP="00322E42">
      <w:pPr>
        <w:spacing w:line="360" w:lineRule="auto"/>
        <w:jc w:val="both"/>
        <w:rPr>
          <w:rFonts w:ascii="Arial" w:hAnsi="Arial" w:cs="Arial"/>
        </w:rPr>
      </w:pPr>
    </w:p>
    <w:p w:rsidR="00322E42" w:rsidRDefault="00322E42" w:rsidP="00322E42">
      <w:pPr>
        <w:jc w:val="both"/>
        <w:rPr>
          <w:rFonts w:ascii="Arial" w:hAnsi="Arial" w:cs="Arial"/>
        </w:rPr>
      </w:pPr>
      <w:r w:rsidRPr="001F4ECA">
        <w:rPr>
          <w:rFonts w:ascii="Arial" w:eastAsia="Arial" w:hAnsi="Arial" w:cs="Arial"/>
          <w:lang w:val="es-ES"/>
        </w:rPr>
        <w:t xml:space="preserve">Bolívar, Antonio (2005). “Equidad educativa y teorías de la justicia social”, en </w:t>
      </w:r>
      <w:r w:rsidRPr="001F4ECA">
        <w:rPr>
          <w:rFonts w:ascii="Arial" w:eastAsia="Arial" w:hAnsi="Arial" w:cs="Arial"/>
          <w:i/>
          <w:iCs/>
          <w:lang w:val="es-ES"/>
        </w:rPr>
        <w:t>Revista Electrónica Iberoamericana sobre Calidad, Eficacia y Cambio Educativo</w:t>
      </w:r>
      <w:r w:rsidRPr="001F4ECA">
        <w:rPr>
          <w:rFonts w:ascii="Arial" w:eastAsia="Arial" w:hAnsi="Arial" w:cs="Arial"/>
          <w:lang w:val="es-ES"/>
        </w:rPr>
        <w:t>, v.3 a2</w:t>
      </w:r>
    </w:p>
    <w:p w:rsidR="00322E42" w:rsidRDefault="00322E42" w:rsidP="00322E42">
      <w:pPr>
        <w:jc w:val="both"/>
        <w:rPr>
          <w:rFonts w:ascii="Arial" w:hAnsi="Arial" w:cs="Arial"/>
        </w:rPr>
      </w:pPr>
    </w:p>
    <w:p w:rsidR="00322E42" w:rsidRDefault="00322E42" w:rsidP="00322E42">
      <w:pPr>
        <w:jc w:val="both"/>
        <w:rPr>
          <w:rFonts w:ascii="Arial" w:hAnsi="Arial" w:cs="Arial"/>
        </w:rPr>
      </w:pPr>
      <w:r w:rsidRPr="001F4ECA">
        <w:rPr>
          <w:rFonts w:ascii="Arial" w:eastAsia="Arial" w:hAnsi="Arial" w:cs="Arial"/>
          <w:lang w:val="es-ES"/>
        </w:rPr>
        <w:t>Cámara de Diputados del H. Congreso de la Unión (1993). Ley General de Educación. México: Diario Oficial de la Federación.</w:t>
      </w:r>
    </w:p>
    <w:p w:rsidR="00322E42" w:rsidRDefault="00322E42" w:rsidP="00322E42">
      <w:pPr>
        <w:widowControl w:val="0"/>
        <w:autoSpaceDE w:val="0"/>
        <w:autoSpaceDN w:val="0"/>
        <w:adjustRightInd w:val="0"/>
        <w:jc w:val="both"/>
        <w:rPr>
          <w:rFonts w:ascii="Arial" w:hAnsi="Arial" w:cs="Arial"/>
          <w:lang w:val="es-ES"/>
        </w:rPr>
      </w:pPr>
    </w:p>
    <w:p w:rsidR="00322E42" w:rsidRPr="00E42C58" w:rsidRDefault="00322E42" w:rsidP="00322E42">
      <w:pPr>
        <w:widowControl w:val="0"/>
        <w:autoSpaceDE w:val="0"/>
        <w:autoSpaceDN w:val="0"/>
        <w:adjustRightInd w:val="0"/>
        <w:jc w:val="both"/>
        <w:rPr>
          <w:rFonts w:ascii="Arial" w:hAnsi="Arial" w:cs="Arial"/>
          <w:lang w:val="es-ES"/>
        </w:rPr>
      </w:pPr>
      <w:r w:rsidRPr="001F4ECA">
        <w:rPr>
          <w:rFonts w:ascii="Arial" w:eastAsia="Arial" w:hAnsi="Arial" w:cs="Arial"/>
          <w:lang w:val="es-ES"/>
        </w:rPr>
        <w:t>Castel, Robert (2000): “Encuadre de la exclusión” en Karsz, Saul (coord.): “La exclusión: bordeando sus fronteras. Definiciones y Matices”  España: Gedisa.</w:t>
      </w:r>
    </w:p>
    <w:p w:rsidR="00322E42" w:rsidRDefault="00322E42" w:rsidP="00322E42">
      <w:pPr>
        <w:spacing w:line="360" w:lineRule="auto"/>
        <w:jc w:val="both"/>
        <w:rPr>
          <w:rFonts w:ascii="Arial" w:hAnsi="Arial" w:cs="Arial"/>
        </w:rPr>
      </w:pPr>
    </w:p>
    <w:p w:rsidR="00322E42" w:rsidRDefault="00322E42" w:rsidP="00322E42">
      <w:pPr>
        <w:jc w:val="both"/>
        <w:rPr>
          <w:rFonts w:ascii="Arial" w:hAnsi="Arial" w:cs="Arial"/>
        </w:rPr>
      </w:pPr>
      <w:r w:rsidRPr="001F4ECA">
        <w:rPr>
          <w:rFonts w:ascii="Arial" w:eastAsia="Arial" w:hAnsi="Arial" w:cs="Arial"/>
          <w:lang w:val="es-ES"/>
        </w:rPr>
        <w:t>Castillo, Angélica (2002). El programa de apoyo a estudios indígenas en instituciones de educación superior: una alternativa institucional para el acceso, equidad, cobertura y calidad. México: ANUIES.</w:t>
      </w:r>
    </w:p>
    <w:p w:rsidR="00322E42" w:rsidRDefault="00322E42" w:rsidP="00322E42">
      <w:pPr>
        <w:spacing w:line="360" w:lineRule="auto"/>
        <w:jc w:val="both"/>
        <w:rPr>
          <w:rFonts w:ascii="Arial" w:hAnsi="Arial" w:cs="Arial"/>
        </w:rPr>
      </w:pPr>
    </w:p>
    <w:p w:rsidR="00322E42" w:rsidRPr="005F6DC8" w:rsidRDefault="00322E42" w:rsidP="00322E42">
      <w:pPr>
        <w:jc w:val="both"/>
        <w:rPr>
          <w:rFonts w:ascii="Arial" w:hAnsi="Arial" w:cs="Arial"/>
        </w:rPr>
      </w:pPr>
      <w:r w:rsidRPr="001F4ECA">
        <w:rPr>
          <w:rFonts w:ascii="Arial" w:eastAsia="Arial" w:hAnsi="Arial" w:cs="Arial"/>
          <w:lang w:val="es-ES"/>
        </w:rPr>
        <w:t>CONEVAL. Consejo Nacional de Evaluación de la Política de Desarrollo Social   (2011). Porcentaje de la población en pobreza según entidad federativa, 2010  Estados Unidos Mexicanos. México: CONEVAL.</w:t>
      </w:r>
    </w:p>
    <w:p w:rsidR="00322E42" w:rsidRDefault="00322E42" w:rsidP="00322E42">
      <w:pPr>
        <w:spacing w:line="360" w:lineRule="auto"/>
        <w:jc w:val="both"/>
        <w:rPr>
          <w:rFonts w:ascii="Arial" w:hAnsi="Arial" w:cs="Arial"/>
        </w:rPr>
      </w:pPr>
    </w:p>
    <w:p w:rsidR="00322E42" w:rsidRDefault="00322E42" w:rsidP="00322E42">
      <w:pPr>
        <w:jc w:val="both"/>
        <w:rPr>
          <w:rFonts w:ascii="Arial" w:hAnsi="Arial" w:cs="Arial"/>
        </w:rPr>
      </w:pPr>
      <w:r w:rsidRPr="001F4ECA">
        <w:rPr>
          <w:rFonts w:ascii="Arial" w:eastAsia="Arial" w:hAnsi="Arial" w:cs="Arial"/>
          <w:lang w:val="es-ES"/>
        </w:rPr>
        <w:lastRenderedPageBreak/>
        <w:t>CNI. Comisión Nacional para el Desarrollo de los Pueblos Indígenas (2006). Informe sobre Desarrollo humano de los pueblos indígenas de México. México: PNUD.</w:t>
      </w:r>
    </w:p>
    <w:p w:rsidR="00322E42" w:rsidRDefault="00322E42" w:rsidP="00322E42">
      <w:pPr>
        <w:jc w:val="both"/>
        <w:rPr>
          <w:rFonts w:ascii="Arial" w:hAnsi="Arial" w:cs="Arial"/>
        </w:rPr>
      </w:pPr>
    </w:p>
    <w:p w:rsidR="00322E42" w:rsidRDefault="00322E42" w:rsidP="00322E42">
      <w:pPr>
        <w:jc w:val="both"/>
        <w:rPr>
          <w:rFonts w:ascii="Arial" w:hAnsi="Arial" w:cs="Arial"/>
        </w:rPr>
      </w:pPr>
      <w:r w:rsidRPr="001F4ECA">
        <w:rPr>
          <w:rFonts w:ascii="Arial" w:eastAsia="Arial" w:hAnsi="Arial" w:cs="Arial"/>
          <w:lang w:val="es-ES"/>
        </w:rPr>
        <w:t xml:space="preserve">CNI. Comisión Nacional para el Desarrollo de los Pueblos Indígenas (2010). Programa Nacional para Pueblos Indígenas 2009-2012: Plan Nacional de Desarrollo. México: CNI. </w:t>
      </w:r>
    </w:p>
    <w:p w:rsidR="00322E42" w:rsidRDefault="00322E42" w:rsidP="00322E42">
      <w:pPr>
        <w:jc w:val="both"/>
        <w:rPr>
          <w:rFonts w:ascii="Arial" w:hAnsi="Arial" w:cs="Arial"/>
        </w:rPr>
      </w:pPr>
    </w:p>
    <w:p w:rsidR="00322E42" w:rsidRDefault="00322E42" w:rsidP="00322E42">
      <w:pPr>
        <w:jc w:val="both"/>
        <w:rPr>
          <w:rFonts w:ascii="Arial" w:hAnsi="Arial" w:cs="Arial"/>
        </w:rPr>
      </w:pPr>
      <w:r w:rsidRPr="001F4ECA">
        <w:rPr>
          <w:rFonts w:ascii="Arial" w:eastAsia="Arial" w:hAnsi="Arial" w:cs="Arial"/>
          <w:lang w:val="es-ES"/>
        </w:rPr>
        <w:t>Cortés, Fernando (2010). “ Pobreza, desigualdad en la distribución del ingreso y crecimiento económico 1992-2006”, en Fernando Córtes y Orlandina de Oliveira. Desigualdad, 1a. ed. México: El Colegio de México.</w:t>
      </w:r>
    </w:p>
    <w:p w:rsidR="00322E42" w:rsidRDefault="00322E42" w:rsidP="00322E42">
      <w:pPr>
        <w:jc w:val="both"/>
        <w:rPr>
          <w:rFonts w:ascii="Arial" w:hAnsi="Arial" w:cs="Arial"/>
        </w:rPr>
      </w:pPr>
      <w:r>
        <w:rPr>
          <w:rFonts w:ascii="Arial" w:hAnsi="Arial" w:cs="Arial"/>
        </w:rPr>
        <w:t xml:space="preserve"> </w:t>
      </w:r>
    </w:p>
    <w:p w:rsidR="00322E42" w:rsidRDefault="00322E42" w:rsidP="00322E42">
      <w:pPr>
        <w:jc w:val="both"/>
        <w:rPr>
          <w:rFonts w:ascii="Arial" w:hAnsi="Arial" w:cs="Arial"/>
        </w:rPr>
      </w:pPr>
      <w:r w:rsidRPr="001F4ECA">
        <w:rPr>
          <w:rFonts w:ascii="Arial" w:eastAsia="Arial" w:hAnsi="Arial" w:cs="Arial"/>
          <w:lang w:val="es-ES"/>
        </w:rPr>
        <w:t>INEGI. Instituto Nacional de Estadística y Geografía (2011a). Resultados de la encuesta nacional de ingresos y gasto de los hogares (ENIGH) 2010. Boletín de prensa, Nún. 270/11, Aguascalientes: INEGI.</w:t>
      </w:r>
    </w:p>
    <w:p w:rsidR="00322E42" w:rsidRDefault="00322E42" w:rsidP="00322E42">
      <w:pPr>
        <w:jc w:val="both"/>
        <w:rPr>
          <w:rFonts w:ascii="Arial" w:hAnsi="Arial" w:cs="Arial"/>
        </w:rPr>
      </w:pPr>
    </w:p>
    <w:p w:rsidR="00322E42" w:rsidRDefault="00322E42" w:rsidP="00322E42">
      <w:pPr>
        <w:jc w:val="both"/>
        <w:rPr>
          <w:rFonts w:ascii="Arial" w:hAnsi="Arial" w:cs="Arial"/>
        </w:rPr>
      </w:pPr>
      <w:r w:rsidRPr="001F4ECA">
        <w:rPr>
          <w:rFonts w:ascii="Arial" w:eastAsia="Arial" w:hAnsi="Arial" w:cs="Arial"/>
          <w:lang w:val="es-ES"/>
        </w:rPr>
        <w:t>INEGI. Instituto Nacional de Estadística y Geografía (2011b). Estadísticas a propósito del Día Internacional de las personas con discapacidad. Aguascalientes: INEGI.</w:t>
      </w:r>
    </w:p>
    <w:p w:rsidR="00322E42" w:rsidRDefault="00322E42" w:rsidP="00322E42">
      <w:pPr>
        <w:spacing w:line="360" w:lineRule="auto"/>
        <w:jc w:val="both"/>
        <w:rPr>
          <w:rFonts w:ascii="Arial" w:hAnsi="Arial" w:cs="Arial"/>
        </w:rPr>
      </w:pPr>
    </w:p>
    <w:p w:rsidR="00322E42" w:rsidRDefault="00322E42" w:rsidP="00322E42">
      <w:pPr>
        <w:jc w:val="both"/>
        <w:rPr>
          <w:rFonts w:ascii="Arial" w:hAnsi="Arial" w:cs="Arial"/>
        </w:rPr>
      </w:pPr>
      <w:r w:rsidRPr="001F4ECA">
        <w:rPr>
          <w:rFonts w:ascii="Arial" w:eastAsia="Arial" w:hAnsi="Arial" w:cs="Arial"/>
          <w:lang w:val="es-ES"/>
        </w:rPr>
        <w:t>INEGI. Instituto Nacional de Estadística y Geografía (2012). Mujeres y hombres en México 2011. México: INEGI e Instituto Nacional de las Mujeres.</w:t>
      </w:r>
    </w:p>
    <w:p w:rsidR="00322E42" w:rsidRDefault="00322E42" w:rsidP="00322E42">
      <w:pPr>
        <w:spacing w:line="360" w:lineRule="auto"/>
        <w:jc w:val="both"/>
        <w:rPr>
          <w:rFonts w:ascii="Arial" w:hAnsi="Arial" w:cs="Arial"/>
        </w:rPr>
      </w:pPr>
    </w:p>
    <w:p w:rsidR="00322E42" w:rsidRDefault="00322E42" w:rsidP="00322E42">
      <w:pPr>
        <w:jc w:val="both"/>
        <w:rPr>
          <w:rFonts w:ascii="Arial" w:hAnsi="Arial" w:cs="Arial"/>
        </w:rPr>
      </w:pPr>
      <w:r w:rsidRPr="001F4ECA">
        <w:rPr>
          <w:rFonts w:ascii="Arial" w:eastAsia="Arial" w:hAnsi="Arial" w:cs="Arial"/>
          <w:lang w:val="es-ES"/>
        </w:rPr>
        <w:t xml:space="preserve">Reimers, Fernando (2007). “Políticas compensatorias de discriminación positiva y justicia social a fines del siglo XX en América Latina. Insuficientes, subfinanciadas y frágiles”. Consultado el 10/06/2012, en </w:t>
      </w:r>
      <w:hyperlink r:id="rId44" w:history="1">
        <w:r w:rsidRPr="001F4ECA">
          <w:rPr>
            <w:rFonts w:ascii="Arial" w:eastAsia="Arial" w:hAnsi="Arial" w:cs="Arial"/>
            <w:color w:val="0000FF"/>
            <w:u w:val="single"/>
            <w:lang w:val="es-ES"/>
          </w:rPr>
          <w:t>http://iacd.oas.org/LaEduca132/reimer123-133test.html</w:t>
        </w:r>
      </w:hyperlink>
    </w:p>
    <w:p w:rsidR="00322E42" w:rsidRDefault="00322E42" w:rsidP="00322E42">
      <w:pPr>
        <w:jc w:val="both"/>
        <w:rPr>
          <w:rFonts w:ascii="Arial" w:hAnsi="Arial" w:cs="Arial"/>
        </w:rPr>
      </w:pPr>
      <w:r w:rsidRPr="001F4ECA">
        <w:rPr>
          <w:rFonts w:ascii="Arial" w:eastAsia="Arial" w:hAnsi="Arial" w:cs="Arial"/>
          <w:lang w:val="es-ES"/>
        </w:rPr>
        <w:t>Rivero, José (2005). “Políticas educativas de equidad e igualdad de oportunidades. III Seminario para Altos Directivos de las administraciones educativas de los países Iberoamericanos. Habana: OEI.</w:t>
      </w:r>
    </w:p>
    <w:p w:rsidR="00322E42" w:rsidRDefault="00322E42" w:rsidP="00322E42">
      <w:pPr>
        <w:jc w:val="both"/>
        <w:rPr>
          <w:rFonts w:ascii="Arial" w:hAnsi="Arial" w:cs="Arial"/>
        </w:rPr>
      </w:pPr>
    </w:p>
    <w:p w:rsidR="00322E42" w:rsidRDefault="00322E42" w:rsidP="00322E42">
      <w:pPr>
        <w:jc w:val="both"/>
        <w:rPr>
          <w:rFonts w:ascii="Arial" w:hAnsi="Arial" w:cs="Arial"/>
        </w:rPr>
      </w:pPr>
      <w:r w:rsidRPr="001F4ECA">
        <w:rPr>
          <w:rFonts w:ascii="Arial" w:eastAsia="Arial" w:hAnsi="Arial" w:cs="Arial"/>
          <w:lang w:val="es-ES"/>
        </w:rPr>
        <w:t xml:space="preserve">Roemer, John (2000). “Variantes de la igualdad de oportunidades”. En </w:t>
      </w:r>
      <w:r w:rsidRPr="001F4ECA">
        <w:rPr>
          <w:rFonts w:ascii="Arial" w:eastAsia="Arial" w:hAnsi="Arial" w:cs="Arial"/>
          <w:i/>
          <w:iCs/>
          <w:lang w:val="es-ES"/>
        </w:rPr>
        <w:t>Fractal</w:t>
      </w:r>
      <w:r w:rsidRPr="001F4ECA">
        <w:rPr>
          <w:rFonts w:ascii="Arial" w:eastAsia="Arial" w:hAnsi="Arial" w:cs="Arial"/>
          <w:lang w:val="es-ES"/>
        </w:rPr>
        <w:t>. N. 16, enero-marzo, a. 4, v.V México.</w:t>
      </w:r>
    </w:p>
    <w:p w:rsidR="00322E42" w:rsidRDefault="00322E42" w:rsidP="00322E42">
      <w:pPr>
        <w:jc w:val="both"/>
        <w:rPr>
          <w:rFonts w:ascii="Arial" w:hAnsi="Arial" w:cs="Arial"/>
        </w:rPr>
      </w:pPr>
      <w:r>
        <w:rPr>
          <w:rFonts w:ascii="Arial" w:hAnsi="Arial" w:cs="Arial"/>
        </w:rPr>
        <w:t xml:space="preserve"> </w:t>
      </w:r>
    </w:p>
    <w:p w:rsidR="00322E42" w:rsidRDefault="00322E42" w:rsidP="00322E42">
      <w:pPr>
        <w:jc w:val="both"/>
        <w:rPr>
          <w:rFonts w:ascii="Arial" w:hAnsi="Arial" w:cs="Arial"/>
        </w:rPr>
      </w:pPr>
      <w:r w:rsidRPr="001F4ECA">
        <w:rPr>
          <w:rFonts w:ascii="Arial" w:eastAsia="Arial" w:hAnsi="Arial" w:cs="Arial"/>
          <w:lang w:val="es-ES"/>
        </w:rPr>
        <w:t>SEP. Secretaría de Educación Pública (2001). Programa de Desarrollo Educativo. México: SEP.</w:t>
      </w:r>
    </w:p>
    <w:p w:rsidR="00322E42" w:rsidRDefault="00322E42" w:rsidP="00322E42">
      <w:pPr>
        <w:spacing w:line="360" w:lineRule="auto"/>
        <w:jc w:val="both"/>
        <w:rPr>
          <w:rFonts w:ascii="Arial" w:hAnsi="Arial" w:cs="Arial"/>
        </w:rPr>
      </w:pPr>
    </w:p>
    <w:p w:rsidR="00322E42" w:rsidRDefault="00322E42" w:rsidP="00322E42">
      <w:pPr>
        <w:jc w:val="both"/>
        <w:rPr>
          <w:rFonts w:ascii="Arial" w:hAnsi="Arial" w:cs="Arial"/>
          <w:lang w:val="es-ES"/>
        </w:rPr>
      </w:pPr>
      <w:r w:rsidRPr="001F4ECA">
        <w:rPr>
          <w:rFonts w:ascii="Arial" w:eastAsia="Arial" w:hAnsi="Arial" w:cs="Arial"/>
          <w:lang w:val="es-ES"/>
        </w:rPr>
        <w:t xml:space="preserve">Schmelkes, Silvia (2003). Educación superior intercultural en México. Conferencia dictada en el Encuentro Internacional de Experiencias Educativas: “Vincular los caminos de la educación superior”. </w:t>
      </w:r>
      <w:r w:rsidRPr="00FB7287">
        <w:rPr>
          <w:rFonts w:ascii="Arial" w:eastAsia="Arial" w:hAnsi="Arial" w:cs="Arial"/>
          <w:lang w:val="en-US"/>
        </w:rPr>
        <w:t>México: ANUIES y Ford Foundation.</w:t>
      </w:r>
    </w:p>
    <w:p w:rsidR="00322E42" w:rsidRDefault="00322E42" w:rsidP="00322E42">
      <w:pPr>
        <w:jc w:val="both"/>
        <w:rPr>
          <w:rFonts w:ascii="Arial" w:hAnsi="Arial" w:cs="Arial"/>
          <w:lang w:val="es-ES"/>
        </w:rPr>
      </w:pPr>
    </w:p>
    <w:p w:rsidR="00322E42" w:rsidRPr="00FB7287" w:rsidRDefault="00322E42" w:rsidP="00322E42">
      <w:pPr>
        <w:spacing w:line="360" w:lineRule="auto"/>
        <w:jc w:val="both"/>
        <w:rPr>
          <w:rFonts w:ascii="Arial" w:hAnsi="Arial" w:cs="Arial"/>
        </w:rPr>
      </w:pPr>
    </w:p>
    <w:p w:rsidR="00322E42" w:rsidRPr="001B4CBD" w:rsidRDefault="00322E42" w:rsidP="00322E42">
      <w:pPr>
        <w:spacing w:after="0" w:line="480" w:lineRule="auto"/>
        <w:rPr>
          <w:rFonts w:cs="Times New Roman"/>
        </w:rPr>
      </w:pPr>
    </w:p>
    <w:p w:rsidR="00501F14" w:rsidRPr="00501F14" w:rsidRDefault="00501F14" w:rsidP="00501F14">
      <w:pPr>
        <w:spacing w:after="240" w:line="240" w:lineRule="auto"/>
        <w:jc w:val="both"/>
        <w:rPr>
          <w:rFonts w:ascii="Times New Roman" w:eastAsia="Times New Roman" w:hAnsi="Times New Roman" w:cs="Times New Roman"/>
          <w:color w:val="000000"/>
          <w:sz w:val="24"/>
          <w:szCs w:val="24"/>
          <w:lang w:eastAsia="es-MX"/>
        </w:rPr>
      </w:pPr>
    </w:p>
    <w:p w:rsidR="00501F14" w:rsidRDefault="00501F14" w:rsidP="005B5998">
      <w:pPr>
        <w:spacing w:line="240" w:lineRule="auto"/>
        <w:rPr>
          <w:rFonts w:ascii="Arial" w:hAnsi="Arial" w:cs="Arial"/>
          <w:sz w:val="24"/>
          <w:szCs w:val="24"/>
        </w:rPr>
      </w:pPr>
    </w:p>
    <w:p w:rsidR="005B5998" w:rsidRPr="005B5998" w:rsidRDefault="005B5998" w:rsidP="005B5998">
      <w:pPr>
        <w:rPr>
          <w:rFonts w:ascii="Arial" w:hAnsi="Arial" w:cs="Arial"/>
          <w:sz w:val="24"/>
          <w:szCs w:val="24"/>
        </w:rPr>
      </w:pPr>
    </w:p>
    <w:p w:rsidR="00404A1D" w:rsidRPr="005B5998" w:rsidRDefault="00404A1D" w:rsidP="00404A1D">
      <w:pPr>
        <w:rPr>
          <w:rFonts w:ascii="Arial" w:hAnsi="Arial" w:cs="Arial"/>
        </w:rPr>
      </w:pPr>
    </w:p>
    <w:p w:rsidR="00404A1D" w:rsidRPr="005B5998" w:rsidRDefault="00404A1D" w:rsidP="00404A1D">
      <w:pPr>
        <w:rPr>
          <w:rFonts w:ascii="Arial" w:hAnsi="Arial" w:cs="Arial"/>
        </w:rPr>
      </w:pPr>
    </w:p>
    <w:p w:rsidR="00404A1D" w:rsidRPr="00404A1D" w:rsidRDefault="00404A1D" w:rsidP="00404A1D"/>
    <w:p w:rsidR="00AB25EE" w:rsidRPr="008C2778" w:rsidRDefault="00AB25EE" w:rsidP="008C2778">
      <w:pPr>
        <w:pStyle w:val="Ttulo3"/>
        <w:shd w:val="clear" w:color="auto" w:fill="FFFFFF"/>
        <w:spacing w:before="180"/>
        <w:jc w:val="both"/>
        <w:rPr>
          <w:rFonts w:ascii="Arial" w:eastAsia="Times New Roman" w:hAnsi="Arial" w:cs="Arial"/>
          <w:b w:val="0"/>
          <w:bCs w:val="0"/>
          <w:color w:val="222222"/>
          <w:sz w:val="33"/>
          <w:szCs w:val="33"/>
          <w:lang w:eastAsia="es-MX"/>
        </w:rPr>
      </w:pPr>
      <w:r w:rsidRPr="008C2778">
        <w:rPr>
          <w:rFonts w:ascii="Arial" w:eastAsia="Times New Roman" w:hAnsi="Arial" w:cs="Arial"/>
          <w:b w:val="0"/>
          <w:color w:val="000000"/>
          <w:sz w:val="24"/>
          <w:szCs w:val="24"/>
          <w:lang w:eastAsia="es-MX"/>
        </w:rPr>
        <w:br w:type="textWrapping" w:clear="all"/>
      </w:r>
    </w:p>
    <w:p w:rsidR="00134241" w:rsidRPr="00134241" w:rsidRDefault="00134241" w:rsidP="00134241">
      <w:pPr>
        <w:pStyle w:val="NormalWeb"/>
        <w:spacing w:before="384" w:beforeAutospacing="0" w:after="0" w:afterAutospacing="0" w:line="480" w:lineRule="auto"/>
        <w:ind w:left="720"/>
        <w:jc w:val="both"/>
        <w:textAlignment w:val="baseline"/>
        <w:rPr>
          <w:rFonts w:ascii="Arial" w:eastAsiaTheme="minorEastAsia" w:hAnsi="Arial" w:cs="Arial"/>
          <w:bCs/>
          <w:color w:val="000000" w:themeColor="text1"/>
          <w:kern w:val="24"/>
          <w:lang w:val="es-ES_tradnl"/>
        </w:rPr>
      </w:pPr>
    </w:p>
    <w:p w:rsidR="00E21B7A" w:rsidRPr="00E21B7A" w:rsidRDefault="00E21B7A" w:rsidP="00134241">
      <w:pPr>
        <w:pStyle w:val="NormalWeb"/>
        <w:spacing w:before="384" w:beforeAutospacing="0" w:after="0" w:afterAutospacing="0" w:line="480" w:lineRule="auto"/>
        <w:jc w:val="both"/>
        <w:textAlignment w:val="baseline"/>
        <w:rPr>
          <w:rFonts w:ascii="Arial" w:hAnsi="Arial" w:cs="Arial"/>
          <w:color w:val="000000" w:themeColor="text1"/>
        </w:rPr>
      </w:pPr>
      <w:r w:rsidRPr="00E21B7A">
        <w:rPr>
          <w:rFonts w:ascii="Arial" w:eastAsiaTheme="minorEastAsia" w:hAnsi="Arial" w:cs="Arial"/>
          <w:bCs/>
          <w:color w:val="000000" w:themeColor="text1"/>
          <w:kern w:val="24"/>
          <w:lang w:val="es-ES_tradnl"/>
        </w:rPr>
        <w:t xml:space="preserve"> </w:t>
      </w:r>
    </w:p>
    <w:p w:rsidR="00E21B7A" w:rsidRDefault="00E21B7A" w:rsidP="00E21B7A">
      <w:pPr>
        <w:spacing w:after="0" w:line="480" w:lineRule="auto"/>
        <w:jc w:val="both"/>
        <w:rPr>
          <w:rFonts w:ascii="Arial" w:eastAsia="Times New Roman" w:hAnsi="Arial" w:cs="Arial"/>
          <w:color w:val="000000"/>
          <w:sz w:val="24"/>
          <w:szCs w:val="24"/>
          <w:lang w:eastAsia="es-MX"/>
        </w:rPr>
      </w:pPr>
    </w:p>
    <w:p w:rsidR="002A4A30" w:rsidRPr="00203FBC" w:rsidRDefault="002A4A30" w:rsidP="00926DEE">
      <w:pPr>
        <w:spacing w:after="0" w:line="480" w:lineRule="auto"/>
        <w:ind w:firstLine="708"/>
        <w:jc w:val="both"/>
        <w:rPr>
          <w:rFonts w:ascii="Times New Roman" w:eastAsia="Times New Roman" w:hAnsi="Times New Roman" w:cs="Times New Roman"/>
          <w:color w:val="000000"/>
          <w:sz w:val="24"/>
          <w:szCs w:val="24"/>
          <w:lang w:eastAsia="es-MX"/>
        </w:rPr>
      </w:pPr>
      <w:r w:rsidRPr="00203FBC">
        <w:rPr>
          <w:rFonts w:ascii="Times New Roman" w:eastAsia="Times New Roman" w:hAnsi="Times New Roman" w:cs="Times New Roman"/>
          <w:color w:val="000000"/>
          <w:sz w:val="24"/>
          <w:szCs w:val="24"/>
          <w:lang w:eastAsia="es-MX"/>
        </w:rPr>
        <w:br/>
      </w:r>
      <w:r w:rsidRPr="002A4A30">
        <w:rPr>
          <w:rFonts w:ascii="Times New Roman" w:eastAsia="Times New Roman" w:hAnsi="Times New Roman" w:cs="Times New Roman"/>
          <w:color w:val="000000"/>
          <w:sz w:val="24"/>
          <w:szCs w:val="24"/>
          <w:lang w:eastAsia="es-MX"/>
        </w:rPr>
        <w:br/>
      </w:r>
    </w:p>
    <w:p w:rsidR="00AE0FE6" w:rsidRPr="002A4A30" w:rsidRDefault="00AE0FE6" w:rsidP="00926DEE">
      <w:pPr>
        <w:pStyle w:val="Default"/>
        <w:autoSpaceDE/>
        <w:autoSpaceDN/>
        <w:adjustRightInd/>
        <w:spacing w:after="240" w:line="480" w:lineRule="auto"/>
        <w:jc w:val="both"/>
        <w:rPr>
          <w:rFonts w:ascii="Times New Roman" w:eastAsia="Times New Roman" w:hAnsi="Times New Roman" w:cs="Times New Roman"/>
          <w:lang w:eastAsia="es-MX"/>
        </w:rPr>
      </w:pPr>
    </w:p>
    <w:p w:rsidR="00AE0FE6" w:rsidRPr="002A4A30" w:rsidRDefault="00AE0FE6" w:rsidP="00926DEE">
      <w:pPr>
        <w:spacing w:line="480" w:lineRule="auto"/>
        <w:jc w:val="both"/>
        <w:rPr>
          <w:rFonts w:ascii="Arial" w:eastAsia="Times New Roman" w:hAnsi="Arial" w:cs="Arial"/>
          <w:sz w:val="24"/>
          <w:szCs w:val="24"/>
          <w:lang w:eastAsia="es-MX"/>
        </w:rPr>
      </w:pPr>
    </w:p>
    <w:p w:rsidR="00DB5D20" w:rsidRPr="00BB5624" w:rsidRDefault="00DB5D20" w:rsidP="00926DEE">
      <w:pPr>
        <w:pStyle w:val="margen05"/>
        <w:autoSpaceDE w:val="0"/>
        <w:autoSpaceDN w:val="0"/>
        <w:adjustRightInd w:val="0"/>
        <w:spacing w:before="0" w:beforeAutospacing="0" w:after="0" w:afterAutospacing="0" w:line="480" w:lineRule="auto"/>
        <w:jc w:val="both"/>
        <w:rPr>
          <w:rFonts w:ascii="Arial" w:hAnsi="Arial" w:cs="Arial"/>
        </w:rPr>
      </w:pPr>
    </w:p>
    <w:p w:rsidR="00DB5D20" w:rsidRPr="00BB5624" w:rsidRDefault="00DB5D20" w:rsidP="00926DEE">
      <w:pPr>
        <w:pStyle w:val="margen05"/>
        <w:autoSpaceDE w:val="0"/>
        <w:autoSpaceDN w:val="0"/>
        <w:adjustRightInd w:val="0"/>
        <w:spacing w:before="0" w:beforeAutospacing="0" w:after="0" w:afterAutospacing="0" w:line="480" w:lineRule="auto"/>
        <w:jc w:val="both"/>
        <w:rPr>
          <w:rFonts w:ascii="Arial" w:eastAsiaTheme="minorHAnsi" w:hAnsi="Arial" w:cs="Arial"/>
          <w:lang w:eastAsia="en-US"/>
        </w:rPr>
      </w:pPr>
    </w:p>
    <w:p w:rsidR="00D94014" w:rsidRPr="00BB5624" w:rsidRDefault="00D94014" w:rsidP="00926DEE">
      <w:pPr>
        <w:spacing w:line="480" w:lineRule="auto"/>
        <w:jc w:val="both"/>
        <w:rPr>
          <w:rFonts w:ascii="Arial" w:hAnsi="Arial" w:cs="Arial"/>
          <w:sz w:val="24"/>
          <w:szCs w:val="24"/>
        </w:rPr>
      </w:pPr>
    </w:p>
    <w:p w:rsidR="00110C8A" w:rsidRPr="00D94014" w:rsidRDefault="00110C8A" w:rsidP="00926DEE">
      <w:pPr>
        <w:spacing w:line="480" w:lineRule="auto"/>
        <w:jc w:val="both"/>
        <w:rPr>
          <w:rFonts w:ascii="Arial" w:hAnsi="Arial" w:cs="Arial"/>
          <w:sz w:val="24"/>
          <w:szCs w:val="24"/>
        </w:rPr>
      </w:pPr>
    </w:p>
    <w:p w:rsidR="00B8076D" w:rsidRPr="00B8076D" w:rsidRDefault="00B8076D" w:rsidP="00926DEE">
      <w:pPr>
        <w:spacing w:line="480" w:lineRule="auto"/>
        <w:jc w:val="both"/>
        <w:rPr>
          <w:rFonts w:ascii="Arial" w:hAnsi="Arial" w:cs="Arial"/>
          <w:i/>
          <w:sz w:val="24"/>
          <w:szCs w:val="24"/>
        </w:rPr>
      </w:pPr>
    </w:p>
    <w:p w:rsidR="00F4386C" w:rsidRPr="00163007" w:rsidRDefault="00F4386C" w:rsidP="00926DEE">
      <w:pPr>
        <w:pStyle w:val="Default"/>
        <w:spacing w:line="480" w:lineRule="auto"/>
        <w:jc w:val="both"/>
      </w:pPr>
    </w:p>
    <w:sectPr w:rsidR="00F4386C" w:rsidRPr="0016300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2B68" w:rsidRDefault="000F2B68" w:rsidP="00564622">
      <w:pPr>
        <w:spacing w:after="0" w:line="240" w:lineRule="auto"/>
      </w:pPr>
      <w:r>
        <w:separator/>
      </w:r>
    </w:p>
  </w:endnote>
  <w:endnote w:type="continuationSeparator" w:id="0">
    <w:p w:rsidR="000F2B68" w:rsidRDefault="000F2B68" w:rsidP="005646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lbertus Extra Bold">
    <w:altName w:val="Cambria"/>
    <w:charset w:val="00"/>
    <w:family w:val="swiss"/>
    <w:pitch w:val="variable"/>
    <w:sig w:usb0="00000007" w:usb1="00000000" w:usb2="00000000" w:usb3="00000000" w:csb0="00000093"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E1000AEF" w:usb1="5000A1FF" w:usb2="00000000" w:usb3="00000000" w:csb0="000001BF" w:csb1="00000000"/>
  </w:font>
  <w:font w:name="TimesNewRomanPSMT">
    <w:panose1 w:val="00000000000000000000"/>
    <w:charset w:val="00"/>
    <w:family w:val="swiss"/>
    <w:notTrueType/>
    <w:pitch w:val="default"/>
    <w:sig w:usb0="00000003" w:usb1="00000000" w:usb2="00000000" w:usb3="00000000" w:csb0="00000001" w:csb1="00000000"/>
  </w:font>
  <w:font w:name="TimesNewRomanPS-ItalicMT">
    <w:panose1 w:val="00000000000000000000"/>
    <w:charset w:val="00"/>
    <w:family w:val="swiss"/>
    <w:notTrueType/>
    <w:pitch w:val="default"/>
    <w:sig w:usb0="00000003" w:usb1="00000000" w:usb2="00000000" w:usb3="00000000" w:csb0="00000001" w:csb1="00000000"/>
  </w:font>
  <w:font w:name="Times">
    <w:panose1 w:val="020206030504050203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2B68" w:rsidRDefault="000F2B68" w:rsidP="00564622">
      <w:pPr>
        <w:spacing w:after="0" w:line="240" w:lineRule="auto"/>
      </w:pPr>
      <w:r>
        <w:separator/>
      </w:r>
    </w:p>
  </w:footnote>
  <w:footnote w:type="continuationSeparator" w:id="0">
    <w:p w:rsidR="000F2B68" w:rsidRDefault="000F2B68" w:rsidP="00564622">
      <w:pPr>
        <w:spacing w:after="0" w:line="240" w:lineRule="auto"/>
      </w:pPr>
      <w:r>
        <w:continuationSeparator/>
      </w:r>
    </w:p>
  </w:footnote>
  <w:footnote w:id="1">
    <w:p w:rsidR="00322E42" w:rsidRPr="008357B8" w:rsidRDefault="00322E42" w:rsidP="00322E42">
      <w:pPr>
        <w:pStyle w:val="Textonotapie"/>
        <w:rPr>
          <w:lang w:val="en-US"/>
        </w:rPr>
      </w:pPr>
      <w:r>
        <w:rPr>
          <w:rStyle w:val="Refdenotaalpie"/>
        </w:rPr>
        <w:footnoteRef/>
      </w:r>
      <w:r>
        <w:rPr>
          <w:rFonts w:eastAsia="Times New Roman" w:cs="Times New Roman"/>
          <w:lang w:val="en-US"/>
        </w:rPr>
        <w:t xml:space="preserve"> Humility comes from </w:t>
      </w:r>
      <w:r>
        <w:rPr>
          <w:rFonts w:eastAsia="Times New Roman" w:cs="Times New Roman"/>
          <w:i/>
          <w:iCs/>
          <w:lang w:val="en-US"/>
        </w:rPr>
        <w:t>humilis</w:t>
      </w:r>
      <w:r>
        <w:rPr>
          <w:rFonts w:eastAsia="Times New Roman" w:cs="Times New Roman"/>
          <w:lang w:val="en-US"/>
        </w:rPr>
        <w:t xml:space="preserve"> which means under the Earth.</w:t>
      </w:r>
    </w:p>
  </w:footnote>
  <w:footnote w:id="2">
    <w:p w:rsidR="00322E42" w:rsidRPr="001F4ECA" w:rsidRDefault="00322E42" w:rsidP="00322E42">
      <w:pPr>
        <w:pStyle w:val="Textonotapie"/>
        <w:rPr>
          <w:rFonts w:ascii="Arial" w:hAnsi="Arial" w:cs="Arial"/>
          <w:sz w:val="20"/>
          <w:szCs w:val="20"/>
          <w:lang w:val="en-US"/>
        </w:rPr>
      </w:pPr>
      <w:r w:rsidRPr="00233E23">
        <w:rPr>
          <w:rStyle w:val="Refdenotaalpie"/>
          <w:rFonts w:ascii="Arial" w:hAnsi="Arial" w:cs="Arial"/>
          <w:sz w:val="20"/>
          <w:szCs w:val="20"/>
        </w:rPr>
        <w:footnoteRef/>
      </w:r>
      <w:r w:rsidRPr="00233E23">
        <w:rPr>
          <w:rFonts w:ascii="Arial" w:eastAsia="Arial" w:hAnsi="Arial" w:cs="Arial"/>
          <w:sz w:val="20"/>
          <w:szCs w:val="20"/>
          <w:lang w:val="en-US"/>
        </w:rPr>
        <w:t xml:space="preserve"> Similarly, in rural areas, there were 40.9 million poor and 34.2 million in adverse conditions of social inequality during the same year.</w:t>
      </w:r>
    </w:p>
  </w:footnote>
  <w:footnote w:id="3">
    <w:p w:rsidR="00322E42" w:rsidRPr="005A1852" w:rsidRDefault="00322E42" w:rsidP="00322E42">
      <w:pPr>
        <w:pStyle w:val="Textonotapie"/>
        <w:rPr>
          <w:rFonts w:ascii="Arial" w:hAnsi="Arial" w:cs="Arial"/>
          <w:sz w:val="20"/>
          <w:szCs w:val="20"/>
        </w:rPr>
      </w:pPr>
      <w:r>
        <w:rPr>
          <w:rStyle w:val="Refdenotaalpie"/>
        </w:rPr>
        <w:footnoteRef/>
      </w:r>
      <w:r w:rsidRPr="001F4ECA">
        <w:rPr>
          <w:rFonts w:eastAsia="Times New Roman" w:cs="Times New Roman"/>
          <w:lang w:val="es-ES"/>
        </w:rPr>
        <w:t xml:space="preserve"> </w:t>
      </w:r>
      <w:r w:rsidRPr="001F4ECA">
        <w:rPr>
          <w:rFonts w:ascii="Arial" w:eastAsia="Arial" w:hAnsi="Arial" w:cs="Arial"/>
          <w:sz w:val="20"/>
          <w:szCs w:val="20"/>
          <w:lang w:val="es-ES"/>
        </w:rPr>
        <w:t>We can also add: Jalisco, Yucatán, Querétaro, Sonora, Tamaulipas, Guanajuato, Sinaloa, Nayarit, Zacatecas, Baja California Sur, Campeche, Tlaxcala, Chihuahua, Colima and Mexico City.</w:t>
      </w:r>
    </w:p>
  </w:footnote>
  <w:footnote w:id="4">
    <w:p w:rsidR="00322E42" w:rsidRPr="001F4ECA" w:rsidRDefault="00322E42" w:rsidP="00322E42">
      <w:pPr>
        <w:pStyle w:val="Textonotapie"/>
        <w:rPr>
          <w:rFonts w:ascii="Arial" w:hAnsi="Arial" w:cs="Arial"/>
          <w:sz w:val="20"/>
          <w:szCs w:val="20"/>
          <w:lang w:val="en-US"/>
        </w:rPr>
      </w:pPr>
      <w:r>
        <w:rPr>
          <w:rStyle w:val="Refdenotaalpie"/>
        </w:rPr>
        <w:footnoteRef/>
      </w:r>
      <w:r>
        <w:rPr>
          <w:rFonts w:eastAsia="Times New Roman" w:cs="Times New Roman"/>
          <w:lang w:val="en-US"/>
        </w:rPr>
        <w:t xml:space="preserve"> </w:t>
      </w:r>
      <w:r>
        <w:rPr>
          <w:rFonts w:ascii="Arial" w:eastAsia="Arial" w:hAnsi="Arial" w:cs="Arial"/>
          <w:sz w:val="20"/>
          <w:szCs w:val="20"/>
          <w:lang w:val="en-US"/>
        </w:rPr>
        <w:t>Homes are divided into 10 strata each, each one represents one decile. The first decile represents the poorest 10% and so on until the tenth decile which represents the richest 10%.</w:t>
      </w:r>
    </w:p>
  </w:footnote>
  <w:footnote w:id="5">
    <w:p w:rsidR="00322E42" w:rsidRPr="001F4ECA" w:rsidRDefault="00322E42" w:rsidP="00322E42">
      <w:pPr>
        <w:pStyle w:val="Textonotapie"/>
        <w:rPr>
          <w:lang w:val="en-US"/>
        </w:rPr>
      </w:pPr>
      <w:r>
        <w:rPr>
          <w:rStyle w:val="Refdenotaalpie"/>
        </w:rPr>
        <w:footnoteRef/>
      </w:r>
      <w:r>
        <w:rPr>
          <w:rFonts w:eastAsia="Times New Roman" w:cs="Times New Roman"/>
          <w:lang w:val="en-US"/>
        </w:rPr>
        <w:t xml:space="preserve"> </w:t>
      </w:r>
      <w:r>
        <w:rPr>
          <w:rFonts w:ascii="Arial" w:eastAsia="Arial" w:hAnsi="Arial" w:cs="Arial"/>
          <w:sz w:val="20"/>
          <w:szCs w:val="20"/>
          <w:lang w:val="en-US"/>
        </w:rPr>
        <w:t>We have underlined.</w:t>
      </w:r>
    </w:p>
  </w:footnote>
  <w:footnote w:id="6">
    <w:p w:rsidR="00322E42" w:rsidRPr="001F4ECA" w:rsidRDefault="00322E42" w:rsidP="00322E42">
      <w:pPr>
        <w:widowControl w:val="0"/>
        <w:autoSpaceDE w:val="0"/>
        <w:autoSpaceDN w:val="0"/>
        <w:adjustRightInd w:val="0"/>
        <w:jc w:val="both"/>
        <w:rPr>
          <w:rFonts w:ascii="Arial" w:hAnsi="Arial" w:cs="Arial"/>
          <w:sz w:val="20"/>
          <w:szCs w:val="20"/>
          <w:lang w:val="en-US"/>
        </w:rPr>
      </w:pPr>
      <w:r>
        <w:rPr>
          <w:rStyle w:val="Refdenotaalpie"/>
        </w:rPr>
        <w:footnoteRef/>
      </w:r>
      <w:r>
        <w:rPr>
          <w:rFonts w:ascii="Times New Roman" w:eastAsia="Times New Roman" w:hAnsi="Times New Roman" w:cs="Times New Roman"/>
          <w:lang w:val="en-US"/>
        </w:rPr>
        <w:t xml:space="preserve"> </w:t>
      </w:r>
      <w:r>
        <w:rPr>
          <w:rFonts w:ascii="Arial" w:eastAsia="Arial" w:hAnsi="Arial" w:cs="Arial"/>
          <w:sz w:val="20"/>
          <w:szCs w:val="20"/>
          <w:lang w:val="en-US"/>
        </w:rPr>
        <w:t xml:space="preserve">During Ernesto Zedillo´s term (1995-2000) we can see something similar because his Educational Development Program (EDP) was based upon the axes of quality and pertinence in order to generate opportunities to education, especially for the poor. In the case of Vicente Fox (2001-2006), history repeats itself. In his EDP we find:  The development of the county requires a system of higher education with more coverage and better quality. It must also insure equality of access and the territorial distribution of educational opportunities.  In order to increment coverage with equity, it is not only necessary to increase and diversify the curriculum, but also bring that education closer to social groups with less possibilities of access. The participation of these groups in higher education should correspond more and more to their presence in the population. We need to achieve good quality programs for all Mexicans, making it so that whichever institution they decide upon, they have real possibilities of obtaining adequate education (p. 183)  </w:t>
      </w:r>
    </w:p>
  </w:footnote>
  <w:footnote w:id="7">
    <w:p w:rsidR="00322E42" w:rsidRPr="001F4ECA" w:rsidRDefault="00322E42" w:rsidP="00322E42">
      <w:pPr>
        <w:pStyle w:val="Textonotapie"/>
        <w:rPr>
          <w:sz w:val="20"/>
          <w:szCs w:val="20"/>
          <w:lang w:val="en-US"/>
        </w:rPr>
      </w:pPr>
      <w:r w:rsidRPr="00243885">
        <w:rPr>
          <w:rStyle w:val="Refdenotaalpie"/>
          <w:sz w:val="20"/>
          <w:szCs w:val="20"/>
        </w:rPr>
        <w:footnoteRef/>
      </w:r>
      <w:r w:rsidRPr="00243885">
        <w:rPr>
          <w:rFonts w:eastAsia="Times New Roman" w:cs="Times New Roman"/>
          <w:sz w:val="20"/>
          <w:szCs w:val="20"/>
          <w:lang w:val="en-US"/>
        </w:rPr>
        <w:t xml:space="preserve"> This type of scholarship is not exclusive to indigenous groups and is applied in a general way. The objective is to contribute to achieving equality in education and the consistency of students in higher education.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B0087E"/>
    <w:multiLevelType w:val="multilevel"/>
    <w:tmpl w:val="D3F28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900A0C"/>
    <w:multiLevelType w:val="hybridMultilevel"/>
    <w:tmpl w:val="1944C510"/>
    <w:lvl w:ilvl="0" w:tplc="8A267BA0">
      <w:start w:val="1"/>
      <w:numFmt w:val="decimal"/>
      <w:lvlText w:val="%1."/>
      <w:lvlJc w:val="left"/>
      <w:pPr>
        <w:tabs>
          <w:tab w:val="num" w:pos="720"/>
        </w:tabs>
        <w:ind w:left="720" w:hanging="360"/>
      </w:pPr>
      <w:rPr>
        <w:rFonts w:ascii="Arial Narrow" w:eastAsiaTheme="minorEastAsia" w:hAnsi="Arial Narrow" w:cstheme="minorBidi"/>
      </w:rPr>
    </w:lvl>
    <w:lvl w:ilvl="1" w:tplc="57CA3712" w:tentative="1">
      <w:start w:val="1"/>
      <w:numFmt w:val="decimal"/>
      <w:lvlText w:val="%2."/>
      <w:lvlJc w:val="left"/>
      <w:pPr>
        <w:tabs>
          <w:tab w:val="num" w:pos="1440"/>
        </w:tabs>
        <w:ind w:left="1440" w:hanging="360"/>
      </w:pPr>
    </w:lvl>
    <w:lvl w:ilvl="2" w:tplc="05F62E72" w:tentative="1">
      <w:start w:val="1"/>
      <w:numFmt w:val="decimal"/>
      <w:lvlText w:val="%3."/>
      <w:lvlJc w:val="left"/>
      <w:pPr>
        <w:tabs>
          <w:tab w:val="num" w:pos="2160"/>
        </w:tabs>
        <w:ind w:left="2160" w:hanging="360"/>
      </w:pPr>
    </w:lvl>
    <w:lvl w:ilvl="3" w:tplc="29E4597C" w:tentative="1">
      <w:start w:val="1"/>
      <w:numFmt w:val="decimal"/>
      <w:lvlText w:val="%4."/>
      <w:lvlJc w:val="left"/>
      <w:pPr>
        <w:tabs>
          <w:tab w:val="num" w:pos="2880"/>
        </w:tabs>
        <w:ind w:left="2880" w:hanging="360"/>
      </w:pPr>
    </w:lvl>
    <w:lvl w:ilvl="4" w:tplc="6890EDE4" w:tentative="1">
      <w:start w:val="1"/>
      <w:numFmt w:val="decimal"/>
      <w:lvlText w:val="%5."/>
      <w:lvlJc w:val="left"/>
      <w:pPr>
        <w:tabs>
          <w:tab w:val="num" w:pos="3600"/>
        </w:tabs>
        <w:ind w:left="3600" w:hanging="360"/>
      </w:pPr>
    </w:lvl>
    <w:lvl w:ilvl="5" w:tplc="045A6F46" w:tentative="1">
      <w:start w:val="1"/>
      <w:numFmt w:val="decimal"/>
      <w:lvlText w:val="%6."/>
      <w:lvlJc w:val="left"/>
      <w:pPr>
        <w:tabs>
          <w:tab w:val="num" w:pos="4320"/>
        </w:tabs>
        <w:ind w:left="4320" w:hanging="360"/>
      </w:pPr>
    </w:lvl>
    <w:lvl w:ilvl="6" w:tplc="56E85E72" w:tentative="1">
      <w:start w:val="1"/>
      <w:numFmt w:val="decimal"/>
      <w:lvlText w:val="%7."/>
      <w:lvlJc w:val="left"/>
      <w:pPr>
        <w:tabs>
          <w:tab w:val="num" w:pos="5040"/>
        </w:tabs>
        <w:ind w:left="5040" w:hanging="360"/>
      </w:pPr>
    </w:lvl>
    <w:lvl w:ilvl="7" w:tplc="CC28CF2E" w:tentative="1">
      <w:start w:val="1"/>
      <w:numFmt w:val="decimal"/>
      <w:lvlText w:val="%8."/>
      <w:lvlJc w:val="left"/>
      <w:pPr>
        <w:tabs>
          <w:tab w:val="num" w:pos="5760"/>
        </w:tabs>
        <w:ind w:left="5760" w:hanging="360"/>
      </w:pPr>
    </w:lvl>
    <w:lvl w:ilvl="8" w:tplc="9BF0CD78" w:tentative="1">
      <w:start w:val="1"/>
      <w:numFmt w:val="decimal"/>
      <w:lvlText w:val="%9."/>
      <w:lvlJc w:val="left"/>
      <w:pPr>
        <w:tabs>
          <w:tab w:val="num" w:pos="6480"/>
        </w:tabs>
        <w:ind w:left="6480" w:hanging="360"/>
      </w:pPr>
    </w:lvl>
  </w:abstractNum>
  <w:abstractNum w:abstractNumId="2" w15:restartNumberingAfterBreak="0">
    <w:nsid w:val="08E02335"/>
    <w:multiLevelType w:val="hybridMultilevel"/>
    <w:tmpl w:val="AA82CAB4"/>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B56162F"/>
    <w:multiLevelType w:val="hybridMultilevel"/>
    <w:tmpl w:val="213E960C"/>
    <w:lvl w:ilvl="0" w:tplc="C5F2705E">
      <w:start w:val="1"/>
      <w:numFmt w:val="lowerLetter"/>
      <w:lvlText w:val="%1)"/>
      <w:lvlJc w:val="left"/>
      <w:pPr>
        <w:ind w:left="720" w:hanging="360"/>
      </w:pPr>
      <w:rPr>
        <w:rFonts w:ascii="Arial" w:hAnsi="Arial" w:cs="Aria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0BA43190"/>
    <w:multiLevelType w:val="hybridMultilevel"/>
    <w:tmpl w:val="475875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0C0F4A30"/>
    <w:multiLevelType w:val="hybridMultilevel"/>
    <w:tmpl w:val="EA0A284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0DD5504A"/>
    <w:multiLevelType w:val="hybridMultilevel"/>
    <w:tmpl w:val="BEEE33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0FE9068E"/>
    <w:multiLevelType w:val="multilevel"/>
    <w:tmpl w:val="64A6C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5C29B7"/>
    <w:multiLevelType w:val="hybridMultilevel"/>
    <w:tmpl w:val="43E415C2"/>
    <w:lvl w:ilvl="0" w:tplc="A7A03A8A">
      <w:start w:val="1"/>
      <w:numFmt w:val="lowerLetter"/>
      <w:lvlText w:val="%1)"/>
      <w:lvlJc w:val="left"/>
      <w:pPr>
        <w:ind w:left="1080" w:hanging="360"/>
      </w:pPr>
      <w:rPr>
        <w:rFonts w:eastAsia="Calibri" w:hint="default"/>
        <w:color w:val="auto"/>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9" w15:restartNumberingAfterBreak="0">
    <w:nsid w:val="12021330"/>
    <w:multiLevelType w:val="hybridMultilevel"/>
    <w:tmpl w:val="7EB43A1A"/>
    <w:lvl w:ilvl="0" w:tplc="2076918E">
      <w:start w:val="1"/>
      <w:numFmt w:val="lowerLetter"/>
      <w:lvlText w:val="%1)"/>
      <w:lvlJc w:val="left"/>
      <w:pPr>
        <w:ind w:left="720" w:hanging="360"/>
      </w:pPr>
      <w:rPr>
        <w:rFonts w:ascii="Arial" w:hAnsi="Arial" w:cs="Aria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14912302"/>
    <w:multiLevelType w:val="hybridMultilevel"/>
    <w:tmpl w:val="83B06260"/>
    <w:lvl w:ilvl="0" w:tplc="D40A3B32">
      <w:start w:val="1"/>
      <w:numFmt w:val="bullet"/>
      <w:lvlText w:val=""/>
      <w:lvlJc w:val="left"/>
      <w:pPr>
        <w:ind w:left="720" w:hanging="360"/>
      </w:pPr>
      <w:rPr>
        <w:rFonts w:ascii="Symbol" w:hAnsi="Symbol" w:hint="default"/>
      </w:rPr>
    </w:lvl>
    <w:lvl w:ilvl="1" w:tplc="6E46DFC6" w:tentative="1">
      <w:start w:val="1"/>
      <w:numFmt w:val="bullet"/>
      <w:lvlText w:val="o"/>
      <w:lvlJc w:val="left"/>
      <w:pPr>
        <w:ind w:left="1440" w:hanging="360"/>
      </w:pPr>
      <w:rPr>
        <w:rFonts w:ascii="Courier New" w:hAnsi="Courier New" w:hint="default"/>
      </w:rPr>
    </w:lvl>
    <w:lvl w:ilvl="2" w:tplc="30B851DA" w:tentative="1">
      <w:start w:val="1"/>
      <w:numFmt w:val="bullet"/>
      <w:lvlText w:val=""/>
      <w:lvlJc w:val="left"/>
      <w:pPr>
        <w:ind w:left="2160" w:hanging="360"/>
      </w:pPr>
      <w:rPr>
        <w:rFonts w:ascii="Wingdings" w:hAnsi="Wingdings" w:hint="default"/>
      </w:rPr>
    </w:lvl>
    <w:lvl w:ilvl="3" w:tplc="AD12354E" w:tentative="1">
      <w:start w:val="1"/>
      <w:numFmt w:val="bullet"/>
      <w:lvlText w:val=""/>
      <w:lvlJc w:val="left"/>
      <w:pPr>
        <w:ind w:left="2880" w:hanging="360"/>
      </w:pPr>
      <w:rPr>
        <w:rFonts w:ascii="Symbol" w:hAnsi="Symbol" w:hint="default"/>
      </w:rPr>
    </w:lvl>
    <w:lvl w:ilvl="4" w:tplc="7ACE9704" w:tentative="1">
      <w:start w:val="1"/>
      <w:numFmt w:val="bullet"/>
      <w:lvlText w:val="o"/>
      <w:lvlJc w:val="left"/>
      <w:pPr>
        <w:ind w:left="3600" w:hanging="360"/>
      </w:pPr>
      <w:rPr>
        <w:rFonts w:ascii="Courier New" w:hAnsi="Courier New" w:hint="default"/>
      </w:rPr>
    </w:lvl>
    <w:lvl w:ilvl="5" w:tplc="0F1287DE" w:tentative="1">
      <w:start w:val="1"/>
      <w:numFmt w:val="bullet"/>
      <w:lvlText w:val=""/>
      <w:lvlJc w:val="left"/>
      <w:pPr>
        <w:ind w:left="4320" w:hanging="360"/>
      </w:pPr>
      <w:rPr>
        <w:rFonts w:ascii="Wingdings" w:hAnsi="Wingdings" w:hint="default"/>
      </w:rPr>
    </w:lvl>
    <w:lvl w:ilvl="6" w:tplc="B2CA97CC" w:tentative="1">
      <w:start w:val="1"/>
      <w:numFmt w:val="bullet"/>
      <w:lvlText w:val=""/>
      <w:lvlJc w:val="left"/>
      <w:pPr>
        <w:ind w:left="5040" w:hanging="360"/>
      </w:pPr>
      <w:rPr>
        <w:rFonts w:ascii="Symbol" w:hAnsi="Symbol" w:hint="default"/>
      </w:rPr>
    </w:lvl>
    <w:lvl w:ilvl="7" w:tplc="F4029C56" w:tentative="1">
      <w:start w:val="1"/>
      <w:numFmt w:val="bullet"/>
      <w:lvlText w:val="o"/>
      <w:lvlJc w:val="left"/>
      <w:pPr>
        <w:ind w:left="5760" w:hanging="360"/>
      </w:pPr>
      <w:rPr>
        <w:rFonts w:ascii="Courier New" w:hAnsi="Courier New" w:hint="default"/>
      </w:rPr>
    </w:lvl>
    <w:lvl w:ilvl="8" w:tplc="069E4724" w:tentative="1">
      <w:start w:val="1"/>
      <w:numFmt w:val="bullet"/>
      <w:lvlText w:val=""/>
      <w:lvlJc w:val="left"/>
      <w:pPr>
        <w:ind w:left="6480" w:hanging="360"/>
      </w:pPr>
      <w:rPr>
        <w:rFonts w:ascii="Wingdings" w:hAnsi="Wingdings" w:hint="default"/>
      </w:rPr>
    </w:lvl>
  </w:abstractNum>
  <w:abstractNum w:abstractNumId="11" w15:restartNumberingAfterBreak="0">
    <w:nsid w:val="15A50CDF"/>
    <w:multiLevelType w:val="hybridMultilevel"/>
    <w:tmpl w:val="03BE02D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1B070D06"/>
    <w:multiLevelType w:val="multilevel"/>
    <w:tmpl w:val="A1B66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E694D8B"/>
    <w:multiLevelType w:val="hybridMultilevel"/>
    <w:tmpl w:val="6BD8BC9C"/>
    <w:lvl w:ilvl="0" w:tplc="080A000F">
      <w:start w:val="1"/>
      <w:numFmt w:val="decimal"/>
      <w:lvlText w:val="%1."/>
      <w:lvlJc w:val="left"/>
      <w:pPr>
        <w:ind w:left="720" w:hanging="360"/>
      </w:pPr>
      <w:rPr>
        <w:rFonts w:eastAsia="Times New Roman"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22CD5CBB"/>
    <w:multiLevelType w:val="hybridMultilevel"/>
    <w:tmpl w:val="49EAEE4E"/>
    <w:lvl w:ilvl="0" w:tplc="5D2E4310">
      <w:start w:val="1"/>
      <w:numFmt w:val="lowerLetter"/>
      <w:lvlText w:val="%1)"/>
      <w:lvlJc w:val="left"/>
      <w:pPr>
        <w:ind w:left="720" w:hanging="360"/>
      </w:pPr>
      <w:rPr>
        <w:rFonts w:ascii="Arial" w:hAnsi="Arial" w:cs="Aria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24114AA4"/>
    <w:multiLevelType w:val="hybridMultilevel"/>
    <w:tmpl w:val="25405A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Albertus Extra Bold"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Albertus Extra Bold"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Albertus Extra Bold"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2BB56F7F"/>
    <w:multiLevelType w:val="hybridMultilevel"/>
    <w:tmpl w:val="A8BA58EC"/>
    <w:lvl w:ilvl="0" w:tplc="C12ADF92">
      <w:start w:val="1"/>
      <w:numFmt w:val="lowerLetter"/>
      <w:lvlText w:val="%1)"/>
      <w:lvlJc w:val="left"/>
      <w:pPr>
        <w:ind w:left="720" w:hanging="360"/>
      </w:pPr>
      <w:rPr>
        <w:rFonts w:ascii="Arial" w:hAnsi="Arial" w:cs="Aria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2EC61390"/>
    <w:multiLevelType w:val="hybridMultilevel"/>
    <w:tmpl w:val="3EAA777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2FD658A6"/>
    <w:multiLevelType w:val="hybridMultilevel"/>
    <w:tmpl w:val="31642998"/>
    <w:lvl w:ilvl="0" w:tplc="38A2EFC2">
      <w:start w:val="1"/>
      <w:numFmt w:val="decimal"/>
      <w:lvlText w:val="%1."/>
      <w:lvlJc w:val="left"/>
      <w:pPr>
        <w:tabs>
          <w:tab w:val="num" w:pos="720"/>
        </w:tabs>
        <w:ind w:left="720" w:hanging="360"/>
      </w:pPr>
    </w:lvl>
    <w:lvl w:ilvl="1" w:tplc="78ACF4C2" w:tentative="1">
      <w:start w:val="1"/>
      <w:numFmt w:val="decimal"/>
      <w:lvlText w:val="%2."/>
      <w:lvlJc w:val="left"/>
      <w:pPr>
        <w:tabs>
          <w:tab w:val="num" w:pos="1440"/>
        </w:tabs>
        <w:ind w:left="1440" w:hanging="360"/>
      </w:pPr>
    </w:lvl>
    <w:lvl w:ilvl="2" w:tplc="4BAA2636" w:tentative="1">
      <w:start w:val="1"/>
      <w:numFmt w:val="decimal"/>
      <w:lvlText w:val="%3."/>
      <w:lvlJc w:val="left"/>
      <w:pPr>
        <w:tabs>
          <w:tab w:val="num" w:pos="2160"/>
        </w:tabs>
        <w:ind w:left="2160" w:hanging="360"/>
      </w:pPr>
    </w:lvl>
    <w:lvl w:ilvl="3" w:tplc="27820FCA" w:tentative="1">
      <w:start w:val="1"/>
      <w:numFmt w:val="decimal"/>
      <w:lvlText w:val="%4."/>
      <w:lvlJc w:val="left"/>
      <w:pPr>
        <w:tabs>
          <w:tab w:val="num" w:pos="2880"/>
        </w:tabs>
        <w:ind w:left="2880" w:hanging="360"/>
      </w:pPr>
    </w:lvl>
    <w:lvl w:ilvl="4" w:tplc="18EEADCC" w:tentative="1">
      <w:start w:val="1"/>
      <w:numFmt w:val="decimal"/>
      <w:lvlText w:val="%5."/>
      <w:lvlJc w:val="left"/>
      <w:pPr>
        <w:tabs>
          <w:tab w:val="num" w:pos="3600"/>
        </w:tabs>
        <w:ind w:left="3600" w:hanging="360"/>
      </w:pPr>
    </w:lvl>
    <w:lvl w:ilvl="5" w:tplc="FB8A9F48" w:tentative="1">
      <w:start w:val="1"/>
      <w:numFmt w:val="decimal"/>
      <w:lvlText w:val="%6."/>
      <w:lvlJc w:val="left"/>
      <w:pPr>
        <w:tabs>
          <w:tab w:val="num" w:pos="4320"/>
        </w:tabs>
        <w:ind w:left="4320" w:hanging="360"/>
      </w:pPr>
    </w:lvl>
    <w:lvl w:ilvl="6" w:tplc="F38CF188" w:tentative="1">
      <w:start w:val="1"/>
      <w:numFmt w:val="decimal"/>
      <w:lvlText w:val="%7."/>
      <w:lvlJc w:val="left"/>
      <w:pPr>
        <w:tabs>
          <w:tab w:val="num" w:pos="5040"/>
        </w:tabs>
        <w:ind w:left="5040" w:hanging="360"/>
      </w:pPr>
    </w:lvl>
    <w:lvl w:ilvl="7" w:tplc="847AA1AA" w:tentative="1">
      <w:start w:val="1"/>
      <w:numFmt w:val="decimal"/>
      <w:lvlText w:val="%8."/>
      <w:lvlJc w:val="left"/>
      <w:pPr>
        <w:tabs>
          <w:tab w:val="num" w:pos="5760"/>
        </w:tabs>
        <w:ind w:left="5760" w:hanging="360"/>
      </w:pPr>
    </w:lvl>
    <w:lvl w:ilvl="8" w:tplc="73BC7056" w:tentative="1">
      <w:start w:val="1"/>
      <w:numFmt w:val="decimal"/>
      <w:lvlText w:val="%9."/>
      <w:lvlJc w:val="left"/>
      <w:pPr>
        <w:tabs>
          <w:tab w:val="num" w:pos="6480"/>
        </w:tabs>
        <w:ind w:left="6480" w:hanging="360"/>
      </w:pPr>
    </w:lvl>
  </w:abstractNum>
  <w:abstractNum w:abstractNumId="19" w15:restartNumberingAfterBreak="0">
    <w:nsid w:val="3AFE6D30"/>
    <w:multiLevelType w:val="hybridMultilevel"/>
    <w:tmpl w:val="33AE012C"/>
    <w:lvl w:ilvl="0" w:tplc="05785002">
      <w:start w:val="1"/>
      <w:numFmt w:val="lowerLetter"/>
      <w:lvlText w:val="%1)"/>
      <w:lvlJc w:val="left"/>
      <w:pPr>
        <w:ind w:left="720" w:hanging="360"/>
      </w:pPr>
    </w:lvl>
    <w:lvl w:ilvl="1" w:tplc="F6EC5E1E" w:tentative="1">
      <w:start w:val="1"/>
      <w:numFmt w:val="lowerLetter"/>
      <w:lvlText w:val="%2."/>
      <w:lvlJc w:val="left"/>
      <w:pPr>
        <w:ind w:left="1440" w:hanging="360"/>
      </w:pPr>
    </w:lvl>
    <w:lvl w:ilvl="2" w:tplc="231AFE54" w:tentative="1">
      <w:start w:val="1"/>
      <w:numFmt w:val="lowerRoman"/>
      <w:lvlText w:val="%3."/>
      <w:lvlJc w:val="right"/>
      <w:pPr>
        <w:ind w:left="2160" w:hanging="180"/>
      </w:pPr>
    </w:lvl>
    <w:lvl w:ilvl="3" w:tplc="7F545476" w:tentative="1">
      <w:start w:val="1"/>
      <w:numFmt w:val="decimal"/>
      <w:lvlText w:val="%4."/>
      <w:lvlJc w:val="left"/>
      <w:pPr>
        <w:ind w:left="2880" w:hanging="360"/>
      </w:pPr>
    </w:lvl>
    <w:lvl w:ilvl="4" w:tplc="ABB01234" w:tentative="1">
      <w:start w:val="1"/>
      <w:numFmt w:val="lowerLetter"/>
      <w:lvlText w:val="%5."/>
      <w:lvlJc w:val="left"/>
      <w:pPr>
        <w:ind w:left="3600" w:hanging="360"/>
      </w:pPr>
    </w:lvl>
    <w:lvl w:ilvl="5" w:tplc="A9106F8C" w:tentative="1">
      <w:start w:val="1"/>
      <w:numFmt w:val="lowerRoman"/>
      <w:lvlText w:val="%6."/>
      <w:lvlJc w:val="right"/>
      <w:pPr>
        <w:ind w:left="4320" w:hanging="180"/>
      </w:pPr>
    </w:lvl>
    <w:lvl w:ilvl="6" w:tplc="EED4C880" w:tentative="1">
      <w:start w:val="1"/>
      <w:numFmt w:val="decimal"/>
      <w:lvlText w:val="%7."/>
      <w:lvlJc w:val="left"/>
      <w:pPr>
        <w:ind w:left="5040" w:hanging="360"/>
      </w:pPr>
    </w:lvl>
    <w:lvl w:ilvl="7" w:tplc="6374D46A" w:tentative="1">
      <w:start w:val="1"/>
      <w:numFmt w:val="lowerLetter"/>
      <w:lvlText w:val="%8."/>
      <w:lvlJc w:val="left"/>
      <w:pPr>
        <w:ind w:left="5760" w:hanging="360"/>
      </w:pPr>
    </w:lvl>
    <w:lvl w:ilvl="8" w:tplc="761EF3CA" w:tentative="1">
      <w:start w:val="1"/>
      <w:numFmt w:val="lowerRoman"/>
      <w:lvlText w:val="%9."/>
      <w:lvlJc w:val="right"/>
      <w:pPr>
        <w:ind w:left="6480" w:hanging="180"/>
      </w:pPr>
    </w:lvl>
  </w:abstractNum>
  <w:abstractNum w:abstractNumId="20" w15:restartNumberingAfterBreak="0">
    <w:nsid w:val="3E341C3D"/>
    <w:multiLevelType w:val="multilevel"/>
    <w:tmpl w:val="32380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FD93315"/>
    <w:multiLevelType w:val="multilevel"/>
    <w:tmpl w:val="C64E1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2B27089"/>
    <w:multiLevelType w:val="multilevel"/>
    <w:tmpl w:val="053C26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C4415FC"/>
    <w:multiLevelType w:val="hybridMultilevel"/>
    <w:tmpl w:val="114E341C"/>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4" w15:restartNumberingAfterBreak="0">
    <w:nsid w:val="4E1A7502"/>
    <w:multiLevelType w:val="hybridMultilevel"/>
    <w:tmpl w:val="4F3066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4E280AE2"/>
    <w:multiLevelType w:val="multilevel"/>
    <w:tmpl w:val="3E7ED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0FE5739"/>
    <w:multiLevelType w:val="hybridMultilevel"/>
    <w:tmpl w:val="F544FD6C"/>
    <w:lvl w:ilvl="0" w:tplc="080A0017">
      <w:start w:val="1"/>
      <w:numFmt w:val="lowerLetter"/>
      <w:lvlText w:val="%1)"/>
      <w:lvlJc w:val="left"/>
      <w:pPr>
        <w:ind w:left="1080" w:hanging="360"/>
      </w:p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7" w15:restartNumberingAfterBreak="0">
    <w:nsid w:val="59A54A55"/>
    <w:multiLevelType w:val="hybridMultilevel"/>
    <w:tmpl w:val="44BA0A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5E785B6B"/>
    <w:multiLevelType w:val="hybridMultilevel"/>
    <w:tmpl w:val="9ED6EC56"/>
    <w:lvl w:ilvl="0" w:tplc="F30220DA">
      <w:start w:val="1"/>
      <w:numFmt w:val="bullet"/>
      <w:lvlText w:val=""/>
      <w:lvlJc w:val="left"/>
      <w:pPr>
        <w:ind w:left="720" w:hanging="360"/>
      </w:pPr>
      <w:rPr>
        <w:rFonts w:ascii="Symbol" w:hAnsi="Symbol" w:hint="default"/>
      </w:rPr>
    </w:lvl>
    <w:lvl w:ilvl="1" w:tplc="C2665BDE" w:tentative="1">
      <w:start w:val="1"/>
      <w:numFmt w:val="bullet"/>
      <w:lvlText w:val="o"/>
      <w:lvlJc w:val="left"/>
      <w:pPr>
        <w:ind w:left="1440" w:hanging="360"/>
      </w:pPr>
      <w:rPr>
        <w:rFonts w:ascii="Courier New" w:hAnsi="Courier New" w:hint="default"/>
      </w:rPr>
    </w:lvl>
    <w:lvl w:ilvl="2" w:tplc="E3C0FA0C" w:tentative="1">
      <w:start w:val="1"/>
      <w:numFmt w:val="bullet"/>
      <w:lvlText w:val=""/>
      <w:lvlJc w:val="left"/>
      <w:pPr>
        <w:ind w:left="2160" w:hanging="360"/>
      </w:pPr>
      <w:rPr>
        <w:rFonts w:ascii="Wingdings" w:hAnsi="Wingdings" w:hint="default"/>
      </w:rPr>
    </w:lvl>
    <w:lvl w:ilvl="3" w:tplc="3C7254DC" w:tentative="1">
      <w:start w:val="1"/>
      <w:numFmt w:val="bullet"/>
      <w:lvlText w:val=""/>
      <w:lvlJc w:val="left"/>
      <w:pPr>
        <w:ind w:left="2880" w:hanging="360"/>
      </w:pPr>
      <w:rPr>
        <w:rFonts w:ascii="Symbol" w:hAnsi="Symbol" w:hint="default"/>
      </w:rPr>
    </w:lvl>
    <w:lvl w:ilvl="4" w:tplc="10CE08A6" w:tentative="1">
      <w:start w:val="1"/>
      <w:numFmt w:val="bullet"/>
      <w:lvlText w:val="o"/>
      <w:lvlJc w:val="left"/>
      <w:pPr>
        <w:ind w:left="3600" w:hanging="360"/>
      </w:pPr>
      <w:rPr>
        <w:rFonts w:ascii="Courier New" w:hAnsi="Courier New" w:hint="default"/>
      </w:rPr>
    </w:lvl>
    <w:lvl w:ilvl="5" w:tplc="0AA223CE" w:tentative="1">
      <w:start w:val="1"/>
      <w:numFmt w:val="bullet"/>
      <w:lvlText w:val=""/>
      <w:lvlJc w:val="left"/>
      <w:pPr>
        <w:ind w:left="4320" w:hanging="360"/>
      </w:pPr>
      <w:rPr>
        <w:rFonts w:ascii="Wingdings" w:hAnsi="Wingdings" w:hint="default"/>
      </w:rPr>
    </w:lvl>
    <w:lvl w:ilvl="6" w:tplc="DAF80004" w:tentative="1">
      <w:start w:val="1"/>
      <w:numFmt w:val="bullet"/>
      <w:lvlText w:val=""/>
      <w:lvlJc w:val="left"/>
      <w:pPr>
        <w:ind w:left="5040" w:hanging="360"/>
      </w:pPr>
      <w:rPr>
        <w:rFonts w:ascii="Symbol" w:hAnsi="Symbol" w:hint="default"/>
      </w:rPr>
    </w:lvl>
    <w:lvl w:ilvl="7" w:tplc="189EBA70" w:tentative="1">
      <w:start w:val="1"/>
      <w:numFmt w:val="bullet"/>
      <w:lvlText w:val="o"/>
      <w:lvlJc w:val="left"/>
      <w:pPr>
        <w:ind w:left="5760" w:hanging="360"/>
      </w:pPr>
      <w:rPr>
        <w:rFonts w:ascii="Courier New" w:hAnsi="Courier New" w:hint="default"/>
      </w:rPr>
    </w:lvl>
    <w:lvl w:ilvl="8" w:tplc="100871A0" w:tentative="1">
      <w:start w:val="1"/>
      <w:numFmt w:val="bullet"/>
      <w:lvlText w:val=""/>
      <w:lvlJc w:val="left"/>
      <w:pPr>
        <w:ind w:left="6480" w:hanging="360"/>
      </w:pPr>
      <w:rPr>
        <w:rFonts w:ascii="Wingdings" w:hAnsi="Wingdings" w:hint="default"/>
      </w:rPr>
    </w:lvl>
  </w:abstractNum>
  <w:abstractNum w:abstractNumId="29" w15:restartNumberingAfterBreak="0">
    <w:nsid w:val="61332792"/>
    <w:multiLevelType w:val="multilevel"/>
    <w:tmpl w:val="727201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83E724C"/>
    <w:multiLevelType w:val="hybridMultilevel"/>
    <w:tmpl w:val="23E8E6A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6DBF0260"/>
    <w:multiLevelType w:val="hybridMultilevel"/>
    <w:tmpl w:val="57C6D32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70AB25F5"/>
    <w:multiLevelType w:val="hybridMultilevel"/>
    <w:tmpl w:val="7CD09484"/>
    <w:lvl w:ilvl="0" w:tplc="080A000F">
      <w:start w:val="1"/>
      <w:numFmt w:val="decimal"/>
      <w:lvlText w:val="%1."/>
      <w:lvlJc w:val="left"/>
      <w:pPr>
        <w:ind w:left="720" w:hanging="360"/>
      </w:pPr>
      <w:rPr>
        <w:rFonts w:eastAsia="Times New Roman"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73567144"/>
    <w:multiLevelType w:val="hybridMultilevel"/>
    <w:tmpl w:val="55E45C9E"/>
    <w:lvl w:ilvl="0" w:tplc="039CE6BC">
      <w:start w:val="1"/>
      <w:numFmt w:val="lowerLetter"/>
      <w:lvlText w:val="%1)"/>
      <w:lvlJc w:val="left"/>
      <w:pPr>
        <w:ind w:left="720" w:hanging="360"/>
      </w:pPr>
      <w:rPr>
        <w:rFonts w:ascii="Arial" w:hAnsi="Arial" w:cs="Aria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7D8C3CB1"/>
    <w:multiLevelType w:val="hybridMultilevel"/>
    <w:tmpl w:val="19F8C96C"/>
    <w:lvl w:ilvl="0" w:tplc="F96C568C">
      <w:start w:val="1"/>
      <w:numFmt w:val="bullet"/>
      <w:lvlText w:val=""/>
      <w:lvlJc w:val="left"/>
      <w:pPr>
        <w:ind w:left="720" w:hanging="360"/>
      </w:pPr>
      <w:rPr>
        <w:rFonts w:ascii="Symbol" w:hAnsi="Symbol" w:hint="default"/>
      </w:rPr>
    </w:lvl>
    <w:lvl w:ilvl="1" w:tplc="95D21D30" w:tentative="1">
      <w:start w:val="1"/>
      <w:numFmt w:val="bullet"/>
      <w:lvlText w:val="o"/>
      <w:lvlJc w:val="left"/>
      <w:pPr>
        <w:ind w:left="1440" w:hanging="360"/>
      </w:pPr>
      <w:rPr>
        <w:rFonts w:ascii="Courier New" w:hAnsi="Courier New" w:hint="default"/>
      </w:rPr>
    </w:lvl>
    <w:lvl w:ilvl="2" w:tplc="2B00F87C" w:tentative="1">
      <w:start w:val="1"/>
      <w:numFmt w:val="bullet"/>
      <w:lvlText w:val=""/>
      <w:lvlJc w:val="left"/>
      <w:pPr>
        <w:ind w:left="2160" w:hanging="360"/>
      </w:pPr>
      <w:rPr>
        <w:rFonts w:ascii="Wingdings" w:hAnsi="Wingdings" w:hint="default"/>
      </w:rPr>
    </w:lvl>
    <w:lvl w:ilvl="3" w:tplc="78467996" w:tentative="1">
      <w:start w:val="1"/>
      <w:numFmt w:val="bullet"/>
      <w:lvlText w:val=""/>
      <w:lvlJc w:val="left"/>
      <w:pPr>
        <w:ind w:left="2880" w:hanging="360"/>
      </w:pPr>
      <w:rPr>
        <w:rFonts w:ascii="Symbol" w:hAnsi="Symbol" w:hint="default"/>
      </w:rPr>
    </w:lvl>
    <w:lvl w:ilvl="4" w:tplc="07ACBA88" w:tentative="1">
      <w:start w:val="1"/>
      <w:numFmt w:val="bullet"/>
      <w:lvlText w:val="o"/>
      <w:lvlJc w:val="left"/>
      <w:pPr>
        <w:ind w:left="3600" w:hanging="360"/>
      </w:pPr>
      <w:rPr>
        <w:rFonts w:ascii="Courier New" w:hAnsi="Courier New" w:hint="default"/>
      </w:rPr>
    </w:lvl>
    <w:lvl w:ilvl="5" w:tplc="72209324" w:tentative="1">
      <w:start w:val="1"/>
      <w:numFmt w:val="bullet"/>
      <w:lvlText w:val=""/>
      <w:lvlJc w:val="left"/>
      <w:pPr>
        <w:ind w:left="4320" w:hanging="360"/>
      </w:pPr>
      <w:rPr>
        <w:rFonts w:ascii="Wingdings" w:hAnsi="Wingdings" w:hint="default"/>
      </w:rPr>
    </w:lvl>
    <w:lvl w:ilvl="6" w:tplc="4CF49EEA" w:tentative="1">
      <w:start w:val="1"/>
      <w:numFmt w:val="bullet"/>
      <w:lvlText w:val=""/>
      <w:lvlJc w:val="left"/>
      <w:pPr>
        <w:ind w:left="5040" w:hanging="360"/>
      </w:pPr>
      <w:rPr>
        <w:rFonts w:ascii="Symbol" w:hAnsi="Symbol" w:hint="default"/>
      </w:rPr>
    </w:lvl>
    <w:lvl w:ilvl="7" w:tplc="F0D848C2" w:tentative="1">
      <w:start w:val="1"/>
      <w:numFmt w:val="bullet"/>
      <w:lvlText w:val="o"/>
      <w:lvlJc w:val="left"/>
      <w:pPr>
        <w:ind w:left="5760" w:hanging="360"/>
      </w:pPr>
      <w:rPr>
        <w:rFonts w:ascii="Courier New" w:hAnsi="Courier New" w:hint="default"/>
      </w:rPr>
    </w:lvl>
    <w:lvl w:ilvl="8" w:tplc="C7A20666" w:tentative="1">
      <w:start w:val="1"/>
      <w:numFmt w:val="bullet"/>
      <w:lvlText w:val=""/>
      <w:lvlJc w:val="left"/>
      <w:pPr>
        <w:ind w:left="6480" w:hanging="360"/>
      </w:pPr>
      <w:rPr>
        <w:rFonts w:ascii="Wingdings" w:hAnsi="Wingdings" w:hint="default"/>
      </w:rPr>
    </w:lvl>
  </w:abstractNum>
  <w:num w:numId="1">
    <w:abstractNumId w:val="17"/>
  </w:num>
  <w:num w:numId="2">
    <w:abstractNumId w:val="11"/>
  </w:num>
  <w:num w:numId="3">
    <w:abstractNumId w:val="2"/>
  </w:num>
  <w:num w:numId="4">
    <w:abstractNumId w:val="30"/>
  </w:num>
  <w:num w:numId="5">
    <w:abstractNumId w:val="26"/>
  </w:num>
  <w:num w:numId="6">
    <w:abstractNumId w:val="27"/>
  </w:num>
  <w:num w:numId="7">
    <w:abstractNumId w:val="6"/>
  </w:num>
  <w:num w:numId="8">
    <w:abstractNumId w:val="5"/>
  </w:num>
  <w:num w:numId="9">
    <w:abstractNumId w:val="31"/>
  </w:num>
  <w:num w:numId="10">
    <w:abstractNumId w:val="23"/>
  </w:num>
  <w:num w:numId="11">
    <w:abstractNumId w:val="22"/>
  </w:num>
  <w:num w:numId="12">
    <w:abstractNumId w:val="24"/>
  </w:num>
  <w:num w:numId="13">
    <w:abstractNumId w:val="21"/>
  </w:num>
  <w:num w:numId="14">
    <w:abstractNumId w:val="25"/>
  </w:num>
  <w:num w:numId="15">
    <w:abstractNumId w:val="3"/>
  </w:num>
  <w:num w:numId="16">
    <w:abstractNumId w:val="16"/>
  </w:num>
  <w:num w:numId="17">
    <w:abstractNumId w:val="9"/>
  </w:num>
  <w:num w:numId="18">
    <w:abstractNumId w:val="33"/>
  </w:num>
  <w:num w:numId="19">
    <w:abstractNumId w:val="14"/>
  </w:num>
  <w:num w:numId="20">
    <w:abstractNumId w:val="1"/>
  </w:num>
  <w:num w:numId="21">
    <w:abstractNumId w:val="18"/>
  </w:num>
  <w:num w:numId="22">
    <w:abstractNumId w:val="20"/>
  </w:num>
  <w:num w:numId="23">
    <w:abstractNumId w:val="12"/>
  </w:num>
  <w:num w:numId="24">
    <w:abstractNumId w:val="7"/>
  </w:num>
  <w:num w:numId="25">
    <w:abstractNumId w:val="29"/>
  </w:num>
  <w:num w:numId="26">
    <w:abstractNumId w:val="0"/>
  </w:num>
  <w:num w:numId="27">
    <w:abstractNumId w:val="15"/>
  </w:num>
  <w:num w:numId="28">
    <w:abstractNumId w:val="4"/>
  </w:num>
  <w:num w:numId="29">
    <w:abstractNumId w:val="8"/>
  </w:num>
  <w:num w:numId="30">
    <w:abstractNumId w:val="32"/>
  </w:num>
  <w:num w:numId="31">
    <w:abstractNumId w:val="13"/>
  </w:num>
  <w:num w:numId="32">
    <w:abstractNumId w:val="19"/>
  </w:num>
  <w:num w:numId="33">
    <w:abstractNumId w:val="10"/>
  </w:num>
  <w:num w:numId="34">
    <w:abstractNumId w:val="34"/>
  </w:num>
  <w:num w:numId="3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355A"/>
    <w:rsid w:val="000169E8"/>
    <w:rsid w:val="00041F49"/>
    <w:rsid w:val="00043E5D"/>
    <w:rsid w:val="00046FE2"/>
    <w:rsid w:val="0007442C"/>
    <w:rsid w:val="00092C5B"/>
    <w:rsid w:val="000B727A"/>
    <w:rsid w:val="000C37E3"/>
    <w:rsid w:val="000F2B68"/>
    <w:rsid w:val="001055C4"/>
    <w:rsid w:val="00110C8A"/>
    <w:rsid w:val="001202B3"/>
    <w:rsid w:val="00126E6F"/>
    <w:rsid w:val="00134241"/>
    <w:rsid w:val="00163007"/>
    <w:rsid w:val="0016327D"/>
    <w:rsid w:val="001E2EB1"/>
    <w:rsid w:val="001E3141"/>
    <w:rsid w:val="00203FBC"/>
    <w:rsid w:val="00222EE4"/>
    <w:rsid w:val="00237C5B"/>
    <w:rsid w:val="002A4A30"/>
    <w:rsid w:val="002A7818"/>
    <w:rsid w:val="002B5307"/>
    <w:rsid w:val="002C1FAA"/>
    <w:rsid w:val="002C750D"/>
    <w:rsid w:val="002D14AD"/>
    <w:rsid w:val="00304308"/>
    <w:rsid w:val="00314F12"/>
    <w:rsid w:val="00322E42"/>
    <w:rsid w:val="003316A6"/>
    <w:rsid w:val="0033320C"/>
    <w:rsid w:val="003417CD"/>
    <w:rsid w:val="00395E15"/>
    <w:rsid w:val="003D7240"/>
    <w:rsid w:val="003E73F4"/>
    <w:rsid w:val="003F19CF"/>
    <w:rsid w:val="00404A1D"/>
    <w:rsid w:val="00417B6A"/>
    <w:rsid w:val="004303A4"/>
    <w:rsid w:val="004326F6"/>
    <w:rsid w:val="004C2B05"/>
    <w:rsid w:val="004E7B41"/>
    <w:rsid w:val="00501F14"/>
    <w:rsid w:val="00517DDC"/>
    <w:rsid w:val="0052719C"/>
    <w:rsid w:val="00542FD9"/>
    <w:rsid w:val="005530DA"/>
    <w:rsid w:val="00555D6B"/>
    <w:rsid w:val="00564622"/>
    <w:rsid w:val="00574156"/>
    <w:rsid w:val="005A252D"/>
    <w:rsid w:val="005B5998"/>
    <w:rsid w:val="00600D4F"/>
    <w:rsid w:val="00614349"/>
    <w:rsid w:val="00664EAE"/>
    <w:rsid w:val="006E7F42"/>
    <w:rsid w:val="00722B67"/>
    <w:rsid w:val="00755896"/>
    <w:rsid w:val="007623BC"/>
    <w:rsid w:val="007B33D6"/>
    <w:rsid w:val="007C5A84"/>
    <w:rsid w:val="007D2912"/>
    <w:rsid w:val="008214C4"/>
    <w:rsid w:val="00824805"/>
    <w:rsid w:val="008443CC"/>
    <w:rsid w:val="00846171"/>
    <w:rsid w:val="008B3E68"/>
    <w:rsid w:val="008C2778"/>
    <w:rsid w:val="008D54ED"/>
    <w:rsid w:val="008E4B75"/>
    <w:rsid w:val="009174C3"/>
    <w:rsid w:val="009244C6"/>
    <w:rsid w:val="00926DEE"/>
    <w:rsid w:val="00931F7D"/>
    <w:rsid w:val="0095371C"/>
    <w:rsid w:val="00961187"/>
    <w:rsid w:val="0096188C"/>
    <w:rsid w:val="0097232A"/>
    <w:rsid w:val="009858D0"/>
    <w:rsid w:val="009E4DC2"/>
    <w:rsid w:val="00A2482C"/>
    <w:rsid w:val="00A317E4"/>
    <w:rsid w:val="00A530E9"/>
    <w:rsid w:val="00A9425C"/>
    <w:rsid w:val="00A9563E"/>
    <w:rsid w:val="00AB25EE"/>
    <w:rsid w:val="00AC2E64"/>
    <w:rsid w:val="00AD4FA2"/>
    <w:rsid w:val="00AE0FE6"/>
    <w:rsid w:val="00AE5002"/>
    <w:rsid w:val="00B039CD"/>
    <w:rsid w:val="00B16E64"/>
    <w:rsid w:val="00B20287"/>
    <w:rsid w:val="00B8076D"/>
    <w:rsid w:val="00BB5624"/>
    <w:rsid w:val="00C07515"/>
    <w:rsid w:val="00C3086E"/>
    <w:rsid w:val="00C523E6"/>
    <w:rsid w:val="00C863D2"/>
    <w:rsid w:val="00CC0351"/>
    <w:rsid w:val="00CC355A"/>
    <w:rsid w:val="00CE4755"/>
    <w:rsid w:val="00D032F2"/>
    <w:rsid w:val="00D33CCE"/>
    <w:rsid w:val="00D3687E"/>
    <w:rsid w:val="00D37EB1"/>
    <w:rsid w:val="00D76AD8"/>
    <w:rsid w:val="00D8103A"/>
    <w:rsid w:val="00D94014"/>
    <w:rsid w:val="00D951CA"/>
    <w:rsid w:val="00D96A00"/>
    <w:rsid w:val="00D96B44"/>
    <w:rsid w:val="00DB5D20"/>
    <w:rsid w:val="00DB6102"/>
    <w:rsid w:val="00DD650A"/>
    <w:rsid w:val="00E07432"/>
    <w:rsid w:val="00E21B7A"/>
    <w:rsid w:val="00F01304"/>
    <w:rsid w:val="00F11FE1"/>
    <w:rsid w:val="00F178A6"/>
    <w:rsid w:val="00F27EDE"/>
    <w:rsid w:val="00F30B32"/>
    <w:rsid w:val="00F4386C"/>
    <w:rsid w:val="00F5452E"/>
    <w:rsid w:val="00F73B87"/>
    <w:rsid w:val="00F81ABB"/>
    <w:rsid w:val="00F93F59"/>
    <w:rsid w:val="00FE7EA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180536-4012-4FB5-B321-334DC67851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D94014"/>
    <w:pPr>
      <w:keepNext/>
      <w:spacing w:line="360" w:lineRule="auto"/>
      <w:jc w:val="both"/>
      <w:outlineLvl w:val="0"/>
    </w:pPr>
    <w:rPr>
      <w:rFonts w:ascii="Arial" w:hAnsi="Arial" w:cs="Arial"/>
      <w:i/>
      <w:sz w:val="24"/>
      <w:szCs w:val="24"/>
    </w:rPr>
  </w:style>
  <w:style w:type="paragraph" w:styleId="Ttulo2">
    <w:name w:val="heading 2"/>
    <w:basedOn w:val="Normal"/>
    <w:next w:val="Normal"/>
    <w:link w:val="Ttulo2Car"/>
    <w:uiPriority w:val="9"/>
    <w:semiHidden/>
    <w:unhideWhenUsed/>
    <w:qFormat/>
    <w:rsid w:val="00AB25E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8C2778"/>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AB25EE"/>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8C2778"/>
    <w:pPr>
      <w:keepNext/>
      <w:shd w:val="clear" w:color="auto" w:fill="FFFFFF"/>
      <w:spacing w:after="0" w:line="480" w:lineRule="auto"/>
      <w:jc w:val="both"/>
      <w:outlineLvl w:val="4"/>
    </w:pPr>
    <w:rPr>
      <w:rFonts w:ascii="Arial" w:eastAsia="Times New Roman" w:hAnsi="Arial" w:cs="Arial"/>
      <w:b/>
      <w:color w:val="222222"/>
      <w:sz w:val="24"/>
      <w:szCs w:val="24"/>
      <w:lang w:val="es-ES"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9244C6"/>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Encabezado">
    <w:name w:val="header"/>
    <w:basedOn w:val="Normal"/>
    <w:link w:val="EncabezadoCar"/>
    <w:uiPriority w:val="99"/>
    <w:unhideWhenUsed/>
    <w:rsid w:val="0056462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64622"/>
  </w:style>
  <w:style w:type="paragraph" w:styleId="Piedepgina">
    <w:name w:val="footer"/>
    <w:basedOn w:val="Normal"/>
    <w:link w:val="PiedepginaCar"/>
    <w:uiPriority w:val="99"/>
    <w:unhideWhenUsed/>
    <w:rsid w:val="0056462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64622"/>
  </w:style>
  <w:style w:type="paragraph" w:styleId="Prrafodelista">
    <w:name w:val="List Paragraph"/>
    <w:basedOn w:val="Normal"/>
    <w:uiPriority w:val="34"/>
    <w:qFormat/>
    <w:rsid w:val="00417B6A"/>
    <w:pPr>
      <w:ind w:left="720"/>
      <w:contextualSpacing/>
    </w:pPr>
  </w:style>
  <w:style w:type="paragraph" w:customStyle="1" w:styleId="margen05">
    <w:name w:val="margen05"/>
    <w:basedOn w:val="Normal"/>
    <w:rsid w:val="00D951CA"/>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i72lw25bt">
    <w:name w:val="i72lw25bt"/>
    <w:basedOn w:val="Fuentedeprrafopredeter"/>
    <w:rsid w:val="00D951CA"/>
  </w:style>
  <w:style w:type="paragraph" w:customStyle="1" w:styleId="Default">
    <w:name w:val="Default"/>
    <w:rsid w:val="00F4386C"/>
    <w:pPr>
      <w:autoSpaceDE w:val="0"/>
      <w:autoSpaceDN w:val="0"/>
      <w:adjustRightInd w:val="0"/>
      <w:spacing w:after="0" w:line="240" w:lineRule="auto"/>
    </w:pPr>
    <w:rPr>
      <w:rFonts w:ascii="Arial" w:hAnsi="Arial" w:cs="Arial"/>
      <w:color w:val="000000"/>
      <w:sz w:val="24"/>
      <w:szCs w:val="24"/>
    </w:rPr>
  </w:style>
  <w:style w:type="paragraph" w:styleId="Textoindependiente">
    <w:name w:val="Body Text"/>
    <w:basedOn w:val="Normal"/>
    <w:link w:val="TextoindependienteCar"/>
    <w:uiPriority w:val="99"/>
    <w:unhideWhenUsed/>
    <w:rsid w:val="00F4386C"/>
    <w:pPr>
      <w:pageBreakBefore/>
      <w:autoSpaceDE w:val="0"/>
      <w:autoSpaceDN w:val="0"/>
      <w:adjustRightInd w:val="0"/>
      <w:spacing w:after="0" w:line="240" w:lineRule="auto"/>
    </w:pPr>
    <w:rPr>
      <w:rFonts w:ascii="Times New Roman" w:hAnsi="Times New Roman" w:cs="Times New Roman"/>
      <w:sz w:val="20"/>
      <w:szCs w:val="20"/>
    </w:rPr>
  </w:style>
  <w:style w:type="character" w:customStyle="1" w:styleId="TextoindependienteCar">
    <w:name w:val="Texto independiente Car"/>
    <w:basedOn w:val="Fuentedeprrafopredeter"/>
    <w:link w:val="Textoindependiente"/>
    <w:uiPriority w:val="99"/>
    <w:rsid w:val="00F4386C"/>
    <w:rPr>
      <w:rFonts w:ascii="Times New Roman" w:hAnsi="Times New Roman" w:cs="Times New Roman"/>
      <w:sz w:val="20"/>
      <w:szCs w:val="20"/>
    </w:rPr>
  </w:style>
  <w:style w:type="paragraph" w:styleId="Textoindependiente2">
    <w:name w:val="Body Text 2"/>
    <w:basedOn w:val="Normal"/>
    <w:link w:val="Textoindependiente2Car"/>
    <w:uiPriority w:val="99"/>
    <w:unhideWhenUsed/>
    <w:rsid w:val="00F4386C"/>
    <w:pPr>
      <w:pageBreakBefore/>
      <w:autoSpaceDE w:val="0"/>
      <w:autoSpaceDN w:val="0"/>
      <w:adjustRightInd w:val="0"/>
      <w:spacing w:after="0" w:line="360" w:lineRule="auto"/>
      <w:jc w:val="both"/>
    </w:pPr>
    <w:rPr>
      <w:rFonts w:ascii="Arial" w:hAnsi="Arial" w:cs="Arial"/>
      <w:sz w:val="24"/>
      <w:szCs w:val="24"/>
    </w:rPr>
  </w:style>
  <w:style w:type="character" w:customStyle="1" w:styleId="Textoindependiente2Car">
    <w:name w:val="Texto independiente 2 Car"/>
    <w:basedOn w:val="Fuentedeprrafopredeter"/>
    <w:link w:val="Textoindependiente2"/>
    <w:uiPriority w:val="99"/>
    <w:rsid w:val="00F4386C"/>
    <w:rPr>
      <w:rFonts w:ascii="Arial" w:hAnsi="Arial" w:cs="Arial"/>
      <w:sz w:val="24"/>
      <w:szCs w:val="24"/>
    </w:rPr>
  </w:style>
  <w:style w:type="paragraph" w:styleId="Textoindependiente3">
    <w:name w:val="Body Text 3"/>
    <w:basedOn w:val="Normal"/>
    <w:link w:val="Textoindependiente3Car"/>
    <w:uiPriority w:val="99"/>
    <w:unhideWhenUsed/>
    <w:rsid w:val="00F01304"/>
    <w:pPr>
      <w:autoSpaceDE w:val="0"/>
      <w:autoSpaceDN w:val="0"/>
      <w:adjustRightInd w:val="0"/>
      <w:spacing w:after="0" w:line="240" w:lineRule="auto"/>
      <w:jc w:val="both"/>
    </w:pPr>
    <w:rPr>
      <w:rFonts w:ascii="Times New Roman" w:hAnsi="Times New Roman" w:cs="Times New Roman"/>
      <w:color w:val="000000"/>
      <w:sz w:val="20"/>
      <w:szCs w:val="20"/>
    </w:rPr>
  </w:style>
  <w:style w:type="character" w:customStyle="1" w:styleId="Textoindependiente3Car">
    <w:name w:val="Texto independiente 3 Car"/>
    <w:basedOn w:val="Fuentedeprrafopredeter"/>
    <w:link w:val="Textoindependiente3"/>
    <w:uiPriority w:val="99"/>
    <w:rsid w:val="00F01304"/>
    <w:rPr>
      <w:rFonts w:ascii="Times New Roman" w:hAnsi="Times New Roman" w:cs="Times New Roman"/>
      <w:color w:val="000000"/>
      <w:sz w:val="20"/>
      <w:szCs w:val="20"/>
    </w:rPr>
  </w:style>
  <w:style w:type="character" w:customStyle="1" w:styleId="Ttulo1Car">
    <w:name w:val="Título 1 Car"/>
    <w:basedOn w:val="Fuentedeprrafopredeter"/>
    <w:link w:val="Ttulo1"/>
    <w:uiPriority w:val="9"/>
    <w:rsid w:val="00D94014"/>
    <w:rPr>
      <w:rFonts w:ascii="Arial" w:hAnsi="Arial" w:cs="Arial"/>
      <w:i/>
      <w:sz w:val="24"/>
      <w:szCs w:val="24"/>
    </w:rPr>
  </w:style>
  <w:style w:type="character" w:customStyle="1" w:styleId="a6x33w20lm1o">
    <w:name w:val="a6x33w20lm1o"/>
    <w:basedOn w:val="Fuentedeprrafopredeter"/>
    <w:rsid w:val="00555D6B"/>
  </w:style>
  <w:style w:type="character" w:customStyle="1" w:styleId="Ttulo2Car">
    <w:name w:val="Título 2 Car"/>
    <w:basedOn w:val="Fuentedeprrafopredeter"/>
    <w:link w:val="Ttulo2"/>
    <w:uiPriority w:val="9"/>
    <w:semiHidden/>
    <w:rsid w:val="00AB25EE"/>
    <w:rPr>
      <w:rFonts w:asciiTheme="majorHAnsi" w:eastAsiaTheme="majorEastAsia" w:hAnsiTheme="majorHAnsi" w:cstheme="majorBidi"/>
      <w:b/>
      <w:bCs/>
      <w:color w:val="4F81BD" w:themeColor="accent1"/>
      <w:sz w:val="26"/>
      <w:szCs w:val="26"/>
    </w:rPr>
  </w:style>
  <w:style w:type="character" w:customStyle="1" w:styleId="Ttulo4Car">
    <w:name w:val="Título 4 Car"/>
    <w:basedOn w:val="Fuentedeprrafopredeter"/>
    <w:link w:val="Ttulo4"/>
    <w:uiPriority w:val="9"/>
    <w:semiHidden/>
    <w:rsid w:val="00AB25EE"/>
    <w:rPr>
      <w:rFonts w:asciiTheme="majorHAnsi" w:eastAsiaTheme="majorEastAsia" w:hAnsiTheme="majorHAnsi" w:cstheme="majorBidi"/>
      <w:b/>
      <w:bCs/>
      <w:i/>
      <w:iCs/>
      <w:color w:val="4F81BD" w:themeColor="accent1"/>
    </w:rPr>
  </w:style>
  <w:style w:type="paragraph" w:styleId="Textodeglobo">
    <w:name w:val="Balloon Text"/>
    <w:basedOn w:val="Normal"/>
    <w:link w:val="TextodegloboCar"/>
    <w:uiPriority w:val="99"/>
    <w:semiHidden/>
    <w:unhideWhenUsed/>
    <w:rsid w:val="00AB25E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B25EE"/>
    <w:rPr>
      <w:rFonts w:ascii="Tahoma" w:hAnsi="Tahoma" w:cs="Tahoma"/>
      <w:sz w:val="16"/>
      <w:szCs w:val="16"/>
    </w:rPr>
  </w:style>
  <w:style w:type="paragraph" w:styleId="Sangradetextonormal">
    <w:name w:val="Body Text Indent"/>
    <w:basedOn w:val="Normal"/>
    <w:link w:val="SangradetextonormalCar"/>
    <w:uiPriority w:val="99"/>
    <w:unhideWhenUsed/>
    <w:rsid w:val="00B039CD"/>
    <w:pPr>
      <w:spacing w:after="0" w:line="480" w:lineRule="auto"/>
      <w:ind w:firstLine="708"/>
      <w:jc w:val="both"/>
    </w:pPr>
    <w:rPr>
      <w:rFonts w:ascii="Arial" w:eastAsia="Times New Roman" w:hAnsi="Arial" w:cs="Arial"/>
      <w:color w:val="000000"/>
      <w:sz w:val="24"/>
      <w:szCs w:val="24"/>
      <w:lang w:eastAsia="es-MX"/>
    </w:rPr>
  </w:style>
  <w:style w:type="character" w:customStyle="1" w:styleId="SangradetextonormalCar">
    <w:name w:val="Sangría de texto normal Car"/>
    <w:basedOn w:val="Fuentedeprrafopredeter"/>
    <w:link w:val="Sangradetextonormal"/>
    <w:uiPriority w:val="99"/>
    <w:rsid w:val="00B039CD"/>
    <w:rPr>
      <w:rFonts w:ascii="Arial" w:eastAsia="Times New Roman" w:hAnsi="Arial" w:cs="Arial"/>
      <w:color w:val="000000"/>
      <w:sz w:val="24"/>
      <w:szCs w:val="24"/>
      <w:lang w:eastAsia="es-MX"/>
    </w:rPr>
  </w:style>
  <w:style w:type="character" w:customStyle="1" w:styleId="apple-converted-space">
    <w:name w:val="apple-converted-space"/>
    <w:basedOn w:val="Fuentedeprrafopredeter"/>
    <w:rsid w:val="00574156"/>
  </w:style>
  <w:style w:type="character" w:customStyle="1" w:styleId="lmm029">
    <w:name w:val="lmm029"/>
    <w:basedOn w:val="Fuentedeprrafopredeter"/>
    <w:rsid w:val="00574156"/>
  </w:style>
  <w:style w:type="character" w:customStyle="1" w:styleId="Ttulo3Car">
    <w:name w:val="Título 3 Car"/>
    <w:basedOn w:val="Fuentedeprrafopredeter"/>
    <w:link w:val="Ttulo3"/>
    <w:uiPriority w:val="9"/>
    <w:rsid w:val="008C2778"/>
    <w:rPr>
      <w:rFonts w:asciiTheme="majorHAnsi" w:eastAsiaTheme="majorEastAsia" w:hAnsiTheme="majorHAnsi" w:cstheme="majorBidi"/>
      <w:b/>
      <w:bCs/>
      <w:color w:val="4F81BD" w:themeColor="accent1"/>
    </w:rPr>
  </w:style>
  <w:style w:type="character" w:customStyle="1" w:styleId="Ttulo5Car">
    <w:name w:val="Título 5 Car"/>
    <w:basedOn w:val="Fuentedeprrafopredeter"/>
    <w:link w:val="Ttulo5"/>
    <w:uiPriority w:val="9"/>
    <w:rsid w:val="008C2778"/>
    <w:rPr>
      <w:rFonts w:ascii="Arial" w:eastAsia="Times New Roman" w:hAnsi="Arial" w:cs="Arial"/>
      <w:b/>
      <w:color w:val="222222"/>
      <w:sz w:val="24"/>
      <w:szCs w:val="24"/>
      <w:shd w:val="clear" w:color="auto" w:fill="FFFFFF"/>
      <w:lang w:val="es-ES" w:eastAsia="es-MX"/>
    </w:rPr>
  </w:style>
  <w:style w:type="character" w:styleId="Hipervnculo">
    <w:name w:val="Hyperlink"/>
    <w:basedOn w:val="Fuentedeprrafopredeter"/>
    <w:uiPriority w:val="99"/>
    <w:unhideWhenUsed/>
    <w:rsid w:val="00A9563E"/>
    <w:rPr>
      <w:color w:val="0000FF"/>
      <w:u w:val="single"/>
    </w:rPr>
  </w:style>
  <w:style w:type="character" w:styleId="Nmerodepgina">
    <w:name w:val="page number"/>
    <w:basedOn w:val="Fuentedeprrafopredeter"/>
    <w:uiPriority w:val="99"/>
    <w:semiHidden/>
    <w:unhideWhenUsed/>
    <w:rsid w:val="00322E42"/>
  </w:style>
  <w:style w:type="character" w:customStyle="1" w:styleId="longtext">
    <w:name w:val="long_text"/>
    <w:basedOn w:val="Fuentedeprrafopredeter"/>
    <w:rsid w:val="00322E42"/>
  </w:style>
  <w:style w:type="paragraph" w:styleId="Textonotapie">
    <w:name w:val="footnote text"/>
    <w:basedOn w:val="Normal"/>
    <w:link w:val="TextonotapieCar"/>
    <w:uiPriority w:val="99"/>
    <w:unhideWhenUsed/>
    <w:rsid w:val="00322E42"/>
    <w:pPr>
      <w:spacing w:after="0" w:line="240" w:lineRule="auto"/>
      <w:jc w:val="both"/>
    </w:pPr>
    <w:rPr>
      <w:rFonts w:ascii="Times New Roman" w:hAnsi="Times New Roman"/>
      <w:sz w:val="24"/>
      <w:szCs w:val="24"/>
      <w:lang w:val="es-ES_tradnl"/>
    </w:rPr>
  </w:style>
  <w:style w:type="character" w:customStyle="1" w:styleId="TextonotapieCar">
    <w:name w:val="Texto nota pie Car"/>
    <w:basedOn w:val="Fuentedeprrafopredeter"/>
    <w:link w:val="Textonotapie"/>
    <w:uiPriority w:val="99"/>
    <w:rsid w:val="00322E42"/>
    <w:rPr>
      <w:rFonts w:ascii="Times New Roman" w:hAnsi="Times New Roman"/>
      <w:sz w:val="24"/>
      <w:szCs w:val="24"/>
      <w:lang w:val="es-ES_tradnl"/>
    </w:rPr>
  </w:style>
  <w:style w:type="character" w:styleId="Refdenotaalpie">
    <w:name w:val="footnote reference"/>
    <w:basedOn w:val="Fuentedeprrafopredeter"/>
    <w:uiPriority w:val="99"/>
    <w:unhideWhenUsed/>
    <w:rsid w:val="00322E42"/>
    <w:rPr>
      <w:vertAlign w:val="superscript"/>
    </w:rPr>
  </w:style>
  <w:style w:type="paragraph" w:styleId="Mapadeldocumento">
    <w:name w:val="Document Map"/>
    <w:basedOn w:val="Normal"/>
    <w:link w:val="MapadeldocumentoCar"/>
    <w:uiPriority w:val="99"/>
    <w:semiHidden/>
    <w:unhideWhenUsed/>
    <w:rsid w:val="00322E42"/>
    <w:pPr>
      <w:spacing w:after="0" w:line="240" w:lineRule="auto"/>
      <w:jc w:val="both"/>
    </w:pPr>
    <w:rPr>
      <w:rFonts w:ascii="Lucida Grande" w:hAnsi="Lucida Grande" w:cs="Lucida Grande"/>
      <w:sz w:val="24"/>
      <w:szCs w:val="24"/>
      <w:lang w:val="es-ES_tradnl"/>
    </w:rPr>
  </w:style>
  <w:style w:type="character" w:customStyle="1" w:styleId="MapadeldocumentoCar">
    <w:name w:val="Mapa del documento Car"/>
    <w:basedOn w:val="Fuentedeprrafopredeter"/>
    <w:link w:val="Mapadeldocumento"/>
    <w:uiPriority w:val="99"/>
    <w:semiHidden/>
    <w:rsid w:val="00322E42"/>
    <w:rPr>
      <w:rFonts w:ascii="Lucida Grande" w:hAnsi="Lucida Grande" w:cs="Lucida Grande"/>
      <w:sz w:val="24"/>
      <w:szCs w:val="24"/>
      <w:lang w:val="es-ES_tradnl"/>
    </w:rPr>
  </w:style>
  <w:style w:type="paragraph" w:styleId="Revisin">
    <w:name w:val="Revision"/>
    <w:hidden/>
    <w:uiPriority w:val="99"/>
    <w:semiHidden/>
    <w:rsid w:val="00322E42"/>
    <w:pPr>
      <w:spacing w:after="0" w:line="240" w:lineRule="auto"/>
    </w:pPr>
    <w:rPr>
      <w:rFonts w:ascii="Times New Roman" w:hAnsi="Times New Roman"/>
      <w:sz w:val="24"/>
      <w:szCs w:val="24"/>
      <w:lang w:val="es-ES_tradnl"/>
    </w:rPr>
  </w:style>
  <w:style w:type="character" w:styleId="Refdecomentario">
    <w:name w:val="annotation reference"/>
    <w:basedOn w:val="Fuentedeprrafopredeter"/>
    <w:uiPriority w:val="99"/>
    <w:semiHidden/>
    <w:unhideWhenUsed/>
    <w:rsid w:val="00322E42"/>
    <w:rPr>
      <w:sz w:val="16"/>
      <w:szCs w:val="16"/>
    </w:rPr>
  </w:style>
  <w:style w:type="paragraph" w:styleId="Textocomentario">
    <w:name w:val="annotation text"/>
    <w:basedOn w:val="Normal"/>
    <w:link w:val="TextocomentarioCar"/>
    <w:uiPriority w:val="99"/>
    <w:semiHidden/>
    <w:unhideWhenUsed/>
    <w:rsid w:val="00322E42"/>
    <w:pPr>
      <w:spacing w:line="240" w:lineRule="auto"/>
      <w:jc w:val="both"/>
    </w:pPr>
    <w:rPr>
      <w:rFonts w:ascii="Times New Roman" w:hAnsi="Times New Roman"/>
      <w:sz w:val="20"/>
      <w:szCs w:val="20"/>
      <w:lang w:val="es-ES_tradnl"/>
    </w:rPr>
  </w:style>
  <w:style w:type="character" w:customStyle="1" w:styleId="TextocomentarioCar">
    <w:name w:val="Texto comentario Car"/>
    <w:basedOn w:val="Fuentedeprrafopredeter"/>
    <w:link w:val="Textocomentario"/>
    <w:uiPriority w:val="99"/>
    <w:semiHidden/>
    <w:rsid w:val="00322E42"/>
    <w:rPr>
      <w:rFonts w:ascii="Times New Roman" w:hAnsi="Times New Roman"/>
      <w:sz w:val="20"/>
      <w:szCs w:val="20"/>
      <w:lang w:val="es-ES_tradnl"/>
    </w:rPr>
  </w:style>
  <w:style w:type="paragraph" w:styleId="Asuntodelcomentario">
    <w:name w:val="annotation subject"/>
    <w:basedOn w:val="Textocomentario"/>
    <w:next w:val="Textocomentario"/>
    <w:link w:val="AsuntodelcomentarioCar"/>
    <w:uiPriority w:val="99"/>
    <w:semiHidden/>
    <w:unhideWhenUsed/>
    <w:rsid w:val="00322E42"/>
    <w:rPr>
      <w:b/>
      <w:bCs/>
    </w:rPr>
  </w:style>
  <w:style w:type="character" w:customStyle="1" w:styleId="AsuntodelcomentarioCar">
    <w:name w:val="Asunto del comentario Car"/>
    <w:basedOn w:val="TextocomentarioCar"/>
    <w:link w:val="Asuntodelcomentario"/>
    <w:uiPriority w:val="99"/>
    <w:semiHidden/>
    <w:rsid w:val="00322E42"/>
    <w:rPr>
      <w:rFonts w:ascii="Times New Roman" w:hAnsi="Times New Roman"/>
      <w:b/>
      <w:bCs/>
      <w:sz w:val="20"/>
      <w:szCs w:val="20"/>
      <w:lang w:val="es-ES_tradnl"/>
    </w:rPr>
  </w:style>
  <w:style w:type="character" w:styleId="nfasis">
    <w:name w:val="Emphasis"/>
    <w:basedOn w:val="Fuentedeprrafopredeter"/>
    <w:uiPriority w:val="20"/>
    <w:qFormat/>
    <w:rsid w:val="00322E42"/>
    <w:rPr>
      <w:i/>
      <w:iCs/>
    </w:rPr>
  </w:style>
  <w:style w:type="table" w:styleId="Tablaconcuadrcula">
    <w:name w:val="Table Grid"/>
    <w:basedOn w:val="Tablanormal"/>
    <w:uiPriority w:val="59"/>
    <w:rsid w:val="00322E42"/>
    <w:pPr>
      <w:spacing w:after="0" w:line="240" w:lineRule="auto"/>
    </w:pPr>
    <w:rPr>
      <w:rFonts w:eastAsiaTheme="minorEastAsia"/>
      <w:sz w:val="24"/>
      <w:szCs w:val="24"/>
      <w:lang w:val="es-ES_tradnl"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322E42"/>
    <w:pPr>
      <w:spacing w:after="0" w:line="240" w:lineRule="auto"/>
    </w:pPr>
    <w:rPr>
      <w:rFonts w:eastAsiaTheme="minorEastAsia"/>
      <w:color w:val="000000" w:themeColor="text1" w:themeShade="BF"/>
      <w:sz w:val="24"/>
      <w:szCs w:val="24"/>
      <w:lang w:val="es-ES_tradnl" w:eastAsia="ja-JP"/>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53446">
      <w:bodyDiv w:val="1"/>
      <w:marLeft w:val="0"/>
      <w:marRight w:val="0"/>
      <w:marTop w:val="0"/>
      <w:marBottom w:val="0"/>
      <w:divBdr>
        <w:top w:val="none" w:sz="0" w:space="0" w:color="auto"/>
        <w:left w:val="none" w:sz="0" w:space="0" w:color="auto"/>
        <w:bottom w:val="none" w:sz="0" w:space="0" w:color="auto"/>
        <w:right w:val="none" w:sz="0" w:space="0" w:color="auto"/>
      </w:divBdr>
      <w:divsChild>
        <w:div w:id="397943613">
          <w:marLeft w:val="0"/>
          <w:marRight w:val="0"/>
          <w:marTop w:val="0"/>
          <w:marBottom w:val="0"/>
          <w:divBdr>
            <w:top w:val="none" w:sz="0" w:space="0" w:color="auto"/>
            <w:left w:val="none" w:sz="0" w:space="0" w:color="auto"/>
            <w:bottom w:val="none" w:sz="0" w:space="0" w:color="auto"/>
            <w:right w:val="none" w:sz="0" w:space="0" w:color="auto"/>
          </w:divBdr>
          <w:divsChild>
            <w:div w:id="677267201">
              <w:marLeft w:val="0"/>
              <w:marRight w:val="0"/>
              <w:marTop w:val="0"/>
              <w:marBottom w:val="0"/>
              <w:divBdr>
                <w:top w:val="none" w:sz="0" w:space="0" w:color="auto"/>
                <w:left w:val="none" w:sz="0" w:space="0" w:color="auto"/>
                <w:bottom w:val="none" w:sz="0" w:space="0" w:color="auto"/>
                <w:right w:val="none" w:sz="0" w:space="0" w:color="auto"/>
              </w:divBdr>
              <w:divsChild>
                <w:div w:id="1133670435">
                  <w:marLeft w:val="0"/>
                  <w:marRight w:val="0"/>
                  <w:marTop w:val="0"/>
                  <w:marBottom w:val="0"/>
                  <w:divBdr>
                    <w:top w:val="none" w:sz="0" w:space="0" w:color="auto"/>
                    <w:left w:val="none" w:sz="0" w:space="0" w:color="auto"/>
                    <w:bottom w:val="none" w:sz="0" w:space="0" w:color="auto"/>
                    <w:right w:val="none" w:sz="0" w:space="0" w:color="auto"/>
                  </w:divBdr>
                  <w:divsChild>
                    <w:div w:id="1448547117">
                      <w:marLeft w:val="-150"/>
                      <w:marRight w:val="-150"/>
                      <w:marTop w:val="0"/>
                      <w:marBottom w:val="0"/>
                      <w:divBdr>
                        <w:top w:val="none" w:sz="0" w:space="0" w:color="auto"/>
                        <w:left w:val="none" w:sz="0" w:space="0" w:color="auto"/>
                        <w:bottom w:val="none" w:sz="0" w:space="0" w:color="auto"/>
                        <w:right w:val="none" w:sz="0" w:space="0" w:color="auto"/>
                      </w:divBdr>
                      <w:divsChild>
                        <w:div w:id="156457192">
                          <w:marLeft w:val="0"/>
                          <w:marRight w:val="0"/>
                          <w:marTop w:val="0"/>
                          <w:marBottom w:val="0"/>
                          <w:divBdr>
                            <w:top w:val="none" w:sz="0" w:space="0" w:color="auto"/>
                            <w:left w:val="none" w:sz="0" w:space="0" w:color="auto"/>
                            <w:bottom w:val="none" w:sz="0" w:space="0" w:color="auto"/>
                            <w:right w:val="none" w:sz="0" w:space="0" w:color="auto"/>
                          </w:divBdr>
                          <w:divsChild>
                            <w:div w:id="1966496818">
                              <w:marLeft w:val="0"/>
                              <w:marRight w:val="0"/>
                              <w:marTop w:val="225"/>
                              <w:marBottom w:val="0"/>
                              <w:divBdr>
                                <w:top w:val="none" w:sz="0" w:space="0" w:color="auto"/>
                                <w:left w:val="single" w:sz="6" w:space="0" w:color="A6A6A6"/>
                                <w:bottom w:val="none" w:sz="0" w:space="0" w:color="auto"/>
                                <w:right w:val="none" w:sz="0" w:space="0" w:color="auto"/>
                              </w:divBdr>
                              <w:divsChild>
                                <w:div w:id="1127700579">
                                  <w:marLeft w:val="0"/>
                                  <w:marRight w:val="0"/>
                                  <w:marTop w:val="0"/>
                                  <w:marBottom w:val="0"/>
                                  <w:divBdr>
                                    <w:top w:val="none" w:sz="0" w:space="0" w:color="auto"/>
                                    <w:left w:val="none" w:sz="0" w:space="0" w:color="auto"/>
                                    <w:bottom w:val="none" w:sz="0" w:space="0" w:color="auto"/>
                                    <w:right w:val="none" w:sz="0" w:space="0" w:color="auto"/>
                                  </w:divBdr>
                                  <w:divsChild>
                                    <w:div w:id="1505894234">
                                      <w:marLeft w:val="0"/>
                                      <w:marRight w:val="0"/>
                                      <w:marTop w:val="0"/>
                                      <w:marBottom w:val="120"/>
                                      <w:divBdr>
                                        <w:top w:val="none" w:sz="0" w:space="0" w:color="auto"/>
                                        <w:left w:val="none" w:sz="0" w:space="0" w:color="auto"/>
                                        <w:bottom w:val="none" w:sz="0" w:space="0" w:color="auto"/>
                                        <w:right w:val="none" w:sz="0" w:space="0" w:color="auto"/>
                                      </w:divBdr>
                                      <w:divsChild>
                                        <w:div w:id="66419336">
                                          <w:marLeft w:val="0"/>
                                          <w:marRight w:val="0"/>
                                          <w:marTop w:val="0"/>
                                          <w:marBottom w:val="0"/>
                                          <w:divBdr>
                                            <w:top w:val="none" w:sz="0" w:space="0" w:color="auto"/>
                                            <w:left w:val="none" w:sz="0" w:space="0" w:color="auto"/>
                                            <w:bottom w:val="none" w:sz="0" w:space="0" w:color="auto"/>
                                            <w:right w:val="none" w:sz="0" w:space="0" w:color="auto"/>
                                          </w:divBdr>
                                          <w:divsChild>
                                            <w:div w:id="1378772802">
                                              <w:marLeft w:val="0"/>
                                              <w:marRight w:val="0"/>
                                              <w:marTop w:val="0"/>
                                              <w:marBottom w:val="0"/>
                                              <w:divBdr>
                                                <w:top w:val="none" w:sz="0" w:space="0" w:color="auto"/>
                                                <w:left w:val="none" w:sz="0" w:space="0" w:color="auto"/>
                                                <w:bottom w:val="none" w:sz="0" w:space="0" w:color="auto"/>
                                                <w:right w:val="none" w:sz="0" w:space="0" w:color="auto"/>
                                              </w:divBdr>
                                              <w:divsChild>
                                                <w:div w:id="1699507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2169938">
      <w:bodyDiv w:val="1"/>
      <w:marLeft w:val="0"/>
      <w:marRight w:val="0"/>
      <w:marTop w:val="0"/>
      <w:marBottom w:val="0"/>
      <w:divBdr>
        <w:top w:val="none" w:sz="0" w:space="0" w:color="auto"/>
        <w:left w:val="none" w:sz="0" w:space="0" w:color="auto"/>
        <w:bottom w:val="none" w:sz="0" w:space="0" w:color="auto"/>
        <w:right w:val="none" w:sz="0" w:space="0" w:color="auto"/>
      </w:divBdr>
      <w:divsChild>
        <w:div w:id="1445415869">
          <w:marLeft w:val="0"/>
          <w:marRight w:val="0"/>
          <w:marTop w:val="288"/>
          <w:marBottom w:val="0"/>
          <w:divBdr>
            <w:top w:val="none" w:sz="0" w:space="0" w:color="auto"/>
            <w:left w:val="none" w:sz="0" w:space="0" w:color="auto"/>
            <w:bottom w:val="none" w:sz="0" w:space="0" w:color="auto"/>
            <w:right w:val="none" w:sz="0" w:space="0" w:color="auto"/>
          </w:divBdr>
        </w:div>
        <w:div w:id="1202744963">
          <w:marLeft w:val="0"/>
          <w:marRight w:val="0"/>
          <w:marTop w:val="288"/>
          <w:marBottom w:val="0"/>
          <w:divBdr>
            <w:top w:val="none" w:sz="0" w:space="0" w:color="auto"/>
            <w:left w:val="none" w:sz="0" w:space="0" w:color="auto"/>
            <w:bottom w:val="none" w:sz="0" w:space="0" w:color="auto"/>
            <w:right w:val="none" w:sz="0" w:space="0" w:color="auto"/>
          </w:divBdr>
        </w:div>
        <w:div w:id="1797529783">
          <w:marLeft w:val="0"/>
          <w:marRight w:val="0"/>
          <w:marTop w:val="288"/>
          <w:marBottom w:val="0"/>
          <w:divBdr>
            <w:top w:val="none" w:sz="0" w:space="0" w:color="auto"/>
            <w:left w:val="none" w:sz="0" w:space="0" w:color="auto"/>
            <w:bottom w:val="none" w:sz="0" w:space="0" w:color="auto"/>
            <w:right w:val="none" w:sz="0" w:space="0" w:color="auto"/>
          </w:divBdr>
        </w:div>
        <w:div w:id="320813058">
          <w:marLeft w:val="0"/>
          <w:marRight w:val="0"/>
          <w:marTop w:val="288"/>
          <w:marBottom w:val="0"/>
          <w:divBdr>
            <w:top w:val="none" w:sz="0" w:space="0" w:color="auto"/>
            <w:left w:val="none" w:sz="0" w:space="0" w:color="auto"/>
            <w:bottom w:val="none" w:sz="0" w:space="0" w:color="auto"/>
            <w:right w:val="none" w:sz="0" w:space="0" w:color="auto"/>
          </w:divBdr>
        </w:div>
        <w:div w:id="1880125744">
          <w:marLeft w:val="0"/>
          <w:marRight w:val="0"/>
          <w:marTop w:val="288"/>
          <w:marBottom w:val="0"/>
          <w:divBdr>
            <w:top w:val="none" w:sz="0" w:space="0" w:color="auto"/>
            <w:left w:val="none" w:sz="0" w:space="0" w:color="auto"/>
            <w:bottom w:val="none" w:sz="0" w:space="0" w:color="auto"/>
            <w:right w:val="none" w:sz="0" w:space="0" w:color="auto"/>
          </w:divBdr>
        </w:div>
        <w:div w:id="236332781">
          <w:marLeft w:val="0"/>
          <w:marRight w:val="0"/>
          <w:marTop w:val="288"/>
          <w:marBottom w:val="0"/>
          <w:divBdr>
            <w:top w:val="none" w:sz="0" w:space="0" w:color="auto"/>
            <w:left w:val="none" w:sz="0" w:space="0" w:color="auto"/>
            <w:bottom w:val="none" w:sz="0" w:space="0" w:color="auto"/>
            <w:right w:val="none" w:sz="0" w:space="0" w:color="auto"/>
          </w:divBdr>
        </w:div>
        <w:div w:id="71247651">
          <w:marLeft w:val="0"/>
          <w:marRight w:val="0"/>
          <w:marTop w:val="288"/>
          <w:marBottom w:val="0"/>
          <w:divBdr>
            <w:top w:val="none" w:sz="0" w:space="0" w:color="auto"/>
            <w:left w:val="none" w:sz="0" w:space="0" w:color="auto"/>
            <w:bottom w:val="none" w:sz="0" w:space="0" w:color="auto"/>
            <w:right w:val="none" w:sz="0" w:space="0" w:color="auto"/>
          </w:divBdr>
        </w:div>
        <w:div w:id="1964654847">
          <w:marLeft w:val="0"/>
          <w:marRight w:val="0"/>
          <w:marTop w:val="288"/>
          <w:marBottom w:val="0"/>
          <w:divBdr>
            <w:top w:val="none" w:sz="0" w:space="0" w:color="auto"/>
            <w:left w:val="none" w:sz="0" w:space="0" w:color="auto"/>
            <w:bottom w:val="none" w:sz="0" w:space="0" w:color="auto"/>
            <w:right w:val="none" w:sz="0" w:space="0" w:color="auto"/>
          </w:divBdr>
        </w:div>
      </w:divsChild>
    </w:div>
    <w:div w:id="55591208">
      <w:bodyDiv w:val="1"/>
      <w:marLeft w:val="0"/>
      <w:marRight w:val="0"/>
      <w:marTop w:val="0"/>
      <w:marBottom w:val="0"/>
      <w:divBdr>
        <w:top w:val="none" w:sz="0" w:space="0" w:color="auto"/>
        <w:left w:val="none" w:sz="0" w:space="0" w:color="auto"/>
        <w:bottom w:val="none" w:sz="0" w:space="0" w:color="auto"/>
        <w:right w:val="none" w:sz="0" w:space="0" w:color="auto"/>
      </w:divBdr>
      <w:divsChild>
        <w:div w:id="1812362862">
          <w:marLeft w:val="0"/>
          <w:marRight w:val="0"/>
          <w:marTop w:val="0"/>
          <w:marBottom w:val="0"/>
          <w:divBdr>
            <w:top w:val="none" w:sz="0" w:space="0" w:color="auto"/>
            <w:left w:val="none" w:sz="0" w:space="0" w:color="auto"/>
            <w:bottom w:val="none" w:sz="0" w:space="0" w:color="auto"/>
            <w:right w:val="none" w:sz="0" w:space="0" w:color="auto"/>
          </w:divBdr>
          <w:divsChild>
            <w:div w:id="1084953454">
              <w:marLeft w:val="0"/>
              <w:marRight w:val="0"/>
              <w:marTop w:val="0"/>
              <w:marBottom w:val="0"/>
              <w:divBdr>
                <w:top w:val="none" w:sz="0" w:space="0" w:color="auto"/>
                <w:left w:val="none" w:sz="0" w:space="0" w:color="auto"/>
                <w:bottom w:val="none" w:sz="0" w:space="0" w:color="auto"/>
                <w:right w:val="none" w:sz="0" w:space="0" w:color="auto"/>
              </w:divBdr>
              <w:divsChild>
                <w:div w:id="1509517581">
                  <w:marLeft w:val="0"/>
                  <w:marRight w:val="0"/>
                  <w:marTop w:val="0"/>
                  <w:marBottom w:val="0"/>
                  <w:divBdr>
                    <w:top w:val="none" w:sz="0" w:space="0" w:color="auto"/>
                    <w:left w:val="none" w:sz="0" w:space="0" w:color="auto"/>
                    <w:bottom w:val="none" w:sz="0" w:space="0" w:color="auto"/>
                    <w:right w:val="none" w:sz="0" w:space="0" w:color="auto"/>
                  </w:divBdr>
                  <w:divsChild>
                    <w:div w:id="753011151">
                      <w:marLeft w:val="-150"/>
                      <w:marRight w:val="-150"/>
                      <w:marTop w:val="0"/>
                      <w:marBottom w:val="0"/>
                      <w:divBdr>
                        <w:top w:val="none" w:sz="0" w:space="0" w:color="auto"/>
                        <w:left w:val="none" w:sz="0" w:space="0" w:color="auto"/>
                        <w:bottom w:val="none" w:sz="0" w:space="0" w:color="auto"/>
                        <w:right w:val="none" w:sz="0" w:space="0" w:color="auto"/>
                      </w:divBdr>
                      <w:divsChild>
                        <w:div w:id="265818264">
                          <w:marLeft w:val="0"/>
                          <w:marRight w:val="0"/>
                          <w:marTop w:val="0"/>
                          <w:marBottom w:val="0"/>
                          <w:divBdr>
                            <w:top w:val="none" w:sz="0" w:space="0" w:color="auto"/>
                            <w:left w:val="none" w:sz="0" w:space="0" w:color="auto"/>
                            <w:bottom w:val="none" w:sz="0" w:space="0" w:color="auto"/>
                            <w:right w:val="none" w:sz="0" w:space="0" w:color="auto"/>
                          </w:divBdr>
                          <w:divsChild>
                            <w:div w:id="1632711497">
                              <w:marLeft w:val="0"/>
                              <w:marRight w:val="0"/>
                              <w:marTop w:val="225"/>
                              <w:marBottom w:val="0"/>
                              <w:divBdr>
                                <w:top w:val="none" w:sz="0" w:space="0" w:color="auto"/>
                                <w:left w:val="single" w:sz="6" w:space="0" w:color="A6A6A6"/>
                                <w:bottom w:val="none" w:sz="0" w:space="0" w:color="auto"/>
                                <w:right w:val="none" w:sz="0" w:space="0" w:color="auto"/>
                              </w:divBdr>
                              <w:divsChild>
                                <w:div w:id="876547482">
                                  <w:marLeft w:val="0"/>
                                  <w:marRight w:val="0"/>
                                  <w:marTop w:val="0"/>
                                  <w:marBottom w:val="0"/>
                                  <w:divBdr>
                                    <w:top w:val="none" w:sz="0" w:space="0" w:color="auto"/>
                                    <w:left w:val="none" w:sz="0" w:space="0" w:color="auto"/>
                                    <w:bottom w:val="none" w:sz="0" w:space="0" w:color="auto"/>
                                    <w:right w:val="none" w:sz="0" w:space="0" w:color="auto"/>
                                  </w:divBdr>
                                  <w:divsChild>
                                    <w:div w:id="495877187">
                                      <w:marLeft w:val="0"/>
                                      <w:marRight w:val="0"/>
                                      <w:marTop w:val="0"/>
                                      <w:marBottom w:val="120"/>
                                      <w:divBdr>
                                        <w:top w:val="none" w:sz="0" w:space="0" w:color="auto"/>
                                        <w:left w:val="none" w:sz="0" w:space="0" w:color="auto"/>
                                        <w:bottom w:val="none" w:sz="0" w:space="0" w:color="auto"/>
                                        <w:right w:val="none" w:sz="0" w:space="0" w:color="auto"/>
                                      </w:divBdr>
                                      <w:divsChild>
                                        <w:div w:id="1080643033">
                                          <w:marLeft w:val="0"/>
                                          <w:marRight w:val="0"/>
                                          <w:marTop w:val="0"/>
                                          <w:marBottom w:val="0"/>
                                          <w:divBdr>
                                            <w:top w:val="none" w:sz="0" w:space="0" w:color="auto"/>
                                            <w:left w:val="none" w:sz="0" w:space="0" w:color="auto"/>
                                            <w:bottom w:val="none" w:sz="0" w:space="0" w:color="auto"/>
                                            <w:right w:val="none" w:sz="0" w:space="0" w:color="auto"/>
                                          </w:divBdr>
                                          <w:divsChild>
                                            <w:div w:id="2124808277">
                                              <w:marLeft w:val="0"/>
                                              <w:marRight w:val="0"/>
                                              <w:marTop w:val="0"/>
                                              <w:marBottom w:val="0"/>
                                              <w:divBdr>
                                                <w:top w:val="none" w:sz="0" w:space="0" w:color="auto"/>
                                                <w:left w:val="none" w:sz="0" w:space="0" w:color="auto"/>
                                                <w:bottom w:val="none" w:sz="0" w:space="0" w:color="auto"/>
                                                <w:right w:val="none" w:sz="0" w:space="0" w:color="auto"/>
                                              </w:divBdr>
                                              <w:divsChild>
                                                <w:div w:id="815293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96843408">
      <w:bodyDiv w:val="1"/>
      <w:marLeft w:val="0"/>
      <w:marRight w:val="0"/>
      <w:marTop w:val="0"/>
      <w:marBottom w:val="0"/>
      <w:divBdr>
        <w:top w:val="none" w:sz="0" w:space="0" w:color="auto"/>
        <w:left w:val="none" w:sz="0" w:space="0" w:color="auto"/>
        <w:bottom w:val="none" w:sz="0" w:space="0" w:color="auto"/>
        <w:right w:val="none" w:sz="0" w:space="0" w:color="auto"/>
      </w:divBdr>
      <w:divsChild>
        <w:div w:id="105582603">
          <w:marLeft w:val="0"/>
          <w:marRight w:val="0"/>
          <w:marTop w:val="0"/>
          <w:marBottom w:val="0"/>
          <w:divBdr>
            <w:top w:val="none" w:sz="0" w:space="0" w:color="auto"/>
            <w:left w:val="none" w:sz="0" w:space="0" w:color="auto"/>
            <w:bottom w:val="none" w:sz="0" w:space="0" w:color="auto"/>
            <w:right w:val="none" w:sz="0" w:space="0" w:color="auto"/>
          </w:divBdr>
          <w:divsChild>
            <w:div w:id="749543630">
              <w:marLeft w:val="0"/>
              <w:marRight w:val="0"/>
              <w:marTop w:val="0"/>
              <w:marBottom w:val="0"/>
              <w:divBdr>
                <w:top w:val="none" w:sz="0" w:space="0" w:color="auto"/>
                <w:left w:val="none" w:sz="0" w:space="0" w:color="auto"/>
                <w:bottom w:val="none" w:sz="0" w:space="0" w:color="auto"/>
                <w:right w:val="none" w:sz="0" w:space="0" w:color="auto"/>
              </w:divBdr>
              <w:divsChild>
                <w:div w:id="649208218">
                  <w:marLeft w:val="0"/>
                  <w:marRight w:val="0"/>
                  <w:marTop w:val="0"/>
                  <w:marBottom w:val="0"/>
                  <w:divBdr>
                    <w:top w:val="none" w:sz="0" w:space="0" w:color="auto"/>
                    <w:left w:val="none" w:sz="0" w:space="0" w:color="auto"/>
                    <w:bottom w:val="none" w:sz="0" w:space="0" w:color="auto"/>
                    <w:right w:val="none" w:sz="0" w:space="0" w:color="auto"/>
                  </w:divBdr>
                  <w:divsChild>
                    <w:div w:id="810437161">
                      <w:marLeft w:val="-150"/>
                      <w:marRight w:val="-150"/>
                      <w:marTop w:val="0"/>
                      <w:marBottom w:val="0"/>
                      <w:divBdr>
                        <w:top w:val="none" w:sz="0" w:space="0" w:color="auto"/>
                        <w:left w:val="none" w:sz="0" w:space="0" w:color="auto"/>
                        <w:bottom w:val="none" w:sz="0" w:space="0" w:color="auto"/>
                        <w:right w:val="none" w:sz="0" w:space="0" w:color="auto"/>
                      </w:divBdr>
                      <w:divsChild>
                        <w:div w:id="1335887223">
                          <w:marLeft w:val="0"/>
                          <w:marRight w:val="0"/>
                          <w:marTop w:val="0"/>
                          <w:marBottom w:val="0"/>
                          <w:divBdr>
                            <w:top w:val="none" w:sz="0" w:space="0" w:color="auto"/>
                            <w:left w:val="none" w:sz="0" w:space="0" w:color="auto"/>
                            <w:bottom w:val="none" w:sz="0" w:space="0" w:color="auto"/>
                            <w:right w:val="none" w:sz="0" w:space="0" w:color="auto"/>
                          </w:divBdr>
                          <w:divsChild>
                            <w:div w:id="92089152">
                              <w:marLeft w:val="0"/>
                              <w:marRight w:val="0"/>
                              <w:marTop w:val="225"/>
                              <w:marBottom w:val="0"/>
                              <w:divBdr>
                                <w:top w:val="none" w:sz="0" w:space="0" w:color="auto"/>
                                <w:left w:val="single" w:sz="6" w:space="0" w:color="A6A6A6"/>
                                <w:bottom w:val="none" w:sz="0" w:space="0" w:color="auto"/>
                                <w:right w:val="none" w:sz="0" w:space="0" w:color="auto"/>
                              </w:divBdr>
                              <w:divsChild>
                                <w:div w:id="1705402949">
                                  <w:marLeft w:val="0"/>
                                  <w:marRight w:val="0"/>
                                  <w:marTop w:val="0"/>
                                  <w:marBottom w:val="0"/>
                                  <w:divBdr>
                                    <w:top w:val="none" w:sz="0" w:space="0" w:color="auto"/>
                                    <w:left w:val="none" w:sz="0" w:space="0" w:color="auto"/>
                                    <w:bottom w:val="none" w:sz="0" w:space="0" w:color="auto"/>
                                    <w:right w:val="none" w:sz="0" w:space="0" w:color="auto"/>
                                  </w:divBdr>
                                  <w:divsChild>
                                    <w:div w:id="1201168116">
                                      <w:marLeft w:val="0"/>
                                      <w:marRight w:val="0"/>
                                      <w:marTop w:val="0"/>
                                      <w:marBottom w:val="120"/>
                                      <w:divBdr>
                                        <w:top w:val="none" w:sz="0" w:space="0" w:color="auto"/>
                                        <w:left w:val="none" w:sz="0" w:space="0" w:color="auto"/>
                                        <w:bottom w:val="none" w:sz="0" w:space="0" w:color="auto"/>
                                        <w:right w:val="none" w:sz="0" w:space="0" w:color="auto"/>
                                      </w:divBdr>
                                      <w:divsChild>
                                        <w:div w:id="1353191864">
                                          <w:marLeft w:val="0"/>
                                          <w:marRight w:val="0"/>
                                          <w:marTop w:val="0"/>
                                          <w:marBottom w:val="0"/>
                                          <w:divBdr>
                                            <w:top w:val="none" w:sz="0" w:space="0" w:color="auto"/>
                                            <w:left w:val="none" w:sz="0" w:space="0" w:color="auto"/>
                                            <w:bottom w:val="none" w:sz="0" w:space="0" w:color="auto"/>
                                            <w:right w:val="none" w:sz="0" w:space="0" w:color="auto"/>
                                          </w:divBdr>
                                          <w:divsChild>
                                            <w:div w:id="756830029">
                                              <w:marLeft w:val="0"/>
                                              <w:marRight w:val="0"/>
                                              <w:marTop w:val="0"/>
                                              <w:marBottom w:val="0"/>
                                              <w:divBdr>
                                                <w:top w:val="none" w:sz="0" w:space="0" w:color="auto"/>
                                                <w:left w:val="none" w:sz="0" w:space="0" w:color="auto"/>
                                                <w:bottom w:val="none" w:sz="0" w:space="0" w:color="auto"/>
                                                <w:right w:val="none" w:sz="0" w:space="0" w:color="auto"/>
                                              </w:divBdr>
                                              <w:divsChild>
                                                <w:div w:id="1537234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16484795">
      <w:bodyDiv w:val="1"/>
      <w:marLeft w:val="0"/>
      <w:marRight w:val="0"/>
      <w:marTop w:val="0"/>
      <w:marBottom w:val="0"/>
      <w:divBdr>
        <w:top w:val="none" w:sz="0" w:space="0" w:color="auto"/>
        <w:left w:val="none" w:sz="0" w:space="0" w:color="auto"/>
        <w:bottom w:val="none" w:sz="0" w:space="0" w:color="auto"/>
        <w:right w:val="none" w:sz="0" w:space="0" w:color="auto"/>
      </w:divBdr>
      <w:divsChild>
        <w:div w:id="358045402">
          <w:marLeft w:val="0"/>
          <w:marRight w:val="0"/>
          <w:marTop w:val="0"/>
          <w:marBottom w:val="0"/>
          <w:divBdr>
            <w:top w:val="none" w:sz="0" w:space="0" w:color="auto"/>
            <w:left w:val="none" w:sz="0" w:space="0" w:color="auto"/>
            <w:bottom w:val="none" w:sz="0" w:space="0" w:color="auto"/>
            <w:right w:val="none" w:sz="0" w:space="0" w:color="auto"/>
          </w:divBdr>
          <w:divsChild>
            <w:div w:id="831261280">
              <w:marLeft w:val="0"/>
              <w:marRight w:val="0"/>
              <w:marTop w:val="0"/>
              <w:marBottom w:val="0"/>
              <w:divBdr>
                <w:top w:val="none" w:sz="0" w:space="0" w:color="auto"/>
                <w:left w:val="none" w:sz="0" w:space="0" w:color="auto"/>
                <w:bottom w:val="none" w:sz="0" w:space="0" w:color="auto"/>
                <w:right w:val="none" w:sz="0" w:space="0" w:color="auto"/>
              </w:divBdr>
              <w:divsChild>
                <w:div w:id="1700004388">
                  <w:marLeft w:val="0"/>
                  <w:marRight w:val="0"/>
                  <w:marTop w:val="0"/>
                  <w:marBottom w:val="0"/>
                  <w:divBdr>
                    <w:top w:val="none" w:sz="0" w:space="0" w:color="auto"/>
                    <w:left w:val="none" w:sz="0" w:space="0" w:color="auto"/>
                    <w:bottom w:val="none" w:sz="0" w:space="0" w:color="auto"/>
                    <w:right w:val="none" w:sz="0" w:space="0" w:color="auto"/>
                  </w:divBdr>
                  <w:divsChild>
                    <w:div w:id="6369356">
                      <w:marLeft w:val="-150"/>
                      <w:marRight w:val="-150"/>
                      <w:marTop w:val="0"/>
                      <w:marBottom w:val="0"/>
                      <w:divBdr>
                        <w:top w:val="none" w:sz="0" w:space="0" w:color="auto"/>
                        <w:left w:val="none" w:sz="0" w:space="0" w:color="auto"/>
                        <w:bottom w:val="none" w:sz="0" w:space="0" w:color="auto"/>
                        <w:right w:val="none" w:sz="0" w:space="0" w:color="auto"/>
                      </w:divBdr>
                      <w:divsChild>
                        <w:div w:id="1494418646">
                          <w:marLeft w:val="0"/>
                          <w:marRight w:val="0"/>
                          <w:marTop w:val="0"/>
                          <w:marBottom w:val="0"/>
                          <w:divBdr>
                            <w:top w:val="none" w:sz="0" w:space="0" w:color="auto"/>
                            <w:left w:val="none" w:sz="0" w:space="0" w:color="auto"/>
                            <w:bottom w:val="none" w:sz="0" w:space="0" w:color="auto"/>
                            <w:right w:val="none" w:sz="0" w:space="0" w:color="auto"/>
                          </w:divBdr>
                          <w:divsChild>
                            <w:div w:id="1550266590">
                              <w:marLeft w:val="0"/>
                              <w:marRight w:val="0"/>
                              <w:marTop w:val="225"/>
                              <w:marBottom w:val="0"/>
                              <w:divBdr>
                                <w:top w:val="none" w:sz="0" w:space="0" w:color="auto"/>
                                <w:left w:val="single" w:sz="6" w:space="0" w:color="A6A6A6"/>
                                <w:bottom w:val="none" w:sz="0" w:space="0" w:color="auto"/>
                                <w:right w:val="none" w:sz="0" w:space="0" w:color="auto"/>
                              </w:divBdr>
                              <w:divsChild>
                                <w:div w:id="1677997789">
                                  <w:marLeft w:val="0"/>
                                  <w:marRight w:val="0"/>
                                  <w:marTop w:val="0"/>
                                  <w:marBottom w:val="0"/>
                                  <w:divBdr>
                                    <w:top w:val="none" w:sz="0" w:space="0" w:color="auto"/>
                                    <w:left w:val="none" w:sz="0" w:space="0" w:color="auto"/>
                                    <w:bottom w:val="none" w:sz="0" w:space="0" w:color="auto"/>
                                    <w:right w:val="none" w:sz="0" w:space="0" w:color="auto"/>
                                  </w:divBdr>
                                  <w:divsChild>
                                    <w:div w:id="618147102">
                                      <w:marLeft w:val="0"/>
                                      <w:marRight w:val="0"/>
                                      <w:marTop w:val="0"/>
                                      <w:marBottom w:val="120"/>
                                      <w:divBdr>
                                        <w:top w:val="none" w:sz="0" w:space="0" w:color="auto"/>
                                        <w:left w:val="none" w:sz="0" w:space="0" w:color="auto"/>
                                        <w:bottom w:val="none" w:sz="0" w:space="0" w:color="auto"/>
                                        <w:right w:val="none" w:sz="0" w:space="0" w:color="auto"/>
                                      </w:divBdr>
                                      <w:divsChild>
                                        <w:div w:id="407922923">
                                          <w:marLeft w:val="0"/>
                                          <w:marRight w:val="0"/>
                                          <w:marTop w:val="0"/>
                                          <w:marBottom w:val="0"/>
                                          <w:divBdr>
                                            <w:top w:val="none" w:sz="0" w:space="0" w:color="auto"/>
                                            <w:left w:val="none" w:sz="0" w:space="0" w:color="auto"/>
                                            <w:bottom w:val="none" w:sz="0" w:space="0" w:color="auto"/>
                                            <w:right w:val="none" w:sz="0" w:space="0" w:color="auto"/>
                                          </w:divBdr>
                                          <w:divsChild>
                                            <w:div w:id="1680423046">
                                              <w:marLeft w:val="0"/>
                                              <w:marRight w:val="0"/>
                                              <w:marTop w:val="0"/>
                                              <w:marBottom w:val="0"/>
                                              <w:divBdr>
                                                <w:top w:val="none" w:sz="0" w:space="0" w:color="auto"/>
                                                <w:left w:val="none" w:sz="0" w:space="0" w:color="auto"/>
                                                <w:bottom w:val="none" w:sz="0" w:space="0" w:color="auto"/>
                                                <w:right w:val="none" w:sz="0" w:space="0" w:color="auto"/>
                                              </w:divBdr>
                                              <w:divsChild>
                                                <w:div w:id="1389183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54256127">
      <w:bodyDiv w:val="1"/>
      <w:marLeft w:val="0"/>
      <w:marRight w:val="0"/>
      <w:marTop w:val="0"/>
      <w:marBottom w:val="0"/>
      <w:divBdr>
        <w:top w:val="none" w:sz="0" w:space="0" w:color="auto"/>
        <w:left w:val="none" w:sz="0" w:space="0" w:color="auto"/>
        <w:bottom w:val="none" w:sz="0" w:space="0" w:color="auto"/>
        <w:right w:val="none" w:sz="0" w:space="0" w:color="auto"/>
      </w:divBdr>
      <w:divsChild>
        <w:div w:id="1082339880">
          <w:marLeft w:val="0"/>
          <w:marRight w:val="0"/>
          <w:marTop w:val="0"/>
          <w:marBottom w:val="0"/>
          <w:divBdr>
            <w:top w:val="none" w:sz="0" w:space="0" w:color="auto"/>
            <w:left w:val="none" w:sz="0" w:space="0" w:color="auto"/>
            <w:bottom w:val="none" w:sz="0" w:space="0" w:color="auto"/>
            <w:right w:val="none" w:sz="0" w:space="0" w:color="auto"/>
          </w:divBdr>
          <w:divsChild>
            <w:div w:id="426659664">
              <w:marLeft w:val="0"/>
              <w:marRight w:val="0"/>
              <w:marTop w:val="0"/>
              <w:marBottom w:val="15"/>
              <w:divBdr>
                <w:top w:val="none" w:sz="0" w:space="0" w:color="auto"/>
                <w:left w:val="none" w:sz="0" w:space="0" w:color="auto"/>
                <w:bottom w:val="none" w:sz="0" w:space="0" w:color="auto"/>
                <w:right w:val="none" w:sz="0" w:space="0" w:color="auto"/>
              </w:divBdr>
              <w:divsChild>
                <w:div w:id="911818290">
                  <w:marLeft w:val="0"/>
                  <w:marRight w:val="0"/>
                  <w:marTop w:val="0"/>
                  <w:marBottom w:val="0"/>
                  <w:divBdr>
                    <w:top w:val="none" w:sz="0" w:space="0" w:color="auto"/>
                    <w:left w:val="none" w:sz="0" w:space="0" w:color="auto"/>
                    <w:bottom w:val="none" w:sz="0" w:space="0" w:color="auto"/>
                    <w:right w:val="none" w:sz="0" w:space="0" w:color="auto"/>
                  </w:divBdr>
                  <w:divsChild>
                    <w:div w:id="1697078056">
                      <w:marLeft w:val="0"/>
                      <w:marRight w:val="0"/>
                      <w:marTop w:val="0"/>
                      <w:marBottom w:val="0"/>
                      <w:divBdr>
                        <w:top w:val="none" w:sz="0" w:space="0" w:color="auto"/>
                        <w:left w:val="none" w:sz="0" w:space="0" w:color="auto"/>
                        <w:bottom w:val="none" w:sz="0" w:space="0" w:color="auto"/>
                        <w:right w:val="none" w:sz="0" w:space="0" w:color="auto"/>
                      </w:divBdr>
                      <w:divsChild>
                        <w:div w:id="545992978">
                          <w:marLeft w:val="0"/>
                          <w:marRight w:val="0"/>
                          <w:marTop w:val="0"/>
                          <w:marBottom w:val="0"/>
                          <w:divBdr>
                            <w:top w:val="single" w:sz="2" w:space="0" w:color="EEEEEE"/>
                            <w:left w:val="none" w:sz="0" w:space="0" w:color="auto"/>
                            <w:bottom w:val="none" w:sz="0" w:space="0" w:color="auto"/>
                            <w:right w:val="none" w:sz="0" w:space="0" w:color="auto"/>
                          </w:divBdr>
                          <w:divsChild>
                            <w:div w:id="1976444014">
                              <w:marLeft w:val="0"/>
                              <w:marRight w:val="0"/>
                              <w:marTop w:val="0"/>
                              <w:marBottom w:val="0"/>
                              <w:divBdr>
                                <w:top w:val="none" w:sz="0" w:space="0" w:color="auto"/>
                                <w:left w:val="none" w:sz="0" w:space="0" w:color="auto"/>
                                <w:bottom w:val="none" w:sz="0" w:space="0" w:color="auto"/>
                                <w:right w:val="none" w:sz="0" w:space="0" w:color="auto"/>
                              </w:divBdr>
                              <w:divsChild>
                                <w:div w:id="137841235">
                                  <w:marLeft w:val="0"/>
                                  <w:marRight w:val="0"/>
                                  <w:marTop w:val="0"/>
                                  <w:marBottom w:val="0"/>
                                  <w:divBdr>
                                    <w:top w:val="none" w:sz="0" w:space="0" w:color="auto"/>
                                    <w:left w:val="none" w:sz="0" w:space="0" w:color="auto"/>
                                    <w:bottom w:val="none" w:sz="0" w:space="0" w:color="auto"/>
                                    <w:right w:val="none" w:sz="0" w:space="0" w:color="auto"/>
                                  </w:divBdr>
                                  <w:divsChild>
                                    <w:div w:id="1710914399">
                                      <w:marLeft w:val="0"/>
                                      <w:marRight w:val="0"/>
                                      <w:marTop w:val="0"/>
                                      <w:marBottom w:val="0"/>
                                      <w:divBdr>
                                        <w:top w:val="none" w:sz="0" w:space="0" w:color="auto"/>
                                        <w:left w:val="none" w:sz="0" w:space="0" w:color="auto"/>
                                        <w:bottom w:val="none" w:sz="0" w:space="0" w:color="auto"/>
                                        <w:right w:val="none" w:sz="0" w:space="0" w:color="auto"/>
                                      </w:divBdr>
                                      <w:divsChild>
                                        <w:div w:id="749274121">
                                          <w:marLeft w:val="0"/>
                                          <w:marRight w:val="0"/>
                                          <w:marTop w:val="0"/>
                                          <w:marBottom w:val="0"/>
                                          <w:divBdr>
                                            <w:top w:val="none" w:sz="0" w:space="0" w:color="auto"/>
                                            <w:left w:val="none" w:sz="0" w:space="0" w:color="auto"/>
                                            <w:bottom w:val="none" w:sz="0" w:space="0" w:color="auto"/>
                                            <w:right w:val="none" w:sz="0" w:space="0" w:color="auto"/>
                                          </w:divBdr>
                                          <w:divsChild>
                                            <w:div w:id="744492895">
                                              <w:marLeft w:val="0"/>
                                              <w:marRight w:val="0"/>
                                              <w:marTop w:val="0"/>
                                              <w:marBottom w:val="0"/>
                                              <w:divBdr>
                                                <w:top w:val="none" w:sz="0" w:space="0" w:color="auto"/>
                                                <w:left w:val="none" w:sz="0" w:space="0" w:color="auto"/>
                                                <w:bottom w:val="none" w:sz="0" w:space="0" w:color="auto"/>
                                                <w:right w:val="none" w:sz="0" w:space="0" w:color="auto"/>
                                              </w:divBdr>
                                              <w:divsChild>
                                                <w:div w:id="1605770089">
                                                  <w:marLeft w:val="0"/>
                                                  <w:marRight w:val="0"/>
                                                  <w:marTop w:val="0"/>
                                                  <w:marBottom w:val="0"/>
                                                  <w:divBdr>
                                                    <w:top w:val="none" w:sz="0" w:space="0" w:color="auto"/>
                                                    <w:left w:val="none" w:sz="0" w:space="0" w:color="auto"/>
                                                    <w:bottom w:val="none" w:sz="0" w:space="0" w:color="auto"/>
                                                    <w:right w:val="none" w:sz="0" w:space="0" w:color="auto"/>
                                                  </w:divBdr>
                                                  <w:divsChild>
                                                    <w:div w:id="634792285">
                                                      <w:marLeft w:val="225"/>
                                                      <w:marRight w:val="225"/>
                                                      <w:marTop w:val="0"/>
                                                      <w:marBottom w:val="0"/>
                                                      <w:divBdr>
                                                        <w:top w:val="none" w:sz="0" w:space="0" w:color="auto"/>
                                                        <w:left w:val="none" w:sz="0" w:space="0" w:color="auto"/>
                                                        <w:bottom w:val="none" w:sz="0" w:space="0" w:color="auto"/>
                                                        <w:right w:val="none" w:sz="0" w:space="0" w:color="auto"/>
                                                      </w:divBdr>
                                                      <w:divsChild>
                                                        <w:div w:id="917977003">
                                                          <w:marLeft w:val="0"/>
                                                          <w:marRight w:val="0"/>
                                                          <w:marTop w:val="0"/>
                                                          <w:marBottom w:val="0"/>
                                                          <w:divBdr>
                                                            <w:top w:val="none" w:sz="0" w:space="0" w:color="auto"/>
                                                            <w:left w:val="none" w:sz="0" w:space="0" w:color="auto"/>
                                                            <w:bottom w:val="none" w:sz="0" w:space="0" w:color="auto"/>
                                                            <w:right w:val="none" w:sz="0" w:space="0" w:color="auto"/>
                                                          </w:divBdr>
                                                          <w:divsChild>
                                                            <w:div w:id="1810366966">
                                                              <w:marLeft w:val="0"/>
                                                              <w:marRight w:val="0"/>
                                                              <w:marTop w:val="0"/>
                                                              <w:marBottom w:val="0"/>
                                                              <w:divBdr>
                                                                <w:top w:val="none" w:sz="0" w:space="0" w:color="auto"/>
                                                                <w:left w:val="none" w:sz="0" w:space="0" w:color="auto"/>
                                                                <w:bottom w:val="none" w:sz="0" w:space="0" w:color="auto"/>
                                                                <w:right w:val="none" w:sz="0" w:space="0" w:color="auto"/>
                                                              </w:divBdr>
                                                              <w:divsChild>
                                                                <w:div w:id="852959891">
                                                                  <w:marLeft w:val="0"/>
                                                                  <w:marRight w:val="0"/>
                                                                  <w:marTop w:val="0"/>
                                                                  <w:marBottom w:val="0"/>
                                                                  <w:divBdr>
                                                                    <w:top w:val="none" w:sz="0" w:space="0" w:color="auto"/>
                                                                    <w:left w:val="none" w:sz="0" w:space="0" w:color="auto"/>
                                                                    <w:bottom w:val="none" w:sz="0" w:space="0" w:color="auto"/>
                                                                    <w:right w:val="none" w:sz="0" w:space="0" w:color="auto"/>
                                                                  </w:divBdr>
                                                                  <w:divsChild>
                                                                    <w:div w:id="286130878">
                                                                      <w:marLeft w:val="0"/>
                                                                      <w:marRight w:val="0"/>
                                                                      <w:marTop w:val="0"/>
                                                                      <w:marBottom w:val="0"/>
                                                                      <w:divBdr>
                                                                        <w:top w:val="none" w:sz="0" w:space="0" w:color="auto"/>
                                                                        <w:left w:val="none" w:sz="0" w:space="0" w:color="auto"/>
                                                                        <w:bottom w:val="none" w:sz="0" w:space="0" w:color="auto"/>
                                                                        <w:right w:val="none" w:sz="0" w:space="0" w:color="auto"/>
                                                                      </w:divBdr>
                                                                      <w:divsChild>
                                                                        <w:div w:id="1004288481">
                                                                          <w:marLeft w:val="0"/>
                                                                          <w:marRight w:val="0"/>
                                                                          <w:marTop w:val="0"/>
                                                                          <w:marBottom w:val="0"/>
                                                                          <w:divBdr>
                                                                            <w:top w:val="none" w:sz="0" w:space="0" w:color="auto"/>
                                                                            <w:left w:val="none" w:sz="0" w:space="0" w:color="auto"/>
                                                                            <w:bottom w:val="none" w:sz="0" w:space="0" w:color="auto"/>
                                                                            <w:right w:val="none" w:sz="0" w:space="0" w:color="auto"/>
                                                                          </w:divBdr>
                                                                          <w:divsChild>
                                                                            <w:div w:id="1658873330">
                                                                              <w:marLeft w:val="0"/>
                                                                              <w:marRight w:val="0"/>
                                                                              <w:marTop w:val="0"/>
                                                                              <w:marBottom w:val="375"/>
                                                                              <w:divBdr>
                                                                                <w:top w:val="none" w:sz="0" w:space="0" w:color="auto"/>
                                                                                <w:left w:val="none" w:sz="0" w:space="0" w:color="auto"/>
                                                                                <w:bottom w:val="none" w:sz="0" w:space="0" w:color="auto"/>
                                                                                <w:right w:val="none" w:sz="0" w:space="0" w:color="auto"/>
                                                                              </w:divBdr>
                                                                              <w:divsChild>
                                                                                <w:div w:id="2140218599">
                                                                                  <w:marLeft w:val="0"/>
                                                                                  <w:marRight w:val="0"/>
                                                                                  <w:marTop w:val="0"/>
                                                                                  <w:marBottom w:val="0"/>
                                                                                  <w:divBdr>
                                                                                    <w:top w:val="none" w:sz="0" w:space="0" w:color="auto"/>
                                                                                    <w:left w:val="none" w:sz="0" w:space="0" w:color="auto"/>
                                                                                    <w:bottom w:val="none" w:sz="0" w:space="0" w:color="auto"/>
                                                                                    <w:right w:val="none" w:sz="0" w:space="0" w:color="auto"/>
                                                                                  </w:divBdr>
                                                                                  <w:divsChild>
                                                                                    <w:div w:id="793256065">
                                                                                      <w:blockQuote w:val="1"/>
                                                                                      <w:marLeft w:val="720"/>
                                                                                      <w:marRight w:val="720"/>
                                                                                      <w:marTop w:val="100"/>
                                                                                      <w:marBottom w:val="100"/>
                                                                                      <w:divBdr>
                                                                                        <w:top w:val="none" w:sz="0" w:space="0" w:color="auto"/>
                                                                                        <w:left w:val="none" w:sz="0" w:space="0" w:color="auto"/>
                                                                                        <w:bottom w:val="none" w:sz="0" w:space="0" w:color="auto"/>
                                                                                        <w:right w:val="none" w:sz="0" w:space="0" w:color="auto"/>
                                                                                      </w:divBdr>
                                                                                    </w:div>
                                                                                    <w:div w:id="113140965">
                                                                                      <w:blockQuote w:val="1"/>
                                                                                      <w:marLeft w:val="720"/>
                                                                                      <w:marRight w:val="720"/>
                                                                                      <w:marTop w:val="100"/>
                                                                                      <w:marBottom w:val="100"/>
                                                                                      <w:divBdr>
                                                                                        <w:top w:val="none" w:sz="0" w:space="0" w:color="auto"/>
                                                                                        <w:left w:val="none" w:sz="0" w:space="0" w:color="auto"/>
                                                                                        <w:bottom w:val="none" w:sz="0" w:space="0" w:color="auto"/>
                                                                                        <w:right w:val="none" w:sz="0" w:space="0" w:color="auto"/>
                                                                                      </w:divBdr>
                                                                                    </w:div>
                                                                                    <w:div w:id="19630766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38021613">
                                                                                          <w:marLeft w:val="0"/>
                                                                                          <w:marRight w:val="0"/>
                                                                                          <w:marTop w:val="0"/>
                                                                                          <w:marBottom w:val="0"/>
                                                                                          <w:divBdr>
                                                                                            <w:top w:val="none" w:sz="0" w:space="0" w:color="auto"/>
                                                                                            <w:left w:val="none" w:sz="0" w:space="0" w:color="auto"/>
                                                                                            <w:bottom w:val="none" w:sz="0" w:space="0" w:color="auto"/>
                                                                                            <w:right w:val="none" w:sz="0" w:space="0" w:color="auto"/>
                                                                                          </w:divBdr>
                                                                                          <w:divsChild>
                                                                                            <w:div w:id="1437019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6056546">
                                                                                  <w:marLeft w:val="-30"/>
                                                                                  <w:marRight w:val="-30"/>
                                                                                  <w:marTop w:val="300"/>
                                                                                  <w:marBottom w:val="0"/>
                                                                                  <w:divBdr>
                                                                                    <w:top w:val="none" w:sz="0" w:space="0" w:color="auto"/>
                                                                                    <w:left w:val="none" w:sz="0" w:space="0" w:color="auto"/>
                                                                                    <w:bottom w:val="single" w:sz="6" w:space="4" w:color="EEEEEE"/>
                                                                                    <w:right w:val="none" w:sz="0" w:space="0" w:color="auto"/>
                                                                                  </w:divBdr>
                                                                                  <w:divsChild>
                                                                                    <w:div w:id="1075972152">
                                                                                      <w:marLeft w:val="0"/>
                                                                                      <w:marRight w:val="0"/>
                                                                                      <w:marTop w:val="0"/>
                                                                                      <w:marBottom w:val="0"/>
                                                                                      <w:divBdr>
                                                                                        <w:top w:val="none" w:sz="0" w:space="0" w:color="auto"/>
                                                                                        <w:left w:val="none" w:sz="0" w:space="0" w:color="auto"/>
                                                                                        <w:bottom w:val="none" w:sz="0" w:space="0" w:color="auto"/>
                                                                                        <w:right w:val="none" w:sz="0" w:space="0" w:color="auto"/>
                                                                                      </w:divBdr>
                                                                                      <w:divsChild>
                                                                                        <w:div w:id="918363460">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 w:id="1261987165">
                                                                              <w:marLeft w:val="0"/>
                                                                              <w:marRight w:val="0"/>
                                                                              <w:marTop w:val="150"/>
                                                                              <w:marBottom w:val="0"/>
                                                                              <w:divBdr>
                                                                                <w:top w:val="none" w:sz="0" w:space="0" w:color="auto"/>
                                                                                <w:left w:val="none" w:sz="0" w:space="0" w:color="auto"/>
                                                                                <w:bottom w:val="none" w:sz="0" w:space="0" w:color="auto"/>
                                                                                <w:right w:val="none" w:sz="0" w:space="0" w:color="auto"/>
                                                                              </w:divBdr>
                                                                              <w:divsChild>
                                                                                <w:div w:id="505827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7687015">
                                                              <w:marLeft w:val="0"/>
                                                              <w:marRight w:val="0"/>
                                                              <w:marTop w:val="240"/>
                                                              <w:marBottom w:val="240"/>
                                                              <w:divBdr>
                                                                <w:top w:val="none" w:sz="0" w:space="0" w:color="auto"/>
                                                                <w:left w:val="none" w:sz="0" w:space="0" w:color="auto"/>
                                                                <w:bottom w:val="none" w:sz="0" w:space="0" w:color="auto"/>
                                                                <w:right w:val="none" w:sz="0" w:space="0" w:color="auto"/>
                                                              </w:divBdr>
                                                            </w:div>
                                                            <w:div w:id="109709184">
                                                              <w:marLeft w:val="0"/>
                                                              <w:marRight w:val="0"/>
                                                              <w:marTop w:val="0"/>
                                                              <w:marBottom w:val="0"/>
                                                              <w:divBdr>
                                                                <w:top w:val="none" w:sz="0" w:space="0" w:color="auto"/>
                                                                <w:left w:val="none" w:sz="0" w:space="0" w:color="auto"/>
                                                                <w:bottom w:val="none" w:sz="0" w:space="0" w:color="auto"/>
                                                                <w:right w:val="none" w:sz="0" w:space="0" w:color="auto"/>
                                                              </w:divBdr>
                                                              <w:divsChild>
                                                                <w:div w:id="120012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5348109">
                                              <w:marLeft w:val="-2700"/>
                                              <w:marRight w:val="0"/>
                                              <w:marTop w:val="0"/>
                                              <w:marBottom w:val="0"/>
                                              <w:divBdr>
                                                <w:top w:val="none" w:sz="0" w:space="0" w:color="auto"/>
                                                <w:left w:val="none" w:sz="0" w:space="0" w:color="auto"/>
                                                <w:bottom w:val="none" w:sz="0" w:space="0" w:color="auto"/>
                                                <w:right w:val="none" w:sz="0" w:space="0" w:color="auto"/>
                                              </w:divBdr>
                                              <w:divsChild>
                                                <w:div w:id="1114179558">
                                                  <w:marLeft w:val="0"/>
                                                  <w:marRight w:val="0"/>
                                                  <w:marTop w:val="0"/>
                                                  <w:marBottom w:val="0"/>
                                                  <w:divBdr>
                                                    <w:top w:val="none" w:sz="0" w:space="0" w:color="auto"/>
                                                    <w:left w:val="none" w:sz="0" w:space="0" w:color="auto"/>
                                                    <w:bottom w:val="none" w:sz="0" w:space="0" w:color="auto"/>
                                                    <w:right w:val="none" w:sz="0" w:space="0" w:color="auto"/>
                                                  </w:divBdr>
                                                  <w:divsChild>
                                                    <w:div w:id="902763650">
                                                      <w:marLeft w:val="225"/>
                                                      <w:marRight w:val="225"/>
                                                      <w:marTop w:val="0"/>
                                                      <w:marBottom w:val="0"/>
                                                      <w:divBdr>
                                                        <w:top w:val="none" w:sz="0" w:space="0" w:color="auto"/>
                                                        <w:left w:val="none" w:sz="0" w:space="0" w:color="auto"/>
                                                        <w:bottom w:val="none" w:sz="0" w:space="0" w:color="auto"/>
                                                        <w:right w:val="none" w:sz="0" w:space="0" w:color="auto"/>
                                                      </w:divBdr>
                                                      <w:divsChild>
                                                        <w:div w:id="1209877603">
                                                          <w:marLeft w:val="0"/>
                                                          <w:marRight w:val="0"/>
                                                          <w:marTop w:val="0"/>
                                                          <w:marBottom w:val="0"/>
                                                          <w:divBdr>
                                                            <w:top w:val="none" w:sz="0" w:space="0" w:color="auto"/>
                                                            <w:left w:val="none" w:sz="0" w:space="0" w:color="auto"/>
                                                            <w:bottom w:val="none" w:sz="0" w:space="0" w:color="auto"/>
                                                            <w:right w:val="none" w:sz="0" w:space="0" w:color="auto"/>
                                                          </w:divBdr>
                                                          <w:divsChild>
                                                            <w:div w:id="1249922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442774">
                                              <w:marLeft w:val="0"/>
                                              <w:marRight w:val="-2700"/>
                                              <w:marTop w:val="0"/>
                                              <w:marBottom w:val="0"/>
                                              <w:divBdr>
                                                <w:top w:val="none" w:sz="0" w:space="0" w:color="auto"/>
                                                <w:left w:val="none" w:sz="0" w:space="0" w:color="auto"/>
                                                <w:bottom w:val="none" w:sz="0" w:space="0" w:color="auto"/>
                                                <w:right w:val="none" w:sz="0" w:space="0" w:color="auto"/>
                                              </w:divBdr>
                                              <w:divsChild>
                                                <w:div w:id="1027635509">
                                                  <w:marLeft w:val="0"/>
                                                  <w:marRight w:val="0"/>
                                                  <w:marTop w:val="0"/>
                                                  <w:marBottom w:val="0"/>
                                                  <w:divBdr>
                                                    <w:top w:val="none" w:sz="0" w:space="0" w:color="auto"/>
                                                    <w:left w:val="none" w:sz="0" w:space="0" w:color="auto"/>
                                                    <w:bottom w:val="none" w:sz="0" w:space="0" w:color="auto"/>
                                                    <w:right w:val="none" w:sz="0" w:space="0" w:color="auto"/>
                                                  </w:divBdr>
                                                  <w:divsChild>
                                                    <w:div w:id="1622763235">
                                                      <w:marLeft w:val="225"/>
                                                      <w:marRight w:val="225"/>
                                                      <w:marTop w:val="0"/>
                                                      <w:marBottom w:val="0"/>
                                                      <w:divBdr>
                                                        <w:top w:val="none" w:sz="0" w:space="0" w:color="auto"/>
                                                        <w:left w:val="none" w:sz="0" w:space="0" w:color="auto"/>
                                                        <w:bottom w:val="none" w:sz="0" w:space="0" w:color="auto"/>
                                                        <w:right w:val="none" w:sz="0" w:space="0" w:color="auto"/>
                                                      </w:divBdr>
                                                      <w:divsChild>
                                                        <w:div w:id="860703853">
                                                          <w:marLeft w:val="0"/>
                                                          <w:marRight w:val="0"/>
                                                          <w:marTop w:val="0"/>
                                                          <w:marBottom w:val="450"/>
                                                          <w:divBdr>
                                                            <w:top w:val="none" w:sz="0" w:space="0" w:color="auto"/>
                                                            <w:left w:val="none" w:sz="0" w:space="0" w:color="auto"/>
                                                            <w:bottom w:val="none" w:sz="0" w:space="0" w:color="auto"/>
                                                            <w:right w:val="none" w:sz="0" w:space="0" w:color="auto"/>
                                                          </w:divBdr>
                                                          <w:divsChild>
                                                            <w:div w:id="1887596286">
                                                              <w:marLeft w:val="0"/>
                                                              <w:marRight w:val="0"/>
                                                              <w:marTop w:val="0"/>
                                                              <w:marBottom w:val="0"/>
                                                              <w:divBdr>
                                                                <w:top w:val="none" w:sz="0" w:space="0" w:color="auto"/>
                                                                <w:left w:val="none" w:sz="0" w:space="0" w:color="auto"/>
                                                                <w:bottom w:val="none" w:sz="0" w:space="0" w:color="auto"/>
                                                                <w:right w:val="none" w:sz="0" w:space="0" w:color="auto"/>
                                                              </w:divBdr>
                                                            </w:div>
                                                          </w:divsChild>
                                                        </w:div>
                                                        <w:div w:id="840465479">
                                                          <w:marLeft w:val="0"/>
                                                          <w:marRight w:val="0"/>
                                                          <w:marTop w:val="450"/>
                                                          <w:marBottom w:val="0"/>
                                                          <w:divBdr>
                                                            <w:top w:val="none" w:sz="0" w:space="0" w:color="auto"/>
                                                            <w:left w:val="none" w:sz="0" w:space="0" w:color="auto"/>
                                                            <w:bottom w:val="none" w:sz="0" w:space="0" w:color="auto"/>
                                                            <w:right w:val="none" w:sz="0" w:space="0" w:color="auto"/>
                                                          </w:divBdr>
                                                          <w:divsChild>
                                                            <w:div w:id="1013646054">
                                                              <w:marLeft w:val="0"/>
                                                              <w:marRight w:val="0"/>
                                                              <w:marTop w:val="0"/>
                                                              <w:marBottom w:val="0"/>
                                                              <w:divBdr>
                                                                <w:top w:val="none" w:sz="0" w:space="0" w:color="auto"/>
                                                                <w:left w:val="none" w:sz="0" w:space="0" w:color="auto"/>
                                                                <w:bottom w:val="none" w:sz="0" w:space="0" w:color="auto"/>
                                                                <w:right w:val="none" w:sz="0" w:space="0" w:color="auto"/>
                                                              </w:divBdr>
                                                              <w:divsChild>
                                                                <w:div w:id="159277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47286960">
                          <w:marLeft w:val="0"/>
                          <w:marRight w:val="0"/>
                          <w:marTop w:val="0"/>
                          <w:marBottom w:val="0"/>
                          <w:divBdr>
                            <w:top w:val="dashed" w:sz="2" w:space="0" w:color="BBBBBB"/>
                            <w:left w:val="none" w:sz="0" w:space="0" w:color="auto"/>
                            <w:bottom w:val="none" w:sz="0" w:space="0" w:color="auto"/>
                            <w:right w:val="none" w:sz="0" w:space="0" w:color="auto"/>
                          </w:divBdr>
                          <w:divsChild>
                            <w:div w:id="876309364">
                              <w:marLeft w:val="0"/>
                              <w:marRight w:val="0"/>
                              <w:marTop w:val="0"/>
                              <w:marBottom w:val="0"/>
                              <w:divBdr>
                                <w:top w:val="none" w:sz="0" w:space="0" w:color="auto"/>
                                <w:left w:val="none" w:sz="0" w:space="0" w:color="auto"/>
                                <w:bottom w:val="none" w:sz="0" w:space="0" w:color="auto"/>
                                <w:right w:val="none" w:sz="0" w:space="0" w:color="auto"/>
                              </w:divBdr>
                              <w:divsChild>
                                <w:div w:id="462818246">
                                  <w:marLeft w:val="0"/>
                                  <w:marRight w:val="0"/>
                                  <w:marTop w:val="0"/>
                                  <w:marBottom w:val="0"/>
                                  <w:divBdr>
                                    <w:top w:val="none" w:sz="0" w:space="0" w:color="auto"/>
                                    <w:left w:val="none" w:sz="0" w:space="0" w:color="auto"/>
                                    <w:bottom w:val="none" w:sz="0" w:space="0" w:color="auto"/>
                                    <w:right w:val="none" w:sz="0" w:space="0" w:color="auto"/>
                                  </w:divBdr>
                                  <w:divsChild>
                                    <w:div w:id="766115881">
                                      <w:marLeft w:val="225"/>
                                      <w:marRight w:val="225"/>
                                      <w:marTop w:val="0"/>
                                      <w:marBottom w:val="0"/>
                                      <w:divBdr>
                                        <w:top w:val="none" w:sz="0" w:space="0" w:color="auto"/>
                                        <w:left w:val="none" w:sz="0" w:space="0" w:color="auto"/>
                                        <w:bottom w:val="none" w:sz="0" w:space="0" w:color="auto"/>
                                        <w:right w:val="none" w:sz="0" w:space="0" w:color="auto"/>
                                      </w:divBdr>
                                      <w:divsChild>
                                        <w:div w:id="824129848">
                                          <w:marLeft w:val="0"/>
                                          <w:marRight w:val="0"/>
                                          <w:marTop w:val="4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8523177">
      <w:bodyDiv w:val="1"/>
      <w:marLeft w:val="0"/>
      <w:marRight w:val="0"/>
      <w:marTop w:val="0"/>
      <w:marBottom w:val="0"/>
      <w:divBdr>
        <w:top w:val="none" w:sz="0" w:space="0" w:color="auto"/>
        <w:left w:val="none" w:sz="0" w:space="0" w:color="auto"/>
        <w:bottom w:val="none" w:sz="0" w:space="0" w:color="auto"/>
        <w:right w:val="none" w:sz="0" w:space="0" w:color="auto"/>
      </w:divBdr>
    </w:div>
    <w:div w:id="497499026">
      <w:bodyDiv w:val="1"/>
      <w:marLeft w:val="0"/>
      <w:marRight w:val="0"/>
      <w:marTop w:val="0"/>
      <w:marBottom w:val="0"/>
      <w:divBdr>
        <w:top w:val="none" w:sz="0" w:space="0" w:color="auto"/>
        <w:left w:val="none" w:sz="0" w:space="0" w:color="auto"/>
        <w:bottom w:val="none" w:sz="0" w:space="0" w:color="auto"/>
        <w:right w:val="none" w:sz="0" w:space="0" w:color="auto"/>
      </w:divBdr>
    </w:div>
    <w:div w:id="590967687">
      <w:bodyDiv w:val="1"/>
      <w:marLeft w:val="0"/>
      <w:marRight w:val="0"/>
      <w:marTop w:val="0"/>
      <w:marBottom w:val="0"/>
      <w:divBdr>
        <w:top w:val="none" w:sz="0" w:space="0" w:color="auto"/>
        <w:left w:val="none" w:sz="0" w:space="0" w:color="auto"/>
        <w:bottom w:val="none" w:sz="0" w:space="0" w:color="auto"/>
        <w:right w:val="none" w:sz="0" w:space="0" w:color="auto"/>
      </w:divBdr>
      <w:divsChild>
        <w:div w:id="37243902">
          <w:marLeft w:val="0"/>
          <w:marRight w:val="0"/>
          <w:marTop w:val="432"/>
          <w:marBottom w:val="0"/>
          <w:divBdr>
            <w:top w:val="none" w:sz="0" w:space="0" w:color="auto"/>
            <w:left w:val="none" w:sz="0" w:space="0" w:color="auto"/>
            <w:bottom w:val="none" w:sz="0" w:space="0" w:color="auto"/>
            <w:right w:val="none" w:sz="0" w:space="0" w:color="auto"/>
          </w:divBdr>
        </w:div>
        <w:div w:id="429396164">
          <w:marLeft w:val="0"/>
          <w:marRight w:val="0"/>
          <w:marTop w:val="432"/>
          <w:marBottom w:val="0"/>
          <w:divBdr>
            <w:top w:val="none" w:sz="0" w:space="0" w:color="auto"/>
            <w:left w:val="none" w:sz="0" w:space="0" w:color="auto"/>
            <w:bottom w:val="none" w:sz="0" w:space="0" w:color="auto"/>
            <w:right w:val="none" w:sz="0" w:space="0" w:color="auto"/>
          </w:divBdr>
        </w:div>
        <w:div w:id="1250773462">
          <w:marLeft w:val="0"/>
          <w:marRight w:val="0"/>
          <w:marTop w:val="432"/>
          <w:marBottom w:val="0"/>
          <w:divBdr>
            <w:top w:val="none" w:sz="0" w:space="0" w:color="auto"/>
            <w:left w:val="none" w:sz="0" w:space="0" w:color="auto"/>
            <w:bottom w:val="none" w:sz="0" w:space="0" w:color="auto"/>
            <w:right w:val="none" w:sz="0" w:space="0" w:color="auto"/>
          </w:divBdr>
        </w:div>
      </w:divsChild>
    </w:div>
    <w:div w:id="596520076">
      <w:bodyDiv w:val="1"/>
      <w:marLeft w:val="0"/>
      <w:marRight w:val="0"/>
      <w:marTop w:val="0"/>
      <w:marBottom w:val="0"/>
      <w:divBdr>
        <w:top w:val="none" w:sz="0" w:space="0" w:color="auto"/>
        <w:left w:val="none" w:sz="0" w:space="0" w:color="auto"/>
        <w:bottom w:val="none" w:sz="0" w:space="0" w:color="auto"/>
        <w:right w:val="none" w:sz="0" w:space="0" w:color="auto"/>
      </w:divBdr>
      <w:divsChild>
        <w:div w:id="1351954680">
          <w:marLeft w:val="0"/>
          <w:marRight w:val="0"/>
          <w:marTop w:val="0"/>
          <w:marBottom w:val="0"/>
          <w:divBdr>
            <w:top w:val="none" w:sz="0" w:space="0" w:color="auto"/>
            <w:left w:val="none" w:sz="0" w:space="0" w:color="auto"/>
            <w:bottom w:val="none" w:sz="0" w:space="0" w:color="auto"/>
            <w:right w:val="none" w:sz="0" w:space="0" w:color="auto"/>
          </w:divBdr>
          <w:divsChild>
            <w:div w:id="419254840">
              <w:marLeft w:val="0"/>
              <w:marRight w:val="0"/>
              <w:marTop w:val="0"/>
              <w:marBottom w:val="0"/>
              <w:divBdr>
                <w:top w:val="none" w:sz="0" w:space="0" w:color="auto"/>
                <w:left w:val="none" w:sz="0" w:space="0" w:color="auto"/>
                <w:bottom w:val="none" w:sz="0" w:space="0" w:color="auto"/>
                <w:right w:val="none" w:sz="0" w:space="0" w:color="auto"/>
              </w:divBdr>
              <w:divsChild>
                <w:div w:id="644704114">
                  <w:marLeft w:val="0"/>
                  <w:marRight w:val="0"/>
                  <w:marTop w:val="0"/>
                  <w:marBottom w:val="0"/>
                  <w:divBdr>
                    <w:top w:val="none" w:sz="0" w:space="0" w:color="auto"/>
                    <w:left w:val="none" w:sz="0" w:space="0" w:color="auto"/>
                    <w:bottom w:val="none" w:sz="0" w:space="0" w:color="auto"/>
                    <w:right w:val="none" w:sz="0" w:space="0" w:color="auto"/>
                  </w:divBdr>
                  <w:divsChild>
                    <w:div w:id="1997148349">
                      <w:marLeft w:val="-150"/>
                      <w:marRight w:val="-150"/>
                      <w:marTop w:val="0"/>
                      <w:marBottom w:val="0"/>
                      <w:divBdr>
                        <w:top w:val="none" w:sz="0" w:space="0" w:color="auto"/>
                        <w:left w:val="none" w:sz="0" w:space="0" w:color="auto"/>
                        <w:bottom w:val="none" w:sz="0" w:space="0" w:color="auto"/>
                        <w:right w:val="none" w:sz="0" w:space="0" w:color="auto"/>
                      </w:divBdr>
                      <w:divsChild>
                        <w:div w:id="1314027278">
                          <w:marLeft w:val="0"/>
                          <w:marRight w:val="0"/>
                          <w:marTop w:val="0"/>
                          <w:marBottom w:val="0"/>
                          <w:divBdr>
                            <w:top w:val="none" w:sz="0" w:space="0" w:color="auto"/>
                            <w:left w:val="none" w:sz="0" w:space="0" w:color="auto"/>
                            <w:bottom w:val="none" w:sz="0" w:space="0" w:color="auto"/>
                            <w:right w:val="none" w:sz="0" w:space="0" w:color="auto"/>
                          </w:divBdr>
                          <w:divsChild>
                            <w:div w:id="635569735">
                              <w:marLeft w:val="0"/>
                              <w:marRight w:val="0"/>
                              <w:marTop w:val="225"/>
                              <w:marBottom w:val="0"/>
                              <w:divBdr>
                                <w:top w:val="none" w:sz="0" w:space="0" w:color="auto"/>
                                <w:left w:val="single" w:sz="6" w:space="0" w:color="A6A6A6"/>
                                <w:bottom w:val="none" w:sz="0" w:space="0" w:color="auto"/>
                                <w:right w:val="none" w:sz="0" w:space="0" w:color="auto"/>
                              </w:divBdr>
                              <w:divsChild>
                                <w:div w:id="1522353618">
                                  <w:marLeft w:val="0"/>
                                  <w:marRight w:val="0"/>
                                  <w:marTop w:val="0"/>
                                  <w:marBottom w:val="0"/>
                                  <w:divBdr>
                                    <w:top w:val="none" w:sz="0" w:space="0" w:color="auto"/>
                                    <w:left w:val="none" w:sz="0" w:space="0" w:color="auto"/>
                                    <w:bottom w:val="none" w:sz="0" w:space="0" w:color="auto"/>
                                    <w:right w:val="none" w:sz="0" w:space="0" w:color="auto"/>
                                  </w:divBdr>
                                  <w:divsChild>
                                    <w:div w:id="666595181">
                                      <w:marLeft w:val="0"/>
                                      <w:marRight w:val="0"/>
                                      <w:marTop w:val="0"/>
                                      <w:marBottom w:val="120"/>
                                      <w:divBdr>
                                        <w:top w:val="none" w:sz="0" w:space="0" w:color="auto"/>
                                        <w:left w:val="none" w:sz="0" w:space="0" w:color="auto"/>
                                        <w:bottom w:val="none" w:sz="0" w:space="0" w:color="auto"/>
                                        <w:right w:val="none" w:sz="0" w:space="0" w:color="auto"/>
                                      </w:divBdr>
                                      <w:divsChild>
                                        <w:div w:id="713118583">
                                          <w:marLeft w:val="0"/>
                                          <w:marRight w:val="0"/>
                                          <w:marTop w:val="0"/>
                                          <w:marBottom w:val="0"/>
                                          <w:divBdr>
                                            <w:top w:val="none" w:sz="0" w:space="0" w:color="auto"/>
                                            <w:left w:val="none" w:sz="0" w:space="0" w:color="auto"/>
                                            <w:bottom w:val="none" w:sz="0" w:space="0" w:color="auto"/>
                                            <w:right w:val="none" w:sz="0" w:space="0" w:color="auto"/>
                                          </w:divBdr>
                                          <w:divsChild>
                                            <w:div w:id="1999309519">
                                              <w:marLeft w:val="0"/>
                                              <w:marRight w:val="0"/>
                                              <w:marTop w:val="0"/>
                                              <w:marBottom w:val="0"/>
                                              <w:divBdr>
                                                <w:top w:val="none" w:sz="0" w:space="0" w:color="auto"/>
                                                <w:left w:val="none" w:sz="0" w:space="0" w:color="auto"/>
                                                <w:bottom w:val="none" w:sz="0" w:space="0" w:color="auto"/>
                                                <w:right w:val="none" w:sz="0" w:space="0" w:color="auto"/>
                                              </w:divBdr>
                                              <w:divsChild>
                                                <w:div w:id="1531648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92146791">
      <w:bodyDiv w:val="1"/>
      <w:marLeft w:val="0"/>
      <w:marRight w:val="0"/>
      <w:marTop w:val="0"/>
      <w:marBottom w:val="0"/>
      <w:divBdr>
        <w:top w:val="none" w:sz="0" w:space="0" w:color="auto"/>
        <w:left w:val="none" w:sz="0" w:space="0" w:color="auto"/>
        <w:bottom w:val="none" w:sz="0" w:space="0" w:color="auto"/>
        <w:right w:val="none" w:sz="0" w:space="0" w:color="auto"/>
      </w:divBdr>
      <w:divsChild>
        <w:div w:id="1798450690">
          <w:marLeft w:val="0"/>
          <w:marRight w:val="0"/>
          <w:marTop w:val="0"/>
          <w:marBottom w:val="0"/>
          <w:divBdr>
            <w:top w:val="none" w:sz="0" w:space="0" w:color="auto"/>
            <w:left w:val="none" w:sz="0" w:space="0" w:color="auto"/>
            <w:bottom w:val="none" w:sz="0" w:space="0" w:color="auto"/>
            <w:right w:val="none" w:sz="0" w:space="0" w:color="auto"/>
          </w:divBdr>
          <w:divsChild>
            <w:div w:id="1875001311">
              <w:marLeft w:val="0"/>
              <w:marRight w:val="0"/>
              <w:marTop w:val="0"/>
              <w:marBottom w:val="0"/>
              <w:divBdr>
                <w:top w:val="none" w:sz="0" w:space="0" w:color="auto"/>
                <w:left w:val="none" w:sz="0" w:space="0" w:color="auto"/>
                <w:bottom w:val="none" w:sz="0" w:space="0" w:color="auto"/>
                <w:right w:val="none" w:sz="0" w:space="0" w:color="auto"/>
              </w:divBdr>
              <w:divsChild>
                <w:div w:id="2095665010">
                  <w:marLeft w:val="0"/>
                  <w:marRight w:val="0"/>
                  <w:marTop w:val="0"/>
                  <w:marBottom w:val="0"/>
                  <w:divBdr>
                    <w:top w:val="none" w:sz="0" w:space="0" w:color="auto"/>
                    <w:left w:val="none" w:sz="0" w:space="0" w:color="auto"/>
                    <w:bottom w:val="none" w:sz="0" w:space="0" w:color="auto"/>
                    <w:right w:val="none" w:sz="0" w:space="0" w:color="auto"/>
                  </w:divBdr>
                  <w:divsChild>
                    <w:div w:id="707528401">
                      <w:marLeft w:val="-150"/>
                      <w:marRight w:val="-150"/>
                      <w:marTop w:val="0"/>
                      <w:marBottom w:val="0"/>
                      <w:divBdr>
                        <w:top w:val="none" w:sz="0" w:space="0" w:color="auto"/>
                        <w:left w:val="none" w:sz="0" w:space="0" w:color="auto"/>
                        <w:bottom w:val="none" w:sz="0" w:space="0" w:color="auto"/>
                        <w:right w:val="none" w:sz="0" w:space="0" w:color="auto"/>
                      </w:divBdr>
                      <w:divsChild>
                        <w:div w:id="1466390248">
                          <w:marLeft w:val="0"/>
                          <w:marRight w:val="0"/>
                          <w:marTop w:val="0"/>
                          <w:marBottom w:val="0"/>
                          <w:divBdr>
                            <w:top w:val="none" w:sz="0" w:space="0" w:color="auto"/>
                            <w:left w:val="none" w:sz="0" w:space="0" w:color="auto"/>
                            <w:bottom w:val="none" w:sz="0" w:space="0" w:color="auto"/>
                            <w:right w:val="none" w:sz="0" w:space="0" w:color="auto"/>
                          </w:divBdr>
                          <w:divsChild>
                            <w:div w:id="1856726435">
                              <w:marLeft w:val="0"/>
                              <w:marRight w:val="0"/>
                              <w:marTop w:val="225"/>
                              <w:marBottom w:val="0"/>
                              <w:divBdr>
                                <w:top w:val="none" w:sz="0" w:space="0" w:color="auto"/>
                                <w:left w:val="single" w:sz="6" w:space="0" w:color="A6A6A6"/>
                                <w:bottom w:val="none" w:sz="0" w:space="0" w:color="auto"/>
                                <w:right w:val="none" w:sz="0" w:space="0" w:color="auto"/>
                              </w:divBdr>
                              <w:divsChild>
                                <w:div w:id="60908237">
                                  <w:marLeft w:val="0"/>
                                  <w:marRight w:val="0"/>
                                  <w:marTop w:val="0"/>
                                  <w:marBottom w:val="0"/>
                                  <w:divBdr>
                                    <w:top w:val="none" w:sz="0" w:space="0" w:color="auto"/>
                                    <w:left w:val="none" w:sz="0" w:space="0" w:color="auto"/>
                                    <w:bottom w:val="none" w:sz="0" w:space="0" w:color="auto"/>
                                    <w:right w:val="none" w:sz="0" w:space="0" w:color="auto"/>
                                  </w:divBdr>
                                  <w:divsChild>
                                    <w:div w:id="1011882830">
                                      <w:marLeft w:val="0"/>
                                      <w:marRight w:val="0"/>
                                      <w:marTop w:val="0"/>
                                      <w:marBottom w:val="120"/>
                                      <w:divBdr>
                                        <w:top w:val="none" w:sz="0" w:space="0" w:color="auto"/>
                                        <w:left w:val="none" w:sz="0" w:space="0" w:color="auto"/>
                                        <w:bottom w:val="none" w:sz="0" w:space="0" w:color="auto"/>
                                        <w:right w:val="none" w:sz="0" w:space="0" w:color="auto"/>
                                      </w:divBdr>
                                      <w:divsChild>
                                        <w:div w:id="1746687170">
                                          <w:marLeft w:val="0"/>
                                          <w:marRight w:val="0"/>
                                          <w:marTop w:val="0"/>
                                          <w:marBottom w:val="0"/>
                                          <w:divBdr>
                                            <w:top w:val="none" w:sz="0" w:space="0" w:color="auto"/>
                                            <w:left w:val="none" w:sz="0" w:space="0" w:color="auto"/>
                                            <w:bottom w:val="none" w:sz="0" w:space="0" w:color="auto"/>
                                            <w:right w:val="none" w:sz="0" w:space="0" w:color="auto"/>
                                          </w:divBdr>
                                          <w:divsChild>
                                            <w:div w:id="1488402842">
                                              <w:marLeft w:val="0"/>
                                              <w:marRight w:val="0"/>
                                              <w:marTop w:val="0"/>
                                              <w:marBottom w:val="0"/>
                                              <w:divBdr>
                                                <w:top w:val="none" w:sz="0" w:space="0" w:color="auto"/>
                                                <w:left w:val="none" w:sz="0" w:space="0" w:color="auto"/>
                                                <w:bottom w:val="none" w:sz="0" w:space="0" w:color="auto"/>
                                                <w:right w:val="none" w:sz="0" w:space="0" w:color="auto"/>
                                              </w:divBdr>
                                              <w:divsChild>
                                                <w:div w:id="302002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42261654">
      <w:bodyDiv w:val="1"/>
      <w:marLeft w:val="0"/>
      <w:marRight w:val="0"/>
      <w:marTop w:val="0"/>
      <w:marBottom w:val="0"/>
      <w:divBdr>
        <w:top w:val="none" w:sz="0" w:space="0" w:color="auto"/>
        <w:left w:val="none" w:sz="0" w:space="0" w:color="auto"/>
        <w:bottom w:val="none" w:sz="0" w:space="0" w:color="auto"/>
        <w:right w:val="none" w:sz="0" w:space="0" w:color="auto"/>
      </w:divBdr>
    </w:div>
    <w:div w:id="742796181">
      <w:bodyDiv w:val="1"/>
      <w:marLeft w:val="0"/>
      <w:marRight w:val="0"/>
      <w:marTop w:val="0"/>
      <w:marBottom w:val="0"/>
      <w:divBdr>
        <w:top w:val="none" w:sz="0" w:space="0" w:color="auto"/>
        <w:left w:val="none" w:sz="0" w:space="0" w:color="auto"/>
        <w:bottom w:val="none" w:sz="0" w:space="0" w:color="auto"/>
        <w:right w:val="none" w:sz="0" w:space="0" w:color="auto"/>
      </w:divBdr>
      <w:divsChild>
        <w:div w:id="915169701">
          <w:marLeft w:val="0"/>
          <w:marRight w:val="0"/>
          <w:marTop w:val="0"/>
          <w:marBottom w:val="0"/>
          <w:divBdr>
            <w:top w:val="none" w:sz="0" w:space="0" w:color="auto"/>
            <w:left w:val="none" w:sz="0" w:space="0" w:color="auto"/>
            <w:bottom w:val="none" w:sz="0" w:space="0" w:color="auto"/>
            <w:right w:val="none" w:sz="0" w:space="0" w:color="auto"/>
          </w:divBdr>
          <w:divsChild>
            <w:div w:id="396169645">
              <w:marLeft w:val="0"/>
              <w:marRight w:val="0"/>
              <w:marTop w:val="0"/>
              <w:marBottom w:val="0"/>
              <w:divBdr>
                <w:top w:val="none" w:sz="0" w:space="0" w:color="auto"/>
                <w:left w:val="none" w:sz="0" w:space="0" w:color="auto"/>
                <w:bottom w:val="none" w:sz="0" w:space="0" w:color="auto"/>
                <w:right w:val="none" w:sz="0" w:space="0" w:color="auto"/>
              </w:divBdr>
              <w:divsChild>
                <w:div w:id="588196968">
                  <w:marLeft w:val="0"/>
                  <w:marRight w:val="0"/>
                  <w:marTop w:val="0"/>
                  <w:marBottom w:val="0"/>
                  <w:divBdr>
                    <w:top w:val="none" w:sz="0" w:space="0" w:color="auto"/>
                    <w:left w:val="none" w:sz="0" w:space="0" w:color="auto"/>
                    <w:bottom w:val="none" w:sz="0" w:space="0" w:color="auto"/>
                    <w:right w:val="none" w:sz="0" w:space="0" w:color="auto"/>
                  </w:divBdr>
                  <w:divsChild>
                    <w:div w:id="1892688749">
                      <w:marLeft w:val="-150"/>
                      <w:marRight w:val="-150"/>
                      <w:marTop w:val="0"/>
                      <w:marBottom w:val="0"/>
                      <w:divBdr>
                        <w:top w:val="none" w:sz="0" w:space="0" w:color="auto"/>
                        <w:left w:val="none" w:sz="0" w:space="0" w:color="auto"/>
                        <w:bottom w:val="none" w:sz="0" w:space="0" w:color="auto"/>
                        <w:right w:val="none" w:sz="0" w:space="0" w:color="auto"/>
                      </w:divBdr>
                      <w:divsChild>
                        <w:div w:id="1173954612">
                          <w:marLeft w:val="0"/>
                          <w:marRight w:val="0"/>
                          <w:marTop w:val="0"/>
                          <w:marBottom w:val="0"/>
                          <w:divBdr>
                            <w:top w:val="none" w:sz="0" w:space="0" w:color="auto"/>
                            <w:left w:val="none" w:sz="0" w:space="0" w:color="auto"/>
                            <w:bottom w:val="none" w:sz="0" w:space="0" w:color="auto"/>
                            <w:right w:val="none" w:sz="0" w:space="0" w:color="auto"/>
                          </w:divBdr>
                          <w:divsChild>
                            <w:div w:id="870538345">
                              <w:marLeft w:val="0"/>
                              <w:marRight w:val="0"/>
                              <w:marTop w:val="225"/>
                              <w:marBottom w:val="0"/>
                              <w:divBdr>
                                <w:top w:val="none" w:sz="0" w:space="0" w:color="auto"/>
                                <w:left w:val="single" w:sz="6" w:space="0" w:color="A6A6A6"/>
                                <w:bottom w:val="none" w:sz="0" w:space="0" w:color="auto"/>
                                <w:right w:val="none" w:sz="0" w:space="0" w:color="auto"/>
                              </w:divBdr>
                              <w:divsChild>
                                <w:div w:id="1495073760">
                                  <w:marLeft w:val="0"/>
                                  <w:marRight w:val="0"/>
                                  <w:marTop w:val="0"/>
                                  <w:marBottom w:val="0"/>
                                  <w:divBdr>
                                    <w:top w:val="none" w:sz="0" w:space="0" w:color="auto"/>
                                    <w:left w:val="none" w:sz="0" w:space="0" w:color="auto"/>
                                    <w:bottom w:val="none" w:sz="0" w:space="0" w:color="auto"/>
                                    <w:right w:val="none" w:sz="0" w:space="0" w:color="auto"/>
                                  </w:divBdr>
                                  <w:divsChild>
                                    <w:div w:id="1622230180">
                                      <w:marLeft w:val="0"/>
                                      <w:marRight w:val="0"/>
                                      <w:marTop w:val="0"/>
                                      <w:marBottom w:val="120"/>
                                      <w:divBdr>
                                        <w:top w:val="none" w:sz="0" w:space="0" w:color="auto"/>
                                        <w:left w:val="none" w:sz="0" w:space="0" w:color="auto"/>
                                        <w:bottom w:val="none" w:sz="0" w:space="0" w:color="auto"/>
                                        <w:right w:val="none" w:sz="0" w:space="0" w:color="auto"/>
                                      </w:divBdr>
                                      <w:divsChild>
                                        <w:div w:id="1225945368">
                                          <w:marLeft w:val="0"/>
                                          <w:marRight w:val="0"/>
                                          <w:marTop w:val="0"/>
                                          <w:marBottom w:val="0"/>
                                          <w:divBdr>
                                            <w:top w:val="none" w:sz="0" w:space="0" w:color="auto"/>
                                            <w:left w:val="none" w:sz="0" w:space="0" w:color="auto"/>
                                            <w:bottom w:val="none" w:sz="0" w:space="0" w:color="auto"/>
                                            <w:right w:val="none" w:sz="0" w:space="0" w:color="auto"/>
                                          </w:divBdr>
                                          <w:divsChild>
                                            <w:div w:id="1272276727">
                                              <w:marLeft w:val="0"/>
                                              <w:marRight w:val="0"/>
                                              <w:marTop w:val="0"/>
                                              <w:marBottom w:val="0"/>
                                              <w:divBdr>
                                                <w:top w:val="none" w:sz="0" w:space="0" w:color="auto"/>
                                                <w:left w:val="none" w:sz="0" w:space="0" w:color="auto"/>
                                                <w:bottom w:val="none" w:sz="0" w:space="0" w:color="auto"/>
                                                <w:right w:val="none" w:sz="0" w:space="0" w:color="auto"/>
                                              </w:divBdr>
                                              <w:divsChild>
                                                <w:div w:id="2083526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0585751">
      <w:bodyDiv w:val="1"/>
      <w:marLeft w:val="0"/>
      <w:marRight w:val="0"/>
      <w:marTop w:val="0"/>
      <w:marBottom w:val="0"/>
      <w:divBdr>
        <w:top w:val="none" w:sz="0" w:space="0" w:color="auto"/>
        <w:left w:val="none" w:sz="0" w:space="0" w:color="auto"/>
        <w:bottom w:val="none" w:sz="0" w:space="0" w:color="auto"/>
        <w:right w:val="none" w:sz="0" w:space="0" w:color="auto"/>
      </w:divBdr>
    </w:div>
    <w:div w:id="868419631">
      <w:bodyDiv w:val="1"/>
      <w:marLeft w:val="0"/>
      <w:marRight w:val="0"/>
      <w:marTop w:val="0"/>
      <w:marBottom w:val="0"/>
      <w:divBdr>
        <w:top w:val="none" w:sz="0" w:space="0" w:color="auto"/>
        <w:left w:val="none" w:sz="0" w:space="0" w:color="auto"/>
        <w:bottom w:val="none" w:sz="0" w:space="0" w:color="auto"/>
        <w:right w:val="none" w:sz="0" w:space="0" w:color="auto"/>
      </w:divBdr>
    </w:div>
    <w:div w:id="988560506">
      <w:bodyDiv w:val="1"/>
      <w:marLeft w:val="0"/>
      <w:marRight w:val="0"/>
      <w:marTop w:val="0"/>
      <w:marBottom w:val="0"/>
      <w:divBdr>
        <w:top w:val="none" w:sz="0" w:space="0" w:color="auto"/>
        <w:left w:val="none" w:sz="0" w:space="0" w:color="auto"/>
        <w:bottom w:val="none" w:sz="0" w:space="0" w:color="auto"/>
        <w:right w:val="none" w:sz="0" w:space="0" w:color="auto"/>
      </w:divBdr>
      <w:divsChild>
        <w:div w:id="235092300">
          <w:marLeft w:val="0"/>
          <w:marRight w:val="0"/>
          <w:marTop w:val="0"/>
          <w:marBottom w:val="0"/>
          <w:divBdr>
            <w:top w:val="none" w:sz="0" w:space="0" w:color="auto"/>
            <w:left w:val="none" w:sz="0" w:space="0" w:color="auto"/>
            <w:bottom w:val="none" w:sz="0" w:space="0" w:color="auto"/>
            <w:right w:val="none" w:sz="0" w:space="0" w:color="auto"/>
          </w:divBdr>
          <w:divsChild>
            <w:div w:id="943534274">
              <w:marLeft w:val="0"/>
              <w:marRight w:val="0"/>
              <w:marTop w:val="0"/>
              <w:marBottom w:val="0"/>
              <w:divBdr>
                <w:top w:val="none" w:sz="0" w:space="0" w:color="auto"/>
                <w:left w:val="none" w:sz="0" w:space="0" w:color="auto"/>
                <w:bottom w:val="none" w:sz="0" w:space="0" w:color="auto"/>
                <w:right w:val="none" w:sz="0" w:space="0" w:color="auto"/>
              </w:divBdr>
              <w:divsChild>
                <w:div w:id="773785979">
                  <w:marLeft w:val="0"/>
                  <w:marRight w:val="0"/>
                  <w:marTop w:val="0"/>
                  <w:marBottom w:val="0"/>
                  <w:divBdr>
                    <w:top w:val="none" w:sz="0" w:space="0" w:color="auto"/>
                    <w:left w:val="none" w:sz="0" w:space="0" w:color="auto"/>
                    <w:bottom w:val="none" w:sz="0" w:space="0" w:color="auto"/>
                    <w:right w:val="none" w:sz="0" w:space="0" w:color="auto"/>
                  </w:divBdr>
                  <w:divsChild>
                    <w:div w:id="434595918">
                      <w:marLeft w:val="-150"/>
                      <w:marRight w:val="-150"/>
                      <w:marTop w:val="0"/>
                      <w:marBottom w:val="0"/>
                      <w:divBdr>
                        <w:top w:val="none" w:sz="0" w:space="0" w:color="auto"/>
                        <w:left w:val="none" w:sz="0" w:space="0" w:color="auto"/>
                        <w:bottom w:val="none" w:sz="0" w:space="0" w:color="auto"/>
                        <w:right w:val="none" w:sz="0" w:space="0" w:color="auto"/>
                      </w:divBdr>
                      <w:divsChild>
                        <w:div w:id="1201941821">
                          <w:marLeft w:val="0"/>
                          <w:marRight w:val="0"/>
                          <w:marTop w:val="0"/>
                          <w:marBottom w:val="0"/>
                          <w:divBdr>
                            <w:top w:val="none" w:sz="0" w:space="0" w:color="auto"/>
                            <w:left w:val="none" w:sz="0" w:space="0" w:color="auto"/>
                            <w:bottom w:val="none" w:sz="0" w:space="0" w:color="auto"/>
                            <w:right w:val="none" w:sz="0" w:space="0" w:color="auto"/>
                          </w:divBdr>
                          <w:divsChild>
                            <w:div w:id="273633961">
                              <w:marLeft w:val="0"/>
                              <w:marRight w:val="0"/>
                              <w:marTop w:val="225"/>
                              <w:marBottom w:val="0"/>
                              <w:divBdr>
                                <w:top w:val="none" w:sz="0" w:space="0" w:color="auto"/>
                                <w:left w:val="single" w:sz="6" w:space="0" w:color="A6A6A6"/>
                                <w:bottom w:val="none" w:sz="0" w:space="0" w:color="auto"/>
                                <w:right w:val="none" w:sz="0" w:space="0" w:color="auto"/>
                              </w:divBdr>
                              <w:divsChild>
                                <w:div w:id="992025709">
                                  <w:marLeft w:val="0"/>
                                  <w:marRight w:val="0"/>
                                  <w:marTop w:val="0"/>
                                  <w:marBottom w:val="0"/>
                                  <w:divBdr>
                                    <w:top w:val="none" w:sz="0" w:space="0" w:color="auto"/>
                                    <w:left w:val="none" w:sz="0" w:space="0" w:color="auto"/>
                                    <w:bottom w:val="none" w:sz="0" w:space="0" w:color="auto"/>
                                    <w:right w:val="none" w:sz="0" w:space="0" w:color="auto"/>
                                  </w:divBdr>
                                  <w:divsChild>
                                    <w:div w:id="662242609">
                                      <w:marLeft w:val="0"/>
                                      <w:marRight w:val="0"/>
                                      <w:marTop w:val="0"/>
                                      <w:marBottom w:val="120"/>
                                      <w:divBdr>
                                        <w:top w:val="none" w:sz="0" w:space="0" w:color="auto"/>
                                        <w:left w:val="none" w:sz="0" w:space="0" w:color="auto"/>
                                        <w:bottom w:val="none" w:sz="0" w:space="0" w:color="auto"/>
                                        <w:right w:val="none" w:sz="0" w:space="0" w:color="auto"/>
                                      </w:divBdr>
                                      <w:divsChild>
                                        <w:div w:id="647982492">
                                          <w:marLeft w:val="0"/>
                                          <w:marRight w:val="0"/>
                                          <w:marTop w:val="0"/>
                                          <w:marBottom w:val="0"/>
                                          <w:divBdr>
                                            <w:top w:val="none" w:sz="0" w:space="0" w:color="auto"/>
                                            <w:left w:val="none" w:sz="0" w:space="0" w:color="auto"/>
                                            <w:bottom w:val="none" w:sz="0" w:space="0" w:color="auto"/>
                                            <w:right w:val="none" w:sz="0" w:space="0" w:color="auto"/>
                                          </w:divBdr>
                                          <w:divsChild>
                                            <w:div w:id="417673574">
                                              <w:marLeft w:val="0"/>
                                              <w:marRight w:val="0"/>
                                              <w:marTop w:val="0"/>
                                              <w:marBottom w:val="0"/>
                                              <w:divBdr>
                                                <w:top w:val="none" w:sz="0" w:space="0" w:color="auto"/>
                                                <w:left w:val="none" w:sz="0" w:space="0" w:color="auto"/>
                                                <w:bottom w:val="none" w:sz="0" w:space="0" w:color="auto"/>
                                                <w:right w:val="none" w:sz="0" w:space="0" w:color="auto"/>
                                              </w:divBdr>
                                              <w:divsChild>
                                                <w:div w:id="1128399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36392263">
      <w:bodyDiv w:val="1"/>
      <w:marLeft w:val="0"/>
      <w:marRight w:val="0"/>
      <w:marTop w:val="0"/>
      <w:marBottom w:val="0"/>
      <w:divBdr>
        <w:top w:val="none" w:sz="0" w:space="0" w:color="auto"/>
        <w:left w:val="none" w:sz="0" w:space="0" w:color="auto"/>
        <w:bottom w:val="none" w:sz="0" w:space="0" w:color="auto"/>
        <w:right w:val="none" w:sz="0" w:space="0" w:color="auto"/>
      </w:divBdr>
    </w:div>
    <w:div w:id="1288315848">
      <w:bodyDiv w:val="1"/>
      <w:marLeft w:val="0"/>
      <w:marRight w:val="0"/>
      <w:marTop w:val="0"/>
      <w:marBottom w:val="0"/>
      <w:divBdr>
        <w:top w:val="none" w:sz="0" w:space="0" w:color="auto"/>
        <w:left w:val="none" w:sz="0" w:space="0" w:color="auto"/>
        <w:bottom w:val="none" w:sz="0" w:space="0" w:color="auto"/>
        <w:right w:val="none" w:sz="0" w:space="0" w:color="auto"/>
      </w:divBdr>
      <w:divsChild>
        <w:div w:id="596330723">
          <w:marLeft w:val="0"/>
          <w:marRight w:val="0"/>
          <w:marTop w:val="0"/>
          <w:marBottom w:val="0"/>
          <w:divBdr>
            <w:top w:val="none" w:sz="0" w:space="0" w:color="auto"/>
            <w:left w:val="none" w:sz="0" w:space="0" w:color="auto"/>
            <w:bottom w:val="none" w:sz="0" w:space="0" w:color="auto"/>
            <w:right w:val="none" w:sz="0" w:space="0" w:color="auto"/>
          </w:divBdr>
          <w:divsChild>
            <w:div w:id="1388994541">
              <w:marLeft w:val="0"/>
              <w:marRight w:val="0"/>
              <w:marTop w:val="0"/>
              <w:marBottom w:val="0"/>
              <w:divBdr>
                <w:top w:val="none" w:sz="0" w:space="0" w:color="auto"/>
                <w:left w:val="none" w:sz="0" w:space="0" w:color="auto"/>
                <w:bottom w:val="none" w:sz="0" w:space="0" w:color="auto"/>
                <w:right w:val="none" w:sz="0" w:space="0" w:color="auto"/>
              </w:divBdr>
              <w:divsChild>
                <w:div w:id="1803498615">
                  <w:marLeft w:val="0"/>
                  <w:marRight w:val="0"/>
                  <w:marTop w:val="0"/>
                  <w:marBottom w:val="0"/>
                  <w:divBdr>
                    <w:top w:val="none" w:sz="0" w:space="0" w:color="auto"/>
                    <w:left w:val="none" w:sz="0" w:space="0" w:color="auto"/>
                    <w:bottom w:val="none" w:sz="0" w:space="0" w:color="auto"/>
                    <w:right w:val="none" w:sz="0" w:space="0" w:color="auto"/>
                  </w:divBdr>
                  <w:divsChild>
                    <w:div w:id="788662505">
                      <w:marLeft w:val="-150"/>
                      <w:marRight w:val="-150"/>
                      <w:marTop w:val="0"/>
                      <w:marBottom w:val="0"/>
                      <w:divBdr>
                        <w:top w:val="none" w:sz="0" w:space="0" w:color="auto"/>
                        <w:left w:val="none" w:sz="0" w:space="0" w:color="auto"/>
                        <w:bottom w:val="none" w:sz="0" w:space="0" w:color="auto"/>
                        <w:right w:val="none" w:sz="0" w:space="0" w:color="auto"/>
                      </w:divBdr>
                      <w:divsChild>
                        <w:div w:id="1367214158">
                          <w:marLeft w:val="0"/>
                          <w:marRight w:val="0"/>
                          <w:marTop w:val="0"/>
                          <w:marBottom w:val="0"/>
                          <w:divBdr>
                            <w:top w:val="none" w:sz="0" w:space="0" w:color="auto"/>
                            <w:left w:val="none" w:sz="0" w:space="0" w:color="auto"/>
                            <w:bottom w:val="none" w:sz="0" w:space="0" w:color="auto"/>
                            <w:right w:val="none" w:sz="0" w:space="0" w:color="auto"/>
                          </w:divBdr>
                          <w:divsChild>
                            <w:div w:id="551648450">
                              <w:marLeft w:val="0"/>
                              <w:marRight w:val="0"/>
                              <w:marTop w:val="225"/>
                              <w:marBottom w:val="0"/>
                              <w:divBdr>
                                <w:top w:val="none" w:sz="0" w:space="0" w:color="auto"/>
                                <w:left w:val="single" w:sz="6" w:space="0" w:color="A6A6A6"/>
                                <w:bottom w:val="none" w:sz="0" w:space="0" w:color="auto"/>
                                <w:right w:val="none" w:sz="0" w:space="0" w:color="auto"/>
                              </w:divBdr>
                              <w:divsChild>
                                <w:div w:id="697396065">
                                  <w:marLeft w:val="0"/>
                                  <w:marRight w:val="0"/>
                                  <w:marTop w:val="0"/>
                                  <w:marBottom w:val="0"/>
                                  <w:divBdr>
                                    <w:top w:val="none" w:sz="0" w:space="0" w:color="auto"/>
                                    <w:left w:val="none" w:sz="0" w:space="0" w:color="auto"/>
                                    <w:bottom w:val="none" w:sz="0" w:space="0" w:color="auto"/>
                                    <w:right w:val="none" w:sz="0" w:space="0" w:color="auto"/>
                                  </w:divBdr>
                                  <w:divsChild>
                                    <w:div w:id="1481533789">
                                      <w:marLeft w:val="0"/>
                                      <w:marRight w:val="0"/>
                                      <w:marTop w:val="0"/>
                                      <w:marBottom w:val="120"/>
                                      <w:divBdr>
                                        <w:top w:val="none" w:sz="0" w:space="0" w:color="auto"/>
                                        <w:left w:val="none" w:sz="0" w:space="0" w:color="auto"/>
                                        <w:bottom w:val="none" w:sz="0" w:space="0" w:color="auto"/>
                                        <w:right w:val="none" w:sz="0" w:space="0" w:color="auto"/>
                                      </w:divBdr>
                                      <w:divsChild>
                                        <w:div w:id="561327586">
                                          <w:marLeft w:val="0"/>
                                          <w:marRight w:val="0"/>
                                          <w:marTop w:val="0"/>
                                          <w:marBottom w:val="0"/>
                                          <w:divBdr>
                                            <w:top w:val="none" w:sz="0" w:space="0" w:color="auto"/>
                                            <w:left w:val="none" w:sz="0" w:space="0" w:color="auto"/>
                                            <w:bottom w:val="none" w:sz="0" w:space="0" w:color="auto"/>
                                            <w:right w:val="none" w:sz="0" w:space="0" w:color="auto"/>
                                          </w:divBdr>
                                          <w:divsChild>
                                            <w:div w:id="194001047">
                                              <w:marLeft w:val="0"/>
                                              <w:marRight w:val="0"/>
                                              <w:marTop w:val="0"/>
                                              <w:marBottom w:val="0"/>
                                              <w:divBdr>
                                                <w:top w:val="none" w:sz="0" w:space="0" w:color="auto"/>
                                                <w:left w:val="none" w:sz="0" w:space="0" w:color="auto"/>
                                                <w:bottom w:val="none" w:sz="0" w:space="0" w:color="auto"/>
                                                <w:right w:val="none" w:sz="0" w:space="0" w:color="auto"/>
                                              </w:divBdr>
                                              <w:divsChild>
                                                <w:div w:id="974681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19504997">
      <w:bodyDiv w:val="1"/>
      <w:marLeft w:val="0"/>
      <w:marRight w:val="0"/>
      <w:marTop w:val="0"/>
      <w:marBottom w:val="0"/>
      <w:divBdr>
        <w:top w:val="none" w:sz="0" w:space="0" w:color="auto"/>
        <w:left w:val="none" w:sz="0" w:space="0" w:color="auto"/>
        <w:bottom w:val="none" w:sz="0" w:space="0" w:color="auto"/>
        <w:right w:val="none" w:sz="0" w:space="0" w:color="auto"/>
      </w:divBdr>
    </w:div>
    <w:div w:id="1548957473">
      <w:bodyDiv w:val="1"/>
      <w:marLeft w:val="0"/>
      <w:marRight w:val="0"/>
      <w:marTop w:val="0"/>
      <w:marBottom w:val="0"/>
      <w:divBdr>
        <w:top w:val="none" w:sz="0" w:space="0" w:color="auto"/>
        <w:left w:val="none" w:sz="0" w:space="0" w:color="auto"/>
        <w:bottom w:val="none" w:sz="0" w:space="0" w:color="auto"/>
        <w:right w:val="none" w:sz="0" w:space="0" w:color="auto"/>
      </w:divBdr>
      <w:divsChild>
        <w:div w:id="1337535724">
          <w:marLeft w:val="0"/>
          <w:marRight w:val="0"/>
          <w:marTop w:val="0"/>
          <w:marBottom w:val="0"/>
          <w:divBdr>
            <w:top w:val="none" w:sz="0" w:space="0" w:color="auto"/>
            <w:left w:val="none" w:sz="0" w:space="0" w:color="auto"/>
            <w:bottom w:val="none" w:sz="0" w:space="0" w:color="auto"/>
            <w:right w:val="none" w:sz="0" w:space="0" w:color="auto"/>
          </w:divBdr>
          <w:divsChild>
            <w:div w:id="771708119">
              <w:marLeft w:val="0"/>
              <w:marRight w:val="0"/>
              <w:marTop w:val="0"/>
              <w:marBottom w:val="0"/>
              <w:divBdr>
                <w:top w:val="none" w:sz="0" w:space="0" w:color="auto"/>
                <w:left w:val="none" w:sz="0" w:space="0" w:color="auto"/>
                <w:bottom w:val="none" w:sz="0" w:space="0" w:color="auto"/>
                <w:right w:val="none" w:sz="0" w:space="0" w:color="auto"/>
              </w:divBdr>
              <w:divsChild>
                <w:div w:id="1153910680">
                  <w:marLeft w:val="0"/>
                  <w:marRight w:val="0"/>
                  <w:marTop w:val="0"/>
                  <w:marBottom w:val="0"/>
                  <w:divBdr>
                    <w:top w:val="none" w:sz="0" w:space="0" w:color="auto"/>
                    <w:left w:val="none" w:sz="0" w:space="0" w:color="auto"/>
                    <w:bottom w:val="none" w:sz="0" w:space="0" w:color="auto"/>
                    <w:right w:val="none" w:sz="0" w:space="0" w:color="auto"/>
                  </w:divBdr>
                  <w:divsChild>
                    <w:div w:id="160825929">
                      <w:marLeft w:val="-150"/>
                      <w:marRight w:val="-150"/>
                      <w:marTop w:val="0"/>
                      <w:marBottom w:val="0"/>
                      <w:divBdr>
                        <w:top w:val="none" w:sz="0" w:space="0" w:color="auto"/>
                        <w:left w:val="none" w:sz="0" w:space="0" w:color="auto"/>
                        <w:bottom w:val="none" w:sz="0" w:space="0" w:color="auto"/>
                        <w:right w:val="none" w:sz="0" w:space="0" w:color="auto"/>
                      </w:divBdr>
                      <w:divsChild>
                        <w:div w:id="1869874156">
                          <w:marLeft w:val="0"/>
                          <w:marRight w:val="0"/>
                          <w:marTop w:val="0"/>
                          <w:marBottom w:val="0"/>
                          <w:divBdr>
                            <w:top w:val="none" w:sz="0" w:space="0" w:color="auto"/>
                            <w:left w:val="none" w:sz="0" w:space="0" w:color="auto"/>
                            <w:bottom w:val="none" w:sz="0" w:space="0" w:color="auto"/>
                            <w:right w:val="none" w:sz="0" w:space="0" w:color="auto"/>
                          </w:divBdr>
                          <w:divsChild>
                            <w:div w:id="338511329">
                              <w:marLeft w:val="0"/>
                              <w:marRight w:val="0"/>
                              <w:marTop w:val="225"/>
                              <w:marBottom w:val="0"/>
                              <w:divBdr>
                                <w:top w:val="none" w:sz="0" w:space="0" w:color="auto"/>
                                <w:left w:val="single" w:sz="6" w:space="0" w:color="A6A6A6"/>
                                <w:bottom w:val="none" w:sz="0" w:space="0" w:color="auto"/>
                                <w:right w:val="none" w:sz="0" w:space="0" w:color="auto"/>
                              </w:divBdr>
                              <w:divsChild>
                                <w:div w:id="1209537808">
                                  <w:marLeft w:val="0"/>
                                  <w:marRight w:val="0"/>
                                  <w:marTop w:val="0"/>
                                  <w:marBottom w:val="0"/>
                                  <w:divBdr>
                                    <w:top w:val="none" w:sz="0" w:space="0" w:color="auto"/>
                                    <w:left w:val="none" w:sz="0" w:space="0" w:color="auto"/>
                                    <w:bottom w:val="none" w:sz="0" w:space="0" w:color="auto"/>
                                    <w:right w:val="none" w:sz="0" w:space="0" w:color="auto"/>
                                  </w:divBdr>
                                  <w:divsChild>
                                    <w:div w:id="1396707925">
                                      <w:marLeft w:val="0"/>
                                      <w:marRight w:val="0"/>
                                      <w:marTop w:val="0"/>
                                      <w:marBottom w:val="120"/>
                                      <w:divBdr>
                                        <w:top w:val="none" w:sz="0" w:space="0" w:color="auto"/>
                                        <w:left w:val="none" w:sz="0" w:space="0" w:color="auto"/>
                                        <w:bottom w:val="none" w:sz="0" w:space="0" w:color="auto"/>
                                        <w:right w:val="none" w:sz="0" w:space="0" w:color="auto"/>
                                      </w:divBdr>
                                      <w:divsChild>
                                        <w:div w:id="699865369">
                                          <w:marLeft w:val="0"/>
                                          <w:marRight w:val="0"/>
                                          <w:marTop w:val="0"/>
                                          <w:marBottom w:val="0"/>
                                          <w:divBdr>
                                            <w:top w:val="none" w:sz="0" w:space="0" w:color="auto"/>
                                            <w:left w:val="none" w:sz="0" w:space="0" w:color="auto"/>
                                            <w:bottom w:val="none" w:sz="0" w:space="0" w:color="auto"/>
                                            <w:right w:val="none" w:sz="0" w:space="0" w:color="auto"/>
                                          </w:divBdr>
                                          <w:divsChild>
                                            <w:div w:id="261189080">
                                              <w:marLeft w:val="0"/>
                                              <w:marRight w:val="0"/>
                                              <w:marTop w:val="0"/>
                                              <w:marBottom w:val="0"/>
                                              <w:divBdr>
                                                <w:top w:val="none" w:sz="0" w:space="0" w:color="auto"/>
                                                <w:left w:val="none" w:sz="0" w:space="0" w:color="auto"/>
                                                <w:bottom w:val="none" w:sz="0" w:space="0" w:color="auto"/>
                                                <w:right w:val="none" w:sz="0" w:space="0" w:color="auto"/>
                                              </w:divBdr>
                                              <w:divsChild>
                                                <w:div w:id="1411735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82567663">
      <w:bodyDiv w:val="1"/>
      <w:marLeft w:val="0"/>
      <w:marRight w:val="0"/>
      <w:marTop w:val="0"/>
      <w:marBottom w:val="0"/>
      <w:divBdr>
        <w:top w:val="none" w:sz="0" w:space="0" w:color="auto"/>
        <w:left w:val="none" w:sz="0" w:space="0" w:color="auto"/>
        <w:bottom w:val="none" w:sz="0" w:space="0" w:color="auto"/>
        <w:right w:val="none" w:sz="0" w:space="0" w:color="auto"/>
      </w:divBdr>
    </w:div>
    <w:div w:id="1594780741">
      <w:bodyDiv w:val="1"/>
      <w:marLeft w:val="0"/>
      <w:marRight w:val="0"/>
      <w:marTop w:val="0"/>
      <w:marBottom w:val="0"/>
      <w:divBdr>
        <w:top w:val="none" w:sz="0" w:space="0" w:color="auto"/>
        <w:left w:val="none" w:sz="0" w:space="0" w:color="auto"/>
        <w:bottom w:val="none" w:sz="0" w:space="0" w:color="auto"/>
        <w:right w:val="none" w:sz="0" w:space="0" w:color="auto"/>
      </w:divBdr>
    </w:div>
    <w:div w:id="1602301721">
      <w:bodyDiv w:val="1"/>
      <w:marLeft w:val="0"/>
      <w:marRight w:val="0"/>
      <w:marTop w:val="0"/>
      <w:marBottom w:val="0"/>
      <w:divBdr>
        <w:top w:val="none" w:sz="0" w:space="0" w:color="auto"/>
        <w:left w:val="none" w:sz="0" w:space="0" w:color="auto"/>
        <w:bottom w:val="none" w:sz="0" w:space="0" w:color="auto"/>
        <w:right w:val="none" w:sz="0" w:space="0" w:color="auto"/>
      </w:divBdr>
      <w:divsChild>
        <w:div w:id="330912983">
          <w:marLeft w:val="0"/>
          <w:marRight w:val="0"/>
          <w:marTop w:val="0"/>
          <w:marBottom w:val="0"/>
          <w:divBdr>
            <w:top w:val="none" w:sz="0" w:space="0" w:color="auto"/>
            <w:left w:val="none" w:sz="0" w:space="0" w:color="auto"/>
            <w:bottom w:val="none" w:sz="0" w:space="0" w:color="auto"/>
            <w:right w:val="none" w:sz="0" w:space="0" w:color="auto"/>
          </w:divBdr>
          <w:divsChild>
            <w:div w:id="873614885">
              <w:marLeft w:val="0"/>
              <w:marRight w:val="0"/>
              <w:marTop w:val="0"/>
              <w:marBottom w:val="0"/>
              <w:divBdr>
                <w:top w:val="none" w:sz="0" w:space="0" w:color="auto"/>
                <w:left w:val="none" w:sz="0" w:space="0" w:color="auto"/>
                <w:bottom w:val="none" w:sz="0" w:space="0" w:color="auto"/>
                <w:right w:val="none" w:sz="0" w:space="0" w:color="auto"/>
              </w:divBdr>
              <w:divsChild>
                <w:div w:id="1932348820">
                  <w:marLeft w:val="0"/>
                  <w:marRight w:val="0"/>
                  <w:marTop w:val="0"/>
                  <w:marBottom w:val="0"/>
                  <w:divBdr>
                    <w:top w:val="none" w:sz="0" w:space="0" w:color="auto"/>
                    <w:left w:val="none" w:sz="0" w:space="0" w:color="auto"/>
                    <w:bottom w:val="none" w:sz="0" w:space="0" w:color="auto"/>
                    <w:right w:val="none" w:sz="0" w:space="0" w:color="auto"/>
                  </w:divBdr>
                  <w:divsChild>
                    <w:div w:id="382949929">
                      <w:marLeft w:val="-150"/>
                      <w:marRight w:val="-150"/>
                      <w:marTop w:val="0"/>
                      <w:marBottom w:val="0"/>
                      <w:divBdr>
                        <w:top w:val="none" w:sz="0" w:space="0" w:color="auto"/>
                        <w:left w:val="none" w:sz="0" w:space="0" w:color="auto"/>
                        <w:bottom w:val="none" w:sz="0" w:space="0" w:color="auto"/>
                        <w:right w:val="none" w:sz="0" w:space="0" w:color="auto"/>
                      </w:divBdr>
                      <w:divsChild>
                        <w:div w:id="1190684510">
                          <w:marLeft w:val="0"/>
                          <w:marRight w:val="0"/>
                          <w:marTop w:val="0"/>
                          <w:marBottom w:val="0"/>
                          <w:divBdr>
                            <w:top w:val="none" w:sz="0" w:space="0" w:color="auto"/>
                            <w:left w:val="none" w:sz="0" w:space="0" w:color="auto"/>
                            <w:bottom w:val="none" w:sz="0" w:space="0" w:color="auto"/>
                            <w:right w:val="none" w:sz="0" w:space="0" w:color="auto"/>
                          </w:divBdr>
                          <w:divsChild>
                            <w:div w:id="646207179">
                              <w:marLeft w:val="0"/>
                              <w:marRight w:val="0"/>
                              <w:marTop w:val="225"/>
                              <w:marBottom w:val="0"/>
                              <w:divBdr>
                                <w:top w:val="none" w:sz="0" w:space="0" w:color="auto"/>
                                <w:left w:val="single" w:sz="6" w:space="0" w:color="A6A6A6"/>
                                <w:bottom w:val="none" w:sz="0" w:space="0" w:color="auto"/>
                                <w:right w:val="none" w:sz="0" w:space="0" w:color="auto"/>
                              </w:divBdr>
                              <w:divsChild>
                                <w:div w:id="783615414">
                                  <w:marLeft w:val="0"/>
                                  <w:marRight w:val="0"/>
                                  <w:marTop w:val="0"/>
                                  <w:marBottom w:val="0"/>
                                  <w:divBdr>
                                    <w:top w:val="none" w:sz="0" w:space="0" w:color="auto"/>
                                    <w:left w:val="none" w:sz="0" w:space="0" w:color="auto"/>
                                    <w:bottom w:val="none" w:sz="0" w:space="0" w:color="auto"/>
                                    <w:right w:val="none" w:sz="0" w:space="0" w:color="auto"/>
                                  </w:divBdr>
                                  <w:divsChild>
                                    <w:div w:id="74321942">
                                      <w:marLeft w:val="0"/>
                                      <w:marRight w:val="0"/>
                                      <w:marTop w:val="0"/>
                                      <w:marBottom w:val="120"/>
                                      <w:divBdr>
                                        <w:top w:val="none" w:sz="0" w:space="0" w:color="auto"/>
                                        <w:left w:val="none" w:sz="0" w:space="0" w:color="auto"/>
                                        <w:bottom w:val="none" w:sz="0" w:space="0" w:color="auto"/>
                                        <w:right w:val="none" w:sz="0" w:space="0" w:color="auto"/>
                                      </w:divBdr>
                                      <w:divsChild>
                                        <w:div w:id="1287589018">
                                          <w:marLeft w:val="0"/>
                                          <w:marRight w:val="0"/>
                                          <w:marTop w:val="0"/>
                                          <w:marBottom w:val="0"/>
                                          <w:divBdr>
                                            <w:top w:val="none" w:sz="0" w:space="0" w:color="auto"/>
                                            <w:left w:val="none" w:sz="0" w:space="0" w:color="auto"/>
                                            <w:bottom w:val="none" w:sz="0" w:space="0" w:color="auto"/>
                                            <w:right w:val="none" w:sz="0" w:space="0" w:color="auto"/>
                                          </w:divBdr>
                                          <w:divsChild>
                                            <w:div w:id="1500386260">
                                              <w:marLeft w:val="0"/>
                                              <w:marRight w:val="0"/>
                                              <w:marTop w:val="0"/>
                                              <w:marBottom w:val="0"/>
                                              <w:divBdr>
                                                <w:top w:val="none" w:sz="0" w:space="0" w:color="auto"/>
                                                <w:left w:val="none" w:sz="0" w:space="0" w:color="auto"/>
                                                <w:bottom w:val="none" w:sz="0" w:space="0" w:color="auto"/>
                                                <w:right w:val="none" w:sz="0" w:space="0" w:color="auto"/>
                                              </w:divBdr>
                                              <w:divsChild>
                                                <w:div w:id="1276136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33061218">
      <w:bodyDiv w:val="1"/>
      <w:marLeft w:val="0"/>
      <w:marRight w:val="0"/>
      <w:marTop w:val="0"/>
      <w:marBottom w:val="0"/>
      <w:divBdr>
        <w:top w:val="none" w:sz="0" w:space="0" w:color="auto"/>
        <w:left w:val="none" w:sz="0" w:space="0" w:color="auto"/>
        <w:bottom w:val="none" w:sz="0" w:space="0" w:color="auto"/>
        <w:right w:val="none" w:sz="0" w:space="0" w:color="auto"/>
      </w:divBdr>
    </w:div>
    <w:div w:id="1873112474">
      <w:bodyDiv w:val="1"/>
      <w:marLeft w:val="0"/>
      <w:marRight w:val="0"/>
      <w:marTop w:val="0"/>
      <w:marBottom w:val="0"/>
      <w:divBdr>
        <w:top w:val="none" w:sz="0" w:space="0" w:color="auto"/>
        <w:left w:val="none" w:sz="0" w:space="0" w:color="auto"/>
        <w:bottom w:val="none" w:sz="0" w:space="0" w:color="auto"/>
        <w:right w:val="none" w:sz="0" w:space="0" w:color="auto"/>
      </w:divBdr>
      <w:divsChild>
        <w:div w:id="1545949116">
          <w:marLeft w:val="0"/>
          <w:marRight w:val="0"/>
          <w:marTop w:val="0"/>
          <w:marBottom w:val="0"/>
          <w:divBdr>
            <w:top w:val="none" w:sz="0" w:space="0" w:color="auto"/>
            <w:left w:val="none" w:sz="0" w:space="0" w:color="auto"/>
            <w:bottom w:val="none" w:sz="0" w:space="0" w:color="auto"/>
            <w:right w:val="none" w:sz="0" w:space="0" w:color="auto"/>
          </w:divBdr>
          <w:divsChild>
            <w:div w:id="1579560485">
              <w:marLeft w:val="0"/>
              <w:marRight w:val="0"/>
              <w:marTop w:val="0"/>
              <w:marBottom w:val="0"/>
              <w:divBdr>
                <w:top w:val="none" w:sz="0" w:space="0" w:color="auto"/>
                <w:left w:val="none" w:sz="0" w:space="0" w:color="auto"/>
                <w:bottom w:val="none" w:sz="0" w:space="0" w:color="auto"/>
                <w:right w:val="none" w:sz="0" w:space="0" w:color="auto"/>
              </w:divBdr>
              <w:divsChild>
                <w:div w:id="1947808747">
                  <w:marLeft w:val="0"/>
                  <w:marRight w:val="0"/>
                  <w:marTop w:val="0"/>
                  <w:marBottom w:val="0"/>
                  <w:divBdr>
                    <w:top w:val="none" w:sz="0" w:space="0" w:color="auto"/>
                    <w:left w:val="none" w:sz="0" w:space="0" w:color="auto"/>
                    <w:bottom w:val="none" w:sz="0" w:space="0" w:color="auto"/>
                    <w:right w:val="none" w:sz="0" w:space="0" w:color="auto"/>
                  </w:divBdr>
                  <w:divsChild>
                    <w:div w:id="610013188">
                      <w:marLeft w:val="-150"/>
                      <w:marRight w:val="-150"/>
                      <w:marTop w:val="0"/>
                      <w:marBottom w:val="0"/>
                      <w:divBdr>
                        <w:top w:val="none" w:sz="0" w:space="0" w:color="auto"/>
                        <w:left w:val="none" w:sz="0" w:space="0" w:color="auto"/>
                        <w:bottom w:val="none" w:sz="0" w:space="0" w:color="auto"/>
                        <w:right w:val="none" w:sz="0" w:space="0" w:color="auto"/>
                      </w:divBdr>
                      <w:divsChild>
                        <w:div w:id="2017925166">
                          <w:marLeft w:val="0"/>
                          <w:marRight w:val="0"/>
                          <w:marTop w:val="0"/>
                          <w:marBottom w:val="0"/>
                          <w:divBdr>
                            <w:top w:val="none" w:sz="0" w:space="0" w:color="auto"/>
                            <w:left w:val="none" w:sz="0" w:space="0" w:color="auto"/>
                            <w:bottom w:val="none" w:sz="0" w:space="0" w:color="auto"/>
                            <w:right w:val="none" w:sz="0" w:space="0" w:color="auto"/>
                          </w:divBdr>
                          <w:divsChild>
                            <w:div w:id="38670066">
                              <w:marLeft w:val="0"/>
                              <w:marRight w:val="0"/>
                              <w:marTop w:val="225"/>
                              <w:marBottom w:val="0"/>
                              <w:divBdr>
                                <w:top w:val="none" w:sz="0" w:space="0" w:color="auto"/>
                                <w:left w:val="single" w:sz="6" w:space="0" w:color="A6A6A6"/>
                                <w:bottom w:val="none" w:sz="0" w:space="0" w:color="auto"/>
                                <w:right w:val="none" w:sz="0" w:space="0" w:color="auto"/>
                              </w:divBdr>
                              <w:divsChild>
                                <w:div w:id="1676684444">
                                  <w:marLeft w:val="0"/>
                                  <w:marRight w:val="0"/>
                                  <w:marTop w:val="0"/>
                                  <w:marBottom w:val="0"/>
                                  <w:divBdr>
                                    <w:top w:val="none" w:sz="0" w:space="0" w:color="auto"/>
                                    <w:left w:val="none" w:sz="0" w:space="0" w:color="auto"/>
                                    <w:bottom w:val="none" w:sz="0" w:space="0" w:color="auto"/>
                                    <w:right w:val="none" w:sz="0" w:space="0" w:color="auto"/>
                                  </w:divBdr>
                                  <w:divsChild>
                                    <w:div w:id="1724400163">
                                      <w:marLeft w:val="0"/>
                                      <w:marRight w:val="0"/>
                                      <w:marTop w:val="0"/>
                                      <w:marBottom w:val="120"/>
                                      <w:divBdr>
                                        <w:top w:val="none" w:sz="0" w:space="0" w:color="auto"/>
                                        <w:left w:val="none" w:sz="0" w:space="0" w:color="auto"/>
                                        <w:bottom w:val="none" w:sz="0" w:space="0" w:color="auto"/>
                                        <w:right w:val="none" w:sz="0" w:space="0" w:color="auto"/>
                                      </w:divBdr>
                                      <w:divsChild>
                                        <w:div w:id="535892559">
                                          <w:marLeft w:val="0"/>
                                          <w:marRight w:val="0"/>
                                          <w:marTop w:val="0"/>
                                          <w:marBottom w:val="0"/>
                                          <w:divBdr>
                                            <w:top w:val="none" w:sz="0" w:space="0" w:color="auto"/>
                                            <w:left w:val="none" w:sz="0" w:space="0" w:color="auto"/>
                                            <w:bottom w:val="none" w:sz="0" w:space="0" w:color="auto"/>
                                            <w:right w:val="none" w:sz="0" w:space="0" w:color="auto"/>
                                          </w:divBdr>
                                          <w:divsChild>
                                            <w:div w:id="1779399823">
                                              <w:marLeft w:val="0"/>
                                              <w:marRight w:val="0"/>
                                              <w:marTop w:val="0"/>
                                              <w:marBottom w:val="0"/>
                                              <w:divBdr>
                                                <w:top w:val="none" w:sz="0" w:space="0" w:color="auto"/>
                                                <w:left w:val="none" w:sz="0" w:space="0" w:color="auto"/>
                                                <w:bottom w:val="none" w:sz="0" w:space="0" w:color="auto"/>
                                                <w:right w:val="none" w:sz="0" w:space="0" w:color="auto"/>
                                              </w:divBdr>
                                              <w:divsChild>
                                                <w:div w:id="1937638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21424175">
      <w:bodyDiv w:val="1"/>
      <w:marLeft w:val="0"/>
      <w:marRight w:val="0"/>
      <w:marTop w:val="0"/>
      <w:marBottom w:val="0"/>
      <w:divBdr>
        <w:top w:val="none" w:sz="0" w:space="0" w:color="auto"/>
        <w:left w:val="none" w:sz="0" w:space="0" w:color="auto"/>
        <w:bottom w:val="none" w:sz="0" w:space="0" w:color="auto"/>
        <w:right w:val="none" w:sz="0" w:space="0" w:color="auto"/>
      </w:divBdr>
    </w:div>
    <w:div w:id="2128620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ftaa-alca.org/ngroups/ngdisp_s.asp" TargetMode="External"/><Relationship Id="rId18" Type="http://schemas.openxmlformats.org/officeDocument/2006/relationships/hyperlink" Target="http://www.ftaa-alca.org/SPCOMM/COMMSE_s.ASP" TargetMode="External"/><Relationship Id="rId26" Type="http://schemas.openxmlformats.org/officeDocument/2006/relationships/hyperlink" Target="http://www.ftaa-alca.org/View_s.asp" TargetMode="External"/><Relationship Id="rId39" Type="http://schemas.openxmlformats.org/officeDocument/2006/relationships/hyperlink" Target="http://www.servicioskoinonia.org/boff/articulo.php?num=396" TargetMode="External"/><Relationship Id="rId21" Type="http://schemas.openxmlformats.org/officeDocument/2006/relationships/hyperlink" Target="http://www.ftaa-alca.org/spcomm/Commii_s.asp" TargetMode="External"/><Relationship Id="rId34" Type="http://schemas.openxmlformats.org/officeDocument/2006/relationships/hyperlink" Target="http://ccs.infospace.com/ClickHandler.ashx?ld=20150209&amp;app=1&amp;c=omigahosted3&amp;s=omiga&amp;rc=omigahosted3&amp;dc=&amp;euip=187.189.55.138&amp;pvaid=6a57b20769df4c25b4dacbde4bc03794&amp;dt=Desktop&amp;fct.uid=5b17389e8e9743338edd794bb74e9044&amp;en=z65vpYxnH2msrj9d76gCVGRgYfLv2tECKU1aWhhh3xNXRLCYIfssgQ%3d%3d&amp;du=www.mercosur.int%2fshow%3fcontentid%3d3862&amp;ru=http%3a%2f%2fwww.mercosur.int%2fshow%3fcontentid%3d3862&amp;ap=8&amp;coi=771&amp;cop=main-title&amp;npp=8&amp;p=0&amp;pp=0&amp;ep=8&amp;mid=9&amp;hash=DBF1C0F3EB135F42BEAF3AA586845AB6" TargetMode="External"/><Relationship Id="rId42" Type="http://schemas.openxmlformats.org/officeDocument/2006/relationships/chart" Target="charts/chart1.xml"/><Relationship Id="rId7" Type="http://schemas.openxmlformats.org/officeDocument/2006/relationships/hyperlink" Target="http://www.oei.es/metas2021/index.html" TargetMode="External"/><Relationship Id="rId2" Type="http://schemas.openxmlformats.org/officeDocument/2006/relationships/styles" Target="styles.xml"/><Relationship Id="rId16" Type="http://schemas.openxmlformats.org/officeDocument/2006/relationships/hyperlink" Target="http://www.ftaa-alca.org/ngroups/ngsubs_s.asp" TargetMode="External"/><Relationship Id="rId29" Type="http://schemas.openxmlformats.org/officeDocument/2006/relationships/hyperlink" Target="http://ccs.infospace.com/ClickHandler.ashx?ld=20150209&amp;app=1&amp;c=omigahosted3&amp;s=omiga&amp;rc=omigahosted3&amp;dc=&amp;euip=187.189.55.138&amp;pvaid=474e718d924b427c9d56f0b9d91dd1e2&amp;dt=Desktop&amp;fct.uid=5b17389e8e9743338edd794bb74e9044&amp;en=z65vpYxnH2msrj9d76gCVGRgYfLv2tECKU1aWhhh3xNXRLCYIfssgQ%3d%3d&amp;du=www.summit-americas.org%2fdefaults.htm&amp;ru=http%3a%2f%2fwww.summit-americas.org%2fdefaults.htm&amp;ap=2&amp;coi=771&amp;cop=main-title&amp;npp=2&amp;p=0&amp;pp=0&amp;ep=2&amp;mid=9&amp;hash=32A44B19AD6085EB97B583D696A9FBBC"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ftaa-alca.org/ngroups/ngserv_s.asp" TargetMode="External"/><Relationship Id="rId24" Type="http://schemas.openxmlformats.org/officeDocument/2006/relationships/hyperlink" Target="http://www.ftaa-alca.org/View_s.asp" TargetMode="External"/><Relationship Id="rId32" Type="http://schemas.openxmlformats.org/officeDocument/2006/relationships/hyperlink" Target="http://ccs.infospace.com/ClickHandler.ashx?ld=20150209&amp;app=1&amp;c=omigahosted3&amp;s=omiga&amp;rc=omigahosted3&amp;dc=&amp;euip=187.189.55.138&amp;pvaid=474e718d924b427c9d56f0b9d91dd1e2&amp;dt=Desktop&amp;fct.uid=5b17389e8e9743338edd794bb74e9044&amp;en=z65vpYxnH2msrj9d76gCVGRgYfLv2tECKU1aWhhh3xNXRLCYIfssgQ%3d%3d&amp;du=www.summit-americas.org%2fdefaults.htm&amp;ru=http%3a%2f%2fwww.summit-americas.org%2fdefaults.htm&amp;ap=2&amp;coi=771&amp;cop=main-title&amp;npp=2&amp;p=0&amp;pp=0&amp;ep=2&amp;mid=9&amp;hash=32A44B19AD6085EB97B583D696A9FBBC" TargetMode="External"/><Relationship Id="rId37" Type="http://schemas.openxmlformats.org/officeDocument/2006/relationships/hyperlink" Target="http://ccs.infospace.com/ClickHandler.ashx?ld=20150209&amp;app=1&amp;c=omigahosted3&amp;s=omiga&amp;rc=omigahosted3&amp;dc=&amp;euip=187.189.55.138&amp;pvaid=6a57b20769df4c25b4dacbde4bc03794&amp;dt=Desktop&amp;fct.uid=5b17389e8e9743338edd794bb74e9044&amp;en=z65vpYxnH2msrj9d76gCVGRgYfLv2tECKU1aWhhh3xNXRLCYIfssgQ%3d%3d&amp;du=www.mercosur.int%2fshow%3fcontentid%3d3862&amp;ru=http%3a%2f%2fwww.mercosur.int%2fshow%3fcontentid%3d3862&amp;ap=8&amp;coi=771&amp;cop=main-title&amp;npp=8&amp;p=0&amp;pp=0&amp;ep=8&amp;mid=9&amp;hash=DBF1C0F3EB135F42BEAF3AA586845AB6" TargetMode="External"/><Relationship Id="rId40" Type="http://schemas.openxmlformats.org/officeDocument/2006/relationships/hyperlink" Target="http://www.colorado.edu/studentgroups/libertarians/issues/friedman-soc-resp-%09business.html" TargetMode="Externa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ftaa-alca.org/ngroups/ngprop_s.asp" TargetMode="External"/><Relationship Id="rId23" Type="http://schemas.openxmlformats.org/officeDocument/2006/relationships/hyperlink" Target="http://www.aladi.org" TargetMode="External"/><Relationship Id="rId28" Type="http://schemas.openxmlformats.org/officeDocument/2006/relationships/hyperlink" Target="http://ccs.infospace.com/ClickHandler.ashx?ld=20150209&amp;app=1&amp;c=omigahosted3&amp;s=omiga&amp;rc=omigahosted3&amp;dc=&amp;euip=187.189.55.138&amp;pvaid=474e718d924b427c9d56f0b9d91dd1e2&amp;dt=Desktop&amp;fct.uid=5b17389e8e9743338edd794bb74e9044&amp;en=z65vpYxnH2msrj9d76gCVGRgYfLv2tECKU1aWhhh3xNXRLCYIfssgQ%3d%3d&amp;du=www.summit-americas.org%2fdefaults.htm&amp;ru=http%3a%2f%2fwww.summit-americas.org%2fdefaults.htm&amp;ap=2&amp;coi=771&amp;cop=main-title&amp;npp=2&amp;p=0&amp;pp=0&amp;ep=2&amp;mid=9&amp;hash=32A44B19AD6085EB97B583D696A9FBBC" TargetMode="External"/><Relationship Id="rId36" Type="http://schemas.openxmlformats.org/officeDocument/2006/relationships/hyperlink" Target="http://ccs.infospace.com/ClickHandler.ashx?ld=20150209&amp;app=1&amp;c=omigahosted3&amp;s=omiga&amp;rc=omigahosted3&amp;dc=&amp;euip=187.189.55.138&amp;pvaid=6a57b20769df4c25b4dacbde4bc03794&amp;dt=Desktop&amp;fct.uid=5b17389e8e9743338edd794bb74e9044&amp;en=z65vpYxnH2msrj9d76gCVGRgYfLv2tECKU1aWhhh3xNXRLCYIfssgQ%3d%3d&amp;du=www.mercosur.int%2fshow%3fcontentid%3d3862&amp;ru=http%3a%2f%2fwww.mercosur.int%2fshow%3fcontentid%3d3862&amp;ap=8&amp;coi=771&amp;cop=main-title&amp;npp=8&amp;p=0&amp;pp=0&amp;ep=8&amp;mid=9&amp;hash=DBF1C0F3EB135F42BEAF3AA586845AB6" TargetMode="External"/><Relationship Id="rId10" Type="http://schemas.openxmlformats.org/officeDocument/2006/relationships/hyperlink" Target="http://www.ftaa-alca.org/ngroups/nginve_s.asp" TargetMode="External"/><Relationship Id="rId19" Type="http://schemas.openxmlformats.org/officeDocument/2006/relationships/hyperlink" Target="http://www.ftaa-alca.org/SPCOMM/COMMCS_S.ASP" TargetMode="External"/><Relationship Id="rId31" Type="http://schemas.openxmlformats.org/officeDocument/2006/relationships/hyperlink" Target="http://ccs.infospace.com/ClickHandler.ashx?ld=20150209&amp;app=1&amp;c=omigahosted3&amp;s=omiga&amp;rc=omigahosted3&amp;dc=&amp;euip=187.189.55.138&amp;pvaid=474e718d924b427c9d56f0b9d91dd1e2&amp;dt=Desktop&amp;fct.uid=5b17389e8e9743338edd794bb74e9044&amp;en=z65vpYxnH2msrj9d76gCVGRgYfLv2tECKU1aWhhh3xNXRLCYIfssgQ%3d%3d&amp;du=www.summit-americas.org%2fdefaults.htm&amp;ru=http%3a%2f%2fwww.summit-americas.org%2fdefaults.htm&amp;ap=2&amp;coi=771&amp;cop=main-title&amp;npp=2&amp;p=0&amp;pp=0&amp;ep=2&amp;mid=9&amp;hash=32A44B19AD6085EB97B583D696A9FBBC" TargetMode="External"/><Relationship Id="rId44" Type="http://schemas.openxmlformats.org/officeDocument/2006/relationships/hyperlink" Target="http://iacd.oas.org/LaEduca132/reimer123-133test.html" TargetMode="External"/><Relationship Id="rId4" Type="http://schemas.openxmlformats.org/officeDocument/2006/relationships/webSettings" Target="webSettings.xml"/><Relationship Id="rId9" Type="http://schemas.openxmlformats.org/officeDocument/2006/relationships/hyperlink" Target="http://www.ftaa-alca.org/ngroups/ngma_s.asp" TargetMode="External"/><Relationship Id="rId14" Type="http://schemas.openxmlformats.org/officeDocument/2006/relationships/hyperlink" Target="http://www.ftaa-alca.org/ngroups/ngag_s.asp" TargetMode="External"/><Relationship Id="rId22" Type="http://schemas.openxmlformats.org/officeDocument/2006/relationships/hyperlink" Target="http://www.ftaa-alca.org/BusFaci_s.asp" TargetMode="External"/><Relationship Id="rId27" Type="http://schemas.openxmlformats.org/officeDocument/2006/relationships/hyperlink" Target="http://ccs.infospace.com/ClickHandler.ashx?ld=20150209&amp;app=1&amp;c=omigahosted3&amp;s=omiga&amp;rc=omigahosted3&amp;dc=&amp;euip=187.189.55.138&amp;pvaid=474e718d924b427c9d56f0b9d91dd1e2&amp;dt=Desktop&amp;fct.uid=5b17389e8e9743338edd794bb74e9044&amp;en=z65vpYxnH2msrj9d76gCVGRgYfLv2tECKU1aWhhh3xNXRLCYIfssgQ%3d%3d&amp;du=www.summit-americas.org%2fdefaults.htm&amp;ru=http%3a%2f%2fwww.summit-americas.org%2fdefaults.htm&amp;ap=2&amp;coi=771&amp;cop=main-title&amp;npp=2&amp;p=0&amp;pp=0&amp;ep=2&amp;mid=9&amp;hash=32A44B19AD6085EB97B583D696A9FBBC" TargetMode="External"/><Relationship Id="rId30" Type="http://schemas.openxmlformats.org/officeDocument/2006/relationships/hyperlink" Target="http://ccs.infospace.com/ClickHandler.ashx?ld=20150209&amp;app=1&amp;c=omigahosted3&amp;s=omiga&amp;rc=omigahosted3&amp;dc=&amp;euip=187.189.55.138&amp;pvaid=474e718d924b427c9d56f0b9d91dd1e2&amp;dt=Desktop&amp;fct.uid=5b17389e8e9743338edd794bb74e9044&amp;en=z65vpYxnH2msrj9d76gCVGRgYfLv2tECKU1aWhhh3xNXRLCYIfssgQ%3d%3d&amp;du=www.summit-americas.org%2fdefaults.htm&amp;ru=http%3a%2f%2fwww.summit-americas.org%2fdefaults.htm&amp;ap=2&amp;coi=771&amp;cop=main-title&amp;npp=2&amp;p=0&amp;pp=0&amp;ep=2&amp;mid=9&amp;hash=32A44B19AD6085EB97B583D696A9FBBC" TargetMode="External"/><Relationship Id="rId35" Type="http://schemas.openxmlformats.org/officeDocument/2006/relationships/hyperlink" Target="http://ccs.infospace.com/ClickHandler.ashx?ld=20150209&amp;app=1&amp;c=omigahosted3&amp;s=omiga&amp;rc=omigahosted3&amp;dc=&amp;euip=187.189.55.138&amp;pvaid=6a57b20769df4c25b4dacbde4bc03794&amp;dt=Desktop&amp;fct.uid=5b17389e8e9743338edd794bb74e9044&amp;en=z65vpYxnH2msrj9d76gCVGRgYfLv2tECKU1aWhhh3xNXRLCYIfssgQ%3d%3d&amp;du=www.mercosur.int%2fshow%3fcontentid%3d3862&amp;ru=http%3a%2f%2fwww.mercosur.int%2fshow%3fcontentid%3d3862&amp;ap=8&amp;coi=771&amp;cop=main-title&amp;npp=8&amp;p=0&amp;pp=0&amp;ep=8&amp;mid=9&amp;hash=DBF1C0F3EB135F42BEAF3AA586845AB6" TargetMode="External"/><Relationship Id="rId43" Type="http://schemas.openxmlformats.org/officeDocument/2006/relationships/chart" Target="charts/chart2.xml"/><Relationship Id="rId8" Type="http://schemas.openxmlformats.org/officeDocument/2006/relationships/hyperlink" Target="http://www.oei.es/espacioiberoamericanodelconocimiento.htm" TargetMode="External"/><Relationship Id="rId3" Type="http://schemas.openxmlformats.org/officeDocument/2006/relationships/settings" Target="settings.xml"/><Relationship Id="rId12" Type="http://schemas.openxmlformats.org/officeDocument/2006/relationships/hyperlink" Target="http://www.ftaa-alca.org/ngroups/nggp_s.asp" TargetMode="External"/><Relationship Id="rId17" Type="http://schemas.openxmlformats.org/officeDocument/2006/relationships/hyperlink" Target="http://www.ftaa-alca.org/ngroups/ngcomp_s.asp" TargetMode="External"/><Relationship Id="rId25" Type="http://schemas.openxmlformats.org/officeDocument/2006/relationships/hyperlink" Target="http://www.aladi.org" TargetMode="External"/><Relationship Id="rId33" Type="http://schemas.openxmlformats.org/officeDocument/2006/relationships/hyperlink" Target="http://ccs.infospace.com/ClickHandler.ashx?ld=20150209&amp;app=1&amp;c=omigahosted3&amp;s=omiga&amp;rc=omigahosted3&amp;dc=&amp;euip=187.189.55.138&amp;pvaid=474e718d924b427c9d56f0b9d91dd1e2&amp;dt=Desktop&amp;fct.uid=5b17389e8e9743338edd794bb74e9044&amp;en=z65vpYxnH2msrj9d76gCVGRgYfLv2tECKU1aWhhh3xNXRLCYIfssgQ%3d%3d&amp;du=www.summit-americas.org%2fdefaults.htm&amp;ru=http%3a%2f%2fwww.summit-americas.org%2fdefaults.htm&amp;ap=2&amp;coi=771&amp;cop=main-title&amp;npp=2&amp;p=0&amp;pp=0&amp;ep=2&amp;mid=9&amp;hash=32A44B19AD6085EB97B583D696A9FBBC" TargetMode="External"/><Relationship Id="rId38" Type="http://schemas.openxmlformats.org/officeDocument/2006/relationships/hyperlink" Target="http://ccs.infospace.com/ClickHandler.ashx?ld=20150209&amp;app=1&amp;c=omigahosted3&amp;s=omiga&amp;rc=omigahosted3&amp;dc=&amp;euip=187.189.55.138&amp;pvaid=6a57b20769df4c25b4dacbde4bc03794&amp;dt=Desktop&amp;fct.uid=5b17389e8e9743338edd794bb74e9044&amp;en=z65vpYxnH2msrj9d76gCVGRgYfLv2tECKU1aWhhh3xNXRLCYIfssgQ%3d%3d&amp;du=www.mercosur.int%2fshow%3fcontentid%3d3862&amp;ru=http%3a%2f%2fwww.mercosur.int%2fshow%3fcontentid%3d3862&amp;ap=8&amp;coi=771&amp;cop=main-title&amp;npp=8&amp;p=0&amp;pp=0&amp;ep=8&amp;mid=9&amp;hash=DBF1C0F3EB135F42BEAF3AA586845AB6" TargetMode="External"/><Relationship Id="rId46" Type="http://schemas.openxmlformats.org/officeDocument/2006/relationships/theme" Target="theme/theme1.xml"/><Relationship Id="rId20" Type="http://schemas.openxmlformats.org/officeDocument/2006/relationships/hyperlink" Target="http://www.ftaa-alca.org/SPCOMM/COMMEC_s.ASP" TargetMode="External"/><Relationship Id="rId41" Type="http://schemas.openxmlformats.org/officeDocument/2006/relationships/hyperlink" Target="http://www.esi2.us.es/~fabio/mision.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renepedroza:Hp%20sistema:articulos:2012:Opini&#243;n:Gr&#225;ficas:Gr&#225;fica%201.%20Distribuci&#243;n%20Pobrez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renepedroza:Hp%20sistema:articulos:2012:Opini&#243;n:Gr&#225;ficas:Gr&#225;fica%202.%20Estructura%20del%20gasto%20por%20decil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7"/>
    </mc:Choice>
    <mc:Fallback>
      <c:style val="17"/>
    </mc:Fallback>
  </mc:AlternateContent>
  <c:chart>
    <c:title>
      <c:tx>
        <c:rich>
          <a:bodyPr/>
          <a:lstStyle/>
          <a:p>
            <a:pPr>
              <a:defRPr/>
            </a:pPr>
            <a:r>
              <a:rPr lang="es-ES" sz="1000"/>
              <a:t>Graphic 1</a:t>
            </a:r>
          </a:p>
          <a:p>
            <a:pPr>
              <a:defRPr/>
            </a:pPr>
            <a:endParaRPr lang="es-ES" sz="1000"/>
          </a:p>
          <a:p>
            <a:pPr>
              <a:defRPr/>
            </a:pPr>
            <a:r>
              <a:rPr lang="es-ES" sz="1000"/>
              <a:t>National Poverty 2008-2010</a:t>
            </a:r>
          </a:p>
          <a:p>
            <a:pPr>
              <a:defRPr/>
            </a:pPr>
            <a:r>
              <a:rPr lang="es-ES" sz="1000" b="0"/>
              <a:t>(Distribution in</a:t>
            </a:r>
            <a:r>
              <a:rPr lang="es-ES" sz="1000" b="0" baseline="0"/>
              <a:t> number of persons</a:t>
            </a:r>
            <a:r>
              <a:rPr lang="es-ES" sz="1000" b="0"/>
              <a:t>)</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Hoja1!$A$3</c:f>
              <c:strCache>
                <c:ptCount val="1"/>
                <c:pt idx="0">
                  <c:v>Población en situación de pobreza extrema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Hoja1!$B$1:$C$2</c:f>
              <c:strCache>
                <c:ptCount val="2"/>
                <c:pt idx="0">
                  <c:v>2008</c:v>
                </c:pt>
                <c:pt idx="1">
                  <c:v>2010</c:v>
                </c:pt>
              </c:strCache>
            </c:strRef>
          </c:cat>
          <c:val>
            <c:numRef>
              <c:f>Hoja1!$B$3:$C$3</c:f>
              <c:numCache>
                <c:formatCode>General</c:formatCode>
                <c:ptCount val="2"/>
                <c:pt idx="0">
                  <c:v>11.7</c:v>
                </c:pt>
                <c:pt idx="1">
                  <c:v>11.7</c:v>
                </c:pt>
              </c:numCache>
            </c:numRef>
          </c:val>
        </c:ser>
        <c:ser>
          <c:idx val="1"/>
          <c:order val="1"/>
          <c:tx>
            <c:strRef>
              <c:f>Hoja1!$A$4</c:f>
              <c:strCache>
                <c:ptCount val="1"/>
                <c:pt idx="0">
                  <c:v>Población en situación de pobreza mediana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Hoja1!$B$1:$C$2</c:f>
              <c:strCache>
                <c:ptCount val="2"/>
                <c:pt idx="0">
                  <c:v>2008</c:v>
                </c:pt>
                <c:pt idx="1">
                  <c:v>2010</c:v>
                </c:pt>
              </c:strCache>
            </c:strRef>
          </c:cat>
          <c:val>
            <c:numRef>
              <c:f>Hoja1!$B$4:$C$4</c:f>
              <c:numCache>
                <c:formatCode>General</c:formatCode>
                <c:ptCount val="2"/>
                <c:pt idx="0">
                  <c:v>37.200000000000003</c:v>
                </c:pt>
                <c:pt idx="1">
                  <c:v>40.299999999999997</c:v>
                </c:pt>
              </c:numCache>
            </c:numRef>
          </c:val>
        </c:ser>
        <c:ser>
          <c:idx val="2"/>
          <c:order val="2"/>
          <c:tx>
            <c:strRef>
              <c:f>Hoja1!$A$5</c:f>
              <c:strCache>
                <c:ptCount val="1"/>
                <c:pt idx="0">
                  <c:v>Población vulnerable por carencias sociales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Hoja1!$B$1:$C$2</c:f>
              <c:strCache>
                <c:ptCount val="2"/>
                <c:pt idx="0">
                  <c:v>2008</c:v>
                </c:pt>
                <c:pt idx="1">
                  <c:v>2010</c:v>
                </c:pt>
              </c:strCache>
            </c:strRef>
          </c:cat>
          <c:val>
            <c:numRef>
              <c:f>Hoja1!$B$5:$C$5</c:f>
              <c:numCache>
                <c:formatCode>General</c:formatCode>
                <c:ptCount val="2"/>
                <c:pt idx="0">
                  <c:v>36.200000000000003</c:v>
                </c:pt>
                <c:pt idx="1">
                  <c:v>32.299999999999997</c:v>
                </c:pt>
              </c:numCache>
            </c:numRef>
          </c:val>
        </c:ser>
        <c:ser>
          <c:idx val="3"/>
          <c:order val="3"/>
          <c:tx>
            <c:strRef>
              <c:f>Hoja1!$A$6</c:f>
              <c:strCache>
                <c:ptCount val="1"/>
                <c:pt idx="0">
                  <c:v>Población vulnerable por ingresos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Hoja1!$B$1:$C$2</c:f>
              <c:strCache>
                <c:ptCount val="2"/>
                <c:pt idx="0">
                  <c:v>2008</c:v>
                </c:pt>
                <c:pt idx="1">
                  <c:v>2010</c:v>
                </c:pt>
              </c:strCache>
            </c:strRef>
          </c:cat>
          <c:val>
            <c:numRef>
              <c:f>Hoja1!$B$6:$C$6</c:f>
              <c:numCache>
                <c:formatCode>General</c:formatCode>
                <c:ptCount val="2"/>
                <c:pt idx="0">
                  <c:v>4.9000000000000004</c:v>
                </c:pt>
                <c:pt idx="1">
                  <c:v>6.5</c:v>
                </c:pt>
              </c:numCache>
            </c:numRef>
          </c:val>
        </c:ser>
        <c:ser>
          <c:idx val="4"/>
          <c:order val="4"/>
          <c:tx>
            <c:strRef>
              <c:f>Hoja1!$A$7</c:f>
              <c:strCache>
                <c:ptCount val="1"/>
                <c:pt idx="0">
                  <c:v>Población no pobre y no vulnerable</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Hoja1!$B$1:$C$2</c:f>
              <c:strCache>
                <c:ptCount val="2"/>
                <c:pt idx="0">
                  <c:v>2008</c:v>
                </c:pt>
                <c:pt idx="1">
                  <c:v>2010</c:v>
                </c:pt>
              </c:strCache>
            </c:strRef>
          </c:cat>
          <c:val>
            <c:numRef>
              <c:f>Hoja1!$B$7:$C$7</c:f>
              <c:numCache>
                <c:formatCode>General</c:formatCode>
                <c:ptCount val="2"/>
                <c:pt idx="0">
                  <c:v>19.7</c:v>
                </c:pt>
                <c:pt idx="1">
                  <c:v>21.8</c:v>
                </c:pt>
              </c:numCache>
            </c:numRef>
          </c:val>
        </c:ser>
        <c:dLbls>
          <c:showLegendKey val="0"/>
          <c:showVal val="1"/>
          <c:showCatName val="0"/>
          <c:showSerName val="0"/>
          <c:showPercent val="0"/>
          <c:showBubbleSize val="0"/>
        </c:dLbls>
        <c:gapWidth val="150"/>
        <c:shape val="box"/>
        <c:axId val="-997311904"/>
        <c:axId val="-997320608"/>
        <c:axId val="0"/>
      </c:bar3DChart>
      <c:catAx>
        <c:axId val="-997311904"/>
        <c:scaling>
          <c:orientation val="minMax"/>
        </c:scaling>
        <c:delete val="0"/>
        <c:axPos val="b"/>
        <c:numFmt formatCode="General" sourceLinked="0"/>
        <c:majorTickMark val="out"/>
        <c:minorTickMark val="none"/>
        <c:tickLblPos val="nextTo"/>
        <c:crossAx val="-997320608"/>
        <c:crosses val="autoZero"/>
        <c:auto val="1"/>
        <c:lblAlgn val="ctr"/>
        <c:lblOffset val="100"/>
        <c:noMultiLvlLbl val="0"/>
      </c:catAx>
      <c:valAx>
        <c:axId val="-997320608"/>
        <c:scaling>
          <c:orientation val="minMax"/>
        </c:scaling>
        <c:delete val="0"/>
        <c:axPos val="l"/>
        <c:majorGridlines/>
        <c:title>
          <c:tx>
            <c:rich>
              <a:bodyPr rot="0" vert="wordArtVert"/>
              <a:lstStyle/>
              <a:p>
                <a:pPr>
                  <a:defRPr/>
                </a:pPr>
                <a:r>
                  <a:rPr lang="es-ES" sz="1000"/>
                  <a:t>Millions of people</a:t>
                </a:r>
              </a:p>
            </c:rich>
          </c:tx>
          <c:layout>
            <c:manualLayout>
              <c:xMode val="edge"/>
              <c:yMode val="edge"/>
              <c:x val="2.5857027545691198E-2"/>
              <c:y val="0.141429603182507"/>
            </c:manualLayout>
          </c:layout>
          <c:overlay val="0"/>
        </c:title>
        <c:numFmt formatCode="General" sourceLinked="1"/>
        <c:majorTickMark val="none"/>
        <c:minorTickMark val="none"/>
        <c:tickLblPos val="nextTo"/>
        <c:crossAx val="-997311904"/>
        <c:crosses val="autoZero"/>
        <c:crossBetween val="between"/>
      </c:valAx>
    </c:plotArea>
    <c:legend>
      <c:legendPos val="r"/>
      <c:overlay val="0"/>
    </c:legend>
    <c:plotVisOnly val="1"/>
    <c:dispBlanksAs val="gap"/>
    <c:showDLblsOverMax val="0"/>
  </c:chart>
  <c:txPr>
    <a:bodyPr/>
    <a:lstStyle/>
    <a:p>
      <a:pPr>
        <a:defRPr>
          <a:latin typeface="Arial"/>
        </a:defRPr>
      </a:pPr>
      <a:endParaRPr lang="es-MX"/>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7"/>
    </mc:Choice>
    <mc:Fallback>
      <c:style val="17"/>
    </mc:Fallback>
  </mc:AlternateContent>
  <c:chart>
    <c:title>
      <c:tx>
        <c:rich>
          <a:bodyPr/>
          <a:lstStyle/>
          <a:p>
            <a:pPr>
              <a:defRPr/>
            </a:pPr>
            <a:r>
              <a:rPr lang="es-ES" sz="1200"/>
              <a:t>Graphic 2</a:t>
            </a:r>
          </a:p>
          <a:p>
            <a:pPr>
              <a:defRPr/>
            </a:pPr>
            <a:endParaRPr lang="es-ES" sz="1200"/>
          </a:p>
          <a:p>
            <a:pPr>
              <a:defRPr/>
            </a:pPr>
            <a:r>
              <a:rPr lang="es-ES" sz="1200"/>
              <a:t>Structure of expense per decile of income 2010</a:t>
            </a:r>
          </a:p>
        </c:rich>
      </c:tx>
      <c:overlay val="0"/>
    </c:title>
    <c:autoTitleDeleted val="0"/>
    <c:view3D>
      <c:rotX val="15"/>
      <c:rotY val="20"/>
      <c:rAngAx val="1"/>
    </c:view3D>
    <c:floor>
      <c:thickness val="0"/>
    </c:floor>
    <c:sideWall>
      <c:thickness val="0"/>
    </c:sideWall>
    <c:backWall>
      <c:thickness val="0"/>
    </c:backWall>
    <c:plotArea>
      <c:layout/>
      <c:bar3DChart>
        <c:barDir val="col"/>
        <c:grouping val="percentStacked"/>
        <c:varyColors val="0"/>
        <c:ser>
          <c:idx val="0"/>
          <c:order val="0"/>
          <c:tx>
            <c:strRef>
              <c:f>Hoja1!$A$3</c:f>
              <c:strCache>
                <c:ptCount val="1"/>
                <c:pt idx="0">
                  <c:v>Alimentos bebidas y tabaco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Hoja1!$B$1:$D$2</c:f>
              <c:strCache>
                <c:ptCount val="3"/>
                <c:pt idx="0">
                  <c:v>I</c:v>
                </c:pt>
                <c:pt idx="1">
                  <c:v>V</c:v>
                </c:pt>
                <c:pt idx="2">
                  <c:v>X</c:v>
                </c:pt>
              </c:strCache>
            </c:strRef>
          </c:cat>
          <c:val>
            <c:numRef>
              <c:f>Hoja1!$B$3:$D$3</c:f>
              <c:numCache>
                <c:formatCode>General</c:formatCode>
                <c:ptCount val="3"/>
                <c:pt idx="0">
                  <c:v>49.9</c:v>
                </c:pt>
                <c:pt idx="1">
                  <c:v>39.6</c:v>
                </c:pt>
                <c:pt idx="2">
                  <c:v>22.9</c:v>
                </c:pt>
              </c:numCache>
            </c:numRef>
          </c:val>
        </c:ser>
        <c:ser>
          <c:idx val="1"/>
          <c:order val="1"/>
          <c:tx>
            <c:strRef>
              <c:f>Hoja1!$A$4</c:f>
              <c:strCache>
                <c:ptCount val="1"/>
                <c:pt idx="0">
                  <c:v>Artículo y servicios para la casa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Hoja1!$B$1:$D$2</c:f>
              <c:strCache>
                <c:ptCount val="3"/>
                <c:pt idx="0">
                  <c:v>I</c:v>
                </c:pt>
                <c:pt idx="1">
                  <c:v>V</c:v>
                </c:pt>
                <c:pt idx="2">
                  <c:v>X</c:v>
                </c:pt>
              </c:strCache>
            </c:strRef>
          </c:cat>
          <c:val>
            <c:numRef>
              <c:f>Hoja1!$B$4:$D$4</c:f>
              <c:numCache>
                <c:formatCode>General</c:formatCode>
                <c:ptCount val="3"/>
                <c:pt idx="0">
                  <c:v>6.4</c:v>
                </c:pt>
                <c:pt idx="1">
                  <c:v>5.4</c:v>
                </c:pt>
                <c:pt idx="2">
                  <c:v>8</c:v>
                </c:pt>
              </c:numCache>
            </c:numRef>
          </c:val>
        </c:ser>
        <c:ser>
          <c:idx val="2"/>
          <c:order val="2"/>
          <c:tx>
            <c:strRef>
              <c:f>Hoja1!$A$5</c:f>
              <c:strCache>
                <c:ptCount val="1"/>
                <c:pt idx="0">
                  <c:v>Educación y esparcimiento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Hoja1!$B$1:$D$2</c:f>
              <c:strCache>
                <c:ptCount val="3"/>
                <c:pt idx="0">
                  <c:v>I</c:v>
                </c:pt>
                <c:pt idx="1">
                  <c:v>V</c:v>
                </c:pt>
                <c:pt idx="2">
                  <c:v>X</c:v>
                </c:pt>
              </c:strCache>
            </c:strRef>
          </c:cat>
          <c:val>
            <c:numRef>
              <c:f>Hoja1!$B$5:$D$5</c:f>
              <c:numCache>
                <c:formatCode>General</c:formatCode>
                <c:ptCount val="3"/>
                <c:pt idx="0">
                  <c:v>5.4</c:v>
                </c:pt>
                <c:pt idx="1">
                  <c:v>10.1</c:v>
                </c:pt>
                <c:pt idx="2">
                  <c:v>19.5</c:v>
                </c:pt>
              </c:numCache>
            </c:numRef>
          </c:val>
        </c:ser>
        <c:ser>
          <c:idx val="3"/>
          <c:order val="3"/>
          <c:tx>
            <c:strRef>
              <c:f>Hoja1!$A$6</c:f>
              <c:strCache>
                <c:ptCount val="1"/>
                <c:pt idx="0">
                  <c:v>Vestido y calzado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Hoja1!$B$1:$D$2</c:f>
              <c:strCache>
                <c:ptCount val="3"/>
                <c:pt idx="0">
                  <c:v>I</c:v>
                </c:pt>
                <c:pt idx="1">
                  <c:v>V</c:v>
                </c:pt>
                <c:pt idx="2">
                  <c:v>X</c:v>
                </c:pt>
              </c:strCache>
            </c:strRef>
          </c:cat>
          <c:val>
            <c:numRef>
              <c:f>Hoja1!$B$6:$D$6</c:f>
              <c:numCache>
                <c:formatCode>General</c:formatCode>
                <c:ptCount val="3"/>
                <c:pt idx="0">
                  <c:v>4.7</c:v>
                </c:pt>
                <c:pt idx="1">
                  <c:v>5.4</c:v>
                </c:pt>
                <c:pt idx="2">
                  <c:v>5.9</c:v>
                </c:pt>
              </c:numCache>
            </c:numRef>
          </c:val>
        </c:ser>
        <c:ser>
          <c:idx val="4"/>
          <c:order val="4"/>
          <c:tx>
            <c:strRef>
              <c:f>Hoja1!$A$7</c:f>
              <c:strCache>
                <c:ptCount val="1"/>
                <c:pt idx="0">
                  <c:v>Cuidados de la salud</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Hoja1!$B$1:$D$2</c:f>
              <c:strCache>
                <c:ptCount val="3"/>
                <c:pt idx="0">
                  <c:v>I</c:v>
                </c:pt>
                <c:pt idx="1">
                  <c:v>V</c:v>
                </c:pt>
                <c:pt idx="2">
                  <c:v>X</c:v>
                </c:pt>
              </c:strCache>
            </c:strRef>
          </c:cat>
          <c:val>
            <c:numRef>
              <c:f>Hoja1!$B$7:$D$7</c:f>
              <c:numCache>
                <c:formatCode>General</c:formatCode>
                <c:ptCount val="3"/>
                <c:pt idx="0">
                  <c:v>2.9</c:v>
                </c:pt>
                <c:pt idx="1">
                  <c:v>2.1</c:v>
                </c:pt>
                <c:pt idx="2">
                  <c:v>3.7</c:v>
                </c:pt>
              </c:numCache>
            </c:numRef>
          </c:val>
        </c:ser>
        <c:ser>
          <c:idx val="5"/>
          <c:order val="5"/>
          <c:tx>
            <c:strRef>
              <c:f>Hoja1!$A$8</c:f>
              <c:strCache>
                <c:ptCount val="1"/>
                <c:pt idx="0">
                  <c:v>Cuidados personales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Hoja1!$B$1:$D$2</c:f>
              <c:strCache>
                <c:ptCount val="3"/>
                <c:pt idx="0">
                  <c:v>I</c:v>
                </c:pt>
                <c:pt idx="1">
                  <c:v>V</c:v>
                </c:pt>
                <c:pt idx="2">
                  <c:v>X</c:v>
                </c:pt>
              </c:strCache>
            </c:strRef>
          </c:cat>
          <c:val>
            <c:numRef>
              <c:f>Hoja1!$B$8:$D$8</c:f>
              <c:numCache>
                <c:formatCode>General</c:formatCode>
                <c:ptCount val="3"/>
                <c:pt idx="0">
                  <c:v>6.9</c:v>
                </c:pt>
                <c:pt idx="1">
                  <c:v>7.2</c:v>
                </c:pt>
                <c:pt idx="2">
                  <c:v>7.4</c:v>
                </c:pt>
              </c:numCache>
            </c:numRef>
          </c:val>
        </c:ser>
        <c:ser>
          <c:idx val="6"/>
          <c:order val="6"/>
          <c:tx>
            <c:strRef>
              <c:f>Hoja1!$A$9</c:f>
              <c:strCache>
                <c:ptCount val="1"/>
                <c:pt idx="0">
                  <c:v>Vivienda, energía y combustible</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Hoja1!$B$1:$D$2</c:f>
              <c:strCache>
                <c:ptCount val="3"/>
                <c:pt idx="0">
                  <c:v>I</c:v>
                </c:pt>
                <c:pt idx="1">
                  <c:v>V</c:v>
                </c:pt>
                <c:pt idx="2">
                  <c:v>X</c:v>
                </c:pt>
              </c:strCache>
            </c:strRef>
          </c:cat>
          <c:val>
            <c:numRef>
              <c:f>Hoja1!$B$9:$D$9</c:f>
              <c:numCache>
                <c:formatCode>General</c:formatCode>
                <c:ptCount val="3"/>
                <c:pt idx="0">
                  <c:v>11.2</c:v>
                </c:pt>
                <c:pt idx="1">
                  <c:v>11.8</c:v>
                </c:pt>
                <c:pt idx="2">
                  <c:v>8.2000000000000011</c:v>
                </c:pt>
              </c:numCache>
            </c:numRef>
          </c:val>
        </c:ser>
        <c:ser>
          <c:idx val="7"/>
          <c:order val="7"/>
          <c:tx>
            <c:strRef>
              <c:f>Hoja1!$A$10</c:f>
              <c:strCache>
                <c:ptCount val="1"/>
                <c:pt idx="0">
                  <c:v>Transporte y comunicación</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Hoja1!$B$1:$D$2</c:f>
              <c:strCache>
                <c:ptCount val="3"/>
                <c:pt idx="0">
                  <c:v>I</c:v>
                </c:pt>
                <c:pt idx="1">
                  <c:v>V</c:v>
                </c:pt>
                <c:pt idx="2">
                  <c:v>X</c:v>
                </c:pt>
              </c:strCache>
            </c:strRef>
          </c:cat>
          <c:val>
            <c:numRef>
              <c:f>Hoja1!$B$10:$D$10</c:f>
              <c:numCache>
                <c:formatCode>General</c:formatCode>
                <c:ptCount val="3"/>
                <c:pt idx="0">
                  <c:v>11.2</c:v>
                </c:pt>
                <c:pt idx="1">
                  <c:v>16.5</c:v>
                </c:pt>
                <c:pt idx="2">
                  <c:v>18.899999999999999</c:v>
                </c:pt>
              </c:numCache>
            </c:numRef>
          </c:val>
        </c:ser>
        <c:ser>
          <c:idx val="8"/>
          <c:order val="8"/>
          <c:tx>
            <c:strRef>
              <c:f>Hoja1!$A$11</c:f>
              <c:strCache>
                <c:ptCount val="1"/>
                <c:pt idx="0">
                  <c:v>Transferencias de gasto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Hoja1!$B$1:$D$2</c:f>
              <c:strCache>
                <c:ptCount val="3"/>
                <c:pt idx="0">
                  <c:v>I</c:v>
                </c:pt>
                <c:pt idx="1">
                  <c:v>V</c:v>
                </c:pt>
                <c:pt idx="2">
                  <c:v>X</c:v>
                </c:pt>
              </c:strCache>
            </c:strRef>
          </c:cat>
          <c:val>
            <c:numRef>
              <c:f>Hoja1!$B$11:$D$11</c:f>
              <c:numCache>
                <c:formatCode>General</c:formatCode>
                <c:ptCount val="3"/>
                <c:pt idx="0">
                  <c:v>1.1000000000000001</c:v>
                </c:pt>
                <c:pt idx="1">
                  <c:v>1.8</c:v>
                </c:pt>
                <c:pt idx="2">
                  <c:v>5.4</c:v>
                </c:pt>
              </c:numCache>
            </c:numRef>
          </c:val>
        </c:ser>
        <c:dLbls>
          <c:showLegendKey val="0"/>
          <c:showVal val="1"/>
          <c:showCatName val="0"/>
          <c:showSerName val="0"/>
          <c:showPercent val="0"/>
          <c:showBubbleSize val="0"/>
        </c:dLbls>
        <c:gapWidth val="150"/>
        <c:shape val="box"/>
        <c:axId val="-997314624"/>
        <c:axId val="-997307552"/>
        <c:axId val="0"/>
      </c:bar3DChart>
      <c:catAx>
        <c:axId val="-997314624"/>
        <c:scaling>
          <c:orientation val="minMax"/>
        </c:scaling>
        <c:delete val="0"/>
        <c:axPos val="b"/>
        <c:title>
          <c:tx>
            <c:rich>
              <a:bodyPr/>
              <a:lstStyle/>
              <a:p>
                <a:pPr>
                  <a:defRPr/>
                </a:pPr>
                <a:r>
                  <a:rPr lang="es-ES"/>
                  <a:t>Deciles</a:t>
                </a:r>
              </a:p>
            </c:rich>
          </c:tx>
          <c:overlay val="0"/>
        </c:title>
        <c:numFmt formatCode="General" sourceLinked="0"/>
        <c:majorTickMark val="out"/>
        <c:minorTickMark val="none"/>
        <c:tickLblPos val="nextTo"/>
        <c:crossAx val="-997307552"/>
        <c:crosses val="autoZero"/>
        <c:auto val="1"/>
        <c:lblAlgn val="ctr"/>
        <c:lblOffset val="100"/>
        <c:noMultiLvlLbl val="0"/>
      </c:catAx>
      <c:valAx>
        <c:axId val="-997307552"/>
        <c:scaling>
          <c:orientation val="minMax"/>
        </c:scaling>
        <c:delete val="0"/>
        <c:axPos val="l"/>
        <c:majorGridlines/>
        <c:numFmt formatCode="0%" sourceLinked="1"/>
        <c:majorTickMark val="out"/>
        <c:minorTickMark val="none"/>
        <c:tickLblPos val="nextTo"/>
        <c:crossAx val="-99731462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81</Pages>
  <Words>22419</Words>
  <Characters>123305</Characters>
  <Application>Microsoft Office Word</Application>
  <DocSecurity>0</DocSecurity>
  <Lines>1027</Lines>
  <Paragraphs>290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145434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Villalobos</dc:creator>
  <cp:lastModifiedBy>USUARIO</cp:lastModifiedBy>
  <cp:revision>2</cp:revision>
  <cp:lastPrinted>2015-02-13T23:15:00Z</cp:lastPrinted>
  <dcterms:created xsi:type="dcterms:W3CDTF">2016-05-02T19:33:00Z</dcterms:created>
  <dcterms:modified xsi:type="dcterms:W3CDTF">2016-05-02T19:33:00Z</dcterms:modified>
</cp:coreProperties>
</file>