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Default Extension="jpeg" ContentType="image/jpeg"/>
  <Override PartName="/word/footer6.xml" ContentType="application/vnd.openxmlformats-officedocument.wordprocessingml.footer+xml"/>
  <Override PartName="/word/footer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2"/>
        <w:jc w:val="left"/>
        <w:rPr>
          <w:rFonts w:ascii="Times New Roman"/>
          <w:sz w:val="21"/>
        </w:rPr>
      </w:pPr>
    </w:p>
    <w:p>
      <w:pPr>
        <w:spacing w:line="436" w:lineRule="auto" w:before="63"/>
        <w:ind w:left="2171" w:right="103" w:hanging="7"/>
        <w:jc w:val="center"/>
        <w:rPr>
          <w:sz w:val="28"/>
        </w:rPr>
      </w:pPr>
      <w:r>
        <w:rPr/>
        <w:drawing>
          <wp:anchor distT="0" distB="0" distL="0" distR="0" allowOverlap="1" layoutInCell="1" locked="0" behindDoc="0" simplePos="0" relativeHeight="0">
            <wp:simplePos x="0" y="0"/>
            <wp:positionH relativeFrom="page">
              <wp:posOffset>605102</wp:posOffset>
            </wp:positionH>
            <wp:positionV relativeFrom="paragraph">
              <wp:posOffset>34392</wp:posOffset>
            </wp:positionV>
            <wp:extent cx="1136764" cy="1023980"/>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6" cstate="print"/>
                    <a:stretch>
                      <a:fillRect/>
                    </a:stretch>
                  </pic:blipFill>
                  <pic:spPr>
                    <a:xfrm>
                      <a:off x="0" y="0"/>
                      <a:ext cx="1136764" cy="1023980"/>
                    </a:xfrm>
                    <a:prstGeom prst="rect">
                      <a:avLst/>
                    </a:prstGeom>
                  </pic:spPr>
                </pic:pic>
              </a:graphicData>
            </a:graphic>
          </wp:anchor>
        </w:drawing>
      </w:r>
      <w:r>
        <w:rPr>
          <w:sz w:val="28"/>
        </w:rPr>
        <w:t>UNIVERSIDAD AUTÓNOMA DEL ESTADO DE MÉXICO PROGRAMA DE MAESTRÍA Y DOCTORADO EN</w:t>
      </w:r>
      <w:r>
        <w:rPr>
          <w:spacing w:val="-25"/>
          <w:sz w:val="28"/>
        </w:rPr>
        <w:t> </w:t>
      </w:r>
      <w:r>
        <w:rPr>
          <w:sz w:val="28"/>
        </w:rPr>
        <w:t>CIENCIAS AGROPECUARIAS Y RECURSOS</w:t>
      </w:r>
      <w:r>
        <w:rPr>
          <w:spacing w:val="-17"/>
          <w:sz w:val="28"/>
        </w:rPr>
        <w:t> </w:t>
      </w:r>
      <w:r>
        <w:rPr>
          <w:sz w:val="28"/>
        </w:rPr>
        <w:t>NATURALES</w:t>
      </w:r>
    </w:p>
    <w:p>
      <w:pPr>
        <w:pStyle w:val="BodyText"/>
        <w:jc w:val="left"/>
        <w:rPr>
          <w:sz w:val="28"/>
        </w:rPr>
      </w:pPr>
    </w:p>
    <w:p>
      <w:pPr>
        <w:pStyle w:val="BodyText"/>
        <w:jc w:val="left"/>
        <w:rPr>
          <w:sz w:val="28"/>
        </w:rPr>
      </w:pPr>
    </w:p>
    <w:p>
      <w:pPr>
        <w:pStyle w:val="BodyText"/>
        <w:spacing w:before="4"/>
        <w:jc w:val="left"/>
        <w:rPr>
          <w:sz w:val="39"/>
        </w:rPr>
      </w:pPr>
    </w:p>
    <w:p>
      <w:pPr>
        <w:spacing w:line="360" w:lineRule="auto" w:before="0"/>
        <w:ind w:left="2175" w:right="100" w:hanging="5"/>
        <w:jc w:val="center"/>
        <w:rPr>
          <w:sz w:val="26"/>
        </w:rPr>
      </w:pPr>
      <w:r>
        <w:rPr>
          <w:sz w:val="26"/>
        </w:rPr>
        <w:t>COMPARACIÓN DEL CONTENIDO DE ÁCIDOS GRASOS EN QUESO ARTESANAL TEPEQUE PRODUCIDO EN UN</w:t>
      </w:r>
      <w:r>
        <w:rPr>
          <w:spacing w:val="-17"/>
          <w:sz w:val="26"/>
        </w:rPr>
        <w:t> </w:t>
      </w:r>
      <w:r>
        <w:rPr>
          <w:sz w:val="26"/>
        </w:rPr>
        <w:t>SISTEMA SILVOPASTORIL Y UN SISTEMA TRADICIONAL DE MICHOACÁN,</w:t>
      </w:r>
      <w:r>
        <w:rPr>
          <w:spacing w:val="-7"/>
          <w:sz w:val="26"/>
        </w:rPr>
        <w:t> </w:t>
      </w:r>
      <w:r>
        <w:rPr>
          <w:sz w:val="26"/>
        </w:rPr>
        <w:t>MÉXICO</w:t>
      </w:r>
    </w:p>
    <w:p>
      <w:pPr>
        <w:pStyle w:val="BodyText"/>
        <w:jc w:val="left"/>
        <w:rPr>
          <w:sz w:val="26"/>
        </w:rPr>
      </w:pPr>
    </w:p>
    <w:p>
      <w:pPr>
        <w:pStyle w:val="BodyText"/>
        <w:jc w:val="left"/>
        <w:rPr>
          <w:sz w:val="26"/>
        </w:rPr>
      </w:pPr>
    </w:p>
    <w:p>
      <w:pPr>
        <w:pStyle w:val="BodyText"/>
        <w:jc w:val="left"/>
        <w:rPr>
          <w:sz w:val="26"/>
        </w:rPr>
      </w:pPr>
    </w:p>
    <w:p>
      <w:pPr>
        <w:pStyle w:val="BodyText"/>
        <w:spacing w:before="2"/>
        <w:jc w:val="left"/>
        <w:rPr>
          <w:sz w:val="25"/>
        </w:rPr>
      </w:pPr>
    </w:p>
    <w:p>
      <w:pPr>
        <w:spacing w:before="1"/>
        <w:ind w:left="2466" w:right="390" w:firstLine="0"/>
        <w:jc w:val="center"/>
        <w:rPr>
          <w:b/>
          <w:sz w:val="44"/>
        </w:rPr>
      </w:pPr>
      <w:r>
        <w:rPr>
          <w:b/>
          <w:sz w:val="44"/>
        </w:rPr>
        <w:t>T E S I S</w:t>
      </w:r>
    </w:p>
    <w:p>
      <w:pPr>
        <w:pStyle w:val="BodyText"/>
        <w:jc w:val="left"/>
        <w:rPr>
          <w:b/>
          <w:sz w:val="44"/>
        </w:rPr>
      </w:pPr>
    </w:p>
    <w:p>
      <w:pPr>
        <w:pStyle w:val="BodyText"/>
        <w:spacing w:before="2"/>
        <w:jc w:val="left"/>
        <w:rPr>
          <w:b/>
          <w:sz w:val="35"/>
        </w:rPr>
      </w:pPr>
    </w:p>
    <w:p>
      <w:pPr>
        <w:pStyle w:val="BodyText"/>
        <w:spacing w:line="360" w:lineRule="auto"/>
        <w:ind w:left="2466" w:right="391"/>
        <w:jc w:val="center"/>
      </w:pPr>
      <w:r>
        <w:rPr/>
        <w:t>QUE PARA OBTENER EL GRADO DE MAESTRA EN CIENCIAS AGROPECUARIAS Y RECURSOS NATURALES</w:t>
      </w:r>
    </w:p>
    <w:p>
      <w:pPr>
        <w:pStyle w:val="BodyText"/>
        <w:jc w:val="left"/>
      </w:pPr>
    </w:p>
    <w:p>
      <w:pPr>
        <w:pStyle w:val="BodyText"/>
        <w:spacing w:before="4"/>
        <w:jc w:val="left"/>
        <w:rPr>
          <w:sz w:val="33"/>
        </w:rPr>
      </w:pPr>
    </w:p>
    <w:p>
      <w:pPr>
        <w:pStyle w:val="BodyText"/>
        <w:spacing w:before="1"/>
        <w:ind w:left="2461" w:right="391"/>
        <w:jc w:val="center"/>
      </w:pPr>
      <w:r>
        <w:rPr/>
        <w:t>PRESENTA:</w:t>
      </w:r>
    </w:p>
    <w:p>
      <w:pPr>
        <w:pStyle w:val="BodyText"/>
        <w:jc w:val="left"/>
      </w:pPr>
    </w:p>
    <w:p>
      <w:pPr>
        <w:pStyle w:val="BodyText"/>
        <w:jc w:val="left"/>
      </w:pPr>
    </w:p>
    <w:p>
      <w:pPr>
        <w:pStyle w:val="BodyText"/>
        <w:spacing w:before="3"/>
        <w:jc w:val="left"/>
        <w:rPr>
          <w:sz w:val="20"/>
        </w:rPr>
      </w:pPr>
    </w:p>
    <w:p>
      <w:pPr>
        <w:pStyle w:val="Heading1"/>
        <w:spacing w:before="0"/>
        <w:ind w:left="2459" w:right="391"/>
        <w:jc w:val="center"/>
      </w:pPr>
      <w:r>
        <w:rPr/>
        <w:t>ANA ROSA PRAGA AYALA</w:t>
      </w:r>
    </w:p>
    <w:p>
      <w:pPr>
        <w:spacing w:after="0"/>
        <w:jc w:val="center"/>
        <w:sectPr>
          <w:footerReference w:type="default" r:id="rId5"/>
          <w:type w:val="continuous"/>
          <w:pgSz w:w="12240" w:h="15840"/>
          <w:pgMar w:footer="2405" w:top="1500" w:bottom="2600" w:left="840" w:right="1500"/>
        </w:sectPr>
      </w:pPr>
    </w:p>
    <w:p>
      <w:pPr>
        <w:pStyle w:val="BodyText"/>
        <w:spacing w:before="2"/>
        <w:jc w:val="left"/>
        <w:rPr>
          <w:b/>
          <w:sz w:val="21"/>
        </w:rPr>
      </w:pPr>
    </w:p>
    <w:p>
      <w:pPr>
        <w:spacing w:line="448" w:lineRule="auto" w:before="63"/>
        <w:ind w:left="2068" w:right="286" w:firstLine="3"/>
        <w:jc w:val="center"/>
        <w:rPr>
          <w:sz w:val="28"/>
        </w:rPr>
      </w:pPr>
      <w:r>
        <w:rPr/>
        <w:drawing>
          <wp:anchor distT="0" distB="0" distL="0" distR="0" allowOverlap="1" layoutInCell="1" locked="0" behindDoc="0" simplePos="0" relativeHeight="1048">
            <wp:simplePos x="0" y="0"/>
            <wp:positionH relativeFrom="page">
              <wp:posOffset>553312</wp:posOffset>
            </wp:positionH>
            <wp:positionV relativeFrom="paragraph">
              <wp:posOffset>-26539</wp:posOffset>
            </wp:positionV>
            <wp:extent cx="1155001" cy="1042212"/>
            <wp:effectExtent l="0" t="0" r="0" b="0"/>
            <wp:wrapNone/>
            <wp:docPr id="3" name="image1.png" descr=""/>
            <wp:cNvGraphicFramePr>
              <a:graphicFrameLocks noChangeAspect="1"/>
            </wp:cNvGraphicFramePr>
            <a:graphic>
              <a:graphicData uri="http://schemas.openxmlformats.org/drawingml/2006/picture">
                <pic:pic>
                  <pic:nvPicPr>
                    <pic:cNvPr id="4" name="image1.png"/>
                    <pic:cNvPicPr/>
                  </pic:nvPicPr>
                  <pic:blipFill>
                    <a:blip r:embed="rId6" cstate="print"/>
                    <a:stretch>
                      <a:fillRect/>
                    </a:stretch>
                  </pic:blipFill>
                  <pic:spPr>
                    <a:xfrm>
                      <a:off x="0" y="0"/>
                      <a:ext cx="1155001" cy="1042212"/>
                    </a:xfrm>
                    <a:prstGeom prst="rect">
                      <a:avLst/>
                    </a:prstGeom>
                  </pic:spPr>
                </pic:pic>
              </a:graphicData>
            </a:graphic>
          </wp:anchor>
        </w:drawing>
      </w:r>
      <w:r>
        <w:rPr>
          <w:sz w:val="28"/>
        </w:rPr>
        <w:t>UNIVERSIDAD AUTÓNOMA DEL ESTADO DE MÉXICO PROGRAMA DE MAESTRÍA Y DOCTORADO EN</w:t>
      </w:r>
      <w:r>
        <w:rPr>
          <w:spacing w:val="-25"/>
          <w:sz w:val="28"/>
        </w:rPr>
        <w:t> </w:t>
      </w:r>
      <w:r>
        <w:rPr>
          <w:sz w:val="28"/>
        </w:rPr>
        <w:t>CIENCIAS AGROPECUARIAS Y RECURSOS</w:t>
      </w:r>
      <w:r>
        <w:rPr>
          <w:spacing w:val="-17"/>
          <w:sz w:val="28"/>
        </w:rPr>
        <w:t> </w:t>
      </w:r>
      <w:r>
        <w:rPr>
          <w:sz w:val="28"/>
        </w:rPr>
        <w:t>NATURALES</w:t>
      </w:r>
    </w:p>
    <w:p>
      <w:pPr>
        <w:pStyle w:val="BodyText"/>
        <w:jc w:val="left"/>
        <w:rPr>
          <w:sz w:val="28"/>
        </w:rPr>
      </w:pPr>
    </w:p>
    <w:p>
      <w:pPr>
        <w:spacing w:line="360" w:lineRule="auto" w:before="226"/>
        <w:ind w:left="2255" w:right="100" w:hanging="5"/>
        <w:jc w:val="center"/>
        <w:rPr>
          <w:sz w:val="26"/>
        </w:rPr>
      </w:pPr>
      <w:r>
        <w:rPr>
          <w:sz w:val="26"/>
        </w:rPr>
        <w:t>COMPARACIÓN DEL CONTENIDO DE ÁCIDOS GRASOS EN QUESO ARTESANAL TEPEQUE PRODUCIDO EN UN</w:t>
      </w:r>
      <w:r>
        <w:rPr>
          <w:spacing w:val="-41"/>
          <w:sz w:val="26"/>
        </w:rPr>
        <w:t> </w:t>
      </w:r>
      <w:r>
        <w:rPr>
          <w:sz w:val="26"/>
        </w:rPr>
        <w:t>SISTEMA SILVOPASTORIL Y UN SISTEMA TRADICIONAL DE MICHOACÁN,</w:t>
      </w:r>
      <w:r>
        <w:rPr>
          <w:spacing w:val="-7"/>
          <w:sz w:val="26"/>
        </w:rPr>
        <w:t> </w:t>
      </w:r>
      <w:r>
        <w:rPr>
          <w:sz w:val="26"/>
        </w:rPr>
        <w:t>MÉXICO</w:t>
      </w:r>
    </w:p>
    <w:p>
      <w:pPr>
        <w:pStyle w:val="BodyText"/>
        <w:jc w:val="left"/>
        <w:rPr>
          <w:sz w:val="26"/>
        </w:rPr>
      </w:pPr>
    </w:p>
    <w:p>
      <w:pPr>
        <w:pStyle w:val="BodyText"/>
        <w:spacing w:before="10"/>
        <w:jc w:val="left"/>
        <w:rPr>
          <w:sz w:val="30"/>
        </w:rPr>
      </w:pPr>
    </w:p>
    <w:p>
      <w:pPr>
        <w:spacing w:before="1"/>
        <w:ind w:left="2546" w:right="390" w:firstLine="0"/>
        <w:jc w:val="center"/>
        <w:rPr>
          <w:b/>
          <w:sz w:val="44"/>
        </w:rPr>
      </w:pPr>
      <w:r>
        <w:rPr>
          <w:b/>
          <w:sz w:val="44"/>
        </w:rPr>
        <w:t>T E S I S</w:t>
      </w:r>
    </w:p>
    <w:p>
      <w:pPr>
        <w:pStyle w:val="BodyText"/>
        <w:spacing w:line="360" w:lineRule="auto" w:before="378"/>
        <w:ind w:left="2546" w:right="391"/>
        <w:jc w:val="center"/>
      </w:pPr>
      <w:r>
        <w:rPr/>
        <w:t>QUE PARA OBTENER EL GRADO DE MAESTRA EN CIENCIAS AGROPECUARIAS Y RECURSOS NATURALES</w:t>
      </w:r>
    </w:p>
    <w:p>
      <w:pPr>
        <w:pStyle w:val="BodyText"/>
        <w:jc w:val="left"/>
      </w:pPr>
    </w:p>
    <w:p>
      <w:pPr>
        <w:pStyle w:val="BodyText"/>
        <w:spacing w:before="5"/>
        <w:jc w:val="left"/>
        <w:rPr>
          <w:sz w:val="33"/>
        </w:rPr>
      </w:pPr>
    </w:p>
    <w:p>
      <w:pPr>
        <w:pStyle w:val="BodyText"/>
        <w:ind w:left="2544" w:right="391"/>
        <w:jc w:val="center"/>
      </w:pPr>
      <w:r>
        <w:rPr/>
        <w:t>PRESENTA</w:t>
      </w:r>
    </w:p>
    <w:p>
      <w:pPr>
        <w:pStyle w:val="BodyText"/>
        <w:spacing w:before="10"/>
        <w:jc w:val="left"/>
        <w:rPr>
          <w:sz w:val="21"/>
        </w:rPr>
      </w:pPr>
    </w:p>
    <w:p>
      <w:pPr>
        <w:pStyle w:val="Heading1"/>
        <w:spacing w:before="0"/>
        <w:ind w:left="2539" w:right="391"/>
        <w:jc w:val="center"/>
      </w:pPr>
      <w:r>
        <w:rPr/>
        <w:t>ANA ROSA PRAGA AYALA</w:t>
      </w:r>
    </w:p>
    <w:p>
      <w:pPr>
        <w:pStyle w:val="BodyText"/>
        <w:jc w:val="left"/>
        <w:rPr>
          <w:b/>
        </w:rPr>
      </w:pPr>
    </w:p>
    <w:p>
      <w:pPr>
        <w:pStyle w:val="BodyText"/>
        <w:jc w:val="left"/>
        <w:rPr>
          <w:b/>
        </w:rPr>
      </w:pPr>
    </w:p>
    <w:p>
      <w:pPr>
        <w:pStyle w:val="BodyText"/>
        <w:spacing w:before="5"/>
        <w:jc w:val="left"/>
        <w:rPr>
          <w:b/>
          <w:sz w:val="21"/>
        </w:rPr>
      </w:pPr>
    </w:p>
    <w:p>
      <w:pPr>
        <w:pStyle w:val="BodyText"/>
        <w:spacing w:line="360" w:lineRule="auto"/>
        <w:ind w:left="4293" w:right="2142"/>
        <w:jc w:val="center"/>
      </w:pPr>
      <w:r>
        <w:rPr/>
        <w:t>COMITÉ DE TUTORAL DIRECTOR</w:t>
      </w:r>
    </w:p>
    <w:p>
      <w:pPr>
        <w:pStyle w:val="BodyText"/>
        <w:spacing w:line="360" w:lineRule="auto" w:before="2"/>
        <w:ind w:left="4300" w:right="2142"/>
        <w:jc w:val="center"/>
      </w:pPr>
      <w:r>
        <w:rPr/>
        <w:t>PhD. Octavio Castelán Ortega ASESORES</w:t>
      </w:r>
    </w:p>
    <w:p>
      <w:pPr>
        <w:pStyle w:val="BodyText"/>
        <w:spacing w:line="360" w:lineRule="auto" w:before="7"/>
        <w:ind w:left="4301" w:right="2142"/>
        <w:jc w:val="center"/>
      </w:pPr>
      <w:r>
        <w:rPr/>
        <w:t>PhD. Manuel González Ronquillo PhD. Juan Carlos Ku Vera</w:t>
      </w:r>
    </w:p>
    <w:p>
      <w:pPr>
        <w:spacing w:after="0" w:line="360" w:lineRule="auto"/>
        <w:jc w:val="center"/>
        <w:sectPr>
          <w:footerReference w:type="default" r:id="rId7"/>
          <w:pgSz w:w="12240" w:h="15840"/>
          <w:pgMar w:footer="2146" w:header="0" w:top="1500" w:bottom="2340" w:left="760" w:right="1500"/>
        </w:sectPr>
      </w:pPr>
    </w:p>
    <w:p>
      <w:pPr>
        <w:pStyle w:val="BodyText"/>
        <w:spacing w:before="1"/>
        <w:jc w:val="left"/>
        <w:rPr>
          <w:sz w:val="20"/>
        </w:rPr>
      </w:pPr>
    </w:p>
    <w:p>
      <w:pPr>
        <w:pStyle w:val="Heading1"/>
        <w:spacing w:before="70"/>
      </w:pPr>
      <w:r>
        <w:rPr/>
        <w:t>AGRADECIMIENTOS</w:t>
      </w:r>
    </w:p>
    <w:p>
      <w:pPr>
        <w:pStyle w:val="BodyText"/>
        <w:spacing w:before="11"/>
        <w:jc w:val="left"/>
        <w:rPr>
          <w:b/>
          <w:sz w:val="21"/>
        </w:rPr>
      </w:pPr>
    </w:p>
    <w:p>
      <w:pPr>
        <w:pStyle w:val="BodyText"/>
        <w:spacing w:line="360" w:lineRule="auto"/>
        <w:ind w:left="152" w:right="103"/>
      </w:pPr>
      <w:r>
        <w:rPr/>
        <w:t>Se agradece el financiamiento otorgado para la realización de la presente tesis por el proyecto de investigación “Caracterización del queso regional y del proceso socio-técnico de elaboración” Proyecto operado por la Universidad Autónoma </w:t>
      </w:r>
      <w:r>
        <w:rPr>
          <w:spacing w:val="4"/>
        </w:rPr>
        <w:t>del </w:t>
      </w:r>
      <w:r>
        <w:rPr/>
        <w:t>Estado de México (Clave UAEM: 3053/2011E), y financiado por Fondo  Institucional de Fomento Regional para el Desarrollo Científico, Tecnológico y de Innovación (FORDECYT) del Consejo Nacional de Ciencia y Tecnología (CONACYT). También se agradece a este último la beca recibida para estudios de maestría en</w:t>
      </w:r>
      <w:r>
        <w:rPr>
          <w:spacing w:val="-7"/>
        </w:rPr>
        <w:t> </w:t>
      </w:r>
      <w:r>
        <w:rPr/>
        <w:t>ciencias.</w:t>
      </w:r>
    </w:p>
    <w:p>
      <w:pPr>
        <w:pStyle w:val="BodyText"/>
        <w:spacing w:line="360" w:lineRule="auto" w:before="128"/>
        <w:ind w:left="152" w:right="108"/>
      </w:pPr>
      <w:r>
        <w:rPr/>
        <w:t>Se agradece el apoyo y las facilidades prestadas por la Fundación Produce Michoacán A.C. y al Rancho los Huarinches. Finalmente, se agradece al Dr. Rey Gutiérrez Tolentino, responsable del laboratorio de Instrumentación de la División de Ciencias Biológicas y de la Salud de la Universidad Autónoma Metropolitana Unidad Xochimilco, por las facilidades otorgadas para el análisis de las muestras de queso.</w:t>
      </w:r>
    </w:p>
    <w:p>
      <w:pPr>
        <w:spacing w:after="0" w:line="360" w:lineRule="auto"/>
        <w:sectPr>
          <w:footerReference w:type="default" r:id="rId8"/>
          <w:pgSz w:w="12240" w:h="15840"/>
          <w:pgMar w:footer="1389" w:header="0" w:top="1500" w:bottom="1580" w:left="1720" w:right="1420"/>
          <w:pgNumType w:start="1"/>
        </w:sectPr>
      </w:pPr>
    </w:p>
    <w:p>
      <w:pPr>
        <w:pStyle w:val="BodyText"/>
        <w:spacing w:before="6"/>
        <w:jc w:val="left"/>
        <w:rPr>
          <w:sz w:val="20"/>
        </w:rPr>
      </w:pPr>
    </w:p>
    <w:p>
      <w:pPr>
        <w:pStyle w:val="Heading1"/>
        <w:ind w:left="513"/>
      </w:pPr>
      <w:r>
        <w:rPr/>
        <w:t>RESUMEN</w:t>
      </w:r>
    </w:p>
    <w:p>
      <w:pPr>
        <w:pStyle w:val="BodyText"/>
        <w:spacing w:before="9"/>
        <w:jc w:val="left"/>
        <w:rPr>
          <w:b/>
          <w:sz w:val="22"/>
        </w:rPr>
      </w:pPr>
    </w:p>
    <w:p>
      <w:pPr>
        <w:pStyle w:val="BodyText"/>
        <w:spacing w:line="360" w:lineRule="auto"/>
        <w:ind w:left="513" w:right="115"/>
      </w:pPr>
      <w:r>
        <w:rPr/>
        <w:t>La presente Tesis de Maestría se llevó a cabo con el objetivo principal de conocer el perfil de ácidos grasos y el contenido de ácido linoleico y linolénico en el queso artesanal Tepeque elaborado con leche de vaca de la raza pardo suizo. La parte experimental de esta tesis se llevó a cabo en primera instancia en el Valle de Tepalcatepec, Michoacán México donde se elaboraron 48 quesos., correspondiendo 24 quesos para un Sistema Silvopastoril intensivo (SSPi) y 24 quesos para un Sistema Tradicional (ST). Se empleó un diseño experimental completamente al azar con un arreglo factorial 2 x 4 para analizar el efecto del sistema de alimentación y cuatro periodos de maduración de los quesos. Los resultados obtenidos demuestran que existe una concentración significativamente menor (P&lt;0.05) de ácidos grasos de cadena corta en el SSPi. También se observó que la concentración de los ácidos grasos C18:2n3 y C18:3n3 fue mayor (P&lt;0.01 y P&lt;0.05, respectivamente) en los quesos del SSPi. Para los periodos se observó un incremento (P&lt;0.05) para C14:0, C16:0, C18:0 y C18:3n6 en el tercer periodo de maduración con respecto al primero, encontrando una estabilización en el cuarto periodo. Para la concentración promedio de ácidos grasos agrupados por el largo de su cadena de carbonos, se observó que ésta fue mayor para los ácidos de cadena larga (P&lt;0.01) en los quesos del SSPi, lo cual se explica por el consumo de forrajes frescos y de buena calidad en este sistema. Se concluye que el empleo de un SSPi genera un aumento en el contenido de ácidos grasos de cadena larga del queso artesanal</w:t>
      </w:r>
      <w:r>
        <w:rPr>
          <w:spacing w:val="-7"/>
        </w:rPr>
        <w:t> </w:t>
      </w:r>
      <w:r>
        <w:rPr/>
        <w:t>Tepeque.</w:t>
      </w:r>
    </w:p>
    <w:p>
      <w:pPr>
        <w:spacing w:after="0" w:line="360" w:lineRule="auto"/>
        <w:sectPr>
          <w:pgSz w:w="12240" w:h="15840"/>
          <w:pgMar w:header="0" w:footer="1389" w:top="1500" w:bottom="1580" w:left="1720" w:right="1400"/>
        </w:sectPr>
      </w:pPr>
    </w:p>
    <w:p>
      <w:pPr>
        <w:pStyle w:val="BodyText"/>
        <w:spacing w:before="6"/>
        <w:jc w:val="left"/>
        <w:rPr>
          <w:sz w:val="20"/>
        </w:rPr>
      </w:pPr>
    </w:p>
    <w:p>
      <w:pPr>
        <w:pStyle w:val="Heading1"/>
      </w:pPr>
      <w:r>
        <w:rPr/>
        <w:t>SUMMARY</w:t>
      </w:r>
    </w:p>
    <w:p>
      <w:pPr>
        <w:pStyle w:val="BodyText"/>
        <w:spacing w:before="9"/>
        <w:jc w:val="left"/>
        <w:rPr>
          <w:b/>
          <w:sz w:val="22"/>
        </w:rPr>
      </w:pPr>
    </w:p>
    <w:p>
      <w:pPr>
        <w:pStyle w:val="BodyText"/>
        <w:spacing w:line="360" w:lineRule="auto"/>
        <w:ind w:left="152" w:right="116"/>
      </w:pPr>
      <w:r>
        <w:rPr/>
        <w:t>The present master thesis was held with the main objective to know the profile of fatty acids, linoleic and linolenic acid in the artisanal Tepeque cheese made with milk from Brown Swiss breed. Instance experimental part of this thesis held at first instance in Tepalcatepec Valley of Michoacán México, where 48 cheeses were produced, corresponding 24 cheeses for a Silvo-Pastoral System (ISPs) and 24 cheeses for a Traditional System (TS). An experimental completely randomized design with a factorial arrangement, 2 x 4, was used to analyse the effect of the feeding system and four cheese ripening periods. The results showed a  significantly lower concentration (P&lt;0.05) of short chain fatty acids in the ISPs. On the contrary, the concentration of C18:2n3 and C18:3n3 was higher (P&lt;0.01 and P&lt;0.05, respectively) in the ISPs tan in the TS cheeses. For the periods, there was an increment (P&lt;0.05) in the concentration of C14:0, C16:0, C18:0 and C18:3n6 over the third ripening period in comparison with the first period. This concentration was stabilised and remained constant at the end of the fourth period. In relation with the concentration of fatty acids as grouped by the length of their carbon atoms chain, this was higher for the long chain fatty acids in the ISPs (P&lt;0.01). This </w:t>
      </w:r>
      <w:r>
        <w:rPr>
          <w:spacing w:val="-3"/>
        </w:rPr>
        <w:t>may </w:t>
      </w:r>
      <w:r>
        <w:rPr/>
        <w:t>be explained by intake of good quality forages in the ISPs. Finally, it is concluded that the use of a ISPs results in an increment in the long chain fatty acids in the Tepeque artisan</w:t>
      </w:r>
      <w:r>
        <w:rPr>
          <w:spacing w:val="-12"/>
        </w:rPr>
        <w:t> </w:t>
      </w:r>
      <w:r>
        <w:rPr/>
        <w:t>cheese.</w:t>
      </w:r>
    </w:p>
    <w:p>
      <w:pPr>
        <w:spacing w:after="0" w:line="360" w:lineRule="auto"/>
        <w:sectPr>
          <w:pgSz w:w="12240" w:h="15840"/>
          <w:pgMar w:header="0" w:footer="1389" w:top="1500" w:bottom="1580" w:left="1720" w:right="1400"/>
        </w:sect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1"/>
        </w:rPr>
      </w:pPr>
    </w:p>
    <w:p>
      <w:pPr>
        <w:pStyle w:val="Heading1"/>
        <w:spacing w:before="0"/>
        <w:ind w:left="141" w:right="93"/>
        <w:jc w:val="center"/>
        <w:rPr>
          <w:rFonts w:ascii="Cambria"/>
        </w:rPr>
      </w:pPr>
      <w:r>
        <w:rPr>
          <w:rFonts w:ascii="Cambria"/>
        </w:rPr>
        <w:t>CONTENIDO</w:t>
      </w:r>
    </w:p>
    <w:p>
      <w:pPr>
        <w:spacing w:after="0"/>
        <w:jc w:val="center"/>
        <w:rPr>
          <w:rFonts w:ascii="Cambria"/>
        </w:rPr>
        <w:sectPr>
          <w:footerReference w:type="default" r:id="rId9"/>
          <w:pgSz w:w="12240" w:h="15840"/>
          <w:pgMar w:footer="1389" w:header="0" w:top="1500" w:bottom="2011" w:left="1720" w:right="1420"/>
          <w:pgNumType w:start="4"/>
        </w:sectPr>
      </w:pPr>
    </w:p>
    <w:sdt>
      <w:sdtPr>
        <w:docPartObj>
          <w:docPartGallery w:val="Table of Contents"/>
          <w:docPartUnique/>
        </w:docPartObj>
      </w:sdtPr>
      <w:sdtEndPr/>
      <w:sdtContent>
        <w:p>
          <w:pPr>
            <w:pStyle w:val="TOC1"/>
            <w:tabs>
              <w:tab w:pos="8985" w:val="right" w:leader="dot"/>
            </w:tabs>
            <w:spacing w:before="546"/>
            <w:ind w:left="152" w:firstLine="0"/>
          </w:pPr>
          <w:hyperlink w:history="true" w:anchor="_bookmark0">
            <w:r>
              <w:rPr/>
              <w:t>ÍNDICE DE</w:t>
            </w:r>
            <w:r>
              <w:rPr>
                <w:spacing w:val="-4"/>
              </w:rPr>
              <w:t> </w:t>
            </w:r>
            <w:r>
              <w:rPr/>
              <w:t>FIGURAS</w:t>
              <w:tab/>
              <w:t>vi</w:t>
            </w:r>
          </w:hyperlink>
        </w:p>
        <w:p>
          <w:pPr>
            <w:pStyle w:val="TOC1"/>
            <w:tabs>
              <w:tab w:pos="8985" w:val="right" w:leader="dot"/>
            </w:tabs>
            <w:ind w:left="152" w:firstLine="0"/>
          </w:pPr>
          <w:hyperlink w:history="true" w:anchor="_bookmark1">
            <w:r>
              <w:rPr/>
              <w:t>ÍNDICE DE</w:t>
            </w:r>
            <w:r>
              <w:rPr>
                <w:spacing w:val="-4"/>
              </w:rPr>
              <w:t> </w:t>
            </w:r>
            <w:r>
              <w:rPr/>
              <w:t>CUADROS</w:t>
              <w:tab/>
              <w:t>vi</w:t>
            </w:r>
          </w:hyperlink>
        </w:p>
        <w:p>
          <w:pPr>
            <w:pStyle w:val="TOC1"/>
            <w:numPr>
              <w:ilvl w:val="0"/>
              <w:numId w:val="1"/>
            </w:numPr>
            <w:tabs>
              <w:tab w:pos="379" w:val="left" w:leader="none"/>
              <w:tab w:pos="8990" w:val="right" w:leader="dot"/>
            </w:tabs>
            <w:spacing w:line="240" w:lineRule="auto" w:before="217" w:after="0"/>
            <w:ind w:left="378" w:right="0" w:hanging="226"/>
            <w:jc w:val="left"/>
          </w:pPr>
          <w:hyperlink w:history="true" w:anchor="_bookmark2">
            <w:r>
              <w:rPr/>
              <w:t>INTRODUCCIÓN</w:t>
              <w:tab/>
              <w:t>1</w:t>
            </w:r>
          </w:hyperlink>
        </w:p>
        <w:p>
          <w:pPr>
            <w:pStyle w:val="TOC1"/>
            <w:numPr>
              <w:ilvl w:val="0"/>
              <w:numId w:val="1"/>
            </w:numPr>
            <w:tabs>
              <w:tab w:pos="379" w:val="left" w:leader="none"/>
              <w:tab w:pos="8990" w:val="right" w:leader="dot"/>
            </w:tabs>
            <w:spacing w:line="240" w:lineRule="auto" w:before="216" w:after="0"/>
            <w:ind w:left="378" w:right="0" w:hanging="226"/>
            <w:jc w:val="left"/>
          </w:pPr>
          <w:hyperlink w:history="true" w:anchor="_bookmark3">
            <w:r>
              <w:rPr/>
              <w:t>REVISIÓN</w:t>
            </w:r>
            <w:r>
              <w:rPr>
                <w:spacing w:val="-1"/>
              </w:rPr>
              <w:t> </w:t>
            </w:r>
            <w:r>
              <w:rPr/>
              <w:t>DE</w:t>
            </w:r>
            <w:r>
              <w:rPr>
                <w:spacing w:val="-4"/>
              </w:rPr>
              <w:t> </w:t>
            </w:r>
            <w:r>
              <w:rPr/>
              <w:t>LITERATURA</w:t>
              <w:tab/>
              <w:t>2</w:t>
            </w:r>
          </w:hyperlink>
        </w:p>
        <w:p>
          <w:pPr>
            <w:pStyle w:val="TOC2"/>
            <w:numPr>
              <w:ilvl w:val="1"/>
              <w:numId w:val="1"/>
            </w:numPr>
            <w:tabs>
              <w:tab w:pos="806" w:val="left" w:leader="none"/>
              <w:tab w:pos="8988" w:val="right" w:leader="dot"/>
            </w:tabs>
            <w:spacing w:line="240" w:lineRule="auto" w:before="217" w:after="0"/>
            <w:ind w:left="805" w:right="0" w:hanging="432"/>
            <w:jc w:val="left"/>
            <w:rPr>
              <w:rFonts w:ascii="Times New Roman" w:hAnsi="Times New Roman"/>
              <w:b w:val="0"/>
            </w:rPr>
          </w:pPr>
          <w:hyperlink w:history="true" w:anchor="_bookmark4">
            <w:r>
              <w:rPr/>
              <w:t>DEFINICIÓN</w:t>
            </w:r>
            <w:r>
              <w:rPr>
                <w:spacing w:val="-6"/>
              </w:rPr>
              <w:t> </w:t>
            </w:r>
            <w:r>
              <w:rPr/>
              <w:t>DE</w:t>
            </w:r>
            <w:r>
              <w:rPr>
                <w:spacing w:val="6"/>
              </w:rPr>
              <w:t> </w:t>
            </w:r>
            <w:r>
              <w:rPr/>
              <w:t>AGROFORESTERÍA</w:t>
            </w:r>
            <w:r>
              <w:rPr>
                <w:rFonts w:ascii="Times New Roman" w:hAnsi="Times New Roman"/>
                <w:b w:val="0"/>
              </w:rPr>
              <w:tab/>
              <w:t>2</w:t>
            </w:r>
          </w:hyperlink>
        </w:p>
        <w:p>
          <w:pPr>
            <w:pStyle w:val="TOC2"/>
            <w:numPr>
              <w:ilvl w:val="1"/>
              <w:numId w:val="1"/>
            </w:numPr>
            <w:tabs>
              <w:tab w:pos="806" w:val="left" w:leader="none"/>
              <w:tab w:pos="8988" w:val="right" w:leader="dot"/>
            </w:tabs>
            <w:spacing w:line="240" w:lineRule="auto" w:before="226" w:after="0"/>
            <w:ind w:left="805" w:right="0" w:hanging="432"/>
            <w:jc w:val="left"/>
            <w:rPr>
              <w:rFonts w:ascii="Times New Roman"/>
              <w:b w:val="0"/>
            </w:rPr>
          </w:pPr>
          <w:hyperlink w:history="true" w:anchor="_bookmark5">
            <w:r>
              <w:rPr/>
              <w:t>SISTEMAS</w:t>
            </w:r>
            <w:r>
              <w:rPr>
                <w:spacing w:val="6"/>
              </w:rPr>
              <w:t> </w:t>
            </w:r>
            <w:r>
              <w:rPr/>
              <w:t>AGROFORESTALES</w:t>
            </w:r>
            <w:r>
              <w:rPr>
                <w:rFonts w:ascii="Times New Roman"/>
                <w:b w:val="0"/>
              </w:rPr>
              <w:tab/>
              <w:t>2</w:t>
            </w:r>
          </w:hyperlink>
        </w:p>
        <w:p>
          <w:pPr>
            <w:pStyle w:val="TOC2"/>
            <w:numPr>
              <w:ilvl w:val="1"/>
              <w:numId w:val="1"/>
            </w:numPr>
            <w:tabs>
              <w:tab w:pos="806" w:val="left" w:leader="none"/>
              <w:tab w:pos="8988" w:val="right" w:leader="dot"/>
            </w:tabs>
            <w:spacing w:line="240" w:lineRule="auto" w:before="226" w:after="0"/>
            <w:ind w:left="805" w:right="0" w:hanging="432"/>
            <w:jc w:val="left"/>
            <w:rPr>
              <w:rFonts w:ascii="Times New Roman" w:hAnsi="Times New Roman"/>
              <w:b w:val="0"/>
            </w:rPr>
          </w:pPr>
          <w:hyperlink w:history="true" w:anchor="_bookmark6">
            <w:r>
              <w:rPr/>
              <w:t>CLASIFICACIÓN DE LOS</w:t>
            </w:r>
            <w:r>
              <w:rPr>
                <w:spacing w:val="-4"/>
              </w:rPr>
              <w:t> </w:t>
            </w:r>
            <w:r>
              <w:rPr/>
              <w:t>SISTEMAS</w:t>
            </w:r>
            <w:r>
              <w:rPr>
                <w:spacing w:val="6"/>
              </w:rPr>
              <w:t> </w:t>
            </w:r>
            <w:r>
              <w:rPr/>
              <w:t>AGROFORESTALES</w:t>
            </w:r>
            <w:r>
              <w:rPr>
                <w:rFonts w:ascii="Times New Roman" w:hAnsi="Times New Roman"/>
                <w:b w:val="0"/>
              </w:rPr>
              <w:tab/>
              <w:t>3</w:t>
            </w:r>
          </w:hyperlink>
        </w:p>
        <w:p>
          <w:pPr>
            <w:pStyle w:val="TOC2"/>
            <w:numPr>
              <w:ilvl w:val="1"/>
              <w:numId w:val="1"/>
            </w:numPr>
            <w:tabs>
              <w:tab w:pos="806" w:val="left" w:leader="none"/>
              <w:tab w:pos="8988" w:val="right" w:leader="dot"/>
            </w:tabs>
            <w:spacing w:line="240" w:lineRule="auto" w:before="231" w:after="0"/>
            <w:ind w:left="805" w:right="0" w:hanging="432"/>
            <w:jc w:val="left"/>
            <w:rPr>
              <w:rFonts w:ascii="Times New Roman"/>
              <w:b w:val="0"/>
            </w:rPr>
          </w:pPr>
          <w:hyperlink w:history="true" w:anchor="_bookmark7">
            <w:r>
              <w:rPr/>
              <w:t>SISTEMA</w:t>
            </w:r>
            <w:r>
              <w:rPr>
                <w:spacing w:val="-11"/>
              </w:rPr>
              <w:t> </w:t>
            </w:r>
            <w:r>
              <w:rPr/>
              <w:t>SILVOPASTORIL</w:t>
            </w:r>
            <w:r>
              <w:rPr>
                <w:spacing w:val="-1"/>
              </w:rPr>
              <w:t> </w:t>
            </w:r>
            <w:r>
              <w:rPr/>
              <w:t>INTENSIVO</w:t>
            </w:r>
            <w:r>
              <w:rPr>
                <w:rFonts w:ascii="Times New Roman"/>
                <w:b w:val="0"/>
              </w:rPr>
              <w:tab/>
              <w:t>7</w:t>
            </w:r>
          </w:hyperlink>
        </w:p>
        <w:p>
          <w:pPr>
            <w:pStyle w:val="TOC3"/>
            <w:numPr>
              <w:ilvl w:val="2"/>
              <w:numId w:val="1"/>
            </w:numPr>
            <w:tabs>
              <w:tab w:pos="1208" w:val="left" w:leader="none"/>
              <w:tab w:pos="8988" w:val="right" w:leader="dot"/>
            </w:tabs>
            <w:spacing w:line="240" w:lineRule="auto" w:before="226" w:after="0"/>
            <w:ind w:left="1208" w:right="0" w:hanging="614"/>
            <w:jc w:val="left"/>
            <w:rPr>
              <w:rFonts w:ascii="Times New Roman" w:hAnsi="Times New Roman"/>
            </w:rPr>
          </w:pPr>
          <w:hyperlink w:history="true" w:anchor="_bookmark8">
            <w:r>
              <w:rPr/>
              <w:t>Principales especies empleadas y</w:t>
            </w:r>
            <w:r>
              <w:rPr>
                <w:spacing w:val="-12"/>
              </w:rPr>
              <w:t> </w:t>
            </w:r>
            <w:r>
              <w:rPr/>
              <w:t>sus</w:t>
            </w:r>
            <w:r>
              <w:rPr>
                <w:spacing w:val="-5"/>
              </w:rPr>
              <w:t> </w:t>
            </w:r>
            <w:r>
              <w:rPr/>
              <w:t>características</w:t>
            </w:r>
            <w:r>
              <w:rPr>
                <w:rFonts w:ascii="Times New Roman" w:hAnsi="Times New Roman"/>
              </w:rPr>
              <w:tab/>
              <w:t>8</w:t>
            </w:r>
          </w:hyperlink>
        </w:p>
        <w:p>
          <w:pPr>
            <w:pStyle w:val="TOC3"/>
            <w:numPr>
              <w:ilvl w:val="2"/>
              <w:numId w:val="1"/>
            </w:numPr>
            <w:tabs>
              <w:tab w:pos="1208" w:val="left" w:leader="none"/>
              <w:tab w:pos="8988" w:val="right" w:leader="dot"/>
            </w:tabs>
            <w:spacing w:line="240" w:lineRule="auto" w:before="226" w:after="0"/>
            <w:ind w:left="1208" w:right="0" w:hanging="614"/>
            <w:jc w:val="left"/>
            <w:rPr>
              <w:rFonts w:ascii="Times New Roman" w:hAnsi="Times New Roman"/>
            </w:rPr>
          </w:pPr>
          <w:hyperlink w:history="true" w:anchor="_bookmark9">
            <w:r>
              <w:rPr/>
              <w:t>Efecto de un Sistema Silvopastoril intensivo en la</w:t>
            </w:r>
            <w:r>
              <w:rPr>
                <w:spacing w:val="-19"/>
              </w:rPr>
              <w:t> </w:t>
            </w:r>
            <w:r>
              <w:rPr/>
              <w:t>producción láctea</w:t>
            </w:r>
            <w:r>
              <w:rPr>
                <w:rFonts w:ascii="Times New Roman" w:hAnsi="Times New Roman"/>
              </w:rPr>
              <w:tab/>
              <w:t>9</w:t>
            </w:r>
          </w:hyperlink>
        </w:p>
        <w:p>
          <w:pPr>
            <w:pStyle w:val="TOC2"/>
            <w:numPr>
              <w:ilvl w:val="1"/>
              <w:numId w:val="1"/>
            </w:numPr>
            <w:tabs>
              <w:tab w:pos="806" w:val="left" w:leader="none"/>
              <w:tab w:pos="8988" w:val="right" w:leader="dot"/>
            </w:tabs>
            <w:spacing w:line="240" w:lineRule="auto" w:before="226" w:after="0"/>
            <w:ind w:left="805" w:right="0" w:hanging="432"/>
            <w:jc w:val="left"/>
            <w:rPr>
              <w:rFonts w:ascii="Times New Roman"/>
              <w:b w:val="0"/>
            </w:rPr>
          </w:pPr>
          <w:hyperlink w:history="true" w:anchor="_bookmark10">
            <w:r>
              <w:rPr/>
              <w:t>Componentes de la leche</w:t>
            </w:r>
            <w:r>
              <w:rPr>
                <w:spacing w:val="-2"/>
              </w:rPr>
              <w:t> </w:t>
            </w:r>
            <w:r>
              <w:rPr/>
              <w:t>de</w:t>
            </w:r>
            <w:r>
              <w:rPr>
                <w:spacing w:val="1"/>
              </w:rPr>
              <w:t> </w:t>
            </w:r>
            <w:r>
              <w:rPr/>
              <w:t>vaca</w:t>
            </w:r>
            <w:r>
              <w:rPr>
                <w:rFonts w:ascii="Times New Roman"/>
                <w:b w:val="0"/>
              </w:rPr>
              <w:tab/>
              <w:t>10</w:t>
            </w:r>
          </w:hyperlink>
        </w:p>
        <w:p>
          <w:pPr>
            <w:pStyle w:val="TOC3"/>
            <w:numPr>
              <w:ilvl w:val="2"/>
              <w:numId w:val="1"/>
            </w:numPr>
            <w:tabs>
              <w:tab w:pos="1208" w:val="left" w:leader="none"/>
              <w:tab w:pos="8988" w:val="right" w:leader="dot"/>
            </w:tabs>
            <w:spacing w:line="240" w:lineRule="auto" w:before="226" w:after="0"/>
            <w:ind w:left="1208" w:right="0" w:hanging="614"/>
            <w:jc w:val="left"/>
            <w:rPr>
              <w:rFonts w:ascii="Times New Roman" w:hAnsi="Times New Roman"/>
            </w:rPr>
          </w:pPr>
          <w:hyperlink w:history="true" w:anchor="_bookmark11">
            <w:r>
              <w:rPr/>
              <w:t>Perfil de ácidos grasos en</w:t>
            </w:r>
            <w:r>
              <w:rPr>
                <w:spacing w:val="-9"/>
              </w:rPr>
              <w:t> </w:t>
            </w:r>
            <w:r>
              <w:rPr/>
              <w:t>la</w:t>
            </w:r>
            <w:r>
              <w:rPr>
                <w:spacing w:val="1"/>
              </w:rPr>
              <w:t> </w:t>
            </w:r>
            <w:r>
              <w:rPr/>
              <w:t>leche</w:t>
            </w:r>
            <w:r>
              <w:rPr>
                <w:rFonts w:ascii="Times New Roman" w:hAnsi="Times New Roman"/>
              </w:rPr>
              <w:tab/>
              <w:t>11</w:t>
            </w:r>
          </w:hyperlink>
        </w:p>
        <w:p>
          <w:pPr>
            <w:pStyle w:val="TOC3"/>
            <w:numPr>
              <w:ilvl w:val="2"/>
              <w:numId w:val="1"/>
            </w:numPr>
            <w:tabs>
              <w:tab w:pos="1208" w:val="left" w:leader="none"/>
              <w:tab w:pos="8988" w:val="right" w:leader="dot"/>
            </w:tabs>
            <w:spacing w:line="240" w:lineRule="auto" w:before="226" w:after="0"/>
            <w:ind w:left="1208" w:right="0" w:hanging="614"/>
            <w:jc w:val="left"/>
            <w:rPr>
              <w:rFonts w:ascii="Times New Roman" w:hAnsi="Times New Roman"/>
            </w:rPr>
          </w:pPr>
          <w:hyperlink w:history="true" w:anchor="_bookmark12">
            <w:r>
              <w:rPr/>
              <w:t>Química de los</w:t>
            </w:r>
            <w:r>
              <w:rPr>
                <w:spacing w:val="-9"/>
              </w:rPr>
              <w:t> </w:t>
            </w:r>
            <w:r>
              <w:rPr/>
              <w:t>ácidos</w:t>
            </w:r>
            <w:r>
              <w:rPr>
                <w:spacing w:val="-4"/>
              </w:rPr>
              <w:t> </w:t>
            </w:r>
            <w:r>
              <w:rPr/>
              <w:t>grasos</w:t>
            </w:r>
            <w:r>
              <w:rPr>
                <w:rFonts w:ascii="Times New Roman" w:hAnsi="Times New Roman"/>
              </w:rPr>
              <w:tab/>
              <w:t>13</w:t>
            </w:r>
          </w:hyperlink>
        </w:p>
        <w:p>
          <w:pPr>
            <w:pStyle w:val="TOC3"/>
            <w:numPr>
              <w:ilvl w:val="2"/>
              <w:numId w:val="1"/>
            </w:numPr>
            <w:tabs>
              <w:tab w:pos="1208" w:val="left" w:leader="none"/>
              <w:tab w:pos="8988" w:val="right" w:leader="dot"/>
            </w:tabs>
            <w:spacing w:line="240" w:lineRule="auto" w:before="226" w:after="0"/>
            <w:ind w:left="1208" w:right="0" w:hanging="614"/>
            <w:jc w:val="left"/>
            <w:rPr>
              <w:rFonts w:ascii="Times New Roman" w:hAnsi="Times New Roman"/>
            </w:rPr>
          </w:pPr>
          <w:hyperlink w:history="true" w:anchor="_bookmark13">
            <w:r>
              <w:rPr/>
              <w:t>Ácido linoleico</w:t>
            </w:r>
            <w:r>
              <w:rPr>
                <w:spacing w:val="3"/>
              </w:rPr>
              <w:t> </w:t>
            </w:r>
            <w:r>
              <w:rPr/>
              <w:t>conjugado</w:t>
            </w:r>
            <w:r>
              <w:rPr>
                <w:spacing w:val="-3"/>
              </w:rPr>
              <w:t> </w:t>
            </w:r>
            <w:r>
              <w:rPr/>
              <w:t>(CLA)</w:t>
            </w:r>
            <w:r>
              <w:rPr>
                <w:rFonts w:ascii="Times New Roman" w:hAnsi="Times New Roman"/>
              </w:rPr>
              <w:tab/>
              <w:t>15</w:t>
            </w:r>
          </w:hyperlink>
        </w:p>
        <w:p>
          <w:pPr>
            <w:pStyle w:val="TOC3"/>
            <w:numPr>
              <w:ilvl w:val="2"/>
              <w:numId w:val="1"/>
            </w:numPr>
            <w:tabs>
              <w:tab w:pos="1208" w:val="left" w:leader="none"/>
              <w:tab w:pos="8988" w:val="right" w:leader="dot"/>
            </w:tabs>
            <w:spacing w:line="240" w:lineRule="auto" w:before="226" w:after="0"/>
            <w:ind w:left="1208" w:right="0" w:hanging="614"/>
            <w:jc w:val="left"/>
            <w:rPr>
              <w:rFonts w:ascii="Times New Roman" w:hAnsi="Times New Roman"/>
            </w:rPr>
          </w:pPr>
          <w:hyperlink w:history="true" w:anchor="_bookmark14">
            <w:r>
              <w:rPr/>
              <w:t>Biosíntesis</w:t>
            </w:r>
            <w:r>
              <w:rPr>
                <w:spacing w:val="-5"/>
              </w:rPr>
              <w:t> </w:t>
            </w:r>
            <w:r>
              <w:rPr/>
              <w:t>del</w:t>
            </w:r>
            <w:r>
              <w:rPr>
                <w:spacing w:val="-1"/>
              </w:rPr>
              <w:t> </w:t>
            </w:r>
            <w:r>
              <w:rPr/>
              <w:t>CLA</w:t>
            </w:r>
            <w:r>
              <w:rPr>
                <w:rFonts w:ascii="Times New Roman" w:hAnsi="Times New Roman"/>
              </w:rPr>
              <w:tab/>
              <w:t>17</w:t>
            </w:r>
          </w:hyperlink>
        </w:p>
        <w:p>
          <w:pPr>
            <w:pStyle w:val="TOC2"/>
            <w:numPr>
              <w:ilvl w:val="1"/>
              <w:numId w:val="1"/>
            </w:numPr>
            <w:tabs>
              <w:tab w:pos="806" w:val="left" w:leader="none"/>
              <w:tab w:pos="8988" w:val="right" w:leader="dot"/>
            </w:tabs>
            <w:spacing w:line="240" w:lineRule="auto" w:before="226" w:after="0"/>
            <w:ind w:left="805" w:right="0" w:hanging="432"/>
            <w:jc w:val="left"/>
            <w:rPr>
              <w:rFonts w:ascii="Times New Roman" w:hAnsi="Times New Roman"/>
              <w:b w:val="0"/>
            </w:rPr>
          </w:pPr>
          <w:hyperlink w:history="true" w:anchor="_bookmark15">
            <w:r>
              <w:rPr/>
              <w:t>Antecedentes de</w:t>
            </w:r>
            <w:r>
              <w:rPr>
                <w:spacing w:val="-1"/>
              </w:rPr>
              <w:t> </w:t>
            </w:r>
            <w:r>
              <w:rPr/>
              <w:t>biohidrogenación</w:t>
            </w:r>
            <w:r>
              <w:rPr>
                <w:spacing w:val="-1"/>
              </w:rPr>
              <w:t> </w:t>
            </w:r>
            <w:r>
              <w:rPr/>
              <w:t>ruminal</w:t>
            </w:r>
            <w:r>
              <w:rPr>
                <w:rFonts w:ascii="Times New Roman" w:hAnsi="Times New Roman"/>
                <w:b w:val="0"/>
              </w:rPr>
              <w:tab/>
              <w:t>18</w:t>
            </w:r>
          </w:hyperlink>
        </w:p>
        <w:p>
          <w:pPr>
            <w:pStyle w:val="TOC3"/>
            <w:numPr>
              <w:ilvl w:val="2"/>
              <w:numId w:val="1"/>
            </w:numPr>
            <w:tabs>
              <w:tab w:pos="1208" w:val="left" w:leader="none"/>
              <w:tab w:pos="8988" w:val="right" w:leader="dot"/>
            </w:tabs>
            <w:spacing w:line="240" w:lineRule="auto" w:before="226" w:after="0"/>
            <w:ind w:left="1208" w:right="0" w:hanging="614"/>
            <w:jc w:val="left"/>
            <w:rPr>
              <w:rFonts w:ascii="Times New Roman"/>
            </w:rPr>
          </w:pPr>
          <w:hyperlink w:history="true" w:anchor="_bookmark16">
            <w:r>
              <w:rPr/>
              <w:t>Microorganismos ruminales</w:t>
            </w:r>
            <w:r>
              <w:rPr>
                <w:rFonts w:ascii="Times New Roman"/>
              </w:rPr>
              <w:tab/>
              <w:t>18</w:t>
            </w:r>
          </w:hyperlink>
        </w:p>
        <w:p>
          <w:pPr>
            <w:pStyle w:val="TOC3"/>
            <w:numPr>
              <w:ilvl w:val="2"/>
              <w:numId w:val="1"/>
            </w:numPr>
            <w:tabs>
              <w:tab w:pos="1208" w:val="left" w:leader="none"/>
              <w:tab w:pos="8988" w:val="right" w:leader="dot"/>
            </w:tabs>
            <w:spacing w:line="240" w:lineRule="auto" w:before="226" w:after="0"/>
            <w:ind w:left="1208" w:right="0" w:hanging="614"/>
            <w:jc w:val="left"/>
            <w:rPr>
              <w:rFonts w:ascii="Times New Roman" w:hAnsi="Times New Roman"/>
            </w:rPr>
          </w:pPr>
          <w:hyperlink w:history="true" w:anchor="_bookmark17">
            <w:r>
              <w:rPr/>
              <w:t>Biohidrogenacíón</w:t>
            </w:r>
            <w:r>
              <w:rPr>
                <w:spacing w:val="-3"/>
              </w:rPr>
              <w:t> </w:t>
            </w:r>
            <w:r>
              <w:rPr/>
              <w:t>per</w:t>
            </w:r>
            <w:r>
              <w:rPr>
                <w:spacing w:val="-2"/>
              </w:rPr>
              <w:t> </w:t>
            </w:r>
            <w:r>
              <w:rPr>
                <w:spacing w:val="-3"/>
              </w:rPr>
              <w:t>se</w:t>
            </w:r>
            <w:r>
              <w:rPr>
                <w:rFonts w:ascii="Times New Roman" w:hAnsi="Times New Roman"/>
                <w:spacing w:val="-3"/>
              </w:rPr>
              <w:tab/>
            </w:r>
            <w:r>
              <w:rPr>
                <w:rFonts w:ascii="Times New Roman" w:hAnsi="Times New Roman"/>
              </w:rPr>
              <w:t>19</w:t>
            </w:r>
          </w:hyperlink>
        </w:p>
        <w:p>
          <w:pPr>
            <w:pStyle w:val="TOC1"/>
            <w:numPr>
              <w:ilvl w:val="0"/>
              <w:numId w:val="1"/>
            </w:numPr>
            <w:tabs>
              <w:tab w:pos="379" w:val="left" w:leader="none"/>
              <w:tab w:pos="8988" w:val="right" w:leader="dot"/>
            </w:tabs>
            <w:spacing w:line="240" w:lineRule="auto" w:before="225" w:after="0"/>
            <w:ind w:left="378" w:right="0" w:hanging="226"/>
            <w:jc w:val="left"/>
          </w:pPr>
          <w:hyperlink w:history="true" w:anchor="_bookmark18">
            <w:r>
              <w:rPr/>
              <w:t>JUSTIFICACIÓN</w:t>
              <w:tab/>
              <w:t>22</w:t>
            </w:r>
          </w:hyperlink>
        </w:p>
        <w:p>
          <w:pPr>
            <w:pStyle w:val="TOC1"/>
            <w:numPr>
              <w:ilvl w:val="0"/>
              <w:numId w:val="1"/>
            </w:numPr>
            <w:tabs>
              <w:tab w:pos="379" w:val="left" w:leader="none"/>
              <w:tab w:pos="8988" w:val="right" w:leader="dot"/>
            </w:tabs>
            <w:spacing w:line="240" w:lineRule="auto" w:before="211" w:after="0"/>
            <w:ind w:left="378" w:right="0" w:hanging="226"/>
            <w:jc w:val="left"/>
          </w:pPr>
          <w:hyperlink w:history="true" w:anchor="_bookmark19">
            <w:r>
              <w:rPr/>
              <w:t>HIPÓTESIS</w:t>
              <w:tab/>
              <w:t>23</w:t>
            </w:r>
          </w:hyperlink>
        </w:p>
        <w:p>
          <w:pPr>
            <w:pStyle w:val="TOC1"/>
            <w:numPr>
              <w:ilvl w:val="0"/>
              <w:numId w:val="1"/>
            </w:numPr>
            <w:tabs>
              <w:tab w:pos="379" w:val="left" w:leader="none"/>
              <w:tab w:pos="8988" w:val="right" w:leader="dot"/>
            </w:tabs>
            <w:spacing w:line="240" w:lineRule="auto" w:before="217" w:after="0"/>
            <w:ind w:left="378" w:right="0" w:hanging="226"/>
            <w:jc w:val="left"/>
          </w:pPr>
          <w:hyperlink w:history="true" w:anchor="_bookmark20">
            <w:r>
              <w:rPr/>
              <w:t>OBJETIVOS</w:t>
              <w:tab/>
              <w:t>24</w:t>
            </w:r>
          </w:hyperlink>
        </w:p>
        <w:p>
          <w:pPr>
            <w:pStyle w:val="TOC1"/>
            <w:numPr>
              <w:ilvl w:val="0"/>
              <w:numId w:val="1"/>
            </w:numPr>
            <w:tabs>
              <w:tab w:pos="379" w:val="left" w:leader="none"/>
              <w:tab w:pos="8988" w:val="right" w:leader="dot"/>
            </w:tabs>
            <w:spacing w:line="240" w:lineRule="auto" w:before="216" w:after="0"/>
            <w:ind w:left="378" w:right="0" w:hanging="226"/>
            <w:jc w:val="left"/>
          </w:pPr>
          <w:hyperlink w:history="true" w:anchor="_bookmark21">
            <w:r>
              <w:rPr/>
              <w:t>MATERIAL</w:t>
            </w:r>
            <w:r>
              <w:rPr>
                <w:spacing w:val="2"/>
              </w:rPr>
              <w:t> </w:t>
            </w:r>
            <w:r>
              <w:rPr/>
              <w:t>Y</w:t>
            </w:r>
            <w:r>
              <w:rPr>
                <w:spacing w:val="-4"/>
              </w:rPr>
              <w:t> </w:t>
            </w:r>
            <w:r>
              <w:rPr/>
              <w:t>MÉTODOS</w:t>
              <w:tab/>
              <w:t>25</w:t>
            </w:r>
          </w:hyperlink>
        </w:p>
        <w:p>
          <w:pPr>
            <w:pStyle w:val="TOC2"/>
            <w:numPr>
              <w:ilvl w:val="1"/>
              <w:numId w:val="1"/>
            </w:numPr>
            <w:tabs>
              <w:tab w:pos="806" w:val="left" w:leader="none"/>
              <w:tab w:pos="8988" w:val="right" w:leader="dot"/>
            </w:tabs>
            <w:spacing w:line="240" w:lineRule="auto" w:before="217" w:after="0"/>
            <w:ind w:left="805" w:right="0" w:hanging="432"/>
            <w:jc w:val="left"/>
            <w:rPr>
              <w:rFonts w:ascii="Times New Roman" w:hAnsi="Times New Roman"/>
              <w:b w:val="0"/>
            </w:rPr>
          </w:pPr>
          <w:hyperlink w:history="true" w:anchor="_bookmark22">
            <w:r>
              <w:rPr/>
              <w:t>Localización geográfica del área</w:t>
            </w:r>
            <w:r>
              <w:rPr>
                <w:spacing w:val="-8"/>
              </w:rPr>
              <w:t> </w:t>
            </w:r>
            <w:r>
              <w:rPr/>
              <w:t>de</w:t>
            </w:r>
            <w:r>
              <w:rPr>
                <w:spacing w:val="-4"/>
              </w:rPr>
              <w:t> </w:t>
            </w:r>
            <w:r>
              <w:rPr/>
              <w:t>estudio</w:t>
            </w:r>
            <w:r>
              <w:rPr>
                <w:rFonts w:ascii="Times New Roman" w:hAnsi="Times New Roman"/>
                <w:b w:val="0"/>
              </w:rPr>
              <w:tab/>
              <w:t>25</w:t>
            </w:r>
          </w:hyperlink>
        </w:p>
        <w:p>
          <w:pPr>
            <w:pStyle w:val="TOC2"/>
            <w:numPr>
              <w:ilvl w:val="1"/>
              <w:numId w:val="1"/>
            </w:numPr>
            <w:tabs>
              <w:tab w:pos="806" w:val="left" w:leader="none"/>
              <w:tab w:pos="8988" w:val="right" w:leader="dot"/>
            </w:tabs>
            <w:spacing w:line="240" w:lineRule="auto" w:before="310" w:after="0"/>
            <w:ind w:left="805" w:right="0" w:hanging="432"/>
            <w:jc w:val="left"/>
            <w:rPr>
              <w:rFonts w:ascii="Times New Roman" w:hAnsi="Times New Roman"/>
              <w:b w:val="0"/>
            </w:rPr>
          </w:pPr>
          <w:hyperlink w:history="true" w:anchor="_bookmark23">
            <w:r>
              <w:rPr/>
              <w:t>Sistema</w:t>
            </w:r>
            <w:r>
              <w:rPr>
                <w:spacing w:val="1"/>
              </w:rPr>
              <w:t> </w:t>
            </w:r>
            <w:r>
              <w:rPr/>
              <w:t>de</w:t>
            </w:r>
            <w:r>
              <w:rPr>
                <w:spacing w:val="-4"/>
              </w:rPr>
              <w:t> </w:t>
            </w:r>
            <w:r>
              <w:rPr/>
              <w:t>alimentación</w:t>
            </w:r>
            <w:r>
              <w:rPr>
                <w:rFonts w:ascii="Times New Roman" w:hAnsi="Times New Roman"/>
                <w:b w:val="0"/>
              </w:rPr>
              <w:tab/>
              <w:t>25</w:t>
            </w:r>
          </w:hyperlink>
        </w:p>
        <w:p>
          <w:pPr>
            <w:pStyle w:val="TOC2"/>
            <w:numPr>
              <w:ilvl w:val="1"/>
              <w:numId w:val="1"/>
            </w:numPr>
            <w:tabs>
              <w:tab w:pos="806" w:val="left" w:leader="none"/>
              <w:tab w:pos="8988" w:val="right" w:leader="dot"/>
            </w:tabs>
            <w:spacing w:line="240" w:lineRule="auto" w:before="226" w:after="0"/>
            <w:ind w:left="805" w:right="0" w:hanging="432"/>
            <w:jc w:val="left"/>
            <w:rPr>
              <w:rFonts w:ascii="Times New Roman" w:hAnsi="Times New Roman"/>
              <w:b w:val="0"/>
            </w:rPr>
          </w:pPr>
          <w:hyperlink w:history="true" w:anchor="_bookmark24">
            <w:r>
              <w:rPr/>
              <w:t>Elaboración del</w:t>
            </w:r>
            <w:r>
              <w:rPr>
                <w:spacing w:val="-4"/>
              </w:rPr>
              <w:t> </w:t>
            </w:r>
            <w:r>
              <w:rPr/>
              <w:t>queso</w:t>
            </w:r>
            <w:r>
              <w:rPr>
                <w:spacing w:val="-1"/>
              </w:rPr>
              <w:t> </w:t>
            </w:r>
            <w:r>
              <w:rPr/>
              <w:t>maduro</w:t>
            </w:r>
            <w:r>
              <w:rPr>
                <w:rFonts w:ascii="Times New Roman" w:hAnsi="Times New Roman"/>
                <w:b w:val="0"/>
              </w:rPr>
              <w:tab/>
              <w:t>25</w:t>
            </w:r>
          </w:hyperlink>
        </w:p>
        <w:p>
          <w:pPr>
            <w:pStyle w:val="TOC2"/>
            <w:numPr>
              <w:ilvl w:val="1"/>
              <w:numId w:val="1"/>
            </w:numPr>
            <w:tabs>
              <w:tab w:pos="806" w:val="left" w:leader="none"/>
              <w:tab w:pos="8988" w:val="right" w:leader="dot"/>
            </w:tabs>
            <w:spacing w:line="240" w:lineRule="auto" w:before="226" w:after="0"/>
            <w:ind w:left="805" w:right="0" w:hanging="432"/>
            <w:jc w:val="left"/>
            <w:rPr>
              <w:rFonts w:ascii="Times New Roman"/>
              <w:b w:val="0"/>
            </w:rPr>
          </w:pPr>
          <w:hyperlink w:history="true" w:anchor="_bookmark25">
            <w:r>
              <w:rPr/>
              <w:t>Muestras de queso</w:t>
            </w:r>
            <w:r>
              <w:rPr>
                <w:spacing w:val="-5"/>
              </w:rPr>
              <w:t> </w:t>
            </w:r>
            <w:r>
              <w:rPr/>
              <w:t>artesanal</w:t>
            </w:r>
            <w:r>
              <w:rPr>
                <w:spacing w:val="-9"/>
              </w:rPr>
              <w:t> </w:t>
            </w:r>
            <w:r>
              <w:rPr/>
              <w:t>Tepeque</w:t>
            </w:r>
            <w:r>
              <w:rPr>
                <w:rFonts w:ascii="Times New Roman"/>
                <w:b w:val="0"/>
              </w:rPr>
              <w:tab/>
              <w:t>26</w:t>
            </w:r>
          </w:hyperlink>
        </w:p>
        <w:p>
          <w:pPr>
            <w:pStyle w:val="TOC2"/>
            <w:numPr>
              <w:ilvl w:val="1"/>
              <w:numId w:val="1"/>
            </w:numPr>
            <w:tabs>
              <w:tab w:pos="806" w:val="left" w:leader="none"/>
              <w:tab w:pos="8988" w:val="right" w:leader="dot"/>
            </w:tabs>
            <w:spacing w:line="240" w:lineRule="auto" w:before="226" w:after="0"/>
            <w:ind w:left="805" w:right="0" w:hanging="432"/>
            <w:jc w:val="left"/>
            <w:rPr>
              <w:rFonts w:ascii="Times New Roman" w:hAnsi="Times New Roman"/>
              <w:b w:val="0"/>
            </w:rPr>
          </w:pPr>
          <w:hyperlink w:history="true" w:anchor="_bookmark26">
            <w:r>
              <w:rPr/>
              <w:t>Análisis</w:t>
            </w:r>
            <w:r>
              <w:rPr>
                <w:spacing w:val="-3"/>
              </w:rPr>
              <w:t> </w:t>
            </w:r>
            <w:r>
              <w:rPr/>
              <w:t>de</w:t>
            </w:r>
            <w:r>
              <w:rPr>
                <w:spacing w:val="1"/>
              </w:rPr>
              <w:t> </w:t>
            </w:r>
            <w:r>
              <w:rPr/>
              <w:t>laboratorio</w:t>
            </w:r>
            <w:r>
              <w:rPr>
                <w:rFonts w:ascii="Times New Roman" w:hAnsi="Times New Roman"/>
                <w:b w:val="0"/>
              </w:rPr>
              <w:tab/>
              <w:t>28</w:t>
            </w:r>
          </w:hyperlink>
        </w:p>
        <w:p>
          <w:pPr>
            <w:pStyle w:val="TOC2"/>
            <w:numPr>
              <w:ilvl w:val="1"/>
              <w:numId w:val="1"/>
            </w:numPr>
            <w:tabs>
              <w:tab w:pos="806" w:val="left" w:leader="none"/>
              <w:tab w:pos="8988" w:val="right" w:leader="dot"/>
            </w:tabs>
            <w:spacing w:line="240" w:lineRule="auto" w:before="226" w:after="0"/>
            <w:ind w:left="805" w:right="0" w:hanging="432"/>
            <w:jc w:val="left"/>
            <w:rPr>
              <w:rFonts w:ascii="Times New Roman" w:hAnsi="Times New Roman"/>
              <w:b w:val="0"/>
            </w:rPr>
          </w:pPr>
          <w:hyperlink w:history="true" w:anchor="_bookmark27">
            <w:r>
              <w:rPr/>
              <w:t>Diseño experimental y</w:t>
            </w:r>
            <w:r>
              <w:rPr>
                <w:spacing w:val="-6"/>
              </w:rPr>
              <w:t> </w:t>
            </w:r>
            <w:r>
              <w:rPr/>
              <w:t>análisis</w:t>
            </w:r>
            <w:r>
              <w:rPr>
                <w:spacing w:val="-3"/>
              </w:rPr>
              <w:t> </w:t>
            </w:r>
            <w:r>
              <w:rPr/>
              <w:t>estadístico</w:t>
            </w:r>
            <w:r>
              <w:rPr>
                <w:rFonts w:ascii="Times New Roman" w:hAnsi="Times New Roman"/>
                <w:b w:val="0"/>
              </w:rPr>
              <w:tab/>
              <w:t>29</w:t>
            </w:r>
          </w:hyperlink>
        </w:p>
        <w:p>
          <w:pPr>
            <w:pStyle w:val="TOC1"/>
            <w:numPr>
              <w:ilvl w:val="0"/>
              <w:numId w:val="1"/>
            </w:numPr>
            <w:tabs>
              <w:tab w:pos="379" w:val="left" w:leader="none"/>
              <w:tab w:pos="8988" w:val="right" w:leader="dot"/>
            </w:tabs>
            <w:spacing w:line="240" w:lineRule="auto" w:before="221" w:after="0"/>
            <w:ind w:left="378" w:right="0" w:hanging="226"/>
            <w:jc w:val="left"/>
          </w:pPr>
          <w:hyperlink w:history="true" w:anchor="_bookmark28">
            <w:r>
              <w:rPr/>
              <w:t>RESULTADOS</w:t>
              <w:tab/>
              <w:t>30</w:t>
            </w:r>
          </w:hyperlink>
        </w:p>
        <w:p>
          <w:pPr>
            <w:pStyle w:val="TOC2"/>
            <w:numPr>
              <w:ilvl w:val="1"/>
              <w:numId w:val="1"/>
            </w:numPr>
            <w:tabs>
              <w:tab w:pos="806" w:val="left" w:leader="none"/>
              <w:tab w:pos="8988" w:val="right" w:leader="dot"/>
            </w:tabs>
            <w:spacing w:line="240" w:lineRule="auto" w:before="221" w:after="0"/>
            <w:ind w:left="805" w:right="0" w:hanging="432"/>
            <w:jc w:val="left"/>
            <w:rPr>
              <w:rFonts w:ascii="Times New Roman" w:hAnsi="Times New Roman"/>
              <w:b w:val="0"/>
            </w:rPr>
          </w:pPr>
          <w:hyperlink w:history="true" w:anchor="_bookmark29">
            <w:r>
              <w:rPr>
                <w:spacing w:val="-3"/>
              </w:rPr>
              <w:t>Artículo</w:t>
            </w:r>
            <w:r>
              <w:rPr>
                <w:spacing w:val="2"/>
              </w:rPr>
              <w:t> </w:t>
            </w:r>
            <w:r>
              <w:rPr/>
              <w:t>enviado</w:t>
            </w:r>
            <w:r>
              <w:rPr>
                <w:rFonts w:ascii="Times New Roman" w:hAnsi="Times New Roman"/>
                <w:b w:val="0"/>
              </w:rPr>
              <w:tab/>
              <w:t>33</w:t>
            </w:r>
          </w:hyperlink>
        </w:p>
        <w:p>
          <w:pPr>
            <w:pStyle w:val="TOC1"/>
            <w:numPr>
              <w:ilvl w:val="0"/>
              <w:numId w:val="1"/>
            </w:numPr>
            <w:tabs>
              <w:tab w:pos="379" w:val="left" w:leader="none"/>
              <w:tab w:pos="8988" w:val="right" w:leader="dot"/>
            </w:tabs>
            <w:spacing w:line="240" w:lineRule="auto" w:before="221" w:after="0"/>
            <w:ind w:left="378" w:right="0" w:hanging="226"/>
            <w:jc w:val="left"/>
          </w:pPr>
          <w:hyperlink w:history="true" w:anchor="_bookmark30">
            <w:r>
              <w:rPr/>
              <w:t>DISCUSIÓN</w:t>
            </w:r>
            <w:r>
              <w:rPr>
                <w:spacing w:val="-5"/>
              </w:rPr>
              <w:t> </w:t>
            </w:r>
            <w:r>
              <w:rPr>
                <w:spacing w:val="-3"/>
              </w:rPr>
              <w:t>GENERAL</w:t>
              <w:tab/>
            </w:r>
            <w:r>
              <w:rPr/>
              <w:t>50</w:t>
            </w:r>
          </w:hyperlink>
        </w:p>
        <w:p>
          <w:pPr>
            <w:pStyle w:val="TOC1"/>
            <w:numPr>
              <w:ilvl w:val="0"/>
              <w:numId w:val="1"/>
            </w:numPr>
            <w:tabs>
              <w:tab w:pos="379" w:val="left" w:leader="none"/>
              <w:tab w:pos="8988" w:val="right" w:leader="dot"/>
            </w:tabs>
            <w:spacing w:line="240" w:lineRule="auto" w:before="216" w:after="0"/>
            <w:ind w:left="378" w:right="0" w:hanging="226"/>
            <w:jc w:val="left"/>
          </w:pPr>
          <w:hyperlink w:history="true" w:anchor="_bookmark31">
            <w:r>
              <w:rPr/>
              <w:t>CONCLUSIÓN</w:t>
            </w:r>
            <w:r>
              <w:rPr>
                <w:spacing w:val="-6"/>
              </w:rPr>
              <w:t> </w:t>
            </w:r>
            <w:r>
              <w:rPr/>
              <w:t>GENERAL</w:t>
              <w:tab/>
              <w:t>53</w:t>
            </w:r>
          </w:hyperlink>
        </w:p>
        <w:p>
          <w:pPr>
            <w:pStyle w:val="TOC1"/>
            <w:numPr>
              <w:ilvl w:val="0"/>
              <w:numId w:val="1"/>
            </w:numPr>
            <w:tabs>
              <w:tab w:pos="489" w:val="left" w:leader="none"/>
              <w:tab w:pos="8988" w:val="right" w:leader="dot"/>
            </w:tabs>
            <w:spacing w:line="240" w:lineRule="auto" w:before="217" w:after="0"/>
            <w:ind w:left="488" w:right="0" w:hanging="336"/>
            <w:jc w:val="left"/>
          </w:pPr>
          <w:hyperlink w:history="true" w:anchor="_bookmark32">
            <w:r>
              <w:rPr/>
              <w:t>REFERENCIAS BIBLIOGRÁFICAS</w:t>
              <w:tab/>
              <w:t>54</w:t>
            </w:r>
          </w:hyperlink>
        </w:p>
      </w:sdtContent>
    </w:sdt>
    <w:p>
      <w:pPr>
        <w:spacing w:after="0" w:line="240" w:lineRule="auto"/>
        <w:jc w:val="left"/>
        <w:sectPr>
          <w:type w:val="continuous"/>
          <w:pgSz w:w="12240" w:h="15840"/>
          <w:pgMar w:top="1500" w:bottom="2011" w:left="1720" w:right="1420"/>
        </w:sectPr>
      </w:pPr>
    </w:p>
    <w:p>
      <w:pPr>
        <w:pStyle w:val="BodyText"/>
        <w:spacing w:before="6"/>
        <w:jc w:val="left"/>
        <w:rPr>
          <w:b/>
          <w:sz w:val="26"/>
        </w:rPr>
      </w:pPr>
    </w:p>
    <w:p>
      <w:pPr>
        <w:pStyle w:val="Heading1"/>
        <w:spacing w:before="0"/>
        <w:jc w:val="left"/>
      </w:pPr>
      <w:bookmarkStart w:name="_bookmark0" w:id="1"/>
      <w:bookmarkEnd w:id="1"/>
      <w:r>
        <w:rPr>
          <w:b w:val="0"/>
        </w:rPr>
      </w:r>
      <w:r>
        <w:rPr/>
        <w:t>ÍNDICE DE FIGURAS</w:t>
      </w:r>
    </w:p>
    <w:p>
      <w:pPr>
        <w:pStyle w:val="BodyText"/>
        <w:jc w:val="left"/>
        <w:rPr>
          <w:b/>
        </w:rPr>
      </w:pPr>
    </w:p>
    <w:p>
      <w:pPr>
        <w:pStyle w:val="BodyText"/>
        <w:spacing w:before="3"/>
        <w:jc w:val="left"/>
        <w:rPr>
          <w:b/>
          <w:sz w:val="34"/>
        </w:rPr>
      </w:pPr>
    </w:p>
    <w:p>
      <w:pPr>
        <w:pStyle w:val="BodyText"/>
        <w:tabs>
          <w:tab w:pos="8527" w:val="left" w:leader="dot"/>
        </w:tabs>
        <w:spacing w:line="367" w:lineRule="auto"/>
        <w:ind w:left="152" w:right="140"/>
        <w:jc w:val="left"/>
      </w:pPr>
      <w:r>
        <w:rPr>
          <w:b/>
        </w:rPr>
        <w:t>Figura 1. </w:t>
      </w:r>
      <w:r>
        <w:rPr/>
        <w:t>Clasificación de sistemas agroforestales en función de los componentes que</w:t>
      </w:r>
      <w:r>
        <w:rPr>
          <w:spacing w:val="-6"/>
        </w:rPr>
        <w:t> </w:t>
      </w:r>
      <w:r>
        <w:rPr/>
        <w:t>los</w:t>
      </w:r>
      <w:r>
        <w:rPr>
          <w:spacing w:val="-2"/>
        </w:rPr>
        <w:t> </w:t>
      </w:r>
      <w:r>
        <w:rPr/>
        <w:t>conforman</w:t>
        <w:tab/>
        <w:t>4</w:t>
      </w:r>
    </w:p>
    <w:p>
      <w:pPr>
        <w:pStyle w:val="BodyText"/>
        <w:tabs>
          <w:tab w:pos="8393" w:val="left" w:leader="dot"/>
        </w:tabs>
        <w:spacing w:before="110"/>
        <w:ind w:left="152"/>
        <w:jc w:val="left"/>
      </w:pPr>
      <w:r>
        <w:rPr>
          <w:b/>
        </w:rPr>
        <w:t>Figura 2. </w:t>
      </w:r>
      <w:r>
        <w:rPr/>
        <w:t>Estructura de una molécula</w:t>
      </w:r>
      <w:r>
        <w:rPr>
          <w:spacing w:val="-15"/>
        </w:rPr>
        <w:t> </w:t>
      </w:r>
      <w:r>
        <w:rPr/>
        <w:t>de</w:t>
      </w:r>
      <w:r>
        <w:rPr>
          <w:spacing w:val="-2"/>
        </w:rPr>
        <w:t> </w:t>
      </w:r>
      <w:r>
        <w:rPr/>
        <w:t>glicerol</w:t>
        <w:tab/>
        <w:t>12</w:t>
      </w:r>
    </w:p>
    <w:p>
      <w:pPr>
        <w:pStyle w:val="BodyText"/>
        <w:spacing w:before="4"/>
        <w:jc w:val="left"/>
        <w:rPr>
          <w:sz w:val="22"/>
        </w:rPr>
      </w:pPr>
    </w:p>
    <w:p>
      <w:pPr>
        <w:tabs>
          <w:tab w:pos="8393" w:val="left" w:leader="dot"/>
        </w:tabs>
        <w:spacing w:before="0"/>
        <w:ind w:left="152" w:right="0" w:firstLine="0"/>
        <w:jc w:val="left"/>
        <w:rPr>
          <w:sz w:val="24"/>
        </w:rPr>
      </w:pPr>
      <w:r>
        <w:rPr>
          <w:b/>
          <w:sz w:val="24"/>
        </w:rPr>
        <w:t>Figura 3. </w:t>
      </w:r>
      <w:r>
        <w:rPr>
          <w:sz w:val="24"/>
        </w:rPr>
        <w:t>Composición de los</w:t>
      </w:r>
      <w:r>
        <w:rPr>
          <w:spacing w:val="-8"/>
          <w:sz w:val="24"/>
        </w:rPr>
        <w:t> </w:t>
      </w:r>
      <w:r>
        <w:rPr>
          <w:sz w:val="24"/>
        </w:rPr>
        <w:t>ácidos</w:t>
      </w:r>
      <w:r>
        <w:rPr>
          <w:spacing w:val="-2"/>
          <w:sz w:val="24"/>
        </w:rPr>
        <w:t> </w:t>
      </w:r>
      <w:r>
        <w:rPr>
          <w:sz w:val="24"/>
        </w:rPr>
        <w:t>grasos</w:t>
        <w:tab/>
        <w:t>14</w:t>
      </w:r>
    </w:p>
    <w:p>
      <w:pPr>
        <w:pStyle w:val="BodyText"/>
        <w:spacing w:before="3"/>
        <w:jc w:val="left"/>
        <w:rPr>
          <w:sz w:val="22"/>
        </w:rPr>
      </w:pPr>
    </w:p>
    <w:p>
      <w:pPr>
        <w:tabs>
          <w:tab w:pos="8393" w:val="left" w:leader="dot"/>
        </w:tabs>
        <w:spacing w:before="1"/>
        <w:ind w:left="152" w:right="0" w:firstLine="0"/>
        <w:jc w:val="left"/>
        <w:rPr>
          <w:sz w:val="24"/>
        </w:rPr>
      </w:pPr>
      <w:r>
        <w:rPr>
          <w:b/>
          <w:sz w:val="24"/>
        </w:rPr>
        <w:t>Figura 4. </w:t>
      </w:r>
      <w:r>
        <w:rPr>
          <w:sz w:val="24"/>
        </w:rPr>
        <w:t>Esquema de la biosíntesis</w:t>
      </w:r>
      <w:r>
        <w:rPr>
          <w:spacing w:val="-15"/>
          <w:sz w:val="24"/>
        </w:rPr>
        <w:t> </w:t>
      </w:r>
      <w:r>
        <w:rPr>
          <w:sz w:val="24"/>
        </w:rPr>
        <w:t>del</w:t>
      </w:r>
      <w:r>
        <w:rPr>
          <w:spacing w:val="2"/>
          <w:sz w:val="24"/>
        </w:rPr>
        <w:t> </w:t>
      </w:r>
      <w:r>
        <w:rPr>
          <w:sz w:val="24"/>
        </w:rPr>
        <w:t>CLA</w:t>
        <w:tab/>
        <w:t>17</w:t>
      </w:r>
    </w:p>
    <w:p>
      <w:pPr>
        <w:pStyle w:val="BodyText"/>
        <w:spacing w:before="8"/>
        <w:jc w:val="left"/>
        <w:rPr>
          <w:sz w:val="22"/>
        </w:rPr>
      </w:pPr>
    </w:p>
    <w:p>
      <w:pPr>
        <w:tabs>
          <w:tab w:pos="8397" w:val="left" w:leader="dot"/>
        </w:tabs>
        <w:spacing w:before="0"/>
        <w:ind w:left="152" w:right="0" w:firstLine="0"/>
        <w:jc w:val="left"/>
        <w:rPr>
          <w:sz w:val="24"/>
        </w:rPr>
      </w:pPr>
      <w:r>
        <w:rPr>
          <w:b/>
          <w:sz w:val="24"/>
        </w:rPr>
        <w:t>Figura 5. </w:t>
      </w:r>
      <w:r>
        <w:rPr>
          <w:sz w:val="24"/>
        </w:rPr>
        <w:t>Vías de Biohidrogenación en</w:t>
      </w:r>
      <w:r>
        <w:rPr>
          <w:spacing w:val="-17"/>
          <w:sz w:val="24"/>
        </w:rPr>
        <w:t> </w:t>
      </w:r>
      <w:r>
        <w:rPr>
          <w:sz w:val="24"/>
        </w:rPr>
        <w:t>el rúmen</w:t>
        <w:tab/>
        <w:t>21</w:t>
      </w:r>
    </w:p>
    <w:p>
      <w:pPr>
        <w:pStyle w:val="BodyText"/>
        <w:jc w:val="left"/>
      </w:pPr>
    </w:p>
    <w:p>
      <w:pPr>
        <w:pStyle w:val="BodyText"/>
        <w:jc w:val="left"/>
      </w:pPr>
    </w:p>
    <w:p>
      <w:pPr>
        <w:pStyle w:val="BodyText"/>
        <w:jc w:val="left"/>
      </w:pPr>
    </w:p>
    <w:p>
      <w:pPr>
        <w:pStyle w:val="BodyText"/>
        <w:jc w:val="left"/>
      </w:pPr>
    </w:p>
    <w:p>
      <w:pPr>
        <w:pStyle w:val="BodyText"/>
        <w:spacing w:before="5"/>
        <w:jc w:val="left"/>
        <w:rPr>
          <w:sz w:val="19"/>
        </w:rPr>
      </w:pPr>
    </w:p>
    <w:p>
      <w:pPr>
        <w:pStyle w:val="Heading1"/>
        <w:spacing w:before="0"/>
        <w:jc w:val="left"/>
      </w:pPr>
      <w:bookmarkStart w:name="_bookmark1" w:id="2"/>
      <w:bookmarkEnd w:id="2"/>
      <w:r>
        <w:rPr>
          <w:b w:val="0"/>
        </w:rPr>
      </w:r>
      <w:r>
        <w:rPr/>
        <w:t>ÍNDICE DE CUADROS</w:t>
      </w:r>
    </w:p>
    <w:p>
      <w:pPr>
        <w:pStyle w:val="BodyText"/>
        <w:jc w:val="left"/>
        <w:rPr>
          <w:b/>
        </w:rPr>
      </w:pPr>
    </w:p>
    <w:p>
      <w:pPr>
        <w:pStyle w:val="BodyText"/>
        <w:spacing w:before="4"/>
        <w:jc w:val="left"/>
        <w:rPr>
          <w:b/>
          <w:sz w:val="33"/>
        </w:rPr>
      </w:pPr>
    </w:p>
    <w:p>
      <w:pPr>
        <w:tabs>
          <w:tab w:pos="8393" w:val="left" w:leader="dot"/>
        </w:tabs>
        <w:spacing w:before="1"/>
        <w:ind w:left="152" w:right="0" w:firstLine="0"/>
        <w:jc w:val="left"/>
        <w:rPr>
          <w:sz w:val="24"/>
        </w:rPr>
      </w:pPr>
      <w:r>
        <w:rPr>
          <w:b/>
          <w:sz w:val="24"/>
        </w:rPr>
        <w:t>Cuadro 1. </w:t>
      </w:r>
      <w:r>
        <w:rPr>
          <w:sz w:val="24"/>
        </w:rPr>
        <w:t>Principales</w:t>
      </w:r>
      <w:r>
        <w:rPr>
          <w:spacing w:val="-3"/>
          <w:sz w:val="24"/>
        </w:rPr>
        <w:t> </w:t>
      </w:r>
      <w:r>
        <w:rPr>
          <w:sz w:val="24"/>
        </w:rPr>
        <w:t>ácidos</w:t>
      </w:r>
      <w:r>
        <w:rPr>
          <w:spacing w:val="-3"/>
          <w:sz w:val="24"/>
        </w:rPr>
        <w:t> </w:t>
      </w:r>
      <w:r>
        <w:rPr>
          <w:sz w:val="24"/>
        </w:rPr>
        <w:t>grasos</w:t>
        <w:tab/>
        <w:t>15</w:t>
      </w:r>
    </w:p>
    <w:p>
      <w:pPr>
        <w:pStyle w:val="BodyText"/>
        <w:spacing w:before="3"/>
        <w:jc w:val="left"/>
        <w:rPr>
          <w:sz w:val="22"/>
        </w:rPr>
      </w:pPr>
    </w:p>
    <w:p>
      <w:pPr>
        <w:pStyle w:val="BodyText"/>
        <w:tabs>
          <w:tab w:pos="8393" w:val="left" w:leader="dot"/>
        </w:tabs>
        <w:spacing w:before="1"/>
        <w:ind w:left="152"/>
        <w:jc w:val="left"/>
      </w:pPr>
      <w:r>
        <w:rPr>
          <w:b/>
        </w:rPr>
        <w:t>Cuadro 2. </w:t>
      </w:r>
      <w:r>
        <w:rPr/>
        <w:t>Tipos de maduración del</w:t>
      </w:r>
      <w:r>
        <w:rPr>
          <w:spacing w:val="-11"/>
        </w:rPr>
        <w:t> </w:t>
      </w:r>
      <w:r>
        <w:rPr/>
        <w:t>Queso</w:t>
      </w:r>
      <w:r>
        <w:rPr>
          <w:spacing w:val="-3"/>
        </w:rPr>
        <w:t> </w:t>
      </w:r>
      <w:r>
        <w:rPr/>
        <w:t>Tepeque</w:t>
        <w:tab/>
        <w:t>26</w:t>
      </w:r>
    </w:p>
    <w:p>
      <w:pPr>
        <w:pStyle w:val="BodyText"/>
        <w:spacing w:before="3"/>
        <w:jc w:val="left"/>
        <w:rPr>
          <w:sz w:val="22"/>
        </w:rPr>
      </w:pPr>
    </w:p>
    <w:p>
      <w:pPr>
        <w:pStyle w:val="BodyText"/>
        <w:tabs>
          <w:tab w:pos="8393" w:val="left" w:leader="dot"/>
        </w:tabs>
        <w:spacing w:before="1"/>
        <w:ind w:left="152"/>
        <w:jc w:val="left"/>
      </w:pPr>
      <w:r>
        <w:rPr>
          <w:b/>
        </w:rPr>
        <w:t>Cuadro 3. </w:t>
      </w:r>
      <w:r>
        <w:rPr/>
        <w:t>Denominación del queso de acuerdo al tiempo</w:t>
      </w:r>
      <w:r>
        <w:rPr>
          <w:spacing w:val="-23"/>
        </w:rPr>
        <w:t> </w:t>
      </w:r>
      <w:r>
        <w:rPr/>
        <w:t>de</w:t>
      </w:r>
      <w:r>
        <w:rPr>
          <w:spacing w:val="-3"/>
        </w:rPr>
        <w:t> </w:t>
      </w:r>
      <w:r>
        <w:rPr/>
        <w:t>maduración</w:t>
        <w:tab/>
        <w:t>27</w:t>
      </w:r>
    </w:p>
    <w:p>
      <w:pPr>
        <w:spacing w:after="0"/>
        <w:jc w:val="left"/>
        <w:sectPr>
          <w:pgSz w:w="12240" w:h="15840"/>
          <w:pgMar w:header="0" w:footer="1389" w:top="1500" w:bottom="1580" w:left="1720" w:right="1420"/>
        </w:sectPr>
      </w:pPr>
    </w:p>
    <w:p>
      <w:pPr>
        <w:pStyle w:val="BodyText"/>
        <w:spacing w:before="6"/>
        <w:jc w:val="left"/>
        <w:rPr>
          <w:sz w:val="20"/>
        </w:rPr>
      </w:pPr>
    </w:p>
    <w:p>
      <w:pPr>
        <w:pStyle w:val="Heading1"/>
        <w:numPr>
          <w:ilvl w:val="0"/>
          <w:numId w:val="2"/>
        </w:numPr>
        <w:tabs>
          <w:tab w:pos="422" w:val="left" w:leader="none"/>
        </w:tabs>
        <w:spacing w:line="240" w:lineRule="auto" w:before="69" w:after="0"/>
        <w:ind w:left="421" w:right="0" w:hanging="269"/>
        <w:jc w:val="both"/>
      </w:pPr>
      <w:bookmarkStart w:name="_bookmark2" w:id="3"/>
      <w:bookmarkEnd w:id="3"/>
      <w:r>
        <w:rPr>
          <w:b w:val="0"/>
        </w:rPr>
      </w:r>
      <w:bookmarkStart w:name="_bookmark2" w:id="4"/>
      <w:bookmarkEnd w:id="4"/>
      <w:r>
        <w:rPr/>
        <w:t>I</w:t>
      </w:r>
      <w:r>
        <w:rPr/>
        <w:t>NTRODUCCIÓN</w:t>
      </w:r>
    </w:p>
    <w:p>
      <w:pPr>
        <w:pStyle w:val="BodyText"/>
        <w:spacing w:line="324" w:lineRule="auto" w:before="141"/>
        <w:ind w:left="152" w:right="115"/>
      </w:pPr>
      <w:r>
        <w:rPr/>
        <w:t>El contenido de ácidos grasos en la leche y sus derivados ha sido ampliamente investigado para obtener una mayor comprensión de sus efectos sobre la salud humana. De acuerdo con diversos autores </w:t>
      </w:r>
      <w:r>
        <w:rPr>
          <w:spacing w:val="-3"/>
        </w:rPr>
        <w:t>como </w:t>
      </w:r>
      <w:r>
        <w:rPr/>
        <w:t>Bauman </w:t>
      </w:r>
      <w:r>
        <w:rPr>
          <w:i/>
        </w:rPr>
        <w:t>et al</w:t>
      </w:r>
      <w:r>
        <w:rPr/>
        <w:t>., (2001), Loor </w:t>
      </w:r>
      <w:r>
        <w:rPr>
          <w:i/>
        </w:rPr>
        <w:t>et al</w:t>
      </w:r>
      <w:r>
        <w:rPr/>
        <w:t>., (2005), Stanton </w:t>
      </w:r>
      <w:r>
        <w:rPr>
          <w:i/>
        </w:rPr>
        <w:t>et al</w:t>
      </w:r>
      <w:r>
        <w:rPr/>
        <w:t>., (2003), los niveles </w:t>
      </w:r>
      <w:r>
        <w:rPr>
          <w:spacing w:val="-3"/>
        </w:rPr>
        <w:t>más </w:t>
      </w:r>
      <w:r>
        <w:rPr/>
        <w:t>altos de ácido linoleico conjugado (CLA, por sus siglas en inglés) en la grasa de la leche de vaca se han observado cuando las vacas son alimentadas con pastos frescos, dietas orgánicas y dietas suplementadas con plantas ricas en ácidos grasos polinsaturados, (PUFA, por sus siglas en inglés). De acuerdo con AbuGhazaleh y Holmes (2007), Bergamo </w:t>
      </w:r>
      <w:r>
        <w:rPr>
          <w:i/>
        </w:rPr>
        <w:t>et al</w:t>
      </w:r>
      <w:r>
        <w:rPr/>
        <w:t>., (2003), Lock y Garnsworthy (2003), Shingfield </w:t>
      </w:r>
      <w:r>
        <w:rPr>
          <w:i/>
        </w:rPr>
        <w:t>et al</w:t>
      </w:r>
      <w:r>
        <w:rPr/>
        <w:t>., (2006), Zheng </w:t>
      </w:r>
      <w:r>
        <w:rPr>
          <w:i/>
        </w:rPr>
        <w:t>et al</w:t>
      </w:r>
      <w:r>
        <w:rPr/>
        <w:t>., (2005), esto es debido a que la alimentación con forrajes frescos da lugar a un mayor contenido de compuestos saludables en la leche que los encontrados en la leche de los sistemas de alimentación intensivo o estabulado. En los quesos el  contenido de CLA es variable y depende principalmente de su concentración en la leche cruda. Estudios recientes demuestran que el pastoreo así como la alimentación de las vacas con forrajes frescos son determinantes en el aumento de los ácidos grasos insaturados de cadena larga en la leche entre ellos el CLA, lo cual da por resultado una disminución en el contenido de ácidos grasos saturados de cadena corta (Innocente </w:t>
      </w:r>
      <w:r>
        <w:rPr>
          <w:i/>
        </w:rPr>
        <w:t>et al</w:t>
      </w:r>
      <w:r>
        <w:rPr/>
        <w:t>., 2002) por lo que posiblemente el contenido de CLA en el queso es afectado por las características específicas de la leche utilizada en su elaboración (Prandini </w:t>
      </w:r>
      <w:r>
        <w:rPr>
          <w:i/>
        </w:rPr>
        <w:t>et al</w:t>
      </w:r>
      <w:r>
        <w:rPr/>
        <w:t>., 2001, 2007). </w:t>
      </w:r>
      <w:r>
        <w:rPr>
          <w:spacing w:val="-4"/>
        </w:rPr>
        <w:t>El </w:t>
      </w:r>
      <w:r>
        <w:rPr/>
        <w:t>uso de SSPi en la alimentación </w:t>
      </w:r>
      <w:r>
        <w:rPr>
          <w:spacing w:val="-3"/>
        </w:rPr>
        <w:t>del </w:t>
      </w:r>
      <w:r>
        <w:rPr/>
        <w:t>ganado lechero posiblemente resulte en una mayor concentración de CLA en la leche y los quesos que </w:t>
      </w:r>
      <w:r>
        <w:rPr>
          <w:spacing w:val="-3"/>
        </w:rPr>
        <w:t>se </w:t>
      </w:r>
      <w:r>
        <w:rPr/>
        <w:t>producen, pues éste sistema se  caracteriza por emplear forrajes frescos. Los SSPi se basan en la asociación de gramíneas y leguminosas, esta última sembrada a altas densidades &gt;35,000 plantas ha-1, lo cual genera durante el año una mayor producción y disposición forrajera destinada a la alimentación </w:t>
      </w:r>
      <w:r>
        <w:rPr>
          <w:spacing w:val="-3"/>
        </w:rPr>
        <w:t>animal </w:t>
      </w:r>
      <w:r>
        <w:rPr/>
        <w:t>(Murgueitio e Ibrahim, 2008; Yamamoto </w:t>
      </w:r>
      <w:r>
        <w:rPr>
          <w:i/>
        </w:rPr>
        <w:t>et al</w:t>
      </w:r>
      <w:r>
        <w:rPr/>
        <w:t>., 2007). Por lo tanto, el objetivo </w:t>
      </w:r>
      <w:r>
        <w:rPr>
          <w:spacing w:val="-3"/>
        </w:rPr>
        <w:t>del </w:t>
      </w:r>
      <w:r>
        <w:rPr/>
        <w:t>presente estudio fue  determinar el perfil de ácidos grasos y el contenido de ácido graso linoleico y linolénico del queso artesanal Tepeque y el comportamiento que presenta durante 10, 45, 80 y 165 días de</w:t>
      </w:r>
      <w:r>
        <w:rPr>
          <w:spacing w:val="-18"/>
        </w:rPr>
        <w:t> </w:t>
      </w:r>
      <w:r>
        <w:rPr/>
        <w:t>maduración.</w:t>
      </w:r>
    </w:p>
    <w:p>
      <w:pPr>
        <w:spacing w:after="0" w:line="324" w:lineRule="auto"/>
        <w:sectPr>
          <w:footerReference w:type="default" r:id="rId10"/>
          <w:pgSz w:w="12240" w:h="15840"/>
          <w:pgMar w:footer="1329" w:header="0" w:top="1500" w:bottom="1520" w:left="1720" w:right="1400"/>
          <w:pgNumType w:start="1"/>
        </w:sectPr>
      </w:pPr>
    </w:p>
    <w:p>
      <w:pPr>
        <w:pStyle w:val="BodyText"/>
        <w:spacing w:before="6"/>
        <w:jc w:val="left"/>
        <w:rPr>
          <w:sz w:val="20"/>
        </w:rPr>
      </w:pPr>
    </w:p>
    <w:p>
      <w:pPr>
        <w:pStyle w:val="Heading1"/>
        <w:numPr>
          <w:ilvl w:val="0"/>
          <w:numId w:val="2"/>
        </w:numPr>
        <w:tabs>
          <w:tab w:pos="422" w:val="left" w:leader="none"/>
        </w:tabs>
        <w:spacing w:line="240" w:lineRule="auto" w:before="69" w:after="0"/>
        <w:ind w:left="421" w:right="0" w:hanging="269"/>
        <w:jc w:val="both"/>
      </w:pPr>
      <w:bookmarkStart w:name="_bookmark3" w:id="5"/>
      <w:bookmarkEnd w:id="5"/>
      <w:r>
        <w:rPr>
          <w:b w:val="0"/>
        </w:rPr>
      </w:r>
      <w:bookmarkStart w:name="_bookmark3" w:id="6"/>
      <w:bookmarkEnd w:id="6"/>
      <w:r>
        <w:rPr/>
        <w:t>R</w:t>
      </w:r>
      <w:r>
        <w:rPr/>
        <w:t>EVISIÓN DE</w:t>
      </w:r>
      <w:r>
        <w:rPr>
          <w:spacing w:val="-11"/>
        </w:rPr>
        <w:t> </w:t>
      </w:r>
      <w:r>
        <w:rPr/>
        <w:t>LITERATURA</w:t>
      </w:r>
    </w:p>
    <w:p>
      <w:pPr>
        <w:pStyle w:val="Heading1"/>
        <w:numPr>
          <w:ilvl w:val="1"/>
          <w:numId w:val="2"/>
        </w:numPr>
        <w:tabs>
          <w:tab w:pos="624" w:val="left" w:leader="none"/>
        </w:tabs>
        <w:spacing w:line="240" w:lineRule="auto" w:before="137" w:after="0"/>
        <w:ind w:left="623" w:right="0" w:hanging="471"/>
        <w:jc w:val="both"/>
      </w:pPr>
      <w:bookmarkStart w:name="_bookmark4" w:id="7"/>
      <w:bookmarkEnd w:id="7"/>
      <w:r>
        <w:rPr>
          <w:b w:val="0"/>
        </w:rPr>
      </w:r>
      <w:bookmarkStart w:name="_bookmark4" w:id="8"/>
      <w:bookmarkEnd w:id="8"/>
      <w:r>
        <w:rPr/>
        <w:t>D</w:t>
      </w:r>
      <w:r>
        <w:rPr/>
        <w:t>EFINICIÓN DE</w:t>
      </w:r>
      <w:r>
        <w:rPr>
          <w:spacing w:val="-11"/>
        </w:rPr>
        <w:t> </w:t>
      </w:r>
      <w:r>
        <w:rPr/>
        <w:t>AGROFORESTERÍA</w:t>
      </w:r>
    </w:p>
    <w:p>
      <w:pPr>
        <w:pStyle w:val="BodyText"/>
        <w:spacing w:line="360" w:lineRule="auto" w:before="142"/>
        <w:ind w:left="152" w:right="117"/>
      </w:pPr>
      <w:r>
        <w:rPr/>
        <w:t>Los sistemas agroforestales son una </w:t>
      </w:r>
      <w:r>
        <w:rPr>
          <w:spacing w:val="-3"/>
        </w:rPr>
        <w:t>forma </w:t>
      </w:r>
      <w:r>
        <w:rPr/>
        <w:t>de uso de la tierra en donde las  leñosas perenes interactúan biológicamente en un área con cultivos y/o animales; el propósito fundamental es diversificar y optimizar la producción respetando en principio la sostenibilidad (López, 2007). La agroforestería se considera como la combinación multidisciplinaria de diversas técnicas ecológicamente viables, que implican el </w:t>
      </w:r>
      <w:r>
        <w:rPr>
          <w:spacing w:val="-3"/>
        </w:rPr>
        <w:t>manejo </w:t>
      </w:r>
      <w:r>
        <w:rPr/>
        <w:t>de árboles o arbustos, cultivos alimenticios y/o animales en forma simultánea o secuencial, garantizando a largo plazo una productividad aceptable y aplicando prácticas de </w:t>
      </w:r>
      <w:r>
        <w:rPr>
          <w:spacing w:val="-3"/>
        </w:rPr>
        <w:t>manejo </w:t>
      </w:r>
      <w:r>
        <w:rPr/>
        <w:t>compatibles con las habituales de la población local (Musálem,</w:t>
      </w:r>
      <w:r>
        <w:rPr>
          <w:spacing w:val="-11"/>
        </w:rPr>
        <w:t> </w:t>
      </w:r>
      <w:r>
        <w:rPr/>
        <w:t>2001).</w:t>
      </w:r>
    </w:p>
    <w:p>
      <w:pPr>
        <w:pStyle w:val="BodyText"/>
        <w:spacing w:line="360" w:lineRule="auto" w:before="7"/>
        <w:ind w:left="152" w:right="118"/>
      </w:pPr>
      <w:r>
        <w:rPr/>
        <w:t>Así por ejemplo el Silvopastoreo es un tipo de agroforestería que implica la presencia de animales directamente pastando entre o bajo árboles, considerada como una opción de producción pecuaria en donde las leñosas perennes (árboles y/o arbustos) interactúan con los componentes tradicionales (forrajeras herbáceas y animales) bajo un sistema de manejo integral (Pezo e Ibrahim, 1998).</w:t>
      </w:r>
    </w:p>
    <w:p>
      <w:pPr>
        <w:pStyle w:val="BodyText"/>
        <w:spacing w:before="8"/>
        <w:jc w:val="left"/>
        <w:rPr>
          <w:sz w:val="35"/>
        </w:rPr>
      </w:pPr>
    </w:p>
    <w:p>
      <w:pPr>
        <w:pStyle w:val="Heading1"/>
        <w:numPr>
          <w:ilvl w:val="1"/>
          <w:numId w:val="2"/>
        </w:numPr>
        <w:tabs>
          <w:tab w:pos="624" w:val="left" w:leader="none"/>
        </w:tabs>
        <w:spacing w:line="240" w:lineRule="auto" w:before="0" w:after="0"/>
        <w:ind w:left="623" w:right="0" w:hanging="471"/>
        <w:jc w:val="both"/>
      </w:pPr>
      <w:bookmarkStart w:name="_bookmark5" w:id="9"/>
      <w:bookmarkEnd w:id="9"/>
      <w:r>
        <w:rPr>
          <w:b w:val="0"/>
        </w:rPr>
      </w:r>
      <w:bookmarkStart w:name="_bookmark5" w:id="10"/>
      <w:bookmarkEnd w:id="10"/>
      <w:r>
        <w:rPr/>
        <w:t>S</w:t>
      </w:r>
      <w:r>
        <w:rPr/>
        <w:t>ISTEMAS</w:t>
      </w:r>
      <w:r>
        <w:rPr>
          <w:spacing w:val="-16"/>
        </w:rPr>
        <w:t> </w:t>
      </w:r>
      <w:r>
        <w:rPr/>
        <w:t>AGROFORESTALES</w:t>
      </w:r>
    </w:p>
    <w:p>
      <w:pPr>
        <w:pStyle w:val="BodyText"/>
        <w:spacing w:line="360" w:lineRule="auto" w:before="142"/>
        <w:ind w:left="152" w:right="115"/>
      </w:pPr>
      <w:r>
        <w:rPr/>
        <w:t>La conservación del medio ambiente es de vital importancia para la supervivencia de la vida tal y como se conoce actualmente. La agricultura es una práctica humana que ha desvirtuado la relación del hombre con el medio ambiente. La deforestación, contaminación de aguas y suelos son ejemplos del daño ambiental producido por este (Pérez y Huerta, 2002). Hoy en día las actividades ganaderas deben mejorar su eficiencia de producción., eficiencia que debe ser concebida bajo un esquema diferente al tradicional, es decir, mediante sistemas de producción que mantengan o incrementen los rendimientos productivos, pero que conserven los recursos naturales y protejan el medio ambiente (Mahecha y Zoot, 2002).</w:t>
      </w:r>
    </w:p>
    <w:p>
      <w:pPr>
        <w:spacing w:after="0" w:line="360" w:lineRule="auto"/>
        <w:sectPr>
          <w:pgSz w:w="12240" w:h="15840"/>
          <w:pgMar w:header="0" w:footer="1329" w:top="1500" w:bottom="1580" w:left="1720" w:right="1400"/>
        </w:sectPr>
      </w:pPr>
    </w:p>
    <w:p>
      <w:pPr>
        <w:pStyle w:val="BodyText"/>
        <w:spacing w:before="11"/>
        <w:jc w:val="left"/>
        <w:rPr>
          <w:sz w:val="20"/>
        </w:rPr>
      </w:pPr>
    </w:p>
    <w:p>
      <w:pPr>
        <w:pStyle w:val="BodyText"/>
        <w:spacing w:line="360" w:lineRule="auto" w:before="69"/>
        <w:ind w:left="152" w:right="105"/>
      </w:pPr>
      <w:r>
        <w:rPr/>
        <w:t>El objetivo de un sistema agroforestal es diversificar la producción, controlar la agricultura migratoria, aumentar el nivel de materia orgánica en el suelo, fijar el nitrógeno atmosférico, reciclar nutrimentos, modificar el microclima y optimizar la producción del sistema, respetando el principio de sistema sostenido (SAGARPA, 1992)</w:t>
      </w:r>
    </w:p>
    <w:p>
      <w:pPr>
        <w:pStyle w:val="BodyText"/>
        <w:spacing w:before="8"/>
        <w:jc w:val="left"/>
        <w:rPr>
          <w:sz w:val="35"/>
        </w:rPr>
      </w:pPr>
    </w:p>
    <w:p>
      <w:pPr>
        <w:pStyle w:val="Heading1"/>
        <w:numPr>
          <w:ilvl w:val="1"/>
          <w:numId w:val="2"/>
        </w:numPr>
        <w:tabs>
          <w:tab w:pos="624" w:val="left" w:leader="none"/>
        </w:tabs>
        <w:spacing w:line="240" w:lineRule="auto" w:before="0" w:after="0"/>
        <w:ind w:left="623" w:right="0" w:hanging="471"/>
        <w:jc w:val="both"/>
      </w:pPr>
      <w:bookmarkStart w:name="_bookmark6" w:id="11"/>
      <w:bookmarkEnd w:id="11"/>
      <w:r>
        <w:rPr>
          <w:b w:val="0"/>
        </w:rPr>
      </w:r>
      <w:bookmarkStart w:name="_bookmark6" w:id="12"/>
      <w:bookmarkEnd w:id="12"/>
      <w:r>
        <w:rPr/>
        <w:t>C</w:t>
      </w:r>
      <w:r>
        <w:rPr/>
        <w:t>LASIFICACIÓN DE LOS SISTEMAS</w:t>
      </w:r>
      <w:r>
        <w:rPr>
          <w:spacing w:val="-22"/>
        </w:rPr>
        <w:t> </w:t>
      </w:r>
      <w:r>
        <w:rPr/>
        <w:t>AGROFORESTALES</w:t>
      </w:r>
    </w:p>
    <w:p>
      <w:pPr>
        <w:pStyle w:val="BodyText"/>
        <w:spacing w:line="360" w:lineRule="auto" w:before="146"/>
        <w:ind w:left="152" w:right="114"/>
      </w:pPr>
      <w:r>
        <w:rPr/>
        <w:t>Los tres principales componentes agroforestales, plantas leñosas perennes (árboles), cultivos agrícolas y animales, definen las siguientes categorías, las cuales se basan en la naturaleza y la presencia de estos componentes:</w:t>
      </w:r>
    </w:p>
    <w:p>
      <w:pPr>
        <w:spacing w:line="362" w:lineRule="auto" w:before="3"/>
        <w:ind w:left="152" w:right="103" w:firstLine="0"/>
        <w:jc w:val="both"/>
        <w:rPr>
          <w:sz w:val="24"/>
        </w:rPr>
      </w:pPr>
      <w:r>
        <w:rPr>
          <w:i/>
          <w:sz w:val="24"/>
        </w:rPr>
        <w:t>Sistemas Agrosilvícolas</w:t>
      </w:r>
      <w:r>
        <w:rPr>
          <w:sz w:val="24"/>
        </w:rPr>
        <w:t>: combinaciones de árboles con cultivos de temporada (anuales o perennes).</w:t>
      </w:r>
    </w:p>
    <w:p>
      <w:pPr>
        <w:spacing w:line="360" w:lineRule="auto" w:before="0"/>
        <w:ind w:left="152" w:right="111" w:firstLine="0"/>
        <w:jc w:val="both"/>
        <w:rPr>
          <w:sz w:val="24"/>
        </w:rPr>
      </w:pPr>
      <w:r>
        <w:rPr>
          <w:i/>
          <w:sz w:val="24"/>
        </w:rPr>
        <w:t>Sistemas Silvopastoriles</w:t>
      </w:r>
      <w:r>
        <w:rPr>
          <w:sz w:val="24"/>
        </w:rPr>
        <w:t>: consiste en alternar árboles y pastizales para sostener la producción animal.</w:t>
      </w:r>
    </w:p>
    <w:p>
      <w:pPr>
        <w:spacing w:line="362" w:lineRule="auto" w:before="3"/>
        <w:ind w:left="152" w:right="101" w:firstLine="0"/>
        <w:jc w:val="both"/>
        <w:rPr>
          <w:sz w:val="24"/>
        </w:rPr>
      </w:pPr>
      <w:r>
        <w:rPr>
          <w:i/>
          <w:sz w:val="24"/>
        </w:rPr>
        <w:t>Sistemas Agrosilvopastoriles</w:t>
      </w:r>
      <w:r>
        <w:rPr>
          <w:sz w:val="24"/>
        </w:rPr>
        <w:t>: consisten en alternar árboles, cultivos de temporada y pastizales para sostener la producción animal.</w:t>
      </w:r>
    </w:p>
    <w:p>
      <w:pPr>
        <w:pStyle w:val="BodyText"/>
        <w:spacing w:line="360" w:lineRule="auto"/>
        <w:ind w:left="152" w:right="99"/>
      </w:pPr>
      <w:r>
        <w:rPr/>
        <w:t>Leakey (1997) mencionó que las diferentes prácticas agroforestales pueden ser vistas como fases en el desarrollo de un agroecosistema productivo, similar a una dinámica normal de los sistemas naturales., es así que los sistemas agroforestales deben ser considerados como un puente entre la conservación y el desarrollo, perfilándose como una alternativa económicamente factible, socialmente justa y ambientalmente sana.</w:t>
      </w:r>
    </w:p>
    <w:p>
      <w:pPr>
        <w:pStyle w:val="BodyText"/>
        <w:spacing w:line="360" w:lineRule="auto" w:before="3"/>
        <w:ind w:left="152" w:right="100"/>
      </w:pPr>
      <w:r>
        <w:rPr/>
        <w:t>La clasificación de los sistemas agroforestales toma en cuenta los componentes que lo conforman y la distribución que tienen estos en tiempo y espacio. </w:t>
      </w:r>
      <w:r>
        <w:rPr>
          <w:spacing w:val="-3"/>
        </w:rPr>
        <w:t>De </w:t>
      </w:r>
      <w:r>
        <w:rPr/>
        <w:t>acuerdo a los tipos de combinaciones de los componentes que los conforman </w:t>
      </w:r>
      <w:r>
        <w:rPr>
          <w:spacing w:val="6"/>
        </w:rPr>
        <w:t>los</w:t>
      </w:r>
      <w:r>
        <w:rPr>
          <w:spacing w:val="78"/>
        </w:rPr>
        <w:t> </w:t>
      </w:r>
      <w:r>
        <w:rPr/>
        <w:t>sistemas se clasifican en: 1) Sistemas Silvoagrícolas o Agroforestales, 2) Sistemas Agrosilvopastoriles y 3) Sistemas Silvopastoriles (Figura 1).</w:t>
      </w:r>
    </w:p>
    <w:p>
      <w:pPr>
        <w:spacing w:after="0" w:line="360" w:lineRule="auto"/>
        <w:sectPr>
          <w:pgSz w:w="12240" w:h="15840"/>
          <w:pgMar w:header="0" w:footer="1329" w:top="1500" w:bottom="1580" w:left="1720" w:right="1420"/>
        </w:sectPr>
      </w:pPr>
    </w:p>
    <w:p>
      <w:pPr>
        <w:pStyle w:val="BodyText"/>
        <w:spacing w:before="3" w:after="1"/>
        <w:jc w:val="left"/>
        <w:rPr>
          <w:sz w:val="27"/>
        </w:rPr>
      </w:pPr>
    </w:p>
    <w:p>
      <w:pPr>
        <w:pStyle w:val="BodyText"/>
        <w:ind w:left="152"/>
        <w:jc w:val="left"/>
        <w:rPr>
          <w:sz w:val="20"/>
        </w:rPr>
      </w:pPr>
      <w:r>
        <w:rPr>
          <w:sz w:val="20"/>
        </w:rPr>
        <w:drawing>
          <wp:inline distT="0" distB="0" distL="0" distR="0">
            <wp:extent cx="6010656" cy="3785616"/>
            <wp:effectExtent l="0" t="0" r="0" b="0"/>
            <wp:docPr id="5" name="image2.jpeg" descr=""/>
            <wp:cNvGraphicFramePr>
              <a:graphicFrameLocks noChangeAspect="1"/>
            </wp:cNvGraphicFramePr>
            <a:graphic>
              <a:graphicData uri="http://schemas.openxmlformats.org/drawingml/2006/picture">
                <pic:pic>
                  <pic:nvPicPr>
                    <pic:cNvPr id="6" name="image2.jpeg"/>
                    <pic:cNvPicPr/>
                  </pic:nvPicPr>
                  <pic:blipFill>
                    <a:blip r:embed="rId11" cstate="print"/>
                    <a:stretch>
                      <a:fillRect/>
                    </a:stretch>
                  </pic:blipFill>
                  <pic:spPr>
                    <a:xfrm>
                      <a:off x="0" y="0"/>
                      <a:ext cx="6010656" cy="3785616"/>
                    </a:xfrm>
                    <a:prstGeom prst="rect">
                      <a:avLst/>
                    </a:prstGeom>
                  </pic:spPr>
                </pic:pic>
              </a:graphicData>
            </a:graphic>
          </wp:inline>
        </w:drawing>
      </w:r>
      <w:r>
        <w:rPr>
          <w:sz w:val="20"/>
        </w:rPr>
      </w:r>
    </w:p>
    <w:p>
      <w:pPr>
        <w:spacing w:line="364" w:lineRule="auto" w:before="136"/>
        <w:ind w:left="152" w:right="405" w:firstLine="0"/>
        <w:jc w:val="left"/>
        <w:rPr>
          <w:sz w:val="20"/>
        </w:rPr>
      </w:pPr>
      <w:r>
        <w:rPr>
          <w:sz w:val="20"/>
        </w:rPr>
        <w:t>FIGURA 1</w:t>
      </w:r>
      <w:r>
        <w:rPr>
          <w:i/>
          <w:sz w:val="20"/>
        </w:rPr>
        <w:t>. </w:t>
      </w:r>
      <w:r>
        <w:rPr>
          <w:sz w:val="20"/>
        </w:rPr>
        <w:t>Clasificación de Sistemas Agroforestales en función de los componentes que los conforman.</w:t>
      </w:r>
    </w:p>
    <w:p>
      <w:pPr>
        <w:pStyle w:val="BodyText"/>
        <w:jc w:val="left"/>
        <w:rPr>
          <w:sz w:val="20"/>
        </w:rPr>
      </w:pPr>
    </w:p>
    <w:p>
      <w:pPr>
        <w:pStyle w:val="Heading1"/>
        <w:spacing w:before="178"/>
        <w:ind w:right="405"/>
        <w:jc w:val="left"/>
      </w:pPr>
      <w:r>
        <w:rPr/>
        <w:t>Sistemas Silvoagrícolas</w:t>
      </w:r>
    </w:p>
    <w:p>
      <w:pPr>
        <w:pStyle w:val="BodyText"/>
        <w:spacing w:line="360" w:lineRule="auto" w:before="146"/>
        <w:ind w:left="152" w:right="405"/>
        <w:jc w:val="left"/>
      </w:pPr>
      <w:r>
        <w:rPr/>
        <w:t>De acuerdo al tiempo y al espacio, los Sistemas Silvoagrícolas se clasifican en: 1) Sistemas Agroforestales secuenciales, 2) Sistemas Agroforestales simultáneos    y</w:t>
      </w:r>
    </w:p>
    <w:p>
      <w:pPr>
        <w:pStyle w:val="ListParagraph"/>
        <w:numPr>
          <w:ilvl w:val="0"/>
          <w:numId w:val="3"/>
        </w:numPr>
        <w:tabs>
          <w:tab w:pos="498" w:val="left" w:leader="none"/>
        </w:tabs>
        <w:spacing w:line="360" w:lineRule="auto" w:before="2" w:after="0"/>
        <w:ind w:left="152" w:right="720" w:firstLine="0"/>
        <w:jc w:val="left"/>
        <w:rPr>
          <w:sz w:val="24"/>
        </w:rPr>
      </w:pPr>
      <w:r>
        <w:rPr>
          <w:sz w:val="24"/>
        </w:rPr>
        <w:t>Cercas vivas y cortinas rompe vientos (Camacho, 1992; Mantagnini, 1992; Musálem,</w:t>
      </w:r>
      <w:r>
        <w:rPr>
          <w:spacing w:val="-6"/>
          <w:sz w:val="24"/>
        </w:rPr>
        <w:t> </w:t>
      </w:r>
      <w:r>
        <w:rPr>
          <w:sz w:val="24"/>
        </w:rPr>
        <w:t>2001).</w:t>
      </w:r>
    </w:p>
    <w:p>
      <w:pPr>
        <w:pStyle w:val="ListParagraph"/>
        <w:numPr>
          <w:ilvl w:val="1"/>
          <w:numId w:val="3"/>
        </w:numPr>
        <w:tabs>
          <w:tab w:pos="873" w:val="left" w:leader="none"/>
        </w:tabs>
        <w:spacing w:line="360" w:lineRule="auto" w:before="7" w:after="0"/>
        <w:ind w:left="873" w:right="721" w:hanging="360"/>
        <w:jc w:val="both"/>
        <w:rPr>
          <w:sz w:val="24"/>
        </w:rPr>
      </w:pPr>
      <w:r>
        <w:rPr>
          <w:i/>
          <w:sz w:val="24"/>
        </w:rPr>
        <w:t>Sistemas Agroforestales secuenciales</w:t>
      </w:r>
      <w:r>
        <w:rPr>
          <w:sz w:val="24"/>
        </w:rPr>
        <w:t>: denominados de esta forma, debido a que existe una relación cronológica entre las cosechas anuales y los productos arbóreos, encontrando: a) Sistema de Agricultura migratoria y b) Sistema</w:t>
      </w:r>
      <w:r>
        <w:rPr>
          <w:spacing w:val="-1"/>
          <w:sz w:val="24"/>
        </w:rPr>
        <w:t> </w:t>
      </w:r>
      <w:r>
        <w:rPr>
          <w:sz w:val="24"/>
        </w:rPr>
        <w:t>Taungya.</w:t>
      </w:r>
    </w:p>
    <w:p>
      <w:pPr>
        <w:pStyle w:val="ListParagraph"/>
        <w:numPr>
          <w:ilvl w:val="2"/>
          <w:numId w:val="3"/>
        </w:numPr>
        <w:tabs>
          <w:tab w:pos="1939" w:val="left" w:leader="none"/>
        </w:tabs>
        <w:spacing w:line="360" w:lineRule="auto" w:before="7" w:after="0"/>
        <w:ind w:left="1939" w:right="720" w:hanging="360"/>
        <w:jc w:val="both"/>
        <w:rPr>
          <w:sz w:val="24"/>
        </w:rPr>
      </w:pPr>
      <w:r>
        <w:rPr>
          <w:sz w:val="24"/>
        </w:rPr>
        <w:t>Sistema de Agricultura migratoria: comprende sistemas de subsistencia orientada a satisfacer las necesidades básicas de  los     alimentos,     combustible     y     habitación.    </w:t>
      </w:r>
      <w:r>
        <w:rPr>
          <w:spacing w:val="51"/>
          <w:sz w:val="24"/>
        </w:rPr>
        <w:t> </w:t>
      </w:r>
      <w:r>
        <w:rPr>
          <w:sz w:val="24"/>
        </w:rPr>
        <w:t>Considerado</w:t>
      </w:r>
    </w:p>
    <w:p>
      <w:pPr>
        <w:spacing w:after="0" w:line="360" w:lineRule="auto"/>
        <w:jc w:val="both"/>
        <w:rPr>
          <w:sz w:val="24"/>
        </w:rPr>
        <w:sectPr>
          <w:pgSz w:w="12240" w:h="15840"/>
          <w:pgMar w:header="0" w:footer="1329" w:top="1500" w:bottom="1580" w:left="1720" w:right="800"/>
        </w:sectPr>
      </w:pPr>
    </w:p>
    <w:p>
      <w:pPr>
        <w:pStyle w:val="BodyText"/>
        <w:spacing w:before="11"/>
        <w:jc w:val="left"/>
        <w:rPr>
          <w:sz w:val="20"/>
        </w:rPr>
      </w:pPr>
    </w:p>
    <w:p>
      <w:pPr>
        <w:pStyle w:val="BodyText"/>
        <w:spacing w:line="360" w:lineRule="auto" w:before="69"/>
        <w:ind w:left="1938" w:right="140"/>
        <w:jc w:val="left"/>
      </w:pPr>
      <w:r>
        <w:rPr/>
        <w:t>ocasionalmente como una fuente de ingresos por medio de la venta de los excedentes de los productos (López, 2007).</w:t>
      </w:r>
    </w:p>
    <w:p>
      <w:pPr>
        <w:pStyle w:val="ListParagraph"/>
        <w:numPr>
          <w:ilvl w:val="2"/>
          <w:numId w:val="3"/>
        </w:numPr>
        <w:tabs>
          <w:tab w:pos="1939" w:val="left" w:leader="none"/>
        </w:tabs>
        <w:spacing w:line="360" w:lineRule="auto" w:before="3" w:after="0"/>
        <w:ind w:left="1939" w:right="107" w:hanging="360"/>
        <w:jc w:val="both"/>
        <w:rPr>
          <w:sz w:val="24"/>
        </w:rPr>
      </w:pPr>
      <w:r>
        <w:rPr>
          <w:sz w:val="24"/>
        </w:rPr>
        <w:t>Sistema Taungya: siembra de cultivos durante la fase de establecimiento de plantaciones forestales, este sistema permite una </w:t>
      </w:r>
      <w:r>
        <w:rPr>
          <w:spacing w:val="-3"/>
          <w:sz w:val="24"/>
        </w:rPr>
        <w:t>mejor </w:t>
      </w:r>
      <w:r>
        <w:rPr>
          <w:sz w:val="24"/>
        </w:rPr>
        <w:t>utilización del espacio y del suelo, mejor protección del mismo y reduce el costo de la limpieza de las plantaciones establecida sin agricultura (Jiménez y Muschler,</w:t>
      </w:r>
      <w:r>
        <w:rPr>
          <w:spacing w:val="-12"/>
          <w:sz w:val="24"/>
        </w:rPr>
        <w:t> </w:t>
      </w:r>
      <w:r>
        <w:rPr>
          <w:sz w:val="24"/>
        </w:rPr>
        <w:t>2001).</w:t>
      </w:r>
    </w:p>
    <w:p>
      <w:pPr>
        <w:pStyle w:val="ListParagraph"/>
        <w:numPr>
          <w:ilvl w:val="1"/>
          <w:numId w:val="3"/>
        </w:numPr>
        <w:tabs>
          <w:tab w:pos="873" w:val="left" w:leader="none"/>
        </w:tabs>
        <w:spacing w:line="360" w:lineRule="auto" w:before="7" w:after="0"/>
        <w:ind w:left="873" w:right="103" w:hanging="360"/>
        <w:jc w:val="both"/>
        <w:rPr>
          <w:sz w:val="24"/>
        </w:rPr>
      </w:pPr>
      <w:r>
        <w:rPr>
          <w:i/>
          <w:sz w:val="24"/>
        </w:rPr>
        <w:t>Sistemas Agroforestales simultáneos</w:t>
      </w:r>
      <w:r>
        <w:rPr>
          <w:sz w:val="24"/>
        </w:rPr>
        <w:t>: consisten en la siembra de cultivos, árboles y/o ganadería, en </w:t>
      </w:r>
      <w:r>
        <w:rPr>
          <w:spacing w:val="-3"/>
          <w:sz w:val="24"/>
        </w:rPr>
        <w:t>forma </w:t>
      </w:r>
      <w:r>
        <w:rPr>
          <w:sz w:val="24"/>
        </w:rPr>
        <w:t>simultánea y continua, donde los árboles compiten principalmente por luz, agua y minerales. En estos sistemas se incluyen asociaciones de árboles en franjas en asociación con cultivos anuales, huertos caseros y Sistemas</w:t>
      </w:r>
      <w:r>
        <w:rPr>
          <w:spacing w:val="-13"/>
          <w:sz w:val="24"/>
        </w:rPr>
        <w:t> </w:t>
      </w:r>
      <w:r>
        <w:rPr>
          <w:sz w:val="24"/>
        </w:rPr>
        <w:t>Agrosilvopastoriles.</w:t>
      </w:r>
    </w:p>
    <w:p>
      <w:pPr>
        <w:pStyle w:val="ListParagraph"/>
        <w:numPr>
          <w:ilvl w:val="1"/>
          <w:numId w:val="3"/>
        </w:numPr>
        <w:tabs>
          <w:tab w:pos="873" w:val="left" w:leader="none"/>
        </w:tabs>
        <w:spacing w:line="360" w:lineRule="auto" w:before="2" w:after="0"/>
        <w:ind w:left="873" w:right="98" w:hanging="360"/>
        <w:jc w:val="both"/>
        <w:rPr>
          <w:sz w:val="24"/>
        </w:rPr>
      </w:pPr>
      <w:r>
        <w:rPr>
          <w:i/>
          <w:sz w:val="24"/>
        </w:rPr>
        <w:t>Cercas vivas y cortinas rompevientos</w:t>
      </w:r>
      <w:r>
        <w:rPr>
          <w:sz w:val="24"/>
        </w:rPr>
        <w:t>: llamadas de esta forma debido a las plantaciones en línea de árboles y arbustos en los límites de las parcelas, con el objetivo principal de impedir el paso de los animales (para salir del potrero o entrar a la parcela cultivada). Las especies arbóreas que </w:t>
      </w:r>
      <w:r>
        <w:rPr>
          <w:spacing w:val="-3"/>
          <w:sz w:val="24"/>
        </w:rPr>
        <w:t>más </w:t>
      </w:r>
      <w:r>
        <w:rPr>
          <w:sz w:val="24"/>
        </w:rPr>
        <w:t>se emplean para este tipo de sistemas son: cocoite (</w:t>
      </w:r>
      <w:r>
        <w:rPr>
          <w:i/>
          <w:sz w:val="24"/>
        </w:rPr>
        <w:t>Gliricidia sepium</w:t>
      </w:r>
      <w:r>
        <w:rPr>
          <w:sz w:val="24"/>
        </w:rPr>
        <w:t>), huaxin (</w:t>
      </w:r>
      <w:r>
        <w:rPr>
          <w:i/>
          <w:sz w:val="24"/>
        </w:rPr>
        <w:t>Leucaena leucocephala</w:t>
      </w:r>
      <w:r>
        <w:rPr>
          <w:sz w:val="24"/>
        </w:rPr>
        <w:t>), y colorín (</w:t>
      </w:r>
      <w:r>
        <w:rPr>
          <w:i/>
          <w:sz w:val="24"/>
        </w:rPr>
        <w:t>Erythrina poeppegiana</w:t>
      </w:r>
      <w:r>
        <w:rPr>
          <w:sz w:val="24"/>
        </w:rPr>
        <w:t>),</w:t>
      </w:r>
      <w:r>
        <w:rPr>
          <w:spacing w:val="-28"/>
          <w:sz w:val="24"/>
        </w:rPr>
        <w:t> </w:t>
      </w:r>
      <w:r>
        <w:rPr>
          <w:sz w:val="24"/>
        </w:rPr>
        <w:t>guaje.</w:t>
      </w:r>
    </w:p>
    <w:p>
      <w:pPr>
        <w:pStyle w:val="BodyText"/>
        <w:spacing w:line="360" w:lineRule="auto" w:before="3"/>
        <w:ind w:left="863" w:right="101"/>
      </w:pPr>
      <w:r>
        <w:rPr>
          <w:i/>
        </w:rPr>
        <w:t>Cortinas rompevientos</w:t>
      </w:r>
      <w:r>
        <w:rPr/>
        <w:t>: son plantaciones en línea con el objetivo principal  de proteger las parcelas cultivadas, pastos y animales contra los efectos nocivos del viento, diferenciándose de las cercas vivas por tener un mayor tamaño los árboles que la conforman (Camacho,</w:t>
      </w:r>
      <w:r>
        <w:rPr>
          <w:spacing w:val="-17"/>
        </w:rPr>
        <w:t> </w:t>
      </w:r>
      <w:r>
        <w:rPr/>
        <w:t>1992)</w:t>
      </w:r>
    </w:p>
    <w:p>
      <w:pPr>
        <w:pStyle w:val="BodyText"/>
        <w:spacing w:before="8"/>
        <w:jc w:val="left"/>
        <w:rPr>
          <w:sz w:val="35"/>
        </w:rPr>
      </w:pPr>
    </w:p>
    <w:p>
      <w:pPr>
        <w:pStyle w:val="Heading1"/>
        <w:spacing w:before="1"/>
      </w:pPr>
      <w:r>
        <w:rPr/>
        <w:t>Sistemas Agrosilvopastoriles</w:t>
      </w:r>
    </w:p>
    <w:p>
      <w:pPr>
        <w:pStyle w:val="BodyText"/>
        <w:spacing w:line="360" w:lineRule="auto" w:before="146"/>
        <w:ind w:left="152" w:right="100"/>
      </w:pPr>
      <w:r>
        <w:rPr/>
        <w:t>Un Sistema Agrosilvopastoril, es una combinación de tecnologías tradicionales y modernas que se han sistematizado con el fin de ofrecer una alternativa  sostenible. Estos sistemas se refieren al manejo integrado del conjunto de procesos productivos al interior de la unidad de producción así como a las prácticas de conservación relacionadas con el  aprovechamiento de los   </w:t>
      </w:r>
      <w:r>
        <w:rPr>
          <w:spacing w:val="26"/>
        </w:rPr>
        <w:t> </w:t>
      </w:r>
      <w:r>
        <w:rPr/>
        <w:t>recursos</w:t>
      </w:r>
    </w:p>
    <w:p>
      <w:pPr>
        <w:spacing w:after="0" w:line="360" w:lineRule="auto"/>
        <w:sectPr>
          <w:pgSz w:w="12240" w:h="15840"/>
          <w:pgMar w:header="0" w:footer="1329" w:top="1500" w:bottom="1580" w:left="1720" w:right="1420"/>
        </w:sectPr>
      </w:pPr>
    </w:p>
    <w:p>
      <w:pPr>
        <w:pStyle w:val="BodyText"/>
        <w:spacing w:before="11"/>
        <w:jc w:val="left"/>
        <w:rPr>
          <w:sz w:val="20"/>
        </w:rPr>
      </w:pPr>
    </w:p>
    <w:p>
      <w:pPr>
        <w:pStyle w:val="BodyText"/>
        <w:spacing w:line="360" w:lineRule="auto" w:before="69"/>
        <w:ind w:left="152" w:right="105"/>
      </w:pPr>
      <w:r>
        <w:rPr/>
        <w:t>naturales (CATIE, 1993). Dentro de este tipo de sistema se incluyen: árboles con pastura, pastura en bosques de regeneración natural, árboles forrajeros, plantaciones agrícolas (cocotero, hule, frutales) con cultivos y pasturas.</w:t>
      </w:r>
    </w:p>
    <w:p>
      <w:pPr>
        <w:pStyle w:val="BodyText"/>
        <w:jc w:val="left"/>
      </w:pPr>
    </w:p>
    <w:p>
      <w:pPr>
        <w:pStyle w:val="Heading1"/>
        <w:spacing w:before="139"/>
      </w:pPr>
      <w:r>
        <w:rPr/>
        <w:t>Sistema Silvopastoril</w:t>
      </w:r>
    </w:p>
    <w:p>
      <w:pPr>
        <w:pStyle w:val="BodyText"/>
        <w:spacing w:line="360" w:lineRule="auto" w:before="141"/>
        <w:ind w:left="152" w:right="104"/>
      </w:pPr>
      <w:r>
        <w:rPr/>
        <w:t>Los Sistemas Silvopastoriles son una modalidad de los Sistemas Agroforestales, definidos como una forma de cultivo múltiple en las que se cumplen tres condiciones fundamentales: 1) existen, al menos, dos especies de plantas que interactúan biológicamente, 2) al menos uno de los componentes es una leñosa perenne, y 3) uno de los componentes es una planta manejada con fines agrícolas, incluyendo pastos (Somarriba,</w:t>
      </w:r>
      <w:r>
        <w:rPr>
          <w:spacing w:val="-14"/>
        </w:rPr>
        <w:t> </w:t>
      </w:r>
      <w:r>
        <w:rPr/>
        <w:t>1990)</w:t>
      </w:r>
    </w:p>
    <w:p>
      <w:pPr>
        <w:pStyle w:val="BodyText"/>
        <w:spacing w:line="360" w:lineRule="auto" w:before="7"/>
        <w:ind w:left="152" w:right="98"/>
        <w:rPr>
          <w:i/>
        </w:rPr>
      </w:pPr>
      <w:r>
        <w:rPr/>
        <w:t>El Sistema Silvopastoril suele ser considerado como un sistema de producción, donde el componente biológico consta de: árboles y/o arbustos leguminosos (naturales o plantados con fines maderables e.g., pinos), pastos, animales, suelos y subsuelos, existiendo un mayor número de asociaciones entre los componentes (Avendaño y Acosta, 2000; Palma, 2005). Los Sistemas Silvopastoriles han demostrado ser una alternativa para los sistemas de producción ganadera debido a los efectos positivos que tiene este sobre el suelo (incremento de la fertilidad del mismo, mejorando la estructura y disminuyendo los procesos de erosión., fijación de Nitrógeno y profundización de las raíces de los árboles). Al </w:t>
      </w:r>
      <w:r>
        <w:rPr>
          <w:spacing w:val="-3"/>
        </w:rPr>
        <w:t>mismo </w:t>
      </w:r>
      <w:r>
        <w:rPr/>
        <w:t>tiempo de que promueve la biodiversidad, originando tres tipos de estratos: a) el estrato superior, integrado por un número determinado de árboles repartidos uniformemente, además de proporcionar una media sombra que favorece la creación de un micro-clima en el cual se mantienen los forrajes de calidad por periodos prolongados, también ayudan con la extracción de nutrientes </w:t>
      </w:r>
      <w:r>
        <w:rPr>
          <w:spacing w:val="-3"/>
        </w:rPr>
        <w:t>del  </w:t>
      </w:r>
      <w:r>
        <w:rPr/>
        <w:t>subsuelo y producen frutos y follaje con una buena calidad nutricional (Murgueitio, 2005); b) el estrato medio, integrado por árboles y arbustos esenciales para el ramoneo, constituyendo un componente forrajero importante formado de una combinación  de  leguminosas  (eg.,  </w:t>
      </w:r>
      <w:r>
        <w:rPr>
          <w:i/>
        </w:rPr>
        <w:t>Leucaena  leucocephala,  Gliricidia  </w:t>
      </w:r>
      <w:r>
        <w:rPr>
          <w:i/>
          <w:spacing w:val="64"/>
        </w:rPr>
        <w:t> </w:t>
      </w:r>
      <w:r>
        <w:rPr>
          <w:i/>
        </w:rPr>
        <w:t>sepium,</w:t>
      </w:r>
    </w:p>
    <w:p>
      <w:pPr>
        <w:spacing w:after="0" w:line="360" w:lineRule="auto"/>
        <w:sectPr>
          <w:pgSz w:w="12240" w:h="15840"/>
          <w:pgMar w:header="0" w:footer="1329" w:top="1500" w:bottom="1580" w:left="1720" w:right="1420"/>
        </w:sectPr>
      </w:pPr>
    </w:p>
    <w:p>
      <w:pPr>
        <w:pStyle w:val="BodyText"/>
        <w:spacing w:before="11"/>
        <w:jc w:val="left"/>
        <w:rPr>
          <w:i/>
          <w:sz w:val="20"/>
        </w:rPr>
      </w:pPr>
    </w:p>
    <w:p>
      <w:pPr>
        <w:spacing w:line="360" w:lineRule="auto" w:before="69"/>
        <w:ind w:left="152" w:right="115" w:firstLine="0"/>
        <w:jc w:val="both"/>
        <w:rPr>
          <w:sz w:val="24"/>
        </w:rPr>
      </w:pPr>
      <w:r>
        <w:rPr>
          <w:i/>
          <w:sz w:val="24"/>
        </w:rPr>
        <w:t>Sesbania spp, Erythrina bertetoana</w:t>
      </w:r>
      <w:r>
        <w:rPr>
          <w:sz w:val="24"/>
        </w:rPr>
        <w:t>) y de plantas con follaje de alta calidad (e.g., </w:t>
      </w:r>
      <w:r>
        <w:rPr>
          <w:i/>
          <w:sz w:val="24"/>
        </w:rPr>
        <w:t>Morus alba, Hibiscus rosa-sinensis, Malvaviscus arboreus, Trichanthera gigantea</w:t>
      </w:r>
      <w:r>
        <w:rPr>
          <w:sz w:val="24"/>
        </w:rPr>
        <w:t>) y c) el estrato </w:t>
      </w:r>
      <w:r>
        <w:rPr>
          <w:spacing w:val="-3"/>
          <w:sz w:val="24"/>
        </w:rPr>
        <w:t>bajo </w:t>
      </w:r>
      <w:r>
        <w:rPr>
          <w:sz w:val="24"/>
        </w:rPr>
        <w:t>o herbáceo, representado por pastos (eg., </w:t>
      </w:r>
      <w:r>
        <w:rPr>
          <w:i/>
          <w:sz w:val="24"/>
        </w:rPr>
        <w:t>Panicum máximum, </w:t>
      </w:r>
      <w:r>
        <w:rPr>
          <w:i/>
          <w:sz w:val="24"/>
        </w:rPr>
        <w:t>Paspalum spp, Brachiaria spp, Setaria spp</w:t>
      </w:r>
      <w:r>
        <w:rPr>
          <w:sz w:val="24"/>
        </w:rPr>
        <w:t>), leguminosas (</w:t>
      </w:r>
      <w:r>
        <w:rPr>
          <w:i/>
          <w:sz w:val="24"/>
        </w:rPr>
        <w:t>Arachis pintoi, </w:t>
      </w:r>
      <w:r>
        <w:rPr>
          <w:i/>
          <w:sz w:val="24"/>
        </w:rPr>
        <w:t>Stylosanthes guianensis</w:t>
      </w:r>
      <w:r>
        <w:rPr>
          <w:sz w:val="24"/>
        </w:rPr>
        <w:t>, etc) </w:t>
      </w:r>
      <w:r>
        <w:rPr>
          <w:i/>
          <w:sz w:val="24"/>
        </w:rPr>
        <w:t>y </w:t>
      </w:r>
      <w:r>
        <w:rPr>
          <w:sz w:val="24"/>
        </w:rPr>
        <w:t>demás vegetación (Avendaño y Acosta</w:t>
      </w:r>
      <w:r>
        <w:rPr>
          <w:spacing w:val="-20"/>
          <w:sz w:val="24"/>
        </w:rPr>
        <w:t> </w:t>
      </w:r>
      <w:r>
        <w:rPr>
          <w:sz w:val="24"/>
        </w:rPr>
        <w:t>2000).</w:t>
      </w:r>
    </w:p>
    <w:p>
      <w:pPr>
        <w:pStyle w:val="BodyText"/>
        <w:spacing w:line="360" w:lineRule="auto" w:before="2"/>
        <w:ind w:left="152" w:right="120"/>
      </w:pPr>
      <w:r>
        <w:rPr/>
        <w:t>Gracias a esto es posible avanzar en la construcción de un modelo de productividad sostenible que aproveche el potencial de los Agroecosistemas de las diferentes regiones para ofertar bienes e ingresos, teniendo en cuenta que los Sistemas Silvopastoriles permiten mejorar la calidad de la dieta y la producción bovina (Mahecha </w:t>
      </w:r>
      <w:r>
        <w:rPr>
          <w:i/>
        </w:rPr>
        <w:t>et al</w:t>
      </w:r>
      <w:r>
        <w:rPr/>
        <w:t>., 1999). Estos sistemas son una verdadera  oportunidad para promover el desarrollo sostenible de grandes regiones rurales latinoamericanas, ofreciendo ventajas económicas y sociales (Murgueitio </w:t>
      </w:r>
      <w:r>
        <w:rPr>
          <w:i/>
        </w:rPr>
        <w:t>et al</w:t>
      </w:r>
      <w:r>
        <w:rPr/>
        <w:t>., 2006)</w:t>
      </w:r>
    </w:p>
    <w:p>
      <w:pPr>
        <w:pStyle w:val="BodyText"/>
        <w:spacing w:before="8"/>
        <w:jc w:val="left"/>
        <w:rPr>
          <w:sz w:val="35"/>
        </w:rPr>
      </w:pPr>
    </w:p>
    <w:p>
      <w:pPr>
        <w:pStyle w:val="Heading1"/>
        <w:numPr>
          <w:ilvl w:val="1"/>
          <w:numId w:val="2"/>
        </w:numPr>
        <w:tabs>
          <w:tab w:pos="624" w:val="left" w:leader="none"/>
        </w:tabs>
        <w:spacing w:line="240" w:lineRule="auto" w:before="0" w:after="0"/>
        <w:ind w:left="623" w:right="0" w:hanging="471"/>
        <w:jc w:val="both"/>
      </w:pPr>
      <w:bookmarkStart w:name="_bookmark7" w:id="13"/>
      <w:bookmarkEnd w:id="13"/>
      <w:r>
        <w:rPr>
          <w:b w:val="0"/>
        </w:rPr>
      </w:r>
      <w:bookmarkStart w:name="_bookmark7" w:id="14"/>
      <w:bookmarkEnd w:id="14"/>
      <w:r>
        <w:rPr/>
        <w:t>S</w:t>
      </w:r>
      <w:r>
        <w:rPr/>
        <w:t>ISTEMA SILVOPASTORIL</w:t>
      </w:r>
      <w:r>
        <w:rPr>
          <w:spacing w:val="-22"/>
        </w:rPr>
        <w:t> </w:t>
      </w:r>
      <w:r>
        <w:rPr/>
        <w:t>INTENSIVO</w:t>
      </w:r>
    </w:p>
    <w:p>
      <w:pPr>
        <w:pStyle w:val="BodyText"/>
        <w:spacing w:line="360" w:lineRule="auto" w:before="146"/>
        <w:ind w:left="152" w:right="117"/>
      </w:pPr>
      <w:r>
        <w:rPr/>
        <w:t>Murgueitio </w:t>
      </w:r>
      <w:r>
        <w:rPr>
          <w:i/>
        </w:rPr>
        <w:t>et al.</w:t>
      </w:r>
      <w:r>
        <w:rPr/>
        <w:t>, (2006) afirman que el Sistema Silvopastoril intensivo (SSPi) es una modalidad de la agroforestería pecuaria, con producción de alta calidad y amigable con el medio ambiente caracterizándose por tener altas densidades de arbustos forrajeros como la acacia forrajera </w:t>
      </w:r>
      <w:r>
        <w:rPr>
          <w:i/>
        </w:rPr>
        <w:t>Leucaena leucocephala </w:t>
      </w:r>
      <w:r>
        <w:rPr/>
        <w:t>(Lam.) de </w:t>
      </w:r>
      <w:r>
        <w:rPr>
          <w:spacing w:val="2"/>
        </w:rPr>
        <w:t>Wit </w:t>
      </w:r>
      <w:r>
        <w:rPr/>
        <w:t>u otros </w:t>
      </w:r>
      <w:r>
        <w:rPr>
          <w:spacing w:val="-4"/>
        </w:rPr>
        <w:t>como </w:t>
      </w:r>
      <w:r>
        <w:rPr/>
        <w:t>el Botón de oro </w:t>
      </w:r>
      <w:r>
        <w:rPr>
          <w:i/>
        </w:rPr>
        <w:t>Thitonia diversifolia </w:t>
      </w:r>
      <w:r>
        <w:rPr/>
        <w:t>(Hemls) </w:t>
      </w:r>
      <w:r>
        <w:rPr>
          <w:spacing w:val="-3"/>
        </w:rPr>
        <w:t>más </w:t>
      </w:r>
      <w:r>
        <w:rPr/>
        <w:t>de 10 mil plantas  por hectárea, asociadas a pastos mejorados de alta producción de biomasa y árboles maderables nativos o introducidos bajo modelos de pastoreo rotacional intensivo.</w:t>
      </w:r>
    </w:p>
    <w:p>
      <w:pPr>
        <w:pStyle w:val="BodyText"/>
        <w:spacing w:line="360" w:lineRule="auto" w:before="2"/>
        <w:ind w:left="152" w:right="121"/>
      </w:pPr>
      <w:r>
        <w:rPr/>
        <w:t>Los SSPi permiten producir más leche, carne y mejor reproducción del ganado en forma estable en el tiempo, con reducción en los costos de producción al no requerir insumos cada vez más costosos como los fertilizantes por la elevada fijación y transferencia de nitrógeno y herbicidas. Se ha reportado que el silvopastoreo   aumenta   la   diversidad   faunística,   fomentando    depredadores,</w:t>
      </w:r>
    </w:p>
    <w:p>
      <w:pPr>
        <w:spacing w:after="0" w:line="360" w:lineRule="auto"/>
        <w:sectPr>
          <w:pgSz w:w="12240" w:h="15840"/>
          <w:pgMar w:header="0" w:footer="1329" w:top="1500" w:bottom="1580" w:left="1720" w:right="1400"/>
        </w:sectPr>
      </w:pPr>
    </w:p>
    <w:p>
      <w:pPr>
        <w:pStyle w:val="BodyText"/>
        <w:spacing w:before="11"/>
        <w:jc w:val="left"/>
        <w:rPr>
          <w:sz w:val="20"/>
        </w:rPr>
      </w:pPr>
    </w:p>
    <w:p>
      <w:pPr>
        <w:pStyle w:val="BodyText"/>
        <w:spacing w:line="360" w:lineRule="auto" w:before="69"/>
        <w:ind w:left="152" w:right="133"/>
      </w:pPr>
      <w:r>
        <w:rPr/>
        <w:t>especialmente insectos y aves que atacan plagas, siendo el ecosistema menos susceptible a estos.</w:t>
      </w:r>
    </w:p>
    <w:p>
      <w:pPr>
        <w:pStyle w:val="BodyText"/>
        <w:jc w:val="left"/>
      </w:pPr>
    </w:p>
    <w:p>
      <w:pPr>
        <w:pStyle w:val="Heading1"/>
        <w:numPr>
          <w:ilvl w:val="2"/>
          <w:numId w:val="2"/>
        </w:numPr>
        <w:tabs>
          <w:tab w:pos="824" w:val="left" w:leader="none"/>
        </w:tabs>
        <w:spacing w:line="240" w:lineRule="auto" w:before="140" w:after="0"/>
        <w:ind w:left="152" w:right="0" w:firstLine="0"/>
        <w:jc w:val="both"/>
      </w:pPr>
      <w:bookmarkStart w:name="_bookmark8" w:id="15"/>
      <w:bookmarkEnd w:id="15"/>
      <w:r>
        <w:rPr>
          <w:b w:val="0"/>
        </w:rPr>
      </w:r>
      <w:bookmarkStart w:name="_bookmark8" w:id="16"/>
      <w:bookmarkEnd w:id="16"/>
      <w:r>
        <w:rPr/>
        <w:t>P</w:t>
      </w:r>
      <w:r>
        <w:rPr/>
        <w:t>rincipales especies empleadas y sus</w:t>
      </w:r>
      <w:r>
        <w:rPr>
          <w:spacing w:val="-31"/>
        </w:rPr>
        <w:t> </w:t>
      </w:r>
      <w:r>
        <w:rPr/>
        <w:t>características</w:t>
      </w:r>
    </w:p>
    <w:p>
      <w:pPr>
        <w:pStyle w:val="BodyText"/>
        <w:spacing w:line="360" w:lineRule="auto" w:before="141"/>
        <w:ind w:left="152" w:right="115"/>
      </w:pPr>
      <w:r>
        <w:rPr>
          <w:i/>
        </w:rPr>
        <w:t>Leucaena leucocephala </w:t>
      </w:r>
      <w:r>
        <w:rPr>
          <w:spacing w:val="-3"/>
        </w:rPr>
        <w:t>(Lam) </w:t>
      </w:r>
      <w:r>
        <w:rPr/>
        <w:t>de </w:t>
      </w:r>
      <w:r>
        <w:rPr>
          <w:spacing w:val="3"/>
        </w:rPr>
        <w:t>Wit. </w:t>
      </w:r>
      <w:r>
        <w:rPr/>
        <w:t>subsp. glabrata, también denominada como guaje blanco; Huaje; Vaxi ; Yage etc. Es un árbol o arbusto caducifolio de 3 a </w:t>
      </w:r>
      <w:r>
        <w:rPr>
          <w:spacing w:val="5"/>
        </w:rPr>
        <w:t>6m </w:t>
      </w:r>
      <w:r>
        <w:rPr/>
        <w:t>de altura., posee una copa redondeada, ligeramente abierta y rala. Es una especie de amplia distribución en las regiones tropicales y subtropicales del país. Crece en una amplia variedad de suelos, desde neutros, hasta alcalinos (Zárate, 1987). Tiene una alta capacidad de rebrote después del ramoneo, fortaleza para responder a las podas severas, flexibilidad de las ramas sin  desgarre, palatabilidad y alta fijación de nitrógeno atmosférico que beneficia a las gramíneas mejoradas asociadas, como el pasto estrella C</w:t>
      </w:r>
      <w:r>
        <w:rPr>
          <w:i/>
        </w:rPr>
        <w:t>ynodon plectostachyus </w:t>
      </w:r>
      <w:r>
        <w:rPr/>
        <w:t>(K. Schum.), </w:t>
      </w:r>
      <w:r>
        <w:rPr>
          <w:i/>
        </w:rPr>
        <w:t>Cynodon nlemfuensis </w:t>
      </w:r>
      <w:r>
        <w:rPr/>
        <w:t>Vamderyst y guinea </w:t>
      </w:r>
      <w:r>
        <w:rPr>
          <w:i/>
        </w:rPr>
        <w:t>Panicum máximum </w:t>
      </w:r>
      <w:r>
        <w:rPr/>
        <w:t>Jacq., variedades Tanzania (CIAT 16031) y Mombaza (CIAT 6962) (Espinel </w:t>
      </w:r>
      <w:r>
        <w:rPr>
          <w:i/>
        </w:rPr>
        <w:t>et al</w:t>
      </w:r>
      <w:r>
        <w:rPr/>
        <w:t>.,</w:t>
      </w:r>
      <w:r>
        <w:rPr>
          <w:spacing w:val="-19"/>
        </w:rPr>
        <w:t> </w:t>
      </w:r>
      <w:r>
        <w:rPr/>
        <w:t>2004)</w:t>
      </w:r>
    </w:p>
    <w:p>
      <w:pPr>
        <w:pStyle w:val="BodyText"/>
        <w:spacing w:line="360" w:lineRule="auto" w:before="7"/>
        <w:ind w:left="152" w:right="120"/>
      </w:pPr>
      <w:r>
        <w:rPr>
          <w:i/>
        </w:rPr>
        <w:t>Tithonia diversifolia </w:t>
      </w:r>
      <w:r>
        <w:rPr/>
        <w:t>(hemsl) Gray. Planta herbácea de la familia </w:t>
      </w:r>
      <w:r>
        <w:rPr>
          <w:i/>
        </w:rPr>
        <w:t>Asteracea</w:t>
      </w:r>
      <w:r>
        <w:rPr/>
        <w:t>, originaria de Centro América (Nash, 1976). Tiene un amplio rango de adaptación, tolerando condiciones de acidez y baja fertilidad en el suelo. Además de que es una especie con buena capacidad de producción de biomasa, rápido crecimiento y baja demanda de insumos y manejo para su cultivo. Presenta características nutricionales importantes para su consideración como especie potencial en alimentación animal (Ríos, 1997).</w:t>
      </w:r>
    </w:p>
    <w:p>
      <w:pPr>
        <w:pStyle w:val="BodyText"/>
        <w:spacing w:line="360" w:lineRule="auto" w:before="3"/>
        <w:ind w:left="152" w:right="123"/>
      </w:pPr>
      <w:r>
        <w:rPr>
          <w:i/>
        </w:rPr>
        <w:t>Panicum máximum </w:t>
      </w:r>
      <w:r>
        <w:rPr/>
        <w:t>Jacq. También denominado como pasto Tanzania, panizo de guinea, zacatón etc. Se encuentra distribuido alrededor de la república mexicana, es una hierba perenne, amacollada y robusta, de 1 a 2.5m de altura. Es una planta muy común y a veces dominante en los trópicos mexicanos.</w:t>
      </w:r>
    </w:p>
    <w:p>
      <w:pPr>
        <w:spacing w:after="0" w:line="360" w:lineRule="auto"/>
        <w:sectPr>
          <w:pgSz w:w="12240" w:h="15840"/>
          <w:pgMar w:header="0" w:footer="1329" w:top="1500" w:bottom="1580" w:left="1720" w:right="1400"/>
        </w:sectPr>
      </w:pPr>
    </w:p>
    <w:p>
      <w:pPr>
        <w:pStyle w:val="BodyText"/>
        <w:spacing w:before="6"/>
        <w:jc w:val="left"/>
        <w:rPr>
          <w:sz w:val="20"/>
        </w:rPr>
      </w:pPr>
    </w:p>
    <w:p>
      <w:pPr>
        <w:pStyle w:val="ListParagraph"/>
        <w:numPr>
          <w:ilvl w:val="2"/>
          <w:numId w:val="2"/>
        </w:numPr>
        <w:tabs>
          <w:tab w:pos="825" w:val="left" w:leader="none"/>
          <w:tab w:pos="1370" w:val="left" w:leader="none"/>
          <w:tab w:pos="1979" w:val="left" w:leader="none"/>
          <w:tab w:pos="3359" w:val="left" w:leader="none"/>
          <w:tab w:pos="3829" w:val="left" w:leader="none"/>
          <w:tab w:pos="4610" w:val="left" w:leader="none"/>
          <w:tab w:pos="5118" w:val="left" w:leader="none"/>
          <w:tab w:pos="6422" w:val="left" w:leader="none"/>
          <w:tab w:pos="6892" w:val="left" w:leader="none"/>
          <w:tab w:pos="7817" w:val="left" w:leader="none"/>
          <w:tab w:pos="8719" w:val="left" w:leader="none"/>
        </w:tabs>
        <w:spacing w:line="360" w:lineRule="auto" w:before="69" w:after="0"/>
        <w:ind w:left="152" w:right="118" w:firstLine="0"/>
        <w:jc w:val="left"/>
        <w:rPr>
          <w:sz w:val="24"/>
        </w:rPr>
      </w:pPr>
      <w:bookmarkStart w:name="_bookmark9" w:id="17"/>
      <w:bookmarkEnd w:id="17"/>
      <w:r>
        <w:rPr/>
      </w:r>
      <w:bookmarkStart w:name="_bookmark9" w:id="18"/>
      <w:bookmarkEnd w:id="18"/>
      <w:r>
        <w:rPr>
          <w:b/>
          <w:sz w:val="24"/>
        </w:rPr>
        <w:t>E</w:t>
      </w:r>
      <w:r>
        <w:rPr>
          <w:b/>
          <w:sz w:val="24"/>
        </w:rPr>
        <w:t>fecto de un Sistema Silvopastoril intensivo en la producción láctea </w:t>
      </w:r>
      <w:r>
        <w:rPr>
          <w:sz w:val="24"/>
        </w:rPr>
        <w:t>Los cambios sociales (e.g., mantenimiento de pastizales y bienestar animal) y las demandas alimenticias (e.g., sabor y calidad de productos) requieren de sistemas que obedezcan a los deseos del hombre, el Sistema Silvopastoril permite  mantener</w:t>
        <w:tab/>
        <w:t>una</w:t>
        <w:tab/>
        <w:t>producción</w:t>
        <w:tab/>
        <w:t>de</w:t>
        <w:tab/>
        <w:t>leche</w:t>
        <w:tab/>
        <w:t>sin</w:t>
        <w:tab/>
        <w:t>necesidad</w:t>
        <w:tab/>
        <w:t>de</w:t>
        <w:tab/>
        <w:t>asumir</w:t>
        <w:tab/>
        <w:t>costos</w:t>
        <w:tab/>
        <w:t>de implantación y mantenimiento del pastizal (Casermeiro </w:t>
      </w:r>
      <w:r>
        <w:rPr>
          <w:i/>
          <w:sz w:val="24"/>
        </w:rPr>
        <w:t>et al</w:t>
      </w:r>
      <w:r>
        <w:rPr>
          <w:sz w:val="24"/>
        </w:rPr>
        <w:t>., 2008) ofreciendo un proceso de producción sustentable. No obstante la importancia de este tipo de sistemas ha recibido poca atención por parte de la investigación agrícola y las instituciones de desarrollo, las cuales tradicionalmente han puesto su atención en los sistemas a escala comercial (Arriaga-Jordán </w:t>
      </w:r>
      <w:r>
        <w:rPr>
          <w:i/>
          <w:sz w:val="24"/>
        </w:rPr>
        <w:t>et al</w:t>
      </w:r>
      <w:r>
        <w:rPr>
          <w:sz w:val="24"/>
        </w:rPr>
        <w:t>.,</w:t>
      </w:r>
      <w:r>
        <w:rPr>
          <w:spacing w:val="-13"/>
          <w:sz w:val="24"/>
        </w:rPr>
        <w:t> </w:t>
      </w:r>
      <w:r>
        <w:rPr>
          <w:sz w:val="24"/>
        </w:rPr>
        <w:t>2001)</w:t>
      </w:r>
    </w:p>
    <w:p>
      <w:pPr>
        <w:pStyle w:val="BodyText"/>
        <w:spacing w:line="360" w:lineRule="auto" w:before="3"/>
        <w:ind w:left="152" w:right="125"/>
      </w:pPr>
      <w:r>
        <w:rPr/>
        <w:t>Las dietas ofrecidas al ganado lechero por lo regular constan de una combinación de forrajes frescos, pastizales y concentrados comerciales, dependiendo en gran medida de la época del año y la ubicación geográfica. La importancia de la alimentación animal se manifiesta en aspectos tales como su relevancia por constituir el mayor costo para la producción animal (Arriaga-Jordán </w:t>
      </w:r>
      <w:r>
        <w:rPr>
          <w:i/>
        </w:rPr>
        <w:t>et al</w:t>
      </w:r>
      <w:r>
        <w:rPr/>
        <w:t>., 2002)</w:t>
      </w:r>
    </w:p>
    <w:p>
      <w:pPr>
        <w:pStyle w:val="BodyText"/>
        <w:spacing w:line="360" w:lineRule="auto" w:before="7"/>
        <w:ind w:left="152" w:right="119"/>
      </w:pPr>
      <w:r>
        <w:rPr/>
        <w:t>La alimentación animal es la primer pieza de una cadena alimenticia sana para el hombre y el punto de inicio en el que se deben asegurar y controlar los alimentos de origen animal (ASOPROVAC, 2007), por lo que resulta imprescindible que el empleo de un SSPi sea abordado como una estrategia de alimentación adecuada tanto para el ganado como para la economía de las familias campesinas.</w:t>
      </w:r>
    </w:p>
    <w:p>
      <w:pPr>
        <w:pStyle w:val="BodyText"/>
        <w:spacing w:line="360" w:lineRule="auto" w:before="2"/>
        <w:ind w:left="152" w:right="117"/>
      </w:pPr>
      <w:r>
        <w:rPr/>
        <w:t>Los productos lácteos forman uno de los pilares de la alimentación y, en la actualidad, un gran número de países consideran la producción y abasto de este producto como una prioridad nacional. El término de “alimentos funcionales” generalmente es empleado como una forma de denominar a aquellos alimentos que son benéficos para la salud por su estimado valor nutricional (Bauman </w:t>
      </w:r>
      <w:r>
        <w:rPr>
          <w:i/>
        </w:rPr>
        <w:t>et al</w:t>
      </w:r>
      <w:r>
        <w:rPr/>
        <w:t>., 2001). La leche es una fuente importante de nutrientes ricos en energía, proteínas de alta calidad, minerales y vitaminas, siendo recomendada por organismos internacionales de desarrollo considerándola indispensable para la alimentación humana.  En  México,  enfermedades  tales  como  diabetes  mellitus  y afecciones</w:t>
      </w:r>
    </w:p>
    <w:p>
      <w:pPr>
        <w:spacing w:after="0" w:line="360" w:lineRule="auto"/>
        <w:sectPr>
          <w:pgSz w:w="12240" w:h="15840"/>
          <w:pgMar w:header="0" w:footer="1329" w:top="1500" w:bottom="1580" w:left="1720" w:right="1400"/>
        </w:sectPr>
      </w:pPr>
    </w:p>
    <w:p>
      <w:pPr>
        <w:pStyle w:val="BodyText"/>
        <w:spacing w:before="11"/>
        <w:jc w:val="left"/>
        <w:rPr>
          <w:sz w:val="20"/>
        </w:rPr>
      </w:pPr>
    </w:p>
    <w:p>
      <w:pPr>
        <w:pStyle w:val="BodyText"/>
        <w:spacing w:line="360" w:lineRule="auto" w:before="69"/>
        <w:ind w:left="152" w:right="120"/>
      </w:pPr>
      <w:r>
        <w:rPr/>
        <w:t>cardiovasculares </w:t>
      </w:r>
      <w:r>
        <w:rPr>
          <w:spacing w:val="-3"/>
        </w:rPr>
        <w:t>se </w:t>
      </w:r>
      <w:r>
        <w:rPr/>
        <w:t>reportan como la primera causa de muerte (SINAIS, 2009),  por lo que la modificación en el perfil de ácidos grasos de la leche a través de la alimentación de vacas lecheras abre un panorama interesante en la producción de alimentos</w:t>
      </w:r>
      <w:r>
        <w:rPr>
          <w:spacing w:val="-6"/>
        </w:rPr>
        <w:t> </w:t>
      </w:r>
      <w:r>
        <w:rPr/>
        <w:t>funcionales.</w:t>
      </w:r>
    </w:p>
    <w:p>
      <w:pPr>
        <w:pStyle w:val="BodyText"/>
        <w:spacing w:line="360" w:lineRule="auto" w:before="2"/>
        <w:ind w:left="152" w:right="118"/>
      </w:pPr>
      <w:r>
        <w:rPr/>
        <w:t>De los componentes de la leche, la grasa es la fracción </w:t>
      </w:r>
      <w:r>
        <w:rPr>
          <w:spacing w:val="-3"/>
        </w:rPr>
        <w:t>más </w:t>
      </w:r>
      <w:r>
        <w:rPr/>
        <w:t>variable, su síntesis es afectada por diversos factores, especialmente nutricionales y ambientales. Éste componente es el que contribuye en mayor proporción al contenido energético e influye de manera importante en las propiedades físicas, características de procesado y calidad organoléptica de la leche y productos lácteos; al mismo tiempo, representa el mayor costo en la producción de la leche y es determinante de la productividad y el rendimiento (Palmquist </w:t>
      </w:r>
      <w:r>
        <w:rPr>
          <w:i/>
        </w:rPr>
        <w:t>et al</w:t>
      </w:r>
      <w:r>
        <w:rPr/>
        <w:t>., 1993). Mediante la manipulación de la dieta del animal, principalmente mediante el pastoreo de forrajes frescos, es posible modificar el rendimiento y perfil de ácidos grasos de la grasa butírica (Elgersma </w:t>
      </w:r>
      <w:r>
        <w:rPr>
          <w:i/>
        </w:rPr>
        <w:t>et al</w:t>
      </w:r>
      <w:r>
        <w:rPr/>
        <w:t>.,</w:t>
      </w:r>
      <w:r>
        <w:rPr>
          <w:spacing w:val="-13"/>
        </w:rPr>
        <w:t> </w:t>
      </w:r>
      <w:r>
        <w:rPr/>
        <w:t>2006)</w:t>
      </w:r>
    </w:p>
    <w:p>
      <w:pPr>
        <w:pStyle w:val="BodyText"/>
        <w:jc w:val="left"/>
      </w:pPr>
    </w:p>
    <w:p>
      <w:pPr>
        <w:pStyle w:val="Heading1"/>
        <w:numPr>
          <w:ilvl w:val="1"/>
          <w:numId w:val="2"/>
        </w:numPr>
        <w:tabs>
          <w:tab w:pos="623" w:val="left" w:leader="none"/>
        </w:tabs>
        <w:spacing w:line="240" w:lineRule="auto" w:before="140" w:after="0"/>
        <w:ind w:left="622" w:right="0" w:hanging="470"/>
        <w:jc w:val="both"/>
      </w:pPr>
      <w:bookmarkStart w:name="_bookmark10" w:id="19"/>
      <w:bookmarkEnd w:id="19"/>
      <w:r>
        <w:rPr>
          <w:b w:val="0"/>
        </w:rPr>
      </w:r>
      <w:bookmarkStart w:name="_bookmark10" w:id="20"/>
      <w:bookmarkEnd w:id="20"/>
      <w:r>
        <w:rPr/>
        <w:t>C</w:t>
      </w:r>
      <w:r>
        <w:rPr/>
        <w:t>omponentes de la leche de</w:t>
      </w:r>
      <w:r>
        <w:rPr>
          <w:spacing w:val="-22"/>
        </w:rPr>
        <w:t> </w:t>
      </w:r>
      <w:r>
        <w:rPr/>
        <w:t>vaca</w:t>
      </w:r>
    </w:p>
    <w:p>
      <w:pPr>
        <w:pStyle w:val="BodyText"/>
        <w:spacing w:line="360" w:lineRule="auto" w:before="141"/>
        <w:ind w:left="152" w:right="117"/>
      </w:pPr>
      <w:r>
        <w:rPr/>
        <w:t>La investigación en producción de leche se había concentrado en incrementar la producción y la eficiencia productiva, con menos atención en el perfil de nutrientes; actualmente la calidad nutricional ha cobrado importancia debido a que cada vez existe un mayor número </w:t>
      </w:r>
      <w:r>
        <w:rPr>
          <w:spacing w:val="2"/>
        </w:rPr>
        <w:t>de </w:t>
      </w:r>
      <w:r>
        <w:rPr/>
        <w:t>consumidores </w:t>
      </w:r>
      <w:r>
        <w:rPr>
          <w:spacing w:val="-3"/>
        </w:rPr>
        <w:t>que </w:t>
      </w:r>
      <w:r>
        <w:rPr/>
        <w:t>relacionan el consumo de diversos productos en la dieta con </w:t>
      </w:r>
      <w:r>
        <w:rPr>
          <w:spacing w:val="-3"/>
        </w:rPr>
        <w:t>su </w:t>
      </w:r>
      <w:r>
        <w:rPr/>
        <w:t>salud. En este sentido, la leche y los derivados  lácteos son recursos importantes de nutrientes, ya que proporcionan energía, proteína de alta calidad, vitaminas y minerales (Bauman </w:t>
      </w:r>
      <w:r>
        <w:rPr>
          <w:i/>
        </w:rPr>
        <w:t>et al</w:t>
      </w:r>
      <w:r>
        <w:rPr/>
        <w:t>.,</w:t>
      </w:r>
      <w:r>
        <w:rPr>
          <w:spacing w:val="-23"/>
        </w:rPr>
        <w:t> </w:t>
      </w:r>
      <w:r>
        <w:rPr/>
        <w:t>2006)</w:t>
      </w:r>
    </w:p>
    <w:p>
      <w:pPr>
        <w:pStyle w:val="BodyText"/>
        <w:spacing w:line="360" w:lineRule="auto" w:before="2"/>
        <w:ind w:left="152" w:right="120"/>
      </w:pPr>
      <w:r>
        <w:rPr/>
        <w:t>La leche de vaca está compuesta principalmente por agua (87%), proteínas (caseína, globulina y albúmina) (3.4%), lactosa (4.6%), enzimas (fosfatasa, catalasa, xantinoxidasa, reductasa, peroxidasa y lipasa) y grasas (4.2%) (Lindmark, 2001) es también una fuente primaria de vitaminas (0.1%) incluyendo las B12, B6, riboflavina, niacina y minerales (0.8%) como zinc, fosforo y calcio (NRC,</w:t>
      </w:r>
      <w:r>
        <w:rPr>
          <w:spacing w:val="47"/>
        </w:rPr>
        <w:t> </w:t>
      </w:r>
      <w:r>
        <w:rPr/>
        <w:t>1981;</w:t>
      </w:r>
      <w:r>
        <w:rPr>
          <w:spacing w:val="47"/>
        </w:rPr>
        <w:t> </w:t>
      </w:r>
      <w:r>
        <w:rPr/>
        <w:t>Bauman</w:t>
      </w:r>
      <w:r>
        <w:rPr>
          <w:spacing w:val="53"/>
        </w:rPr>
        <w:t> </w:t>
      </w:r>
      <w:r>
        <w:rPr>
          <w:i/>
        </w:rPr>
        <w:t>et</w:t>
      </w:r>
      <w:r>
        <w:rPr>
          <w:i/>
          <w:spacing w:val="47"/>
        </w:rPr>
        <w:t> </w:t>
      </w:r>
      <w:r>
        <w:rPr>
          <w:i/>
        </w:rPr>
        <w:t>al</w:t>
      </w:r>
      <w:r>
        <w:rPr/>
        <w:t>.,</w:t>
      </w:r>
      <w:r>
        <w:rPr>
          <w:spacing w:val="47"/>
        </w:rPr>
        <w:t> </w:t>
      </w:r>
      <w:r>
        <w:rPr/>
        <w:t>2001;</w:t>
      </w:r>
      <w:r>
        <w:rPr>
          <w:spacing w:val="47"/>
        </w:rPr>
        <w:t> </w:t>
      </w:r>
      <w:r>
        <w:rPr/>
        <w:t>Lindmark,</w:t>
      </w:r>
      <w:r>
        <w:rPr>
          <w:spacing w:val="47"/>
        </w:rPr>
        <w:t> </w:t>
      </w:r>
      <w:r>
        <w:rPr/>
        <w:t>2001).</w:t>
      </w:r>
      <w:r>
        <w:rPr>
          <w:spacing w:val="47"/>
        </w:rPr>
        <w:t> </w:t>
      </w:r>
      <w:r>
        <w:rPr/>
        <w:t>Además</w:t>
      </w:r>
      <w:r>
        <w:rPr>
          <w:spacing w:val="46"/>
        </w:rPr>
        <w:t> </w:t>
      </w:r>
      <w:r>
        <w:rPr/>
        <w:t>la</w:t>
      </w:r>
      <w:r>
        <w:rPr>
          <w:spacing w:val="47"/>
        </w:rPr>
        <w:t> </w:t>
      </w:r>
      <w:r>
        <w:rPr/>
        <w:t>leche</w:t>
      </w:r>
      <w:r>
        <w:rPr>
          <w:spacing w:val="47"/>
        </w:rPr>
        <w:t> </w:t>
      </w:r>
      <w:r>
        <w:rPr/>
        <w:t>de</w:t>
      </w:r>
      <w:r>
        <w:rPr>
          <w:spacing w:val="47"/>
        </w:rPr>
        <w:t> </w:t>
      </w:r>
      <w:r>
        <w:rPr/>
        <w:t>vaca</w:t>
      </w:r>
    </w:p>
    <w:p>
      <w:pPr>
        <w:spacing w:after="0" w:line="360" w:lineRule="auto"/>
        <w:sectPr>
          <w:pgSz w:w="12240" w:h="15840"/>
          <w:pgMar w:header="0" w:footer="1329" w:top="1500" w:bottom="1580" w:left="1720" w:right="1400"/>
        </w:sectPr>
      </w:pPr>
    </w:p>
    <w:p>
      <w:pPr>
        <w:pStyle w:val="BodyText"/>
        <w:spacing w:before="11"/>
        <w:jc w:val="left"/>
        <w:rPr>
          <w:sz w:val="20"/>
        </w:rPr>
      </w:pPr>
    </w:p>
    <w:p>
      <w:pPr>
        <w:pStyle w:val="BodyText"/>
        <w:spacing w:line="360" w:lineRule="auto" w:before="69"/>
        <w:ind w:left="152" w:right="136"/>
      </w:pPr>
      <w:r>
        <w:rPr/>
        <w:t>contiene del 2 al 5% de lípidos con 70% de ácidos grasos saturados y 30% de insaturados (Jensen, 2002)</w:t>
      </w:r>
    </w:p>
    <w:p>
      <w:pPr>
        <w:pStyle w:val="BodyText"/>
        <w:spacing w:line="360" w:lineRule="auto" w:before="3"/>
        <w:ind w:left="152" w:right="116"/>
      </w:pPr>
      <w:r>
        <w:rPr/>
        <w:t>Las características físicas y químicas de la leche varían de acuerdo a factores asociados con el animal (raza, nivel de producción, número de lactación, edad, estado sanitario); condiciones de manejo (alimentación, ordeño, alojamiento) y los relacionados con el ambiente (estación del año, clima) (Lindmark, 2001; Walstra </w:t>
      </w:r>
      <w:r>
        <w:rPr>
          <w:i/>
        </w:rPr>
        <w:t>et </w:t>
      </w:r>
      <w:r>
        <w:rPr>
          <w:i/>
        </w:rPr>
        <w:t>al</w:t>
      </w:r>
      <w:r>
        <w:rPr/>
        <w:t>., 1999; Jenkins y McGuire, 2006)</w:t>
      </w:r>
    </w:p>
    <w:p>
      <w:pPr>
        <w:pStyle w:val="BodyText"/>
        <w:jc w:val="left"/>
      </w:pPr>
    </w:p>
    <w:p>
      <w:pPr>
        <w:pStyle w:val="Heading1"/>
        <w:numPr>
          <w:ilvl w:val="2"/>
          <w:numId w:val="2"/>
        </w:numPr>
        <w:tabs>
          <w:tab w:pos="824" w:val="left" w:leader="none"/>
        </w:tabs>
        <w:spacing w:line="240" w:lineRule="auto" w:before="139" w:after="0"/>
        <w:ind w:left="824" w:right="0" w:hanging="672"/>
        <w:jc w:val="both"/>
      </w:pPr>
      <w:bookmarkStart w:name="_bookmark11" w:id="21"/>
      <w:bookmarkEnd w:id="21"/>
      <w:r>
        <w:rPr>
          <w:b w:val="0"/>
        </w:rPr>
      </w:r>
      <w:bookmarkStart w:name="_bookmark11" w:id="22"/>
      <w:bookmarkEnd w:id="22"/>
      <w:r>
        <w:rPr/>
        <w:t>P</w:t>
      </w:r>
      <w:r>
        <w:rPr/>
        <w:t>erfil de ácidos grasos en la</w:t>
      </w:r>
      <w:r>
        <w:rPr>
          <w:spacing w:val="-21"/>
        </w:rPr>
        <w:t> </w:t>
      </w:r>
      <w:r>
        <w:rPr/>
        <w:t>leche</w:t>
      </w:r>
    </w:p>
    <w:p>
      <w:pPr>
        <w:pStyle w:val="BodyText"/>
        <w:spacing w:line="360" w:lineRule="auto" w:before="141"/>
        <w:ind w:left="152" w:right="120"/>
      </w:pPr>
      <w:r>
        <w:rPr/>
        <w:t>La grasa es percibida actualmente como el </w:t>
      </w:r>
      <w:r>
        <w:rPr>
          <w:spacing w:val="-3"/>
        </w:rPr>
        <w:t>más </w:t>
      </w:r>
      <w:r>
        <w:rPr/>
        <w:t>dañino de todos los nutrientes en la alimentación humana, pues se le relaciona con la obesidad, enfermedades cardiovasculares y cáncer; sin embargo constituye gran parte de la energía de los macronutrientes, jugando un papel importante en el aseguramiento del aporte de los requerimientos diarios de energía y permitiendo la absorción de vitaminas liposolubles y carotenoides (Lunn y Theobald, 2006)</w:t>
      </w:r>
      <w:r>
        <w:rPr>
          <w:color w:val="30849B"/>
        </w:rPr>
        <w:t>. </w:t>
      </w:r>
      <w:r>
        <w:rPr/>
        <w:t>Los lípidos en la  leche bovina otorgan una característica de emulsión (aceite en agua) (MacGibbon y Taylor, 2006) esta propiedad es originada en el retículo endoplásmico por las células epiteliales de los alvéolos (Lindmark,</w:t>
      </w:r>
      <w:r>
        <w:rPr>
          <w:spacing w:val="-13"/>
        </w:rPr>
        <w:t> </w:t>
      </w:r>
      <w:r>
        <w:rPr/>
        <w:t>2008)</w:t>
      </w:r>
      <w:r>
        <w:rPr>
          <w:color w:val="30849B"/>
        </w:rPr>
        <w:t>.</w:t>
      </w:r>
    </w:p>
    <w:p>
      <w:pPr>
        <w:pStyle w:val="BodyText"/>
        <w:spacing w:line="360" w:lineRule="auto" w:before="3"/>
        <w:ind w:left="152" w:right="116"/>
      </w:pPr>
      <w:r>
        <w:rPr/>
        <w:t>La leche contiene aproximadamente 400 diferentes tipos de ácidos grasos, lo que la convierte en una grasa natural compleja, aunque de acuerdo con otros autores (Hermansen, 1995), éste número puede llegar a 500, de los cuales sólo han sido estudiados entre 15 y 20. Los ácidos grasos provienen de dos vías: de la alimentación del ganado y de la actividad microbiológica del rúmen de la vaca (Parodi, 2004). Existen diversos factores relacionados con el contenido total de ácidos grasos en la leche (Jensen, 2000; Palmquist </w:t>
      </w:r>
      <w:r>
        <w:rPr>
          <w:i/>
        </w:rPr>
        <w:t>et al</w:t>
      </w:r>
      <w:r>
        <w:rPr/>
        <w:t>., 1993), ya sean de  origen animal i.e. afín con la genética (nacimiento o selección), etapa de lactación, mastitis y fermentación ruminal., o aquellos relacionados con la</w:t>
      </w:r>
      <w:r>
        <w:rPr>
          <w:spacing w:val="-25"/>
        </w:rPr>
        <w:t> </w:t>
      </w:r>
      <w:r>
        <w:rPr/>
        <w:t>alimentación.</w:t>
      </w:r>
    </w:p>
    <w:p>
      <w:pPr>
        <w:pStyle w:val="BodyText"/>
        <w:spacing w:line="362" w:lineRule="auto" w:before="2"/>
        <w:ind w:left="152" w:right="120"/>
      </w:pPr>
      <w:r>
        <w:rPr/>
        <w:t>Actualmente cerca del 2% del total de ácidos grasos (AG) en la leche son poliinsaturados (PUFA) y 70% son grasas saturadas, sin embargo menos del</w:t>
      </w:r>
      <w:r>
        <w:rPr>
          <w:spacing w:val="64"/>
        </w:rPr>
        <w:t> </w:t>
      </w:r>
      <w:r>
        <w:rPr/>
        <w:t>40%</w:t>
      </w:r>
    </w:p>
    <w:p>
      <w:pPr>
        <w:spacing w:after="0" w:line="362" w:lineRule="auto"/>
        <w:sectPr>
          <w:pgSz w:w="12240" w:h="15840"/>
          <w:pgMar w:header="0" w:footer="1329" w:top="1500" w:bottom="1580" w:left="1720" w:right="1400"/>
        </w:sectPr>
      </w:pPr>
    </w:p>
    <w:p>
      <w:pPr>
        <w:pStyle w:val="BodyText"/>
        <w:spacing w:before="11"/>
        <w:jc w:val="left"/>
        <w:rPr>
          <w:sz w:val="20"/>
        </w:rPr>
      </w:pPr>
    </w:p>
    <w:p>
      <w:pPr>
        <w:pStyle w:val="BodyText"/>
        <w:spacing w:line="360" w:lineRule="auto" w:before="69"/>
        <w:ind w:left="152" w:right="116"/>
      </w:pPr>
      <w:r>
        <w:rPr/>
        <w:t>de dichas grasas son consideradas como poco saludables., estos valores pueden ser modificados cambiando la alimentación animal (Chilliard </w:t>
      </w:r>
      <w:r>
        <w:rPr>
          <w:i/>
        </w:rPr>
        <w:t>et al</w:t>
      </w:r>
      <w:r>
        <w:rPr/>
        <w:t>., 2001). La nutrición en el ganado bovino es un factor predominante para la realización de  este estudio debido a que representa una herramienta práctica en la alteración </w:t>
      </w:r>
      <w:r>
        <w:rPr>
          <w:spacing w:val="-3"/>
        </w:rPr>
        <w:t>del </w:t>
      </w:r>
      <w:r>
        <w:rPr/>
        <w:t>rendimiento y la composición de los ácidos grasos de la grasa de la leche  (Bauman </w:t>
      </w:r>
      <w:r>
        <w:rPr>
          <w:i/>
        </w:rPr>
        <w:t>et al</w:t>
      </w:r>
      <w:r>
        <w:rPr/>
        <w:t>.,</w:t>
      </w:r>
      <w:r>
        <w:rPr>
          <w:spacing w:val="-7"/>
        </w:rPr>
        <w:t> </w:t>
      </w:r>
      <w:r>
        <w:rPr/>
        <w:t>2006)</w:t>
      </w:r>
    </w:p>
    <w:p>
      <w:pPr>
        <w:pStyle w:val="BodyText"/>
        <w:spacing w:line="360" w:lineRule="auto" w:before="3"/>
        <w:ind w:left="152" w:right="113"/>
      </w:pPr>
      <w:r>
        <w:rPr/>
        <w:t>En la leche, los AG´s aparecen en forma de triglicéridos, que consisten en tres AG´s asociados a una molécula de glicerol (Figura 2). Los triglicéridos representan entre 95 y 98% del total de la grasa de la leche y la mayoría de ellos tienen AG´s que pueden contener de 4 a 18 átomos de carbono. En la sangre, una parte mínima de AG´s es convertida en fosfolípidos, colesterol, ésteres de colesterol, mono y diglicéridos, el resto queda en forma de AG´s libres (Lunn y Theobald, 2006)</w:t>
      </w:r>
    </w:p>
    <w:p>
      <w:pPr>
        <w:pStyle w:val="BodyText"/>
        <w:spacing w:before="8"/>
        <w:jc w:val="left"/>
        <w:rPr>
          <w:sz w:val="35"/>
        </w:rPr>
      </w:pPr>
    </w:p>
    <w:p>
      <w:pPr>
        <w:spacing w:before="0"/>
        <w:ind w:left="152" w:right="0" w:firstLine="0"/>
        <w:jc w:val="both"/>
        <w:rPr>
          <w:sz w:val="24"/>
        </w:rPr>
      </w:pPr>
      <w:r>
        <w:rPr>
          <w:b/>
          <w:sz w:val="24"/>
        </w:rPr>
        <w:t>Figura 2. </w:t>
      </w:r>
      <w:r>
        <w:rPr>
          <w:sz w:val="24"/>
        </w:rPr>
        <w:t>Estructura de una molécula de glicerol.</w:t>
      </w:r>
    </w:p>
    <w:p>
      <w:pPr>
        <w:pStyle w:val="BodyText"/>
        <w:jc w:val="left"/>
        <w:rPr>
          <w:sz w:val="20"/>
        </w:rPr>
      </w:pPr>
    </w:p>
    <w:p>
      <w:pPr>
        <w:pStyle w:val="BodyText"/>
        <w:jc w:val="left"/>
        <w:rPr>
          <w:sz w:val="20"/>
        </w:rPr>
      </w:pPr>
    </w:p>
    <w:p>
      <w:pPr>
        <w:pStyle w:val="BodyText"/>
        <w:tabs>
          <w:tab w:pos="675" w:val="left" w:leader="none"/>
          <w:tab w:pos="1351" w:val="left" w:leader="none"/>
        </w:tabs>
        <w:spacing w:before="206"/>
        <w:ind w:right="61"/>
        <w:jc w:val="center"/>
      </w:pPr>
      <w:r>
        <w:rPr/>
        <w:pict>
          <v:line style="position:absolute;mso-position-horizontal-relative:page;mso-position-vertical-relative:paragraph;z-index:-63664" from="280.532318pt,26.888741pt" to="280.532321pt,35.287040pt" stroked="true" strokeweight=".747868pt" strokecolor="#000000">
            <w10:wrap type="none"/>
          </v:line>
        </w:pict>
      </w:r>
      <w:r>
        <w:rPr/>
        <w:pict>
          <v:line style="position:absolute;mso-position-horizontal-relative:page;mso-position-vertical-relative:paragraph;z-index:-63568" from="314.152771pt,26.888748pt" to="314.152774pt,35.287047pt" stroked="true" strokeweight=".747868pt" strokecolor="#000000">
            <w10:wrap type="none"/>
          </v:line>
        </w:pict>
      </w:r>
      <w:r>
        <w:rPr/>
        <w:pict>
          <v:line style="position:absolute;mso-position-horizontal-relative:page;mso-position-vertical-relative:paragraph;z-index:-63496" from="347.768219pt,26.888754pt" to="347.768222pt,35.287053pt" stroked="true" strokeweight=".747868pt" strokecolor="#000000">
            <w10:wrap type="none"/>
          </v:line>
        </w:pict>
      </w:r>
      <w:r>
        <w:rPr/>
        <w:t>H</w:t>
        <w:tab/>
        <w:t>H</w:t>
        <w:tab/>
        <w:t>H</w:t>
      </w:r>
    </w:p>
    <w:p>
      <w:pPr>
        <w:pStyle w:val="BodyText"/>
        <w:tabs>
          <w:tab w:pos="563" w:val="left" w:leader="none"/>
          <w:tab w:pos="1238" w:val="left" w:leader="none"/>
          <w:tab w:pos="1914" w:val="left" w:leader="none"/>
          <w:tab w:pos="2477" w:val="left" w:leader="none"/>
        </w:tabs>
        <w:spacing w:before="173"/>
        <w:ind w:right="61"/>
        <w:jc w:val="center"/>
      </w:pPr>
      <w:r>
        <w:rPr/>
        <w:pict>
          <v:line style="position:absolute;mso-position-horizontal-relative:page;mso-position-vertical-relative:paragraph;z-index:-63640" from="280.532318pt,26.497898pt" to="280.532321pt,34.896197pt" stroked="true" strokeweight=".747868pt" strokecolor="#000000">
            <w10:wrap type="none"/>
          </v:line>
        </w:pict>
      </w:r>
      <w:r>
        <w:rPr/>
        <w:pict>
          <v:line style="position:absolute;mso-position-horizontal-relative:page;mso-position-vertical-relative:paragraph;z-index:-63616" from="289.497772pt,17.609764pt" to="303.616367pt,17.609767pt" stroked="true" strokeweight=".741419pt" strokecolor="#000000">
            <w10:wrap type="none"/>
          </v:line>
        </w:pict>
      </w:r>
      <w:r>
        <w:rPr/>
        <w:pict>
          <v:line style="position:absolute;mso-position-horizontal-relative:page;mso-position-vertical-relative:paragraph;z-index:-63592" from="258.865814pt,17.609758pt" to="272.984409pt,17.609761pt" stroked="true" strokeweight=".741419pt" strokecolor="#000000">
            <w10:wrap type="none"/>
          </v:line>
        </w:pict>
      </w:r>
      <w:r>
        <w:rPr/>
        <w:pict>
          <v:line style="position:absolute;mso-position-horizontal-relative:page;mso-position-vertical-relative:paragraph;z-index:-63544" from="314.152771pt,26.497904pt" to="314.152774pt,34.896203pt" stroked="true" strokeweight=".747868pt" strokecolor="#000000">
            <w10:wrap type="none"/>
          </v:line>
        </w:pict>
      </w:r>
      <w:r>
        <w:rPr/>
        <w:pict>
          <v:line style="position:absolute;mso-position-horizontal-relative:page;mso-position-vertical-relative:paragraph;z-index:-63520" from="323.118225pt,17.60977pt" to="337.23682pt,17.609772pt" stroked="true" strokeweight=".741419pt" strokecolor="#000000">
            <w10:wrap type="none"/>
          </v:line>
        </w:pict>
      </w:r>
      <w:r>
        <w:rPr/>
        <w:pict>
          <v:line style="position:absolute;mso-position-horizontal-relative:page;mso-position-vertical-relative:paragraph;z-index:-63472" from="347.76825pt,26.49791pt" to="347.768253pt,34.896209pt" stroked="true" strokeweight=".747868pt" strokecolor="#000000">
            <w10:wrap type="none"/>
          </v:line>
        </w:pict>
      </w:r>
      <w:r>
        <w:rPr/>
        <w:pict>
          <v:line style="position:absolute;mso-position-horizontal-relative:page;mso-position-vertical-relative:paragraph;z-index:-63448" from="353.745209pt,17.609776pt" to="367.870777pt,17.609778pt" stroked="true" strokeweight=".741419pt" strokecolor="#000000">
            <w10:wrap type="none"/>
          </v:line>
        </w:pict>
      </w:r>
      <w:r>
        <w:rPr/>
        <w:t>H</w:t>
        <w:tab/>
        <w:t>C</w:t>
        <w:tab/>
        <w:t>C</w:t>
        <w:tab/>
        <w:t>C</w:t>
        <w:tab/>
        <w:t>H</w:t>
      </w:r>
    </w:p>
    <w:p>
      <w:pPr>
        <w:pStyle w:val="BodyText"/>
        <w:tabs>
          <w:tab w:pos="675" w:val="left" w:leader="none"/>
          <w:tab w:pos="1351" w:val="left" w:leader="none"/>
        </w:tabs>
        <w:spacing w:before="203"/>
        <w:ind w:right="114"/>
        <w:jc w:val="center"/>
      </w:pPr>
      <w:r>
        <w:rPr>
          <w:spacing w:val="-5"/>
        </w:rPr>
        <w:t>OH</w:t>
        <w:tab/>
        <w:t>OH</w:t>
        <w:tab/>
      </w:r>
      <w:r>
        <w:rPr>
          <w:spacing w:val="-9"/>
        </w:rPr>
        <w:t>OH</w:t>
      </w:r>
    </w:p>
    <w:p>
      <w:pPr>
        <w:pStyle w:val="BodyText"/>
        <w:jc w:val="left"/>
        <w:rPr>
          <w:sz w:val="20"/>
        </w:rPr>
      </w:pPr>
    </w:p>
    <w:p>
      <w:pPr>
        <w:pStyle w:val="BodyText"/>
        <w:spacing w:before="9"/>
        <w:jc w:val="left"/>
        <w:rPr>
          <w:sz w:val="27"/>
        </w:rPr>
      </w:pPr>
    </w:p>
    <w:p>
      <w:pPr>
        <w:pStyle w:val="BodyText"/>
        <w:spacing w:line="360" w:lineRule="auto" w:before="69"/>
        <w:ind w:left="152" w:right="120"/>
      </w:pPr>
      <w:r>
        <w:rPr/>
        <w:t>La modificación del perfil de ácidos grasos de la grasa de la leche ha ganado un interés creciente debido a que el consumo de ácidos grasos saturados (AGS), especialmente el ácido mirístico (C14:0) y el ácido palmítico (C16:0), pueden inducir a la hipercolesterolemia en el humano. Se cree que el ácido laúrico  (C12:0), el C14:0 y el C16:0 elevan los niveles de colesterol total, mientras que el ácido esteárico (C18:0) tiene un efecto relativamente neutro (Grundy y Vega,  1998)</w:t>
      </w:r>
    </w:p>
    <w:p>
      <w:pPr>
        <w:pStyle w:val="BodyText"/>
        <w:spacing w:line="360" w:lineRule="auto" w:before="2"/>
        <w:ind w:left="152" w:right="120"/>
      </w:pPr>
      <w:r>
        <w:rPr/>
        <w:t>En comparación con los ácidos grasos de cadena corta y media, los rumiantes sintetizan muy pocos ácidos grasos de cadena larga (C18) que son deseables   en</w:t>
      </w:r>
    </w:p>
    <w:p>
      <w:pPr>
        <w:spacing w:after="0" w:line="360" w:lineRule="auto"/>
        <w:sectPr>
          <w:pgSz w:w="12240" w:h="15840"/>
          <w:pgMar w:header="0" w:footer="1329" w:top="1500" w:bottom="1580" w:left="1720" w:right="1400"/>
        </w:sectPr>
      </w:pPr>
    </w:p>
    <w:p>
      <w:pPr>
        <w:pStyle w:val="BodyText"/>
        <w:spacing w:before="11"/>
        <w:jc w:val="left"/>
        <w:rPr>
          <w:sz w:val="20"/>
        </w:rPr>
      </w:pPr>
    </w:p>
    <w:p>
      <w:pPr>
        <w:pStyle w:val="BodyText"/>
        <w:spacing w:line="360" w:lineRule="auto" w:before="69"/>
        <w:ind w:left="152" w:right="102"/>
      </w:pPr>
      <w:r>
        <w:rPr/>
        <w:t>la leche. Entre 75 y 90% del ácido linoleico y de 85 a 95% de ácido linolénico son biohidrogenados en el rúmen. En el forraje predomina el ácido linolénico mientras que el grano de maíz contiene principalmente ácido linoleico.</w:t>
      </w:r>
    </w:p>
    <w:p>
      <w:pPr>
        <w:pStyle w:val="BodyText"/>
        <w:spacing w:line="360" w:lineRule="auto" w:before="7"/>
        <w:ind w:left="152" w:right="109"/>
      </w:pPr>
      <w:r>
        <w:rPr/>
        <w:t>Los ingredientes comúnmente utilizados en la preparación de los concentrados con frecuencia están basados en productos de plantas y son bajos en grasa. En algunos productos especiales para la alimentación de rumiantes, los ácidos grasos son protegidos contra la biohidrogenación ruminal (Elgersma </w:t>
      </w:r>
      <w:r>
        <w:rPr>
          <w:i/>
        </w:rPr>
        <w:t>et al</w:t>
      </w:r>
      <w:r>
        <w:rPr/>
        <w:t>.,</w:t>
      </w:r>
      <w:r>
        <w:rPr>
          <w:spacing w:val="-23"/>
        </w:rPr>
        <w:t> </w:t>
      </w:r>
      <w:r>
        <w:rPr/>
        <w:t>2006)</w:t>
      </w:r>
    </w:p>
    <w:p>
      <w:pPr>
        <w:pStyle w:val="BodyText"/>
        <w:jc w:val="left"/>
      </w:pPr>
    </w:p>
    <w:p>
      <w:pPr>
        <w:pStyle w:val="Heading1"/>
        <w:numPr>
          <w:ilvl w:val="2"/>
          <w:numId w:val="2"/>
        </w:numPr>
        <w:tabs>
          <w:tab w:pos="824" w:val="left" w:leader="none"/>
        </w:tabs>
        <w:spacing w:line="240" w:lineRule="auto" w:before="139" w:after="0"/>
        <w:ind w:left="824" w:right="0" w:hanging="672"/>
        <w:jc w:val="both"/>
      </w:pPr>
      <w:bookmarkStart w:name="_bookmark12" w:id="23"/>
      <w:bookmarkEnd w:id="23"/>
      <w:r>
        <w:rPr>
          <w:b w:val="0"/>
        </w:rPr>
      </w:r>
      <w:bookmarkStart w:name="_bookmark12" w:id="24"/>
      <w:bookmarkEnd w:id="24"/>
      <w:r>
        <w:rPr/>
        <w:t>Q</w:t>
      </w:r>
      <w:r>
        <w:rPr/>
        <w:t>uímica de los ácidos</w:t>
      </w:r>
      <w:r>
        <w:rPr>
          <w:spacing w:val="-18"/>
        </w:rPr>
        <w:t> </w:t>
      </w:r>
      <w:r>
        <w:rPr/>
        <w:t>grasos</w:t>
      </w:r>
    </w:p>
    <w:p>
      <w:pPr>
        <w:pStyle w:val="BodyText"/>
        <w:spacing w:line="360" w:lineRule="auto" w:before="141"/>
        <w:ind w:left="152" w:right="100"/>
      </w:pPr>
      <w:r>
        <w:rPr/>
        <w:t>Los ácidos grasos son cadenas hidrocarbonadas de longitud variable que </w:t>
      </w:r>
      <w:r>
        <w:rPr>
          <w:spacing w:val="4"/>
        </w:rPr>
        <w:t>van </w:t>
      </w:r>
      <w:r>
        <w:rPr/>
        <w:t>de 2 a 80 carbonos, pero los que comúnmente se encuentran en los alimentos tienen cadenas de 14, 16, 18, 20 y 22 átomos de carbono. En un extremo tienen un  </w:t>
      </w:r>
      <w:r>
        <w:rPr>
          <w:position w:val="2"/>
        </w:rPr>
        <w:t>grupo carboxilo (COOH) y en el otro un grupo metilo (CH</w:t>
      </w:r>
      <w:r>
        <w:rPr>
          <w:sz w:val="16"/>
        </w:rPr>
        <w:t>3</w:t>
      </w:r>
      <w:r>
        <w:rPr>
          <w:position w:val="2"/>
        </w:rPr>
        <w:t>). La longitud de la </w:t>
      </w:r>
      <w:r>
        <w:rPr/>
        <w:t>cadena de carbonos tiene influencia en las características de los ácidos grasos, tales como la presencia o ausencia de cadenas dobles entre </w:t>
      </w:r>
      <w:r>
        <w:rPr>
          <w:spacing w:val="-3"/>
        </w:rPr>
        <w:t>átomos </w:t>
      </w:r>
      <w:r>
        <w:rPr/>
        <w:t>de carbono (Ruiz,</w:t>
      </w:r>
      <w:r>
        <w:rPr>
          <w:spacing w:val="-4"/>
        </w:rPr>
        <w:t> </w:t>
      </w:r>
      <w:r>
        <w:rPr/>
        <w:t>2009)</w:t>
      </w:r>
    </w:p>
    <w:p>
      <w:pPr>
        <w:pStyle w:val="BodyText"/>
        <w:spacing w:line="360" w:lineRule="auto" w:before="2"/>
        <w:ind w:left="152" w:right="109"/>
      </w:pPr>
      <w:r>
        <w:rPr/>
        <w:t>De manera general, los AG´s se pueden clasificar en diversas categorías,  tomando en cuenta diversos criterios como la longitud de cadena, su origen o bien el grado de saturación (Osborn y Akoh,</w:t>
      </w:r>
      <w:r>
        <w:rPr>
          <w:spacing w:val="-15"/>
        </w:rPr>
        <w:t> </w:t>
      </w:r>
      <w:r>
        <w:rPr/>
        <w:t>2002):</w:t>
      </w:r>
    </w:p>
    <w:p>
      <w:pPr>
        <w:pStyle w:val="BodyText"/>
        <w:spacing w:line="362" w:lineRule="auto" w:before="2"/>
        <w:ind w:left="863"/>
        <w:jc w:val="left"/>
      </w:pPr>
      <w:r>
        <w:rPr>
          <w:b/>
        </w:rPr>
        <w:t>*AG de cadena corta </w:t>
      </w:r>
      <w:r>
        <w:rPr/>
        <w:t>(AGCC o SCFAs por sus siglas en inglés), de 2 a 6 carbonos, también conocidos como ácidos grasos volátiles.</w:t>
      </w:r>
    </w:p>
    <w:p>
      <w:pPr>
        <w:spacing w:line="364" w:lineRule="auto" w:before="0"/>
        <w:ind w:left="863" w:right="140" w:firstLine="0"/>
        <w:jc w:val="left"/>
        <w:rPr>
          <w:sz w:val="24"/>
        </w:rPr>
      </w:pPr>
      <w:r>
        <w:rPr>
          <w:b/>
          <w:sz w:val="24"/>
        </w:rPr>
        <w:t>*AG de cadena media </w:t>
      </w:r>
      <w:r>
        <w:rPr>
          <w:sz w:val="24"/>
        </w:rPr>
        <w:t>(AGCM o MCFAs por sus siglas en inglés), de 7 a  12</w:t>
      </w:r>
      <w:r>
        <w:rPr>
          <w:spacing w:val="-3"/>
          <w:sz w:val="24"/>
        </w:rPr>
        <w:t> </w:t>
      </w:r>
      <w:r>
        <w:rPr>
          <w:sz w:val="24"/>
        </w:rPr>
        <w:t>carbonos.</w:t>
      </w:r>
    </w:p>
    <w:p>
      <w:pPr>
        <w:spacing w:line="367" w:lineRule="auto" w:before="0"/>
        <w:ind w:left="863" w:right="0" w:firstLine="0"/>
        <w:jc w:val="left"/>
        <w:rPr>
          <w:sz w:val="24"/>
        </w:rPr>
      </w:pPr>
      <w:r>
        <w:rPr>
          <w:b/>
          <w:sz w:val="24"/>
        </w:rPr>
        <w:t>*AG de cadena larga </w:t>
      </w:r>
      <w:r>
        <w:rPr>
          <w:sz w:val="24"/>
        </w:rPr>
        <w:t>(AGCL o LCFAs por sus siglas en inglés), de 14 a 20 carbonos. (Cuadro 1)</w:t>
      </w:r>
    </w:p>
    <w:p>
      <w:pPr>
        <w:pStyle w:val="BodyText"/>
        <w:spacing w:line="360" w:lineRule="auto"/>
        <w:ind w:left="152" w:right="103"/>
      </w:pPr>
      <w:r>
        <w:rPr/>
        <w:t>Existe otra clasificación, la cual se encuentra relacionada con el grado de saturación de los ácidos grasos, pudiendo ser saturados (no poseen enlaces dobles) o insaturados (que poseen enlaces dobles), estos últimos se subdividen como se menciona a continuación: (Figura 3)</w:t>
      </w:r>
    </w:p>
    <w:p>
      <w:pPr>
        <w:spacing w:after="0" w:line="360" w:lineRule="auto"/>
        <w:sectPr>
          <w:pgSz w:w="12240" w:h="15840"/>
          <w:pgMar w:header="0" w:footer="1329" w:top="1500" w:bottom="1580" w:left="1720" w:right="1420"/>
        </w:sectPr>
      </w:pPr>
    </w:p>
    <w:p>
      <w:pPr>
        <w:pStyle w:val="BodyText"/>
        <w:spacing w:before="6"/>
        <w:jc w:val="left"/>
        <w:rPr>
          <w:sz w:val="20"/>
        </w:rPr>
      </w:pPr>
    </w:p>
    <w:p>
      <w:pPr>
        <w:pStyle w:val="BodyText"/>
        <w:spacing w:before="69"/>
        <w:ind w:left="152"/>
        <w:jc w:val="left"/>
      </w:pPr>
      <w:r>
        <w:rPr>
          <w:b/>
        </w:rPr>
        <w:t>Figura 3: </w:t>
      </w:r>
      <w:r>
        <w:rPr/>
        <w:t>Composición de los ácidos grasos insaturados</w:t>
      </w:r>
    </w:p>
    <w:p>
      <w:pPr>
        <w:pStyle w:val="BodyText"/>
        <w:jc w:val="left"/>
        <w:rPr>
          <w:sz w:val="20"/>
        </w:rPr>
      </w:pPr>
    </w:p>
    <w:p>
      <w:pPr>
        <w:pStyle w:val="BodyText"/>
        <w:spacing w:before="5"/>
        <w:jc w:val="left"/>
        <w:rPr>
          <w:sz w:val="26"/>
        </w:rPr>
      </w:pPr>
      <w:r>
        <w:rPr/>
        <w:pict>
          <v:shape style="position:absolute;margin-left:263.579987pt;margin-top:18.14987pt;width:34.7pt;height:8pt;mso-position-horizontal-relative:page;mso-position-vertical-relative:paragraph;z-index:1312;mso-wrap-distance-left:0;mso-wrap-distance-right:0" coordorigin="5272,363" coordsize="694,160" path="m5272,522l5324,470,5382,428,5445,396,5511,375,5580,364,5650,363,5719,373,5786,394,5851,426,5911,468,5952,508,5965,522e" filled="false" stroked="true" strokeweight="1.92pt" strokecolor="#3c6695">
            <v:path arrowok="t"/>
            <w10:wrap type="topAndBottom"/>
          </v:shape>
        </w:pict>
      </w:r>
    </w:p>
    <w:p>
      <w:pPr>
        <w:spacing w:line="216" w:lineRule="exact" w:before="19" w:after="63"/>
        <w:ind w:left="3232" w:right="4528" w:hanging="3"/>
        <w:jc w:val="center"/>
        <w:rPr>
          <w:rFonts w:ascii="Calibri" w:hAnsi="Calibri"/>
          <w:sz w:val="20"/>
        </w:rPr>
      </w:pPr>
      <w:r>
        <w:rPr>
          <w:rFonts w:ascii="Calibri" w:hAnsi="Calibri"/>
          <w:sz w:val="20"/>
        </w:rPr>
        <w:t>Ácido graso insaturado (AGI)</w:t>
      </w:r>
    </w:p>
    <w:p>
      <w:pPr>
        <w:pStyle w:val="BodyText"/>
        <w:ind w:left="2437"/>
        <w:jc w:val="left"/>
        <w:rPr>
          <w:rFonts w:ascii="Calibri"/>
          <w:sz w:val="20"/>
        </w:rPr>
      </w:pPr>
      <w:r>
        <w:rPr>
          <w:rFonts w:ascii="Calibri"/>
          <w:sz w:val="20"/>
        </w:rPr>
        <w:pict>
          <v:group style="width:200.95pt;height:37.15pt;mso-position-horizontal-relative:char;mso-position-vertical-relative:line" coordorigin="0,0" coordsize="4019,743">
            <v:shape style="position:absolute;left:1464;top:180;width:1847;height:543" coordorigin="1464,180" coordsize="1847,543" path="m1464,180l1464,723,3310,723e" filled="false" stroked="true" strokeweight="1.92pt" strokecolor="#3c6695">
              <v:path arrowok="t"/>
            </v:shape>
            <v:shape style="position:absolute;left:710;top:180;width:752;height:543" coordorigin="710,180" coordsize="752,543" path="m1461,180l1461,723,710,723e" filled="false" stroked="true" strokeweight="1.92pt" strokecolor="#3c6695">
              <v:path arrowok="t"/>
            </v:shape>
            <v:shape style="position:absolute;left:1114;top:20;width:694;height:160" coordorigin="1114,20" coordsize="694,160" path="m1808,20l1756,72,1698,114,1635,145,1568,167,1500,178,1430,179,1361,169,1293,148,1229,116,1169,73,1127,34,1114,20e" filled="false" stroked="true" strokeweight="1.92pt" strokecolor="#3c6695">
              <v:path arrowok="t"/>
            </v:shape>
            <v:shape style="position:absolute;left:20;top:560;width:695;height:162" coordorigin="20,560" coordsize="695,162" path="m20,721l71,668,129,626,192,594,259,572,327,561,397,560,466,570,534,591,598,622,659,665,701,706,714,721e" filled="false" stroked="true" strokeweight="1.92pt" strokecolor="#3c6695">
              <v:path arrowok="t"/>
            </v:shape>
            <v:shape style="position:absolute;left:3306;top:560;width:693;height:163" coordorigin="3306,560" coordsize="693,163" path="m3306,722l3358,669,3415,627,3478,594,3544,572,3612,561,3681,560,3750,570,3817,590,3882,622,3942,664,3986,706,3999,722e" filled="false" stroked="true" strokeweight="1.92pt" strokecolor="#3c6695">
              <v:path arrowok="t"/>
            </v:shape>
          </v:group>
        </w:pict>
      </w:r>
      <w:r>
        <w:rPr>
          <w:rFonts w:ascii="Calibri"/>
          <w:sz w:val="20"/>
        </w:rPr>
      </w:r>
    </w:p>
    <w:p>
      <w:pPr>
        <w:spacing w:after="0"/>
        <w:jc w:val="left"/>
        <w:rPr>
          <w:rFonts w:ascii="Calibri"/>
          <w:sz w:val="20"/>
        </w:rPr>
        <w:sectPr>
          <w:pgSz w:w="12240" w:h="15840"/>
          <w:pgMar w:header="0" w:footer="1329" w:top="1500" w:bottom="1580" w:left="1720" w:right="1420"/>
        </w:sectPr>
      </w:pPr>
    </w:p>
    <w:p>
      <w:pPr>
        <w:spacing w:line="209" w:lineRule="exact" w:before="0"/>
        <w:ind w:left="1968" w:right="0" w:firstLine="0"/>
        <w:jc w:val="center"/>
        <w:rPr>
          <w:rFonts w:ascii="Calibri"/>
          <w:sz w:val="20"/>
        </w:rPr>
      </w:pPr>
      <w:r>
        <w:rPr>
          <w:rFonts w:ascii="Calibri"/>
          <w:sz w:val="20"/>
        </w:rPr>
        <w:t>MONOINSATURADO</w:t>
      </w:r>
    </w:p>
    <w:p>
      <w:pPr>
        <w:spacing w:before="58"/>
        <w:ind w:left="0" w:right="516" w:firstLine="0"/>
        <w:jc w:val="right"/>
        <w:rPr>
          <w:rFonts w:ascii="Calibri"/>
          <w:sz w:val="20"/>
        </w:rPr>
      </w:pPr>
      <w:r>
        <w:rPr>
          <w:rFonts w:ascii="Calibri"/>
          <w:sz w:val="20"/>
        </w:rPr>
        <w:t>(MUFA)</w:t>
      </w:r>
    </w:p>
    <w:p>
      <w:pPr>
        <w:spacing w:line="230" w:lineRule="exact" w:before="7"/>
        <w:ind w:left="1632" w:right="2224" w:firstLine="0"/>
        <w:jc w:val="center"/>
        <w:rPr>
          <w:rFonts w:ascii="Calibri"/>
          <w:sz w:val="20"/>
        </w:rPr>
      </w:pPr>
      <w:r>
        <w:rPr/>
        <w:br w:type="column"/>
      </w:r>
      <w:r>
        <w:rPr>
          <w:rFonts w:ascii="Calibri"/>
          <w:sz w:val="20"/>
        </w:rPr>
        <w:t>POLI-INSATURADO</w:t>
      </w:r>
    </w:p>
    <w:p>
      <w:pPr>
        <w:spacing w:line="230" w:lineRule="exact" w:before="0"/>
        <w:ind w:left="1627" w:right="2224" w:firstLine="0"/>
        <w:jc w:val="center"/>
        <w:rPr>
          <w:rFonts w:ascii="Calibri"/>
          <w:sz w:val="20"/>
        </w:rPr>
      </w:pPr>
      <w:r>
        <w:rPr>
          <w:rFonts w:ascii="Calibri"/>
          <w:sz w:val="20"/>
        </w:rPr>
        <w:t>(PUFA)</w:t>
      </w:r>
    </w:p>
    <w:p>
      <w:pPr>
        <w:spacing w:after="0" w:line="230" w:lineRule="exact"/>
        <w:jc w:val="center"/>
        <w:rPr>
          <w:rFonts w:ascii="Calibri"/>
          <w:sz w:val="20"/>
        </w:rPr>
        <w:sectPr>
          <w:type w:val="continuous"/>
          <w:pgSz w:w="12240" w:h="15840"/>
          <w:pgMar w:top="1500" w:bottom="2600" w:left="1720" w:right="1420"/>
          <w:cols w:num="2" w:equalWidth="0">
            <w:col w:w="3638" w:space="40"/>
            <w:col w:w="5422"/>
          </w:cols>
        </w:sectPr>
      </w:pPr>
    </w:p>
    <w:p>
      <w:pPr>
        <w:tabs>
          <w:tab w:pos="4625" w:val="left" w:leader="none"/>
        </w:tabs>
        <w:spacing w:line="240" w:lineRule="auto"/>
        <w:ind w:left="1342" w:right="0" w:firstLine="0"/>
        <w:rPr>
          <w:rFonts w:ascii="Calibri"/>
          <w:sz w:val="20"/>
        </w:rPr>
      </w:pPr>
      <w:r>
        <w:rPr>
          <w:rFonts w:ascii="Calibri"/>
          <w:sz w:val="20"/>
        </w:rPr>
        <w:pict>
          <v:group style="width:91.45pt;height:37.2pt;mso-position-horizontal-relative:char;mso-position-vertical-relative:line" coordorigin="0,0" coordsize="1829,744">
            <v:shape style="position:absolute;left:710;top:181;width:752;height:543" coordorigin="710,181" coordsize="752,543" path="m1461,181l1461,724,710,724e" filled="false" stroked="true" strokeweight="1.92pt" strokecolor="#4674ab">
              <v:path arrowok="t"/>
            </v:shape>
            <v:shape style="position:absolute;left:1114;top:20;width:695;height:162" coordorigin="1114,20" coordsize="695,162" path="m1809,20l1757,72,1699,114,1636,147,1570,168,1501,180,1431,181,1362,171,1294,150,1230,118,1170,75,1127,34,1114,20e" filled="false" stroked="true" strokeweight="1.92pt" strokecolor="#3c6695">
              <v:path arrowok="t"/>
            </v:shape>
            <v:shape style="position:absolute;left:20;top:562;width:695;height:162" coordorigin="20,562" coordsize="695,162" path="m20,723l71,670,129,628,192,596,259,574,327,562,397,562,466,572,534,592,598,624,659,667,701,708,714,723e" filled="false" stroked="true" strokeweight="1.92pt" strokecolor="#3c6695">
              <v:path arrowok="t"/>
            </v:shape>
          </v:group>
        </w:pict>
      </w:r>
      <w:r>
        <w:rPr>
          <w:rFonts w:ascii="Calibri"/>
          <w:sz w:val="20"/>
        </w:rPr>
      </w:r>
      <w:r>
        <w:rPr>
          <w:rFonts w:ascii="Calibri"/>
          <w:sz w:val="20"/>
        </w:rPr>
        <w:tab/>
      </w:r>
      <w:r>
        <w:rPr>
          <w:rFonts w:ascii="Calibri"/>
          <w:sz w:val="20"/>
        </w:rPr>
        <w:pict>
          <v:group style="width:91.5pt;height:37.25pt;mso-position-horizontal-relative:char;mso-position-vertical-relative:line" coordorigin="0,0" coordsize="1830,745">
            <v:shape style="position:absolute;left:710;top:183;width:752;height:543" coordorigin="710,183" coordsize="752,543" path="m1461,183l1461,725,710,725e" filled="false" stroked="true" strokeweight="1.92pt" strokecolor="#4674ab">
              <v:path arrowok="t"/>
            </v:shape>
            <v:shape style="position:absolute;left:1117;top:20;width:693;height:163" coordorigin="1117,20" coordsize="693,163" path="m1810,20l1759,72,1701,115,1639,147,1573,169,1504,181,1435,182,1366,172,1299,151,1234,120,1175,77,1131,35,1117,20e" filled="false" stroked="true" strokeweight="1.92pt" strokecolor="#3c6695">
              <v:path arrowok="t"/>
            </v:shape>
            <v:shape style="position:absolute;left:20;top:563;width:695;height:162" coordorigin="20,563" coordsize="695,162" path="m20,724l71,671,129,629,192,597,259,575,327,563,397,563,466,573,534,593,598,625,659,668,701,709,714,724e" filled="false" stroked="true" strokeweight="1.92pt" strokecolor="#3c6695">
              <v:path arrowok="t"/>
            </v:shape>
          </v:group>
        </w:pict>
      </w:r>
      <w:r>
        <w:rPr>
          <w:rFonts w:ascii="Calibri"/>
          <w:sz w:val="20"/>
        </w:rPr>
      </w:r>
    </w:p>
    <w:p>
      <w:pPr>
        <w:spacing w:after="0" w:line="240" w:lineRule="auto"/>
        <w:rPr>
          <w:rFonts w:ascii="Calibri"/>
          <w:sz w:val="20"/>
        </w:rPr>
        <w:sectPr>
          <w:type w:val="continuous"/>
          <w:pgSz w:w="12240" w:h="15840"/>
          <w:pgMar w:top="1500" w:bottom="2600" w:left="1720" w:right="1420"/>
        </w:sectPr>
      </w:pPr>
    </w:p>
    <w:p>
      <w:pPr>
        <w:pStyle w:val="ListParagraph"/>
        <w:numPr>
          <w:ilvl w:val="3"/>
          <w:numId w:val="2"/>
        </w:numPr>
        <w:tabs>
          <w:tab w:pos="1075" w:val="left" w:leader="none"/>
        </w:tabs>
        <w:spacing w:line="240" w:lineRule="auto" w:before="126" w:after="0"/>
        <w:ind w:left="1301" w:right="0" w:hanging="375"/>
        <w:jc w:val="left"/>
        <w:rPr>
          <w:rFonts w:ascii="Calibri"/>
          <w:sz w:val="20"/>
        </w:rPr>
      </w:pPr>
      <w:r>
        <w:rPr>
          <w:rFonts w:ascii="Calibri"/>
          <w:sz w:val="20"/>
        </w:rPr>
        <w:t>solo enlace</w:t>
      </w:r>
      <w:r>
        <w:rPr>
          <w:rFonts w:ascii="Calibri"/>
          <w:spacing w:val="-3"/>
          <w:sz w:val="20"/>
        </w:rPr>
        <w:t> </w:t>
      </w:r>
      <w:r>
        <w:rPr>
          <w:rFonts w:ascii="Calibri"/>
          <w:sz w:val="20"/>
        </w:rPr>
        <w:t>doble</w:t>
      </w:r>
    </w:p>
    <w:p>
      <w:pPr>
        <w:pStyle w:val="ListParagraph"/>
        <w:numPr>
          <w:ilvl w:val="3"/>
          <w:numId w:val="2"/>
        </w:numPr>
        <w:tabs>
          <w:tab w:pos="1075" w:val="left" w:leader="none"/>
        </w:tabs>
        <w:spacing w:line="216" w:lineRule="exact" w:before="34" w:after="0"/>
        <w:ind w:left="1301" w:right="3454" w:hanging="375"/>
        <w:jc w:val="left"/>
        <w:rPr>
          <w:rFonts w:ascii="Calibri" w:hAnsi="Calibri"/>
          <w:sz w:val="20"/>
        </w:rPr>
      </w:pPr>
      <w:r>
        <w:rPr>
          <w:rFonts w:ascii="Calibri" w:hAnsi="Calibri"/>
          <w:w w:val="100"/>
          <w:sz w:val="20"/>
        </w:rPr>
        <w:br w:type="column"/>
      </w:r>
      <w:r>
        <w:rPr>
          <w:rFonts w:ascii="Calibri" w:hAnsi="Calibri"/>
          <w:sz w:val="20"/>
        </w:rPr>
        <w:t>o más enlaces dobles</w:t>
      </w:r>
    </w:p>
    <w:p>
      <w:pPr>
        <w:spacing w:after="0" w:line="216" w:lineRule="exact"/>
        <w:jc w:val="left"/>
        <w:rPr>
          <w:rFonts w:ascii="Calibri" w:hAnsi="Calibri"/>
          <w:sz w:val="20"/>
        </w:rPr>
        <w:sectPr>
          <w:type w:val="continuous"/>
          <w:pgSz w:w="12240" w:h="15840"/>
          <w:pgMar w:top="1500" w:bottom="2600" w:left="1720" w:right="1420"/>
          <w:cols w:num="2" w:equalWidth="0">
            <w:col w:w="2495" w:space="930"/>
            <w:col w:w="5675"/>
          </w:cols>
        </w:sectPr>
      </w:pPr>
    </w:p>
    <w:p>
      <w:pPr>
        <w:pStyle w:val="BodyText"/>
        <w:spacing w:before="2"/>
        <w:jc w:val="left"/>
        <w:rPr>
          <w:rFonts w:ascii="Calibri"/>
          <w:sz w:val="5"/>
        </w:rPr>
      </w:pPr>
    </w:p>
    <w:p>
      <w:pPr>
        <w:tabs>
          <w:tab w:pos="4625" w:val="left" w:leader="none"/>
        </w:tabs>
        <w:spacing w:line="200" w:lineRule="exact"/>
        <w:ind w:left="1342" w:right="0" w:firstLine="0"/>
        <w:rPr>
          <w:rFonts w:ascii="Calibri"/>
          <w:sz w:val="20"/>
        </w:rPr>
      </w:pPr>
      <w:r>
        <w:rPr>
          <w:rFonts w:ascii="Calibri"/>
          <w:position w:val="-3"/>
          <w:sz w:val="20"/>
        </w:rPr>
        <w:pict>
          <v:group style="width:36.7pt;height:10.050pt;mso-position-horizontal-relative:char;mso-position-vertical-relative:line" coordorigin="0,0" coordsize="734,201">
            <v:shape style="position:absolute;left:20;top:20;width:695;height:162" coordorigin="20,20" coordsize="695,162" path="m714,20l662,72,604,114,542,147,475,168,406,180,337,181,268,171,200,150,136,118,75,75,32,34,20,20e" filled="false" stroked="true" strokeweight="1.92pt" strokecolor="#3c6695">
              <v:path arrowok="t"/>
            </v:shape>
          </v:group>
        </w:pict>
      </w:r>
      <w:r>
        <w:rPr>
          <w:rFonts w:ascii="Calibri"/>
          <w:position w:val="-3"/>
          <w:sz w:val="20"/>
        </w:rPr>
      </w:r>
      <w:r>
        <w:rPr>
          <w:rFonts w:ascii="Calibri"/>
          <w:position w:val="-3"/>
          <w:sz w:val="20"/>
        </w:rPr>
        <w:tab/>
      </w:r>
      <w:r>
        <w:rPr>
          <w:rFonts w:ascii="Calibri"/>
          <w:position w:val="-3"/>
          <w:sz w:val="20"/>
        </w:rPr>
        <w:pict>
          <v:group style="width:36.7pt;height:10.050pt;mso-position-horizontal-relative:char;mso-position-vertical-relative:line" coordorigin="0,0" coordsize="734,201">
            <v:shape style="position:absolute;left:20;top:20;width:695;height:162" coordorigin="20,20" coordsize="695,162" path="m714,20l662,72,604,114,542,147,475,168,406,180,337,181,268,171,200,150,136,118,75,75,32,34,20,20e" filled="false" stroked="true" strokeweight="1.92pt" strokecolor="#3c6695">
              <v:path arrowok="t"/>
            </v:shape>
          </v:group>
        </w:pict>
      </w:r>
      <w:r>
        <w:rPr>
          <w:rFonts w:ascii="Calibri"/>
          <w:position w:val="-3"/>
          <w:sz w:val="20"/>
        </w:rPr>
      </w:r>
    </w:p>
    <w:p>
      <w:pPr>
        <w:pStyle w:val="BodyText"/>
        <w:spacing w:before="6"/>
        <w:jc w:val="left"/>
        <w:rPr>
          <w:rFonts w:ascii="Calibri"/>
          <w:sz w:val="11"/>
        </w:rPr>
      </w:pPr>
    </w:p>
    <w:p>
      <w:pPr>
        <w:spacing w:before="70"/>
        <w:ind w:left="152" w:right="0" w:firstLine="0"/>
        <w:jc w:val="both"/>
        <w:rPr>
          <w:sz w:val="24"/>
        </w:rPr>
      </w:pPr>
      <w:r>
        <w:rPr>
          <w:sz w:val="24"/>
        </w:rPr>
        <w:t>(Chong </w:t>
      </w:r>
      <w:r>
        <w:rPr>
          <w:i/>
          <w:sz w:val="24"/>
        </w:rPr>
        <w:t>et al</w:t>
      </w:r>
      <w:r>
        <w:rPr>
          <w:sz w:val="24"/>
        </w:rPr>
        <w:t>., 2006)</w:t>
      </w:r>
    </w:p>
    <w:p>
      <w:pPr>
        <w:pStyle w:val="BodyText"/>
        <w:jc w:val="left"/>
      </w:pPr>
    </w:p>
    <w:p>
      <w:pPr>
        <w:pStyle w:val="BodyText"/>
        <w:spacing w:before="2"/>
        <w:jc w:val="left"/>
      </w:pPr>
    </w:p>
    <w:p>
      <w:pPr>
        <w:pStyle w:val="BodyText"/>
        <w:spacing w:line="360" w:lineRule="auto"/>
        <w:ind w:left="152" w:right="115"/>
      </w:pPr>
      <w:r>
        <w:rPr/>
        <w:t>El nombre que reciben los AG´s está determinado por el número de carbonos y el número de enlaces dobles presentes en la cadena hidrocarbonada. En el caso de los AGI existen características que deben ser designadas para su correcta identificación.</w:t>
      </w:r>
    </w:p>
    <w:p>
      <w:pPr>
        <w:spacing w:after="0" w:line="360" w:lineRule="auto"/>
        <w:sectPr>
          <w:type w:val="continuous"/>
          <w:pgSz w:w="12240" w:h="15840"/>
          <w:pgMar w:top="1500" w:bottom="2600" w:left="1720" w:right="1420"/>
        </w:sectPr>
      </w:pPr>
    </w:p>
    <w:p>
      <w:pPr>
        <w:pStyle w:val="BodyText"/>
        <w:spacing w:before="6"/>
        <w:jc w:val="left"/>
        <w:rPr>
          <w:sz w:val="20"/>
        </w:rPr>
      </w:pPr>
    </w:p>
    <w:p>
      <w:pPr>
        <w:spacing w:before="69"/>
        <w:ind w:left="212" w:right="0" w:firstLine="0"/>
        <w:jc w:val="left"/>
        <w:rPr>
          <w:sz w:val="24"/>
        </w:rPr>
      </w:pPr>
      <w:r>
        <w:rPr>
          <w:b/>
          <w:sz w:val="24"/>
        </w:rPr>
        <w:t>CUADRO 1: </w:t>
      </w:r>
      <w:r>
        <w:rPr>
          <w:sz w:val="24"/>
        </w:rPr>
        <w:t>Principales ácidos grasos</w:t>
      </w:r>
    </w:p>
    <w:p>
      <w:pPr>
        <w:pStyle w:val="BodyText"/>
        <w:jc w:val="left"/>
        <w:rPr>
          <w:sz w:val="20"/>
        </w:rPr>
      </w:pPr>
    </w:p>
    <w:p>
      <w:pPr>
        <w:pStyle w:val="BodyText"/>
        <w:spacing w:before="7"/>
        <w:jc w:val="left"/>
        <w:rPr>
          <w:sz w:val="28"/>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66"/>
        <w:gridCol w:w="2200"/>
        <w:gridCol w:w="2179"/>
        <w:gridCol w:w="2152"/>
      </w:tblGrid>
      <w:tr>
        <w:trPr>
          <w:trHeight w:val="715" w:hRule="exact"/>
        </w:trPr>
        <w:tc>
          <w:tcPr>
            <w:tcW w:w="2166" w:type="dxa"/>
            <w:tcBorders>
              <w:left w:val="nil"/>
              <w:right w:val="nil"/>
            </w:tcBorders>
          </w:tcPr>
          <w:p>
            <w:pPr>
              <w:pStyle w:val="TableParagraph"/>
              <w:spacing w:line="197" w:lineRule="exact"/>
              <w:ind w:left="384"/>
              <w:rPr>
                <w:b/>
                <w:sz w:val="18"/>
              </w:rPr>
            </w:pPr>
            <w:r>
              <w:rPr>
                <w:b/>
                <w:sz w:val="18"/>
              </w:rPr>
              <w:t>NOMBRE IUPAC</w:t>
            </w:r>
          </w:p>
        </w:tc>
        <w:tc>
          <w:tcPr>
            <w:tcW w:w="2200" w:type="dxa"/>
            <w:tcBorders>
              <w:left w:val="nil"/>
              <w:right w:val="nil"/>
            </w:tcBorders>
          </w:tcPr>
          <w:p>
            <w:pPr>
              <w:pStyle w:val="TableParagraph"/>
              <w:spacing w:line="197" w:lineRule="exact"/>
              <w:ind w:left="261" w:right="267"/>
              <w:jc w:val="center"/>
              <w:rPr>
                <w:b/>
                <w:sz w:val="18"/>
              </w:rPr>
            </w:pPr>
            <w:r>
              <w:rPr>
                <w:b/>
                <w:sz w:val="18"/>
              </w:rPr>
              <w:t>NUMERO LIPIDICO</w:t>
            </w:r>
          </w:p>
        </w:tc>
        <w:tc>
          <w:tcPr>
            <w:tcW w:w="2179" w:type="dxa"/>
            <w:tcBorders>
              <w:left w:val="nil"/>
              <w:right w:val="nil"/>
            </w:tcBorders>
          </w:tcPr>
          <w:p>
            <w:pPr>
              <w:pStyle w:val="TableParagraph"/>
              <w:spacing w:line="197" w:lineRule="exact"/>
              <w:ind w:left="270" w:right="307"/>
              <w:jc w:val="center"/>
              <w:rPr>
                <w:b/>
                <w:sz w:val="18"/>
              </w:rPr>
            </w:pPr>
            <w:r>
              <w:rPr>
                <w:b/>
                <w:sz w:val="18"/>
              </w:rPr>
              <w:t>NOMBRE TRIVIAL</w:t>
            </w:r>
          </w:p>
        </w:tc>
        <w:tc>
          <w:tcPr>
            <w:tcW w:w="2152" w:type="dxa"/>
            <w:tcBorders>
              <w:left w:val="nil"/>
              <w:right w:val="nil"/>
            </w:tcBorders>
          </w:tcPr>
          <w:p>
            <w:pPr>
              <w:pStyle w:val="TableParagraph"/>
              <w:spacing w:line="362" w:lineRule="auto"/>
              <w:ind w:left="730" w:right="397" w:hanging="346"/>
              <w:rPr>
                <w:b/>
                <w:sz w:val="18"/>
              </w:rPr>
            </w:pPr>
            <w:r>
              <w:rPr>
                <w:b/>
                <w:sz w:val="18"/>
              </w:rPr>
              <w:t>TIPO DE ACIDO GRASO</w:t>
            </w:r>
          </w:p>
        </w:tc>
      </w:tr>
      <w:tr>
        <w:trPr>
          <w:trHeight w:val="279" w:hRule="exact"/>
        </w:trPr>
        <w:tc>
          <w:tcPr>
            <w:tcW w:w="2166" w:type="dxa"/>
            <w:tcBorders>
              <w:left w:val="nil"/>
              <w:bottom w:val="nil"/>
              <w:right w:val="nil"/>
            </w:tcBorders>
          </w:tcPr>
          <w:p>
            <w:pPr>
              <w:pStyle w:val="TableParagraph"/>
              <w:spacing w:line="197" w:lineRule="exact"/>
              <w:ind w:left="110"/>
              <w:rPr>
                <w:sz w:val="18"/>
              </w:rPr>
            </w:pPr>
            <w:r>
              <w:rPr>
                <w:sz w:val="18"/>
              </w:rPr>
              <w:t>Ácido propanoico</w:t>
            </w:r>
          </w:p>
        </w:tc>
        <w:tc>
          <w:tcPr>
            <w:tcW w:w="2200" w:type="dxa"/>
            <w:tcBorders>
              <w:left w:val="nil"/>
              <w:bottom w:val="nil"/>
              <w:right w:val="nil"/>
            </w:tcBorders>
          </w:tcPr>
          <w:p>
            <w:pPr>
              <w:pStyle w:val="TableParagraph"/>
              <w:spacing w:line="197" w:lineRule="exact"/>
              <w:ind w:left="260" w:right="267"/>
              <w:jc w:val="center"/>
              <w:rPr>
                <w:sz w:val="18"/>
              </w:rPr>
            </w:pPr>
            <w:r>
              <w:rPr>
                <w:sz w:val="18"/>
              </w:rPr>
              <w:t>C3:0</w:t>
            </w:r>
          </w:p>
        </w:tc>
        <w:tc>
          <w:tcPr>
            <w:tcW w:w="2179" w:type="dxa"/>
            <w:tcBorders>
              <w:left w:val="nil"/>
              <w:bottom w:val="nil"/>
              <w:right w:val="nil"/>
            </w:tcBorders>
          </w:tcPr>
          <w:p>
            <w:pPr>
              <w:pStyle w:val="TableParagraph"/>
              <w:spacing w:line="197" w:lineRule="exact"/>
              <w:ind w:left="270" w:right="305"/>
              <w:jc w:val="center"/>
              <w:rPr>
                <w:sz w:val="18"/>
              </w:rPr>
            </w:pPr>
            <w:r>
              <w:rPr>
                <w:sz w:val="18"/>
              </w:rPr>
              <w:t>Ácido propiónico</w:t>
            </w:r>
          </w:p>
        </w:tc>
        <w:tc>
          <w:tcPr>
            <w:tcW w:w="2152" w:type="dxa"/>
            <w:tcBorders>
              <w:left w:val="nil"/>
              <w:bottom w:val="nil"/>
              <w:right w:val="nil"/>
            </w:tcBorders>
          </w:tcPr>
          <w:p>
            <w:pPr>
              <w:pStyle w:val="TableParagraph"/>
              <w:spacing w:line="197" w:lineRule="exact"/>
              <w:ind w:left="305" w:right="331"/>
              <w:jc w:val="center"/>
              <w:rPr>
                <w:sz w:val="18"/>
              </w:rPr>
            </w:pPr>
            <w:r>
              <w:rPr>
                <w:sz w:val="18"/>
              </w:rPr>
              <w:t>Cadena corta</w:t>
            </w:r>
          </w:p>
        </w:tc>
      </w:tr>
      <w:tr>
        <w:trPr>
          <w:trHeight w:val="343" w:hRule="exact"/>
        </w:trPr>
        <w:tc>
          <w:tcPr>
            <w:tcW w:w="2166" w:type="dxa"/>
            <w:tcBorders>
              <w:top w:val="nil"/>
              <w:left w:val="nil"/>
              <w:bottom w:val="nil"/>
              <w:right w:val="nil"/>
            </w:tcBorders>
          </w:tcPr>
          <w:p>
            <w:pPr>
              <w:pStyle w:val="TableParagraph"/>
              <w:spacing w:before="60"/>
              <w:ind w:left="110"/>
              <w:rPr>
                <w:sz w:val="18"/>
              </w:rPr>
            </w:pPr>
            <w:r>
              <w:rPr>
                <w:sz w:val="18"/>
              </w:rPr>
              <w:t>Ácido butanoico</w:t>
            </w:r>
          </w:p>
        </w:tc>
        <w:tc>
          <w:tcPr>
            <w:tcW w:w="2200" w:type="dxa"/>
            <w:tcBorders>
              <w:top w:val="nil"/>
              <w:left w:val="nil"/>
              <w:bottom w:val="nil"/>
              <w:right w:val="nil"/>
            </w:tcBorders>
          </w:tcPr>
          <w:p>
            <w:pPr>
              <w:pStyle w:val="TableParagraph"/>
              <w:spacing w:before="60"/>
              <w:ind w:left="260" w:right="267"/>
              <w:jc w:val="center"/>
              <w:rPr>
                <w:sz w:val="18"/>
              </w:rPr>
            </w:pPr>
            <w:r>
              <w:rPr>
                <w:sz w:val="18"/>
              </w:rPr>
              <w:t>C4:0</w:t>
            </w:r>
          </w:p>
        </w:tc>
        <w:tc>
          <w:tcPr>
            <w:tcW w:w="2179" w:type="dxa"/>
            <w:tcBorders>
              <w:top w:val="nil"/>
              <w:left w:val="nil"/>
              <w:bottom w:val="nil"/>
              <w:right w:val="nil"/>
            </w:tcBorders>
          </w:tcPr>
          <w:p>
            <w:pPr>
              <w:pStyle w:val="TableParagraph"/>
              <w:spacing w:before="60"/>
              <w:ind w:left="270" w:right="306"/>
              <w:jc w:val="center"/>
              <w:rPr>
                <w:sz w:val="18"/>
              </w:rPr>
            </w:pPr>
            <w:r>
              <w:rPr>
                <w:sz w:val="18"/>
              </w:rPr>
              <w:t>Ácido butírico</w:t>
            </w:r>
          </w:p>
        </w:tc>
        <w:tc>
          <w:tcPr>
            <w:tcW w:w="2152" w:type="dxa"/>
            <w:tcBorders>
              <w:top w:val="nil"/>
              <w:left w:val="nil"/>
              <w:bottom w:val="nil"/>
              <w:right w:val="nil"/>
            </w:tcBorders>
          </w:tcPr>
          <w:p>
            <w:pPr>
              <w:pStyle w:val="TableParagraph"/>
              <w:spacing w:before="60"/>
              <w:ind w:left="305" w:right="331"/>
              <w:jc w:val="center"/>
              <w:rPr>
                <w:sz w:val="18"/>
              </w:rPr>
            </w:pPr>
            <w:r>
              <w:rPr>
                <w:sz w:val="18"/>
              </w:rPr>
              <w:t>Cadena corta</w:t>
            </w:r>
          </w:p>
        </w:tc>
      </w:tr>
      <w:tr>
        <w:trPr>
          <w:trHeight w:val="343" w:hRule="exact"/>
        </w:trPr>
        <w:tc>
          <w:tcPr>
            <w:tcW w:w="2166" w:type="dxa"/>
            <w:tcBorders>
              <w:top w:val="nil"/>
              <w:left w:val="nil"/>
              <w:bottom w:val="nil"/>
              <w:right w:val="nil"/>
            </w:tcBorders>
          </w:tcPr>
          <w:p>
            <w:pPr>
              <w:pStyle w:val="TableParagraph"/>
              <w:spacing w:before="58"/>
              <w:ind w:left="110"/>
              <w:rPr>
                <w:sz w:val="18"/>
              </w:rPr>
            </w:pPr>
            <w:r>
              <w:rPr>
                <w:sz w:val="18"/>
              </w:rPr>
              <w:t>Ácido pentanoico</w:t>
            </w:r>
          </w:p>
        </w:tc>
        <w:tc>
          <w:tcPr>
            <w:tcW w:w="2200" w:type="dxa"/>
            <w:tcBorders>
              <w:top w:val="nil"/>
              <w:left w:val="nil"/>
              <w:bottom w:val="nil"/>
              <w:right w:val="nil"/>
            </w:tcBorders>
          </w:tcPr>
          <w:p>
            <w:pPr>
              <w:pStyle w:val="TableParagraph"/>
              <w:spacing w:before="58"/>
              <w:ind w:left="260" w:right="267"/>
              <w:jc w:val="center"/>
              <w:rPr>
                <w:sz w:val="18"/>
              </w:rPr>
            </w:pPr>
            <w:r>
              <w:rPr>
                <w:sz w:val="18"/>
              </w:rPr>
              <w:t>C5:0</w:t>
            </w:r>
          </w:p>
        </w:tc>
        <w:tc>
          <w:tcPr>
            <w:tcW w:w="2179" w:type="dxa"/>
            <w:tcBorders>
              <w:top w:val="nil"/>
              <w:left w:val="nil"/>
              <w:bottom w:val="nil"/>
              <w:right w:val="nil"/>
            </w:tcBorders>
          </w:tcPr>
          <w:p>
            <w:pPr>
              <w:pStyle w:val="TableParagraph"/>
              <w:spacing w:before="58"/>
              <w:ind w:left="270" w:right="307"/>
              <w:jc w:val="center"/>
              <w:rPr>
                <w:sz w:val="18"/>
              </w:rPr>
            </w:pPr>
            <w:r>
              <w:rPr>
                <w:sz w:val="18"/>
              </w:rPr>
              <w:t>Ácido valérico</w:t>
            </w:r>
          </w:p>
        </w:tc>
        <w:tc>
          <w:tcPr>
            <w:tcW w:w="2152" w:type="dxa"/>
            <w:tcBorders>
              <w:top w:val="nil"/>
              <w:left w:val="nil"/>
              <w:bottom w:val="nil"/>
              <w:right w:val="nil"/>
            </w:tcBorders>
          </w:tcPr>
          <w:p>
            <w:pPr>
              <w:pStyle w:val="TableParagraph"/>
              <w:spacing w:before="58"/>
              <w:ind w:left="305" w:right="331"/>
              <w:jc w:val="center"/>
              <w:rPr>
                <w:sz w:val="18"/>
              </w:rPr>
            </w:pPr>
            <w:r>
              <w:rPr>
                <w:sz w:val="18"/>
              </w:rPr>
              <w:t>Cadena corta</w:t>
            </w:r>
          </w:p>
        </w:tc>
      </w:tr>
      <w:tr>
        <w:trPr>
          <w:trHeight w:val="343" w:hRule="exact"/>
        </w:trPr>
        <w:tc>
          <w:tcPr>
            <w:tcW w:w="2166" w:type="dxa"/>
            <w:tcBorders>
              <w:top w:val="nil"/>
              <w:left w:val="nil"/>
              <w:bottom w:val="nil"/>
              <w:right w:val="nil"/>
            </w:tcBorders>
          </w:tcPr>
          <w:p>
            <w:pPr>
              <w:pStyle w:val="TableParagraph"/>
              <w:spacing w:before="60"/>
              <w:ind w:left="110"/>
              <w:rPr>
                <w:sz w:val="18"/>
              </w:rPr>
            </w:pPr>
            <w:r>
              <w:rPr>
                <w:sz w:val="18"/>
              </w:rPr>
              <w:t>Ácido hexanoico</w:t>
            </w:r>
          </w:p>
        </w:tc>
        <w:tc>
          <w:tcPr>
            <w:tcW w:w="2200" w:type="dxa"/>
            <w:tcBorders>
              <w:top w:val="nil"/>
              <w:left w:val="nil"/>
              <w:bottom w:val="nil"/>
              <w:right w:val="nil"/>
            </w:tcBorders>
          </w:tcPr>
          <w:p>
            <w:pPr>
              <w:pStyle w:val="TableParagraph"/>
              <w:spacing w:before="60"/>
              <w:ind w:left="260" w:right="267"/>
              <w:jc w:val="center"/>
              <w:rPr>
                <w:sz w:val="18"/>
              </w:rPr>
            </w:pPr>
            <w:r>
              <w:rPr>
                <w:sz w:val="18"/>
              </w:rPr>
              <w:t>C6:0</w:t>
            </w:r>
          </w:p>
        </w:tc>
        <w:tc>
          <w:tcPr>
            <w:tcW w:w="2179" w:type="dxa"/>
            <w:tcBorders>
              <w:top w:val="nil"/>
              <w:left w:val="nil"/>
              <w:bottom w:val="nil"/>
              <w:right w:val="nil"/>
            </w:tcBorders>
          </w:tcPr>
          <w:p>
            <w:pPr>
              <w:pStyle w:val="TableParagraph"/>
              <w:spacing w:before="60"/>
              <w:ind w:left="270" w:right="302"/>
              <w:jc w:val="center"/>
              <w:rPr>
                <w:sz w:val="18"/>
              </w:rPr>
            </w:pPr>
            <w:r>
              <w:rPr>
                <w:sz w:val="18"/>
              </w:rPr>
              <w:t>Ácido caproico</w:t>
            </w:r>
          </w:p>
        </w:tc>
        <w:tc>
          <w:tcPr>
            <w:tcW w:w="2152" w:type="dxa"/>
            <w:tcBorders>
              <w:top w:val="nil"/>
              <w:left w:val="nil"/>
              <w:bottom w:val="nil"/>
              <w:right w:val="nil"/>
            </w:tcBorders>
          </w:tcPr>
          <w:p>
            <w:pPr>
              <w:pStyle w:val="TableParagraph"/>
              <w:spacing w:before="60"/>
              <w:ind w:left="305" w:right="331"/>
              <w:jc w:val="center"/>
              <w:rPr>
                <w:sz w:val="18"/>
              </w:rPr>
            </w:pPr>
            <w:r>
              <w:rPr>
                <w:sz w:val="18"/>
              </w:rPr>
              <w:t>Cadena corta</w:t>
            </w:r>
          </w:p>
        </w:tc>
      </w:tr>
      <w:tr>
        <w:trPr>
          <w:trHeight w:val="343" w:hRule="exact"/>
        </w:trPr>
        <w:tc>
          <w:tcPr>
            <w:tcW w:w="2166" w:type="dxa"/>
            <w:tcBorders>
              <w:top w:val="nil"/>
              <w:left w:val="nil"/>
              <w:bottom w:val="nil"/>
              <w:right w:val="nil"/>
            </w:tcBorders>
          </w:tcPr>
          <w:p>
            <w:pPr>
              <w:pStyle w:val="TableParagraph"/>
              <w:spacing w:before="58"/>
              <w:ind w:left="110"/>
              <w:rPr>
                <w:sz w:val="18"/>
              </w:rPr>
            </w:pPr>
            <w:r>
              <w:rPr>
                <w:sz w:val="18"/>
              </w:rPr>
              <w:t>Ácido heptanoico</w:t>
            </w:r>
          </w:p>
        </w:tc>
        <w:tc>
          <w:tcPr>
            <w:tcW w:w="2200" w:type="dxa"/>
            <w:tcBorders>
              <w:top w:val="nil"/>
              <w:left w:val="nil"/>
              <w:bottom w:val="nil"/>
              <w:right w:val="nil"/>
            </w:tcBorders>
          </w:tcPr>
          <w:p>
            <w:pPr>
              <w:pStyle w:val="TableParagraph"/>
              <w:spacing w:before="58"/>
              <w:ind w:left="260" w:right="267"/>
              <w:jc w:val="center"/>
              <w:rPr>
                <w:sz w:val="18"/>
              </w:rPr>
            </w:pPr>
            <w:r>
              <w:rPr>
                <w:sz w:val="18"/>
              </w:rPr>
              <w:t>C7:0</w:t>
            </w:r>
          </w:p>
        </w:tc>
        <w:tc>
          <w:tcPr>
            <w:tcW w:w="2179" w:type="dxa"/>
            <w:tcBorders>
              <w:top w:val="nil"/>
              <w:left w:val="nil"/>
              <w:bottom w:val="nil"/>
              <w:right w:val="nil"/>
            </w:tcBorders>
          </w:tcPr>
          <w:p>
            <w:pPr>
              <w:pStyle w:val="TableParagraph"/>
              <w:spacing w:before="58"/>
              <w:ind w:left="270" w:right="301"/>
              <w:jc w:val="center"/>
              <w:rPr>
                <w:sz w:val="18"/>
              </w:rPr>
            </w:pPr>
            <w:r>
              <w:rPr>
                <w:sz w:val="18"/>
              </w:rPr>
              <w:t>Ácido enántico</w:t>
            </w:r>
          </w:p>
        </w:tc>
        <w:tc>
          <w:tcPr>
            <w:tcW w:w="2152" w:type="dxa"/>
            <w:tcBorders>
              <w:top w:val="nil"/>
              <w:left w:val="nil"/>
              <w:bottom w:val="nil"/>
              <w:right w:val="nil"/>
            </w:tcBorders>
          </w:tcPr>
          <w:p>
            <w:pPr>
              <w:pStyle w:val="TableParagraph"/>
              <w:spacing w:before="58"/>
              <w:ind w:left="309" w:right="331"/>
              <w:jc w:val="center"/>
              <w:rPr>
                <w:sz w:val="18"/>
              </w:rPr>
            </w:pPr>
            <w:r>
              <w:rPr>
                <w:sz w:val="18"/>
              </w:rPr>
              <w:t>Cadena media</w:t>
            </w:r>
          </w:p>
        </w:tc>
      </w:tr>
      <w:tr>
        <w:trPr>
          <w:trHeight w:val="343" w:hRule="exact"/>
        </w:trPr>
        <w:tc>
          <w:tcPr>
            <w:tcW w:w="2166" w:type="dxa"/>
            <w:tcBorders>
              <w:top w:val="nil"/>
              <w:left w:val="nil"/>
              <w:bottom w:val="nil"/>
              <w:right w:val="nil"/>
            </w:tcBorders>
          </w:tcPr>
          <w:p>
            <w:pPr>
              <w:pStyle w:val="TableParagraph"/>
              <w:spacing w:before="60"/>
              <w:ind w:left="110"/>
              <w:rPr>
                <w:sz w:val="18"/>
              </w:rPr>
            </w:pPr>
            <w:r>
              <w:rPr>
                <w:sz w:val="18"/>
              </w:rPr>
              <w:t>Ácido octanoico</w:t>
            </w:r>
          </w:p>
        </w:tc>
        <w:tc>
          <w:tcPr>
            <w:tcW w:w="2200" w:type="dxa"/>
            <w:tcBorders>
              <w:top w:val="nil"/>
              <w:left w:val="nil"/>
              <w:bottom w:val="nil"/>
              <w:right w:val="nil"/>
            </w:tcBorders>
          </w:tcPr>
          <w:p>
            <w:pPr>
              <w:pStyle w:val="TableParagraph"/>
              <w:spacing w:before="60"/>
              <w:ind w:left="260" w:right="267"/>
              <w:jc w:val="center"/>
              <w:rPr>
                <w:sz w:val="18"/>
              </w:rPr>
            </w:pPr>
            <w:r>
              <w:rPr>
                <w:sz w:val="18"/>
              </w:rPr>
              <w:t>C8:0</w:t>
            </w:r>
          </w:p>
        </w:tc>
        <w:tc>
          <w:tcPr>
            <w:tcW w:w="2179" w:type="dxa"/>
            <w:tcBorders>
              <w:top w:val="nil"/>
              <w:left w:val="nil"/>
              <w:bottom w:val="nil"/>
              <w:right w:val="nil"/>
            </w:tcBorders>
          </w:tcPr>
          <w:p>
            <w:pPr>
              <w:pStyle w:val="TableParagraph"/>
              <w:spacing w:before="60"/>
              <w:ind w:left="270" w:right="301"/>
              <w:jc w:val="center"/>
              <w:rPr>
                <w:sz w:val="18"/>
              </w:rPr>
            </w:pPr>
            <w:r>
              <w:rPr>
                <w:sz w:val="18"/>
              </w:rPr>
              <w:t>Ácido caprílico</w:t>
            </w:r>
          </w:p>
        </w:tc>
        <w:tc>
          <w:tcPr>
            <w:tcW w:w="2152" w:type="dxa"/>
            <w:tcBorders>
              <w:top w:val="nil"/>
              <w:left w:val="nil"/>
              <w:bottom w:val="nil"/>
              <w:right w:val="nil"/>
            </w:tcBorders>
          </w:tcPr>
          <w:p>
            <w:pPr>
              <w:pStyle w:val="TableParagraph"/>
              <w:spacing w:before="60"/>
              <w:ind w:left="309" w:right="331"/>
              <w:jc w:val="center"/>
              <w:rPr>
                <w:sz w:val="18"/>
              </w:rPr>
            </w:pPr>
            <w:r>
              <w:rPr>
                <w:sz w:val="18"/>
              </w:rPr>
              <w:t>Cadena media</w:t>
            </w:r>
          </w:p>
        </w:tc>
      </w:tr>
      <w:tr>
        <w:trPr>
          <w:trHeight w:val="351" w:hRule="exact"/>
        </w:trPr>
        <w:tc>
          <w:tcPr>
            <w:tcW w:w="2166" w:type="dxa"/>
            <w:tcBorders>
              <w:top w:val="nil"/>
              <w:left w:val="nil"/>
              <w:bottom w:val="nil"/>
              <w:right w:val="nil"/>
            </w:tcBorders>
          </w:tcPr>
          <w:p>
            <w:pPr>
              <w:pStyle w:val="TableParagraph"/>
              <w:spacing w:before="58"/>
              <w:ind w:left="110"/>
              <w:rPr>
                <w:sz w:val="18"/>
              </w:rPr>
            </w:pPr>
            <w:r>
              <w:rPr>
                <w:sz w:val="18"/>
              </w:rPr>
              <w:t>Ácido nonanoico</w:t>
            </w:r>
          </w:p>
        </w:tc>
        <w:tc>
          <w:tcPr>
            <w:tcW w:w="2200" w:type="dxa"/>
            <w:tcBorders>
              <w:top w:val="nil"/>
              <w:left w:val="nil"/>
              <w:bottom w:val="nil"/>
              <w:right w:val="nil"/>
            </w:tcBorders>
          </w:tcPr>
          <w:p>
            <w:pPr>
              <w:pStyle w:val="TableParagraph"/>
              <w:spacing w:before="58"/>
              <w:ind w:left="260" w:right="267"/>
              <w:jc w:val="center"/>
              <w:rPr>
                <w:sz w:val="18"/>
              </w:rPr>
            </w:pPr>
            <w:r>
              <w:rPr>
                <w:sz w:val="18"/>
              </w:rPr>
              <w:t>C9:0</w:t>
            </w:r>
          </w:p>
        </w:tc>
        <w:tc>
          <w:tcPr>
            <w:tcW w:w="2179" w:type="dxa"/>
            <w:tcBorders>
              <w:top w:val="nil"/>
              <w:left w:val="nil"/>
              <w:bottom w:val="nil"/>
              <w:right w:val="nil"/>
            </w:tcBorders>
          </w:tcPr>
          <w:p>
            <w:pPr>
              <w:pStyle w:val="TableParagraph"/>
              <w:spacing w:before="58"/>
              <w:ind w:left="270" w:right="301"/>
              <w:jc w:val="center"/>
              <w:rPr>
                <w:sz w:val="18"/>
              </w:rPr>
            </w:pPr>
            <w:r>
              <w:rPr>
                <w:sz w:val="18"/>
              </w:rPr>
              <w:t>Ácido pelargónico</w:t>
            </w:r>
          </w:p>
        </w:tc>
        <w:tc>
          <w:tcPr>
            <w:tcW w:w="2152" w:type="dxa"/>
            <w:tcBorders>
              <w:top w:val="nil"/>
              <w:left w:val="nil"/>
              <w:bottom w:val="nil"/>
              <w:right w:val="nil"/>
            </w:tcBorders>
          </w:tcPr>
          <w:p>
            <w:pPr>
              <w:pStyle w:val="TableParagraph"/>
              <w:spacing w:before="58"/>
              <w:ind w:left="309" w:right="330"/>
              <w:jc w:val="center"/>
              <w:rPr>
                <w:sz w:val="18"/>
              </w:rPr>
            </w:pPr>
            <w:r>
              <w:rPr>
                <w:sz w:val="18"/>
              </w:rPr>
              <w:t>Cadena media</w:t>
            </w:r>
          </w:p>
        </w:tc>
      </w:tr>
      <w:tr>
        <w:trPr>
          <w:trHeight w:val="363" w:hRule="exact"/>
        </w:trPr>
        <w:tc>
          <w:tcPr>
            <w:tcW w:w="2166" w:type="dxa"/>
            <w:tcBorders>
              <w:top w:val="nil"/>
              <w:left w:val="nil"/>
              <w:bottom w:val="nil"/>
              <w:right w:val="nil"/>
            </w:tcBorders>
          </w:tcPr>
          <w:p>
            <w:pPr>
              <w:pStyle w:val="TableParagraph"/>
              <w:spacing w:before="68"/>
              <w:ind w:left="110"/>
              <w:rPr>
                <w:sz w:val="18"/>
              </w:rPr>
            </w:pPr>
            <w:r>
              <w:rPr>
                <w:sz w:val="18"/>
              </w:rPr>
              <w:t>Ácido decanoico</w:t>
            </w:r>
          </w:p>
        </w:tc>
        <w:tc>
          <w:tcPr>
            <w:tcW w:w="2200" w:type="dxa"/>
            <w:tcBorders>
              <w:top w:val="nil"/>
              <w:left w:val="nil"/>
              <w:bottom w:val="nil"/>
              <w:right w:val="nil"/>
            </w:tcBorders>
          </w:tcPr>
          <w:p>
            <w:pPr>
              <w:pStyle w:val="TableParagraph"/>
              <w:spacing w:before="68"/>
              <w:ind w:left="261" w:right="263"/>
              <w:jc w:val="center"/>
              <w:rPr>
                <w:sz w:val="18"/>
              </w:rPr>
            </w:pPr>
            <w:r>
              <w:rPr>
                <w:sz w:val="18"/>
              </w:rPr>
              <w:t>C10:0</w:t>
            </w:r>
          </w:p>
        </w:tc>
        <w:tc>
          <w:tcPr>
            <w:tcW w:w="2179" w:type="dxa"/>
            <w:tcBorders>
              <w:top w:val="nil"/>
              <w:left w:val="nil"/>
              <w:bottom w:val="nil"/>
              <w:right w:val="nil"/>
            </w:tcBorders>
          </w:tcPr>
          <w:p>
            <w:pPr>
              <w:pStyle w:val="TableParagraph"/>
              <w:spacing w:before="68"/>
              <w:ind w:left="270" w:right="306"/>
              <w:jc w:val="center"/>
              <w:rPr>
                <w:sz w:val="18"/>
              </w:rPr>
            </w:pPr>
            <w:r>
              <w:rPr>
                <w:sz w:val="18"/>
              </w:rPr>
              <w:t>Ácido cáprico</w:t>
            </w:r>
          </w:p>
        </w:tc>
        <w:tc>
          <w:tcPr>
            <w:tcW w:w="2152" w:type="dxa"/>
            <w:tcBorders>
              <w:top w:val="nil"/>
              <w:left w:val="nil"/>
              <w:bottom w:val="nil"/>
              <w:right w:val="nil"/>
            </w:tcBorders>
          </w:tcPr>
          <w:p>
            <w:pPr>
              <w:pStyle w:val="TableParagraph"/>
              <w:spacing w:before="68"/>
              <w:ind w:left="309" w:right="330"/>
              <w:jc w:val="center"/>
              <w:rPr>
                <w:sz w:val="18"/>
              </w:rPr>
            </w:pPr>
            <w:r>
              <w:rPr>
                <w:sz w:val="18"/>
              </w:rPr>
              <w:t>Cadena media</w:t>
            </w:r>
          </w:p>
        </w:tc>
      </w:tr>
      <w:tr>
        <w:trPr>
          <w:trHeight w:val="362" w:hRule="exact"/>
        </w:trPr>
        <w:tc>
          <w:tcPr>
            <w:tcW w:w="2166" w:type="dxa"/>
            <w:tcBorders>
              <w:top w:val="nil"/>
              <w:left w:val="nil"/>
              <w:bottom w:val="nil"/>
              <w:right w:val="nil"/>
            </w:tcBorders>
          </w:tcPr>
          <w:p>
            <w:pPr>
              <w:pStyle w:val="TableParagraph"/>
              <w:spacing w:before="70"/>
              <w:ind w:left="110"/>
              <w:rPr>
                <w:sz w:val="18"/>
              </w:rPr>
            </w:pPr>
            <w:r>
              <w:rPr>
                <w:sz w:val="18"/>
              </w:rPr>
              <w:t>Ácido undecanoico</w:t>
            </w:r>
          </w:p>
        </w:tc>
        <w:tc>
          <w:tcPr>
            <w:tcW w:w="2200" w:type="dxa"/>
            <w:tcBorders>
              <w:top w:val="nil"/>
              <w:left w:val="nil"/>
              <w:bottom w:val="nil"/>
              <w:right w:val="nil"/>
            </w:tcBorders>
          </w:tcPr>
          <w:p>
            <w:pPr>
              <w:pStyle w:val="TableParagraph"/>
              <w:spacing w:before="70"/>
              <w:ind w:left="261" w:right="263"/>
              <w:jc w:val="center"/>
              <w:rPr>
                <w:sz w:val="18"/>
              </w:rPr>
            </w:pPr>
            <w:r>
              <w:rPr>
                <w:sz w:val="18"/>
              </w:rPr>
              <w:t>C11:0</w:t>
            </w:r>
          </w:p>
        </w:tc>
        <w:tc>
          <w:tcPr>
            <w:tcW w:w="2179" w:type="dxa"/>
            <w:tcBorders>
              <w:top w:val="nil"/>
              <w:left w:val="nil"/>
              <w:bottom w:val="nil"/>
              <w:right w:val="nil"/>
            </w:tcBorders>
          </w:tcPr>
          <w:p>
            <w:pPr>
              <w:pStyle w:val="TableParagraph"/>
              <w:spacing w:before="70"/>
              <w:ind w:left="270" w:right="307"/>
              <w:jc w:val="center"/>
              <w:rPr>
                <w:sz w:val="18"/>
              </w:rPr>
            </w:pPr>
            <w:r>
              <w:rPr>
                <w:sz w:val="18"/>
              </w:rPr>
              <w:t>Ácido Undecílico</w:t>
            </w:r>
          </w:p>
        </w:tc>
        <w:tc>
          <w:tcPr>
            <w:tcW w:w="2152" w:type="dxa"/>
            <w:tcBorders>
              <w:top w:val="nil"/>
              <w:left w:val="nil"/>
              <w:bottom w:val="nil"/>
              <w:right w:val="nil"/>
            </w:tcBorders>
          </w:tcPr>
          <w:p>
            <w:pPr>
              <w:pStyle w:val="TableParagraph"/>
              <w:spacing w:before="70"/>
              <w:ind w:left="309" w:right="330"/>
              <w:jc w:val="center"/>
              <w:rPr>
                <w:sz w:val="18"/>
              </w:rPr>
            </w:pPr>
            <w:r>
              <w:rPr>
                <w:sz w:val="18"/>
              </w:rPr>
              <w:t>Cadena media</w:t>
            </w:r>
          </w:p>
        </w:tc>
      </w:tr>
      <w:tr>
        <w:trPr>
          <w:trHeight w:val="362" w:hRule="exact"/>
        </w:trPr>
        <w:tc>
          <w:tcPr>
            <w:tcW w:w="2166" w:type="dxa"/>
            <w:tcBorders>
              <w:top w:val="nil"/>
              <w:left w:val="nil"/>
              <w:bottom w:val="nil"/>
              <w:right w:val="nil"/>
            </w:tcBorders>
          </w:tcPr>
          <w:p>
            <w:pPr>
              <w:pStyle w:val="TableParagraph"/>
              <w:spacing w:before="67"/>
              <w:ind w:left="110"/>
              <w:rPr>
                <w:sz w:val="18"/>
              </w:rPr>
            </w:pPr>
            <w:r>
              <w:rPr>
                <w:sz w:val="18"/>
              </w:rPr>
              <w:t>Ácido dodecanoico</w:t>
            </w:r>
          </w:p>
        </w:tc>
        <w:tc>
          <w:tcPr>
            <w:tcW w:w="2200" w:type="dxa"/>
            <w:tcBorders>
              <w:top w:val="nil"/>
              <w:left w:val="nil"/>
              <w:bottom w:val="nil"/>
              <w:right w:val="nil"/>
            </w:tcBorders>
          </w:tcPr>
          <w:p>
            <w:pPr>
              <w:pStyle w:val="TableParagraph"/>
              <w:spacing w:before="67"/>
              <w:ind w:left="261" w:right="263"/>
              <w:jc w:val="center"/>
              <w:rPr>
                <w:sz w:val="18"/>
              </w:rPr>
            </w:pPr>
            <w:r>
              <w:rPr>
                <w:sz w:val="18"/>
              </w:rPr>
              <w:t>C12:0</w:t>
            </w:r>
          </w:p>
        </w:tc>
        <w:tc>
          <w:tcPr>
            <w:tcW w:w="2179" w:type="dxa"/>
            <w:tcBorders>
              <w:top w:val="nil"/>
              <w:left w:val="nil"/>
              <w:bottom w:val="nil"/>
              <w:right w:val="nil"/>
            </w:tcBorders>
          </w:tcPr>
          <w:p>
            <w:pPr>
              <w:pStyle w:val="TableParagraph"/>
              <w:spacing w:before="67"/>
              <w:ind w:left="270" w:right="306"/>
              <w:jc w:val="center"/>
              <w:rPr>
                <w:sz w:val="18"/>
              </w:rPr>
            </w:pPr>
            <w:r>
              <w:rPr>
                <w:sz w:val="18"/>
              </w:rPr>
              <w:t>Ácido láurico</w:t>
            </w:r>
          </w:p>
        </w:tc>
        <w:tc>
          <w:tcPr>
            <w:tcW w:w="2152" w:type="dxa"/>
            <w:tcBorders>
              <w:top w:val="nil"/>
              <w:left w:val="nil"/>
              <w:bottom w:val="nil"/>
              <w:right w:val="nil"/>
            </w:tcBorders>
          </w:tcPr>
          <w:p>
            <w:pPr>
              <w:pStyle w:val="TableParagraph"/>
              <w:spacing w:before="67"/>
              <w:ind w:left="309" w:right="330"/>
              <w:jc w:val="center"/>
              <w:rPr>
                <w:sz w:val="18"/>
              </w:rPr>
            </w:pPr>
            <w:r>
              <w:rPr>
                <w:sz w:val="18"/>
              </w:rPr>
              <w:t>Cadena media</w:t>
            </w:r>
          </w:p>
        </w:tc>
      </w:tr>
      <w:tr>
        <w:trPr>
          <w:trHeight w:val="362" w:hRule="exact"/>
        </w:trPr>
        <w:tc>
          <w:tcPr>
            <w:tcW w:w="2166" w:type="dxa"/>
            <w:tcBorders>
              <w:top w:val="nil"/>
              <w:left w:val="nil"/>
              <w:bottom w:val="nil"/>
              <w:right w:val="nil"/>
            </w:tcBorders>
          </w:tcPr>
          <w:p>
            <w:pPr>
              <w:pStyle w:val="TableParagraph"/>
              <w:spacing w:before="70"/>
              <w:ind w:left="110"/>
              <w:rPr>
                <w:sz w:val="18"/>
              </w:rPr>
            </w:pPr>
            <w:r>
              <w:rPr>
                <w:sz w:val="18"/>
              </w:rPr>
              <w:t>Ácido tridecanoico</w:t>
            </w:r>
          </w:p>
        </w:tc>
        <w:tc>
          <w:tcPr>
            <w:tcW w:w="2200" w:type="dxa"/>
            <w:tcBorders>
              <w:top w:val="nil"/>
              <w:left w:val="nil"/>
              <w:bottom w:val="nil"/>
              <w:right w:val="nil"/>
            </w:tcBorders>
          </w:tcPr>
          <w:p>
            <w:pPr>
              <w:pStyle w:val="TableParagraph"/>
              <w:spacing w:before="70"/>
              <w:ind w:left="261" w:right="263"/>
              <w:jc w:val="center"/>
              <w:rPr>
                <w:sz w:val="18"/>
              </w:rPr>
            </w:pPr>
            <w:r>
              <w:rPr>
                <w:sz w:val="18"/>
              </w:rPr>
              <w:t>C13:0</w:t>
            </w:r>
          </w:p>
        </w:tc>
        <w:tc>
          <w:tcPr>
            <w:tcW w:w="2179" w:type="dxa"/>
            <w:tcBorders>
              <w:top w:val="nil"/>
              <w:left w:val="nil"/>
              <w:bottom w:val="nil"/>
              <w:right w:val="nil"/>
            </w:tcBorders>
          </w:tcPr>
          <w:p>
            <w:pPr>
              <w:pStyle w:val="TableParagraph"/>
              <w:spacing w:before="70"/>
              <w:ind w:left="270" w:right="306"/>
              <w:jc w:val="center"/>
              <w:rPr>
                <w:sz w:val="18"/>
              </w:rPr>
            </w:pPr>
            <w:r>
              <w:rPr>
                <w:sz w:val="18"/>
              </w:rPr>
              <w:t>Ácido tridecílico</w:t>
            </w:r>
          </w:p>
        </w:tc>
        <w:tc>
          <w:tcPr>
            <w:tcW w:w="2152" w:type="dxa"/>
            <w:tcBorders>
              <w:top w:val="nil"/>
              <w:left w:val="nil"/>
              <w:bottom w:val="nil"/>
              <w:right w:val="nil"/>
            </w:tcBorders>
          </w:tcPr>
          <w:p>
            <w:pPr>
              <w:pStyle w:val="TableParagraph"/>
              <w:spacing w:before="70"/>
              <w:ind w:left="305" w:right="331"/>
              <w:jc w:val="center"/>
              <w:rPr>
                <w:sz w:val="18"/>
              </w:rPr>
            </w:pPr>
            <w:r>
              <w:rPr>
                <w:sz w:val="18"/>
              </w:rPr>
              <w:t>Cadena larga</w:t>
            </w:r>
          </w:p>
        </w:tc>
      </w:tr>
      <w:tr>
        <w:trPr>
          <w:trHeight w:val="360" w:hRule="exact"/>
        </w:trPr>
        <w:tc>
          <w:tcPr>
            <w:tcW w:w="2166" w:type="dxa"/>
            <w:tcBorders>
              <w:top w:val="nil"/>
              <w:left w:val="nil"/>
              <w:bottom w:val="nil"/>
              <w:right w:val="nil"/>
            </w:tcBorders>
          </w:tcPr>
          <w:p>
            <w:pPr>
              <w:pStyle w:val="TableParagraph"/>
              <w:spacing w:before="67"/>
              <w:ind w:left="110"/>
              <w:rPr>
                <w:sz w:val="18"/>
              </w:rPr>
            </w:pPr>
            <w:r>
              <w:rPr>
                <w:sz w:val="18"/>
              </w:rPr>
              <w:t>Ácido tetradecanoico</w:t>
            </w:r>
          </w:p>
        </w:tc>
        <w:tc>
          <w:tcPr>
            <w:tcW w:w="2200" w:type="dxa"/>
            <w:tcBorders>
              <w:top w:val="nil"/>
              <w:left w:val="nil"/>
              <w:bottom w:val="nil"/>
              <w:right w:val="nil"/>
            </w:tcBorders>
          </w:tcPr>
          <w:p>
            <w:pPr>
              <w:pStyle w:val="TableParagraph"/>
              <w:spacing w:before="67"/>
              <w:ind w:left="261" w:right="263"/>
              <w:jc w:val="center"/>
              <w:rPr>
                <w:sz w:val="18"/>
              </w:rPr>
            </w:pPr>
            <w:r>
              <w:rPr>
                <w:sz w:val="18"/>
              </w:rPr>
              <w:t>C14:0</w:t>
            </w:r>
          </w:p>
        </w:tc>
        <w:tc>
          <w:tcPr>
            <w:tcW w:w="2179" w:type="dxa"/>
            <w:tcBorders>
              <w:top w:val="nil"/>
              <w:left w:val="nil"/>
              <w:bottom w:val="nil"/>
              <w:right w:val="nil"/>
            </w:tcBorders>
          </w:tcPr>
          <w:p>
            <w:pPr>
              <w:pStyle w:val="TableParagraph"/>
              <w:spacing w:before="67"/>
              <w:ind w:left="270" w:right="301"/>
              <w:jc w:val="center"/>
              <w:rPr>
                <w:sz w:val="18"/>
              </w:rPr>
            </w:pPr>
            <w:r>
              <w:rPr>
                <w:sz w:val="18"/>
              </w:rPr>
              <w:t>Ácido mirístico</w:t>
            </w:r>
          </w:p>
        </w:tc>
        <w:tc>
          <w:tcPr>
            <w:tcW w:w="2152" w:type="dxa"/>
            <w:tcBorders>
              <w:top w:val="nil"/>
              <w:left w:val="nil"/>
              <w:bottom w:val="nil"/>
              <w:right w:val="nil"/>
            </w:tcBorders>
          </w:tcPr>
          <w:p>
            <w:pPr>
              <w:pStyle w:val="TableParagraph"/>
              <w:spacing w:before="67"/>
              <w:ind w:left="305" w:right="331"/>
              <w:jc w:val="center"/>
              <w:rPr>
                <w:sz w:val="18"/>
              </w:rPr>
            </w:pPr>
            <w:r>
              <w:rPr>
                <w:sz w:val="18"/>
              </w:rPr>
              <w:t>Cadena larga</w:t>
            </w:r>
          </w:p>
        </w:tc>
      </w:tr>
      <w:tr>
        <w:trPr>
          <w:trHeight w:val="363" w:hRule="exact"/>
        </w:trPr>
        <w:tc>
          <w:tcPr>
            <w:tcW w:w="2166" w:type="dxa"/>
            <w:tcBorders>
              <w:top w:val="nil"/>
              <w:left w:val="nil"/>
              <w:bottom w:val="nil"/>
              <w:right w:val="nil"/>
            </w:tcBorders>
          </w:tcPr>
          <w:p>
            <w:pPr>
              <w:pStyle w:val="TableParagraph"/>
              <w:spacing w:before="68"/>
              <w:ind w:left="110"/>
              <w:rPr>
                <w:sz w:val="18"/>
              </w:rPr>
            </w:pPr>
            <w:r>
              <w:rPr>
                <w:sz w:val="18"/>
              </w:rPr>
              <w:t>Ácido pentadecanoico</w:t>
            </w:r>
          </w:p>
        </w:tc>
        <w:tc>
          <w:tcPr>
            <w:tcW w:w="2200" w:type="dxa"/>
            <w:tcBorders>
              <w:top w:val="nil"/>
              <w:left w:val="nil"/>
              <w:bottom w:val="nil"/>
              <w:right w:val="nil"/>
            </w:tcBorders>
          </w:tcPr>
          <w:p>
            <w:pPr>
              <w:pStyle w:val="TableParagraph"/>
              <w:spacing w:before="68"/>
              <w:ind w:left="261" w:right="263"/>
              <w:jc w:val="center"/>
              <w:rPr>
                <w:sz w:val="18"/>
              </w:rPr>
            </w:pPr>
            <w:r>
              <w:rPr>
                <w:sz w:val="18"/>
              </w:rPr>
              <w:t>C15:0</w:t>
            </w:r>
          </w:p>
        </w:tc>
        <w:tc>
          <w:tcPr>
            <w:tcW w:w="2179" w:type="dxa"/>
            <w:tcBorders>
              <w:top w:val="nil"/>
              <w:left w:val="nil"/>
              <w:bottom w:val="nil"/>
              <w:right w:val="nil"/>
            </w:tcBorders>
          </w:tcPr>
          <w:p>
            <w:pPr>
              <w:pStyle w:val="TableParagraph"/>
              <w:spacing w:before="68"/>
              <w:ind w:left="270" w:right="307"/>
              <w:jc w:val="center"/>
              <w:rPr>
                <w:sz w:val="18"/>
              </w:rPr>
            </w:pPr>
            <w:r>
              <w:rPr>
                <w:sz w:val="18"/>
              </w:rPr>
              <w:t>Ácido pentadecílico</w:t>
            </w:r>
          </w:p>
        </w:tc>
        <w:tc>
          <w:tcPr>
            <w:tcW w:w="2152" w:type="dxa"/>
            <w:tcBorders>
              <w:top w:val="nil"/>
              <w:left w:val="nil"/>
              <w:bottom w:val="nil"/>
              <w:right w:val="nil"/>
            </w:tcBorders>
          </w:tcPr>
          <w:p>
            <w:pPr>
              <w:pStyle w:val="TableParagraph"/>
              <w:spacing w:before="68"/>
              <w:ind w:left="305" w:right="331"/>
              <w:jc w:val="center"/>
              <w:rPr>
                <w:sz w:val="18"/>
              </w:rPr>
            </w:pPr>
            <w:r>
              <w:rPr>
                <w:sz w:val="18"/>
              </w:rPr>
              <w:t>Cadena larga</w:t>
            </w:r>
          </w:p>
        </w:tc>
      </w:tr>
      <w:tr>
        <w:trPr>
          <w:trHeight w:val="362" w:hRule="exact"/>
        </w:trPr>
        <w:tc>
          <w:tcPr>
            <w:tcW w:w="2166" w:type="dxa"/>
            <w:tcBorders>
              <w:top w:val="nil"/>
              <w:left w:val="nil"/>
              <w:bottom w:val="nil"/>
              <w:right w:val="nil"/>
            </w:tcBorders>
          </w:tcPr>
          <w:p>
            <w:pPr>
              <w:pStyle w:val="TableParagraph"/>
              <w:spacing w:before="70"/>
              <w:ind w:left="110"/>
              <w:rPr>
                <w:sz w:val="18"/>
              </w:rPr>
            </w:pPr>
            <w:r>
              <w:rPr>
                <w:sz w:val="18"/>
              </w:rPr>
              <w:t>Ácido hexadecanoico</w:t>
            </w:r>
          </w:p>
        </w:tc>
        <w:tc>
          <w:tcPr>
            <w:tcW w:w="2200" w:type="dxa"/>
            <w:tcBorders>
              <w:top w:val="nil"/>
              <w:left w:val="nil"/>
              <w:bottom w:val="nil"/>
              <w:right w:val="nil"/>
            </w:tcBorders>
          </w:tcPr>
          <w:p>
            <w:pPr>
              <w:pStyle w:val="TableParagraph"/>
              <w:spacing w:before="70"/>
              <w:ind w:left="261" w:right="263"/>
              <w:jc w:val="center"/>
              <w:rPr>
                <w:sz w:val="18"/>
              </w:rPr>
            </w:pPr>
            <w:r>
              <w:rPr>
                <w:sz w:val="18"/>
              </w:rPr>
              <w:t>C16:0</w:t>
            </w:r>
          </w:p>
        </w:tc>
        <w:tc>
          <w:tcPr>
            <w:tcW w:w="2179" w:type="dxa"/>
            <w:tcBorders>
              <w:top w:val="nil"/>
              <w:left w:val="nil"/>
              <w:bottom w:val="nil"/>
              <w:right w:val="nil"/>
            </w:tcBorders>
          </w:tcPr>
          <w:p>
            <w:pPr>
              <w:pStyle w:val="TableParagraph"/>
              <w:spacing w:before="70"/>
              <w:ind w:left="270" w:right="301"/>
              <w:jc w:val="center"/>
              <w:rPr>
                <w:sz w:val="18"/>
              </w:rPr>
            </w:pPr>
            <w:r>
              <w:rPr>
                <w:sz w:val="18"/>
              </w:rPr>
              <w:t>Ácido palmítico</w:t>
            </w:r>
          </w:p>
        </w:tc>
        <w:tc>
          <w:tcPr>
            <w:tcW w:w="2152" w:type="dxa"/>
            <w:tcBorders>
              <w:top w:val="nil"/>
              <w:left w:val="nil"/>
              <w:bottom w:val="nil"/>
              <w:right w:val="nil"/>
            </w:tcBorders>
          </w:tcPr>
          <w:p>
            <w:pPr>
              <w:pStyle w:val="TableParagraph"/>
              <w:spacing w:before="70"/>
              <w:ind w:left="305" w:right="331"/>
              <w:jc w:val="center"/>
              <w:rPr>
                <w:sz w:val="18"/>
              </w:rPr>
            </w:pPr>
            <w:r>
              <w:rPr>
                <w:sz w:val="18"/>
              </w:rPr>
              <w:t>Cadena larga</w:t>
            </w:r>
          </w:p>
        </w:tc>
      </w:tr>
      <w:tr>
        <w:trPr>
          <w:trHeight w:val="362" w:hRule="exact"/>
        </w:trPr>
        <w:tc>
          <w:tcPr>
            <w:tcW w:w="2166" w:type="dxa"/>
            <w:tcBorders>
              <w:top w:val="nil"/>
              <w:left w:val="nil"/>
              <w:bottom w:val="nil"/>
              <w:right w:val="nil"/>
            </w:tcBorders>
          </w:tcPr>
          <w:p>
            <w:pPr>
              <w:pStyle w:val="TableParagraph"/>
              <w:spacing w:before="67"/>
              <w:ind w:left="110"/>
              <w:rPr>
                <w:sz w:val="18"/>
              </w:rPr>
            </w:pPr>
            <w:r>
              <w:rPr>
                <w:sz w:val="18"/>
              </w:rPr>
              <w:t>Ácido heptadecanoico</w:t>
            </w:r>
          </w:p>
        </w:tc>
        <w:tc>
          <w:tcPr>
            <w:tcW w:w="2200" w:type="dxa"/>
            <w:tcBorders>
              <w:top w:val="nil"/>
              <w:left w:val="nil"/>
              <w:bottom w:val="nil"/>
              <w:right w:val="nil"/>
            </w:tcBorders>
          </w:tcPr>
          <w:p>
            <w:pPr>
              <w:pStyle w:val="TableParagraph"/>
              <w:spacing w:before="67"/>
              <w:ind w:left="261" w:right="263"/>
              <w:jc w:val="center"/>
              <w:rPr>
                <w:sz w:val="18"/>
              </w:rPr>
            </w:pPr>
            <w:r>
              <w:rPr>
                <w:sz w:val="18"/>
              </w:rPr>
              <w:t>C17:0</w:t>
            </w:r>
          </w:p>
        </w:tc>
        <w:tc>
          <w:tcPr>
            <w:tcW w:w="2179" w:type="dxa"/>
            <w:tcBorders>
              <w:top w:val="nil"/>
              <w:left w:val="nil"/>
              <w:bottom w:val="nil"/>
              <w:right w:val="nil"/>
            </w:tcBorders>
          </w:tcPr>
          <w:p>
            <w:pPr>
              <w:pStyle w:val="TableParagraph"/>
              <w:spacing w:before="67"/>
              <w:ind w:left="270" w:right="306"/>
              <w:jc w:val="center"/>
              <w:rPr>
                <w:sz w:val="18"/>
              </w:rPr>
            </w:pPr>
            <w:r>
              <w:rPr>
                <w:sz w:val="18"/>
              </w:rPr>
              <w:t>Ácido margárico</w:t>
            </w:r>
          </w:p>
        </w:tc>
        <w:tc>
          <w:tcPr>
            <w:tcW w:w="2152" w:type="dxa"/>
            <w:tcBorders>
              <w:top w:val="nil"/>
              <w:left w:val="nil"/>
              <w:bottom w:val="nil"/>
              <w:right w:val="nil"/>
            </w:tcBorders>
          </w:tcPr>
          <w:p>
            <w:pPr>
              <w:pStyle w:val="TableParagraph"/>
              <w:spacing w:before="67"/>
              <w:ind w:left="305" w:right="331"/>
              <w:jc w:val="center"/>
              <w:rPr>
                <w:sz w:val="18"/>
              </w:rPr>
            </w:pPr>
            <w:r>
              <w:rPr>
                <w:sz w:val="18"/>
              </w:rPr>
              <w:t>Cadena larga</w:t>
            </w:r>
          </w:p>
        </w:tc>
      </w:tr>
      <w:tr>
        <w:trPr>
          <w:trHeight w:val="363" w:hRule="exact"/>
        </w:trPr>
        <w:tc>
          <w:tcPr>
            <w:tcW w:w="2166" w:type="dxa"/>
            <w:tcBorders>
              <w:top w:val="nil"/>
              <w:left w:val="nil"/>
              <w:bottom w:val="nil"/>
              <w:right w:val="nil"/>
            </w:tcBorders>
          </w:tcPr>
          <w:p>
            <w:pPr>
              <w:pStyle w:val="TableParagraph"/>
              <w:spacing w:before="70"/>
              <w:ind w:left="110"/>
              <w:rPr>
                <w:sz w:val="18"/>
              </w:rPr>
            </w:pPr>
            <w:r>
              <w:rPr>
                <w:sz w:val="18"/>
              </w:rPr>
              <w:t>Ácido octadecanoico</w:t>
            </w:r>
          </w:p>
        </w:tc>
        <w:tc>
          <w:tcPr>
            <w:tcW w:w="2200" w:type="dxa"/>
            <w:tcBorders>
              <w:top w:val="nil"/>
              <w:left w:val="nil"/>
              <w:bottom w:val="nil"/>
              <w:right w:val="nil"/>
            </w:tcBorders>
          </w:tcPr>
          <w:p>
            <w:pPr>
              <w:pStyle w:val="TableParagraph"/>
              <w:spacing w:before="70"/>
              <w:ind w:left="261" w:right="263"/>
              <w:jc w:val="center"/>
              <w:rPr>
                <w:sz w:val="18"/>
              </w:rPr>
            </w:pPr>
            <w:r>
              <w:rPr>
                <w:sz w:val="18"/>
              </w:rPr>
              <w:t>C18:0</w:t>
            </w:r>
          </w:p>
        </w:tc>
        <w:tc>
          <w:tcPr>
            <w:tcW w:w="2179" w:type="dxa"/>
            <w:tcBorders>
              <w:top w:val="nil"/>
              <w:left w:val="nil"/>
              <w:bottom w:val="nil"/>
              <w:right w:val="nil"/>
            </w:tcBorders>
          </w:tcPr>
          <w:p>
            <w:pPr>
              <w:pStyle w:val="TableParagraph"/>
              <w:spacing w:before="70"/>
              <w:ind w:left="270" w:right="302"/>
              <w:jc w:val="center"/>
              <w:rPr>
                <w:sz w:val="18"/>
              </w:rPr>
            </w:pPr>
            <w:r>
              <w:rPr>
                <w:sz w:val="18"/>
              </w:rPr>
              <w:t>Ácido esteárico</w:t>
            </w:r>
          </w:p>
        </w:tc>
        <w:tc>
          <w:tcPr>
            <w:tcW w:w="2152" w:type="dxa"/>
            <w:tcBorders>
              <w:top w:val="nil"/>
              <w:left w:val="nil"/>
              <w:bottom w:val="nil"/>
              <w:right w:val="nil"/>
            </w:tcBorders>
          </w:tcPr>
          <w:p>
            <w:pPr>
              <w:pStyle w:val="TableParagraph"/>
              <w:spacing w:before="70"/>
              <w:ind w:left="305" w:right="331"/>
              <w:jc w:val="center"/>
              <w:rPr>
                <w:sz w:val="18"/>
              </w:rPr>
            </w:pPr>
            <w:r>
              <w:rPr>
                <w:sz w:val="18"/>
              </w:rPr>
              <w:t>Cadena larga</w:t>
            </w:r>
          </w:p>
        </w:tc>
      </w:tr>
      <w:tr>
        <w:trPr>
          <w:trHeight w:val="363" w:hRule="exact"/>
        </w:trPr>
        <w:tc>
          <w:tcPr>
            <w:tcW w:w="2166" w:type="dxa"/>
            <w:tcBorders>
              <w:top w:val="nil"/>
              <w:left w:val="nil"/>
              <w:bottom w:val="nil"/>
              <w:right w:val="nil"/>
            </w:tcBorders>
          </w:tcPr>
          <w:p>
            <w:pPr>
              <w:pStyle w:val="TableParagraph"/>
              <w:spacing w:before="68"/>
              <w:ind w:left="110"/>
              <w:rPr>
                <w:sz w:val="18"/>
              </w:rPr>
            </w:pPr>
            <w:r>
              <w:rPr>
                <w:sz w:val="18"/>
              </w:rPr>
              <w:t>Ácido nonadecanoico</w:t>
            </w:r>
          </w:p>
        </w:tc>
        <w:tc>
          <w:tcPr>
            <w:tcW w:w="2200" w:type="dxa"/>
            <w:tcBorders>
              <w:top w:val="nil"/>
              <w:left w:val="nil"/>
              <w:bottom w:val="nil"/>
              <w:right w:val="nil"/>
            </w:tcBorders>
          </w:tcPr>
          <w:p>
            <w:pPr>
              <w:pStyle w:val="TableParagraph"/>
              <w:spacing w:before="68"/>
              <w:ind w:left="261" w:right="263"/>
              <w:jc w:val="center"/>
              <w:rPr>
                <w:sz w:val="18"/>
              </w:rPr>
            </w:pPr>
            <w:r>
              <w:rPr>
                <w:sz w:val="18"/>
              </w:rPr>
              <w:t>C19:0</w:t>
            </w:r>
          </w:p>
        </w:tc>
        <w:tc>
          <w:tcPr>
            <w:tcW w:w="2179" w:type="dxa"/>
            <w:tcBorders>
              <w:top w:val="nil"/>
              <w:left w:val="nil"/>
              <w:bottom w:val="nil"/>
              <w:right w:val="nil"/>
            </w:tcBorders>
          </w:tcPr>
          <w:p>
            <w:pPr>
              <w:pStyle w:val="TableParagraph"/>
              <w:spacing w:before="68"/>
              <w:ind w:left="270" w:right="307"/>
              <w:jc w:val="center"/>
              <w:rPr>
                <w:sz w:val="18"/>
              </w:rPr>
            </w:pPr>
            <w:r>
              <w:rPr>
                <w:sz w:val="18"/>
              </w:rPr>
              <w:t>Ácido nonadecílico</w:t>
            </w:r>
          </w:p>
        </w:tc>
        <w:tc>
          <w:tcPr>
            <w:tcW w:w="2152" w:type="dxa"/>
            <w:tcBorders>
              <w:top w:val="nil"/>
              <w:left w:val="nil"/>
              <w:bottom w:val="nil"/>
              <w:right w:val="nil"/>
            </w:tcBorders>
          </w:tcPr>
          <w:p>
            <w:pPr>
              <w:pStyle w:val="TableParagraph"/>
              <w:spacing w:before="68"/>
              <w:ind w:left="305" w:right="331"/>
              <w:jc w:val="center"/>
              <w:rPr>
                <w:sz w:val="18"/>
              </w:rPr>
            </w:pPr>
            <w:r>
              <w:rPr>
                <w:sz w:val="18"/>
              </w:rPr>
              <w:t>Cadena larga</w:t>
            </w:r>
          </w:p>
        </w:tc>
      </w:tr>
      <w:tr>
        <w:trPr>
          <w:trHeight w:val="362" w:hRule="exact"/>
        </w:trPr>
        <w:tc>
          <w:tcPr>
            <w:tcW w:w="2166" w:type="dxa"/>
            <w:tcBorders>
              <w:top w:val="nil"/>
              <w:left w:val="nil"/>
              <w:bottom w:val="nil"/>
              <w:right w:val="nil"/>
            </w:tcBorders>
          </w:tcPr>
          <w:p>
            <w:pPr>
              <w:pStyle w:val="TableParagraph"/>
              <w:spacing w:before="70"/>
              <w:ind w:left="110"/>
              <w:rPr>
                <w:sz w:val="18"/>
              </w:rPr>
            </w:pPr>
            <w:r>
              <w:rPr>
                <w:sz w:val="18"/>
              </w:rPr>
              <w:t>Ácido eicosanoico</w:t>
            </w:r>
          </w:p>
        </w:tc>
        <w:tc>
          <w:tcPr>
            <w:tcW w:w="2200" w:type="dxa"/>
            <w:tcBorders>
              <w:top w:val="nil"/>
              <w:left w:val="nil"/>
              <w:bottom w:val="nil"/>
              <w:right w:val="nil"/>
            </w:tcBorders>
          </w:tcPr>
          <w:p>
            <w:pPr>
              <w:pStyle w:val="TableParagraph"/>
              <w:spacing w:before="70"/>
              <w:ind w:left="261" w:right="263"/>
              <w:jc w:val="center"/>
              <w:rPr>
                <w:sz w:val="18"/>
              </w:rPr>
            </w:pPr>
            <w:r>
              <w:rPr>
                <w:sz w:val="18"/>
              </w:rPr>
              <w:t>C20:0</w:t>
            </w:r>
          </w:p>
        </w:tc>
        <w:tc>
          <w:tcPr>
            <w:tcW w:w="2179" w:type="dxa"/>
            <w:tcBorders>
              <w:top w:val="nil"/>
              <w:left w:val="nil"/>
              <w:bottom w:val="nil"/>
              <w:right w:val="nil"/>
            </w:tcBorders>
          </w:tcPr>
          <w:p>
            <w:pPr>
              <w:pStyle w:val="TableParagraph"/>
              <w:spacing w:before="70"/>
              <w:ind w:left="270" w:right="306"/>
              <w:jc w:val="center"/>
              <w:rPr>
                <w:sz w:val="18"/>
              </w:rPr>
            </w:pPr>
            <w:r>
              <w:rPr>
                <w:sz w:val="18"/>
              </w:rPr>
              <w:t>Ácido Araquídico</w:t>
            </w:r>
          </w:p>
        </w:tc>
        <w:tc>
          <w:tcPr>
            <w:tcW w:w="2152" w:type="dxa"/>
            <w:tcBorders>
              <w:top w:val="nil"/>
              <w:left w:val="nil"/>
              <w:bottom w:val="nil"/>
              <w:right w:val="nil"/>
            </w:tcBorders>
          </w:tcPr>
          <w:p>
            <w:pPr>
              <w:pStyle w:val="TableParagraph"/>
              <w:spacing w:before="70"/>
              <w:ind w:left="305" w:right="331"/>
              <w:jc w:val="center"/>
              <w:rPr>
                <w:sz w:val="18"/>
              </w:rPr>
            </w:pPr>
            <w:r>
              <w:rPr>
                <w:sz w:val="18"/>
              </w:rPr>
              <w:t>Cadena larga</w:t>
            </w:r>
          </w:p>
        </w:tc>
      </w:tr>
      <w:tr>
        <w:trPr>
          <w:trHeight w:val="360" w:hRule="exact"/>
        </w:trPr>
        <w:tc>
          <w:tcPr>
            <w:tcW w:w="2166" w:type="dxa"/>
            <w:tcBorders>
              <w:top w:val="nil"/>
              <w:left w:val="nil"/>
              <w:bottom w:val="nil"/>
              <w:right w:val="nil"/>
            </w:tcBorders>
          </w:tcPr>
          <w:p>
            <w:pPr>
              <w:pStyle w:val="TableParagraph"/>
              <w:spacing w:before="67"/>
              <w:ind w:left="110"/>
              <w:rPr>
                <w:sz w:val="18"/>
              </w:rPr>
            </w:pPr>
            <w:r>
              <w:rPr>
                <w:sz w:val="18"/>
              </w:rPr>
              <w:t>Ácido heneicosanoico</w:t>
            </w:r>
          </w:p>
        </w:tc>
        <w:tc>
          <w:tcPr>
            <w:tcW w:w="2200" w:type="dxa"/>
            <w:tcBorders>
              <w:top w:val="nil"/>
              <w:left w:val="nil"/>
              <w:bottom w:val="nil"/>
              <w:right w:val="nil"/>
            </w:tcBorders>
          </w:tcPr>
          <w:p>
            <w:pPr>
              <w:pStyle w:val="TableParagraph"/>
              <w:spacing w:before="67"/>
              <w:ind w:left="261" w:right="263"/>
              <w:jc w:val="center"/>
              <w:rPr>
                <w:sz w:val="18"/>
              </w:rPr>
            </w:pPr>
            <w:r>
              <w:rPr>
                <w:sz w:val="18"/>
              </w:rPr>
              <w:t>C21:0</w:t>
            </w:r>
          </w:p>
        </w:tc>
        <w:tc>
          <w:tcPr>
            <w:tcW w:w="2179" w:type="dxa"/>
            <w:tcBorders>
              <w:top w:val="nil"/>
              <w:left w:val="nil"/>
              <w:bottom w:val="nil"/>
              <w:right w:val="nil"/>
            </w:tcBorders>
          </w:tcPr>
          <w:p>
            <w:pPr>
              <w:pStyle w:val="TableParagraph"/>
              <w:spacing w:before="67"/>
              <w:ind w:left="270" w:right="307"/>
              <w:jc w:val="center"/>
              <w:rPr>
                <w:sz w:val="18"/>
              </w:rPr>
            </w:pPr>
            <w:r>
              <w:rPr>
                <w:sz w:val="18"/>
              </w:rPr>
              <w:t>Ácido heneicosílico</w:t>
            </w:r>
          </w:p>
        </w:tc>
        <w:tc>
          <w:tcPr>
            <w:tcW w:w="2152" w:type="dxa"/>
            <w:tcBorders>
              <w:top w:val="nil"/>
              <w:left w:val="nil"/>
              <w:bottom w:val="nil"/>
              <w:right w:val="nil"/>
            </w:tcBorders>
          </w:tcPr>
          <w:p>
            <w:pPr>
              <w:pStyle w:val="TableParagraph"/>
              <w:spacing w:before="67"/>
              <w:ind w:left="309" w:right="331"/>
              <w:jc w:val="center"/>
              <w:rPr>
                <w:sz w:val="18"/>
              </w:rPr>
            </w:pPr>
            <w:r>
              <w:rPr>
                <w:sz w:val="18"/>
              </w:rPr>
              <w:t>Cadena muy larga</w:t>
            </w:r>
          </w:p>
        </w:tc>
      </w:tr>
      <w:tr>
        <w:trPr>
          <w:trHeight w:val="362" w:hRule="exact"/>
        </w:trPr>
        <w:tc>
          <w:tcPr>
            <w:tcW w:w="2166" w:type="dxa"/>
            <w:tcBorders>
              <w:top w:val="nil"/>
              <w:left w:val="nil"/>
              <w:bottom w:val="nil"/>
              <w:right w:val="nil"/>
            </w:tcBorders>
          </w:tcPr>
          <w:p>
            <w:pPr>
              <w:pStyle w:val="TableParagraph"/>
              <w:spacing w:before="67"/>
              <w:ind w:left="110"/>
              <w:rPr>
                <w:sz w:val="18"/>
              </w:rPr>
            </w:pPr>
            <w:r>
              <w:rPr>
                <w:sz w:val="18"/>
              </w:rPr>
              <w:t>Ácido decosanoico</w:t>
            </w:r>
          </w:p>
        </w:tc>
        <w:tc>
          <w:tcPr>
            <w:tcW w:w="2200" w:type="dxa"/>
            <w:tcBorders>
              <w:top w:val="nil"/>
              <w:left w:val="nil"/>
              <w:bottom w:val="nil"/>
              <w:right w:val="nil"/>
            </w:tcBorders>
          </w:tcPr>
          <w:p>
            <w:pPr>
              <w:pStyle w:val="TableParagraph"/>
              <w:spacing w:before="67"/>
              <w:ind w:left="261" w:right="263"/>
              <w:jc w:val="center"/>
              <w:rPr>
                <w:sz w:val="18"/>
              </w:rPr>
            </w:pPr>
            <w:r>
              <w:rPr>
                <w:sz w:val="18"/>
              </w:rPr>
              <w:t>C22:0</w:t>
            </w:r>
          </w:p>
        </w:tc>
        <w:tc>
          <w:tcPr>
            <w:tcW w:w="2179" w:type="dxa"/>
            <w:tcBorders>
              <w:top w:val="nil"/>
              <w:left w:val="nil"/>
              <w:bottom w:val="nil"/>
              <w:right w:val="nil"/>
            </w:tcBorders>
          </w:tcPr>
          <w:p>
            <w:pPr>
              <w:pStyle w:val="TableParagraph"/>
              <w:spacing w:before="67"/>
              <w:ind w:left="270" w:right="301"/>
              <w:jc w:val="center"/>
              <w:rPr>
                <w:sz w:val="18"/>
              </w:rPr>
            </w:pPr>
            <w:r>
              <w:rPr>
                <w:sz w:val="18"/>
              </w:rPr>
              <w:t>Ácido behénico</w:t>
            </w:r>
          </w:p>
        </w:tc>
        <w:tc>
          <w:tcPr>
            <w:tcW w:w="2152" w:type="dxa"/>
            <w:tcBorders>
              <w:top w:val="nil"/>
              <w:left w:val="nil"/>
              <w:bottom w:val="nil"/>
              <w:right w:val="nil"/>
            </w:tcBorders>
          </w:tcPr>
          <w:p>
            <w:pPr>
              <w:pStyle w:val="TableParagraph"/>
              <w:spacing w:before="67"/>
              <w:ind w:left="309" w:right="331"/>
              <w:jc w:val="center"/>
              <w:rPr>
                <w:sz w:val="18"/>
              </w:rPr>
            </w:pPr>
            <w:r>
              <w:rPr>
                <w:sz w:val="18"/>
              </w:rPr>
              <w:t>Cadena muy larga</w:t>
            </w:r>
          </w:p>
        </w:tc>
      </w:tr>
      <w:tr>
        <w:trPr>
          <w:trHeight w:val="363" w:hRule="exact"/>
        </w:trPr>
        <w:tc>
          <w:tcPr>
            <w:tcW w:w="2166" w:type="dxa"/>
            <w:tcBorders>
              <w:top w:val="nil"/>
              <w:left w:val="nil"/>
              <w:bottom w:val="nil"/>
              <w:right w:val="nil"/>
            </w:tcBorders>
          </w:tcPr>
          <w:p>
            <w:pPr>
              <w:pStyle w:val="TableParagraph"/>
              <w:spacing w:before="70"/>
              <w:ind w:left="110"/>
              <w:rPr>
                <w:sz w:val="18"/>
              </w:rPr>
            </w:pPr>
            <w:r>
              <w:rPr>
                <w:sz w:val="18"/>
              </w:rPr>
              <w:t>Ácido tricosanoico</w:t>
            </w:r>
          </w:p>
        </w:tc>
        <w:tc>
          <w:tcPr>
            <w:tcW w:w="2200" w:type="dxa"/>
            <w:tcBorders>
              <w:top w:val="nil"/>
              <w:left w:val="nil"/>
              <w:bottom w:val="nil"/>
              <w:right w:val="nil"/>
            </w:tcBorders>
          </w:tcPr>
          <w:p>
            <w:pPr>
              <w:pStyle w:val="TableParagraph"/>
              <w:spacing w:before="70"/>
              <w:ind w:left="261" w:right="263"/>
              <w:jc w:val="center"/>
              <w:rPr>
                <w:sz w:val="18"/>
              </w:rPr>
            </w:pPr>
            <w:r>
              <w:rPr>
                <w:sz w:val="18"/>
              </w:rPr>
              <w:t>C23:0</w:t>
            </w:r>
          </w:p>
        </w:tc>
        <w:tc>
          <w:tcPr>
            <w:tcW w:w="2179" w:type="dxa"/>
            <w:tcBorders>
              <w:top w:val="nil"/>
              <w:left w:val="nil"/>
              <w:bottom w:val="nil"/>
              <w:right w:val="nil"/>
            </w:tcBorders>
          </w:tcPr>
          <w:p>
            <w:pPr>
              <w:pStyle w:val="TableParagraph"/>
              <w:spacing w:before="70"/>
              <w:ind w:left="270" w:right="301"/>
              <w:jc w:val="center"/>
              <w:rPr>
                <w:sz w:val="18"/>
              </w:rPr>
            </w:pPr>
            <w:r>
              <w:rPr>
                <w:sz w:val="18"/>
              </w:rPr>
              <w:t>Ácido tricosílico</w:t>
            </w:r>
          </w:p>
        </w:tc>
        <w:tc>
          <w:tcPr>
            <w:tcW w:w="2152" w:type="dxa"/>
            <w:tcBorders>
              <w:top w:val="nil"/>
              <w:left w:val="nil"/>
              <w:bottom w:val="nil"/>
              <w:right w:val="nil"/>
            </w:tcBorders>
          </w:tcPr>
          <w:p>
            <w:pPr>
              <w:pStyle w:val="TableParagraph"/>
              <w:spacing w:before="70"/>
              <w:ind w:left="309" w:right="331"/>
              <w:jc w:val="center"/>
              <w:rPr>
                <w:sz w:val="18"/>
              </w:rPr>
            </w:pPr>
            <w:r>
              <w:rPr>
                <w:sz w:val="18"/>
              </w:rPr>
              <w:t>Cadena muy larga</w:t>
            </w:r>
          </w:p>
        </w:tc>
      </w:tr>
      <w:tr>
        <w:trPr>
          <w:trHeight w:val="448" w:hRule="exact"/>
        </w:trPr>
        <w:tc>
          <w:tcPr>
            <w:tcW w:w="2166" w:type="dxa"/>
            <w:tcBorders>
              <w:top w:val="nil"/>
              <w:left w:val="nil"/>
              <w:right w:val="nil"/>
            </w:tcBorders>
          </w:tcPr>
          <w:p>
            <w:pPr>
              <w:pStyle w:val="TableParagraph"/>
              <w:spacing w:before="68"/>
              <w:ind w:left="110"/>
              <w:rPr>
                <w:sz w:val="18"/>
              </w:rPr>
            </w:pPr>
            <w:r>
              <w:rPr>
                <w:sz w:val="18"/>
              </w:rPr>
              <w:t>Ácido tetracosanoico</w:t>
            </w:r>
          </w:p>
        </w:tc>
        <w:tc>
          <w:tcPr>
            <w:tcW w:w="2200" w:type="dxa"/>
            <w:tcBorders>
              <w:top w:val="nil"/>
              <w:left w:val="nil"/>
              <w:right w:val="nil"/>
            </w:tcBorders>
          </w:tcPr>
          <w:p>
            <w:pPr>
              <w:pStyle w:val="TableParagraph"/>
              <w:spacing w:before="68"/>
              <w:ind w:left="261" w:right="263"/>
              <w:jc w:val="center"/>
              <w:rPr>
                <w:sz w:val="18"/>
              </w:rPr>
            </w:pPr>
            <w:r>
              <w:rPr>
                <w:sz w:val="18"/>
              </w:rPr>
              <w:t>C24:0</w:t>
            </w:r>
          </w:p>
        </w:tc>
        <w:tc>
          <w:tcPr>
            <w:tcW w:w="2179" w:type="dxa"/>
            <w:tcBorders>
              <w:top w:val="nil"/>
              <w:left w:val="nil"/>
              <w:right w:val="nil"/>
            </w:tcBorders>
          </w:tcPr>
          <w:p>
            <w:pPr>
              <w:pStyle w:val="TableParagraph"/>
              <w:spacing w:before="68"/>
              <w:ind w:left="270" w:right="306"/>
              <w:jc w:val="center"/>
              <w:rPr>
                <w:sz w:val="18"/>
              </w:rPr>
            </w:pPr>
            <w:r>
              <w:rPr>
                <w:sz w:val="18"/>
              </w:rPr>
              <w:t>Ácido lignocérico</w:t>
            </w:r>
          </w:p>
        </w:tc>
        <w:tc>
          <w:tcPr>
            <w:tcW w:w="2152" w:type="dxa"/>
            <w:tcBorders>
              <w:top w:val="nil"/>
              <w:left w:val="nil"/>
              <w:right w:val="nil"/>
            </w:tcBorders>
          </w:tcPr>
          <w:p>
            <w:pPr>
              <w:pStyle w:val="TableParagraph"/>
              <w:spacing w:before="68"/>
              <w:ind w:left="309" w:right="331"/>
              <w:jc w:val="center"/>
              <w:rPr>
                <w:sz w:val="18"/>
              </w:rPr>
            </w:pPr>
            <w:r>
              <w:rPr>
                <w:sz w:val="18"/>
              </w:rPr>
              <w:t>Cadena muy larga</w:t>
            </w:r>
          </w:p>
        </w:tc>
      </w:tr>
    </w:tbl>
    <w:p>
      <w:pPr>
        <w:pStyle w:val="BodyText"/>
        <w:jc w:val="left"/>
        <w:rPr>
          <w:sz w:val="29"/>
        </w:rPr>
      </w:pPr>
    </w:p>
    <w:p>
      <w:pPr>
        <w:pStyle w:val="Heading1"/>
        <w:numPr>
          <w:ilvl w:val="2"/>
          <w:numId w:val="2"/>
        </w:numPr>
        <w:tabs>
          <w:tab w:pos="884" w:val="left" w:leader="none"/>
        </w:tabs>
        <w:spacing w:line="240" w:lineRule="auto" w:before="70" w:after="0"/>
        <w:ind w:left="884" w:right="0" w:hanging="672"/>
        <w:jc w:val="both"/>
      </w:pPr>
      <w:bookmarkStart w:name="_bookmark13" w:id="25"/>
      <w:bookmarkEnd w:id="25"/>
      <w:r>
        <w:rPr>
          <w:b w:val="0"/>
        </w:rPr>
      </w:r>
      <w:bookmarkStart w:name="_bookmark13" w:id="26"/>
      <w:bookmarkEnd w:id="26"/>
      <w:r>
        <w:rPr/>
        <w:t>Á</w:t>
      </w:r>
      <w:r>
        <w:rPr/>
        <w:t>cido linoleico conjugado</w:t>
      </w:r>
      <w:r>
        <w:rPr>
          <w:spacing w:val="-19"/>
        </w:rPr>
        <w:t> </w:t>
      </w:r>
      <w:r>
        <w:rPr/>
        <w:t>(CLA)</w:t>
      </w:r>
    </w:p>
    <w:p>
      <w:pPr>
        <w:pStyle w:val="BodyText"/>
        <w:spacing w:line="360" w:lineRule="auto" w:before="141"/>
        <w:ind w:left="212" w:right="102"/>
      </w:pPr>
      <w:r>
        <w:rPr/>
        <w:t>Se refiere a una mezcla de isómeros posicionales y geométricos del ácido linoleico con dobles enlaces conjugados. Las dos formas (isoméricas) del CLA que han sido estudiadas son </w:t>
      </w:r>
      <w:r>
        <w:rPr>
          <w:i/>
        </w:rPr>
        <w:t>cis</w:t>
      </w:r>
      <w:r>
        <w:rPr/>
        <w:t>-9, </w:t>
      </w:r>
      <w:r>
        <w:rPr>
          <w:i/>
        </w:rPr>
        <w:t>trans</w:t>
      </w:r>
      <w:r>
        <w:rPr/>
        <w:t>-11 y </w:t>
      </w:r>
      <w:r>
        <w:rPr>
          <w:i/>
        </w:rPr>
        <w:t>trans</w:t>
      </w:r>
      <w:r>
        <w:rPr/>
        <w:t>-10, </w:t>
      </w:r>
      <w:r>
        <w:rPr>
          <w:i/>
        </w:rPr>
        <w:t>cis</w:t>
      </w:r>
      <w:r>
        <w:rPr/>
        <w:t>-12. Parodi (1977) fue el primero en demostrar la presencia del   </w:t>
      </w:r>
      <w:r>
        <w:rPr>
          <w:spacing w:val="8"/>
        </w:rPr>
        <w:t> </w:t>
      </w:r>
      <w:r>
        <w:rPr>
          <w:i/>
        </w:rPr>
        <w:t>cis</w:t>
      </w:r>
      <w:r>
        <w:rPr/>
        <w:t>-9, </w:t>
      </w:r>
      <w:r>
        <w:rPr>
          <w:i/>
        </w:rPr>
        <w:t>trans</w:t>
      </w:r>
      <w:r>
        <w:rPr/>
        <w:t>-11 CLA en la grasa de la leche, siendo</w:t>
      </w:r>
    </w:p>
    <w:p>
      <w:pPr>
        <w:spacing w:after="0" w:line="360" w:lineRule="auto"/>
        <w:sectPr>
          <w:pgSz w:w="12240" w:h="15840"/>
          <w:pgMar w:header="0" w:footer="1329" w:top="1500" w:bottom="1580" w:left="1660" w:right="1420"/>
        </w:sectPr>
      </w:pPr>
    </w:p>
    <w:p>
      <w:pPr>
        <w:pStyle w:val="BodyText"/>
        <w:spacing w:before="11"/>
        <w:jc w:val="left"/>
        <w:rPr>
          <w:sz w:val="20"/>
        </w:rPr>
      </w:pPr>
    </w:p>
    <w:p>
      <w:pPr>
        <w:pStyle w:val="BodyText"/>
        <w:spacing w:line="360" w:lineRule="auto" w:before="69"/>
        <w:ind w:left="152" w:right="116"/>
      </w:pPr>
      <w:r>
        <w:rPr/>
        <w:t>este el isómero principal, representando cerca del 75-85% del total de CLA en la grasa de la leche. </w:t>
      </w:r>
      <w:r>
        <w:rPr>
          <w:spacing w:val="-4"/>
        </w:rPr>
        <w:t>El </w:t>
      </w:r>
      <w:r>
        <w:rPr/>
        <w:t>CLA ha demostrado tener una serie de efectos positivos para la salud en estudios biomédicos con animales de experimentación (NRC, 1996; Ip </w:t>
      </w:r>
      <w:r>
        <w:rPr>
          <w:i/>
        </w:rPr>
        <w:t>et al</w:t>
      </w:r>
      <w:r>
        <w:rPr/>
        <w:t>., 1999). Estos incluyen la supresión de la carcinogénesis (Belury, 1995; Ip </w:t>
      </w:r>
      <w:r>
        <w:rPr>
          <w:i/>
        </w:rPr>
        <w:t>et </w:t>
      </w:r>
      <w:r>
        <w:rPr>
          <w:i/>
        </w:rPr>
        <w:t>al</w:t>
      </w:r>
      <w:r>
        <w:rPr/>
        <w:t>., 1994), disminución del riesgo de cáncer de próstata y cáncer de </w:t>
      </w:r>
      <w:r>
        <w:rPr>
          <w:spacing w:val="-3"/>
        </w:rPr>
        <w:t>mama, </w:t>
      </w:r>
      <w:r>
        <w:rPr/>
        <w:t>mejora de la mineralización ósea, y redistribución de la grasa corporal lo que repercute en el problema de la obesidad (Palmquist </w:t>
      </w:r>
      <w:r>
        <w:rPr>
          <w:i/>
        </w:rPr>
        <w:t>et al</w:t>
      </w:r>
      <w:r>
        <w:rPr/>
        <w:t>., 2005), modulación del sistema inmune (Cook </w:t>
      </w:r>
      <w:r>
        <w:rPr>
          <w:i/>
        </w:rPr>
        <w:t>et al</w:t>
      </w:r>
      <w:r>
        <w:rPr/>
        <w:t>., 1993) y reducciones en la aterogénesis (Nicolosi </w:t>
      </w:r>
      <w:r>
        <w:rPr>
          <w:i/>
        </w:rPr>
        <w:t>et al</w:t>
      </w:r>
      <w:r>
        <w:rPr/>
        <w:t>., 1997) y diabetes (Houseknecht </w:t>
      </w:r>
      <w:r>
        <w:rPr>
          <w:i/>
        </w:rPr>
        <w:t>et al</w:t>
      </w:r>
      <w:r>
        <w:rPr/>
        <w:t>.,</w:t>
      </w:r>
      <w:r>
        <w:rPr>
          <w:spacing w:val="-11"/>
        </w:rPr>
        <w:t> </w:t>
      </w:r>
      <w:r>
        <w:rPr/>
        <w:t>1998)</w:t>
      </w:r>
    </w:p>
    <w:p>
      <w:pPr>
        <w:pStyle w:val="BodyText"/>
        <w:spacing w:line="362" w:lineRule="auto" w:before="2"/>
        <w:ind w:left="152" w:right="131"/>
      </w:pPr>
      <w:r>
        <w:rPr/>
        <w:t>A diferencia de la mayoría de los compuestos anticancerígenos, el CLA puede reducir la incidencia de tumores y servir como un agente citotóxico contra las células tumorales existentes (Belury, 1995; Parodi, 1997; Scimeca </w:t>
      </w:r>
      <w:r>
        <w:rPr>
          <w:i/>
        </w:rPr>
        <w:t>et al</w:t>
      </w:r>
      <w:r>
        <w:rPr/>
        <w:t>., 1994)</w:t>
      </w:r>
    </w:p>
    <w:p>
      <w:pPr>
        <w:pStyle w:val="BodyText"/>
        <w:spacing w:line="360" w:lineRule="auto"/>
        <w:ind w:left="152" w:right="120"/>
        <w:jc w:val="left"/>
      </w:pPr>
      <w:r>
        <w:rPr/>
        <w:t>El isómero CLA específico, responsable de estos efectos biológicos no ha sido establecido claramente, sin embargo el CLA </w:t>
      </w:r>
      <w:r>
        <w:rPr>
          <w:i/>
        </w:rPr>
        <w:t>cis-9, trans-11 </w:t>
      </w:r>
      <w:r>
        <w:rPr/>
        <w:t>es considerado como un elemento clave en los efectos anticancerígenos (Ha </w:t>
      </w:r>
      <w:r>
        <w:rPr>
          <w:i/>
        </w:rPr>
        <w:t>et al</w:t>
      </w:r>
      <w:r>
        <w:rPr/>
        <w:t>., 1990; Ip </w:t>
      </w:r>
      <w:r>
        <w:rPr>
          <w:i/>
        </w:rPr>
        <w:t>et al</w:t>
      </w:r>
      <w:r>
        <w:rPr/>
        <w:t>., 1991) El CLA es un intermediario en la biohidrogenación de ácido linoleico, el CLA en rumiantes se origina a partir de la biohidrogenación incompleta de grasas insaturadas por las bacterias del rúmen (Kelly </w:t>
      </w:r>
      <w:r>
        <w:rPr>
          <w:i/>
        </w:rPr>
        <w:t>et al</w:t>
      </w:r>
      <w:r>
        <w:rPr/>
        <w:t>., 1998). Sin embargo, trabajos recientes han demostrado que las vacas también pueden sintetizar CLA a partir del ácido vaccénico (</w:t>
      </w:r>
      <w:r>
        <w:rPr>
          <w:i/>
        </w:rPr>
        <w:t>trans-11 </w:t>
      </w:r>
      <w:r>
        <w:rPr/>
        <w:t>octadecenoico), otro intermediario en el proceso de la biohidrogenación ruminal (Griinari </w:t>
      </w:r>
      <w:r>
        <w:rPr>
          <w:i/>
        </w:rPr>
        <w:t>et al</w:t>
      </w:r>
      <w:r>
        <w:rPr/>
        <w:t>., 1998b). El principal isómero del CLA en productos alimenticios de rumiantes es el </w:t>
      </w:r>
      <w:r>
        <w:rPr>
          <w:i/>
        </w:rPr>
        <w:t>cis-9, trans-11</w:t>
      </w:r>
      <w:r>
        <w:rPr/>
        <w:t>, aunque otros isómeros del CLA están presentes y estos pueden variar bajo diferentes condiciones en el rúmen (Griinari </w:t>
      </w:r>
      <w:r>
        <w:rPr>
          <w:i/>
        </w:rPr>
        <w:t>et al</w:t>
      </w:r>
      <w:r>
        <w:rPr/>
        <w:t>., 1997a; Ha </w:t>
      </w:r>
      <w:r>
        <w:rPr>
          <w:i/>
        </w:rPr>
        <w:t>et al</w:t>
      </w:r>
      <w:r>
        <w:rPr/>
        <w:t>.,</w:t>
      </w:r>
      <w:r>
        <w:rPr>
          <w:spacing w:val="-16"/>
        </w:rPr>
        <w:t> </w:t>
      </w:r>
      <w:r>
        <w:rPr/>
        <w:t>1989)</w:t>
      </w:r>
    </w:p>
    <w:p>
      <w:pPr>
        <w:pStyle w:val="BodyText"/>
        <w:spacing w:line="360" w:lineRule="auto" w:before="7"/>
        <w:ind w:left="152" w:right="121"/>
      </w:pPr>
      <w:r>
        <w:rPr/>
        <w:t>La concentración del CLA en la grasa de la leche es de </w:t>
      </w:r>
      <w:r>
        <w:rPr>
          <w:spacing w:val="4"/>
        </w:rPr>
        <w:t>3-6 </w:t>
      </w:r>
      <w:r>
        <w:rPr/>
        <w:t>mg/g, sin embargo los niveles del mismo pueden variar de acuerdo a la raza del ganado (Kelly y Bauman, 1996; Reil, 1963), los factores específicos que causan estas variaciones no han sido investigados a fondo. Griinari </w:t>
      </w:r>
      <w:r>
        <w:rPr>
          <w:i/>
        </w:rPr>
        <w:t>et al</w:t>
      </w:r>
      <w:r>
        <w:rPr/>
        <w:t>., (1996) demostraron en estudios  anteriores que la concentración de grasa de leche </w:t>
      </w:r>
      <w:r>
        <w:rPr>
          <w:spacing w:val="-3"/>
        </w:rPr>
        <w:t>del </w:t>
      </w:r>
      <w:r>
        <w:rPr/>
        <w:t>CLA era dependiente de  </w:t>
      </w:r>
      <w:r>
        <w:rPr>
          <w:spacing w:val="49"/>
        </w:rPr>
        <w:t> </w:t>
      </w:r>
      <w:r>
        <w:rPr/>
        <w:t>la</w:t>
      </w:r>
    </w:p>
    <w:p>
      <w:pPr>
        <w:spacing w:after="0" w:line="360" w:lineRule="auto"/>
        <w:sectPr>
          <w:pgSz w:w="12240" w:h="15840"/>
          <w:pgMar w:header="0" w:footer="1329" w:top="1500" w:bottom="1580" w:left="1720" w:right="1400"/>
        </w:sectPr>
      </w:pPr>
    </w:p>
    <w:p>
      <w:pPr>
        <w:pStyle w:val="BodyText"/>
        <w:spacing w:before="11"/>
        <w:jc w:val="left"/>
        <w:rPr>
          <w:sz w:val="20"/>
        </w:rPr>
      </w:pPr>
    </w:p>
    <w:p>
      <w:pPr>
        <w:pStyle w:val="BodyText"/>
        <w:spacing w:line="360" w:lineRule="auto" w:before="69"/>
        <w:ind w:left="532" w:right="449"/>
      </w:pPr>
      <w:r>
        <w:rPr/>
        <w:t>presencia de la grasa insaturada en la dieta, y que las concentraciones del CLA aumentaron cuando se adicionó aceite de maíz a la dieta (McGuire </w:t>
      </w:r>
      <w:r>
        <w:rPr>
          <w:i/>
        </w:rPr>
        <w:t>et al</w:t>
      </w:r>
      <w:r>
        <w:rPr/>
        <w:t>., 1996)</w:t>
      </w:r>
    </w:p>
    <w:p>
      <w:pPr>
        <w:pStyle w:val="BodyText"/>
        <w:jc w:val="left"/>
      </w:pPr>
    </w:p>
    <w:p>
      <w:pPr>
        <w:pStyle w:val="Heading1"/>
        <w:numPr>
          <w:ilvl w:val="2"/>
          <w:numId w:val="2"/>
        </w:numPr>
        <w:tabs>
          <w:tab w:pos="1205" w:val="left" w:leader="none"/>
        </w:tabs>
        <w:spacing w:line="240" w:lineRule="auto" w:before="140" w:after="0"/>
        <w:ind w:left="1205" w:right="0" w:hanging="673"/>
        <w:jc w:val="both"/>
      </w:pPr>
      <w:bookmarkStart w:name="_bookmark14" w:id="27"/>
      <w:bookmarkEnd w:id="27"/>
      <w:r>
        <w:rPr>
          <w:b w:val="0"/>
        </w:rPr>
      </w:r>
      <w:bookmarkStart w:name="_bookmark14" w:id="28"/>
      <w:bookmarkEnd w:id="28"/>
      <w:r>
        <w:rPr/>
        <w:t>B</w:t>
      </w:r>
      <w:r>
        <w:rPr/>
        <w:t>iosíntesis del</w:t>
      </w:r>
      <w:r>
        <w:rPr>
          <w:spacing w:val="-15"/>
        </w:rPr>
        <w:t> </w:t>
      </w:r>
      <w:r>
        <w:rPr/>
        <w:t>CLA</w:t>
      </w:r>
    </w:p>
    <w:p>
      <w:pPr>
        <w:pStyle w:val="BodyText"/>
        <w:spacing w:line="360" w:lineRule="auto" w:before="141"/>
        <w:ind w:left="532" w:right="435"/>
      </w:pPr>
      <w:r>
        <w:rPr/>
        <w:t>La composición lipídica de los forrajes se encuentra conformada en gran parte por glicolípidos y fosfolípidos, donde los ácidos grasos principales son dos ácidos grasos insaturados, siendo estos el ácido linoleico (C18:2) y el ácido linolénico (C18:3) (Bauman </w:t>
      </w:r>
      <w:r>
        <w:rPr>
          <w:i/>
        </w:rPr>
        <w:t>et al</w:t>
      </w:r>
      <w:r>
        <w:rPr/>
        <w:t>., 1999)</w:t>
      </w:r>
    </w:p>
    <w:p>
      <w:pPr>
        <w:pStyle w:val="BodyText"/>
        <w:spacing w:line="360" w:lineRule="auto" w:before="2"/>
        <w:ind w:left="532" w:right="441"/>
      </w:pPr>
      <w:r>
        <w:rPr/>
        <w:t>Al momento en el que el rumiante consume una dieta rica en grasa y energía, da inicio a dos procesos importantes en el rúmen</w:t>
      </w:r>
      <w:r>
        <w:rPr>
          <w:color w:val="30849B"/>
        </w:rPr>
        <w:t>. </w:t>
      </w:r>
      <w:r>
        <w:rPr/>
        <w:t>La transformación inicial es la hidrólisis de las uniones éster, catalizados por las lipasas microbiales y generar ácidos grasos libres. Este primer paso es un pre-requisito para la segunda transformación, siendo esta la biohidrogenación de los ácidos grasos insaturados por las bacterias del rúmen.</w:t>
      </w:r>
    </w:p>
    <w:p>
      <w:pPr>
        <w:pStyle w:val="BodyText"/>
        <w:spacing w:line="360" w:lineRule="auto" w:before="3"/>
        <w:ind w:left="532" w:right="439"/>
      </w:pPr>
      <w:r>
        <w:rPr/>
        <w:t>La isomerización del </w:t>
      </w:r>
      <w:r>
        <w:rPr>
          <w:i/>
        </w:rPr>
        <w:t>cis-12 </w:t>
      </w:r>
      <w:r>
        <w:rPr/>
        <w:t>de enlace doble representa el </w:t>
      </w:r>
      <w:r>
        <w:rPr>
          <w:spacing w:val="-2"/>
        </w:rPr>
        <w:t>primer </w:t>
      </w:r>
      <w:r>
        <w:rPr/>
        <w:t>paso de este proceso dando como resultado la formación del </w:t>
      </w:r>
      <w:r>
        <w:rPr>
          <w:i/>
        </w:rPr>
        <w:t>cis-9, trans-11 </w:t>
      </w:r>
      <w:r>
        <w:rPr/>
        <w:t>CLA. La segunda reacción es una reducción del </w:t>
      </w:r>
      <w:r>
        <w:rPr>
          <w:i/>
        </w:rPr>
        <w:t>cis-9, trans-11 </w:t>
      </w:r>
      <w:r>
        <w:rPr/>
        <w:t>CLA a </w:t>
      </w:r>
      <w:r>
        <w:rPr>
          <w:i/>
        </w:rPr>
        <w:t>trans-11 </w:t>
      </w:r>
      <w:r>
        <w:rPr/>
        <w:t>C18:1, el paso final es nuevamente una reducción a ácido esteárico (C18:0). (Harfoot y Hazlewood, 1988) (Figura</w:t>
      </w:r>
      <w:r>
        <w:rPr>
          <w:spacing w:val="-9"/>
        </w:rPr>
        <w:t> </w:t>
      </w:r>
      <w:r>
        <w:rPr/>
        <w:t>4)</w:t>
      </w:r>
    </w:p>
    <w:p>
      <w:pPr>
        <w:pStyle w:val="BodyText"/>
        <w:jc w:val="left"/>
      </w:pPr>
    </w:p>
    <w:p>
      <w:pPr>
        <w:spacing w:before="139"/>
        <w:ind w:left="532" w:right="0" w:firstLine="0"/>
        <w:jc w:val="both"/>
        <w:rPr>
          <w:sz w:val="24"/>
        </w:rPr>
      </w:pPr>
      <w:r>
        <w:rPr>
          <w:b/>
          <w:sz w:val="24"/>
        </w:rPr>
        <w:t>Figura 4: </w:t>
      </w:r>
      <w:r>
        <w:rPr>
          <w:sz w:val="24"/>
        </w:rPr>
        <w:t>Esquema de la biosíntesis del CLA</w:t>
      </w:r>
    </w:p>
    <w:p>
      <w:pPr>
        <w:pStyle w:val="BodyText"/>
        <w:jc w:val="left"/>
      </w:pPr>
    </w:p>
    <w:p>
      <w:pPr>
        <w:pStyle w:val="BodyText"/>
        <w:jc w:val="left"/>
      </w:pPr>
    </w:p>
    <w:p>
      <w:pPr>
        <w:pStyle w:val="BodyText"/>
        <w:spacing w:before="4"/>
        <w:jc w:val="left"/>
      </w:pPr>
    </w:p>
    <w:p>
      <w:pPr>
        <w:spacing w:before="0"/>
        <w:ind w:left="532" w:right="0" w:firstLine="0"/>
        <w:jc w:val="both"/>
        <w:rPr>
          <w:sz w:val="20"/>
        </w:rPr>
      </w:pPr>
      <w:r>
        <w:rPr>
          <w:sz w:val="20"/>
        </w:rPr>
        <w:t>Rúmen</w:t>
      </w:r>
    </w:p>
    <w:p>
      <w:pPr>
        <w:pStyle w:val="BodyText"/>
        <w:spacing w:before="5" w:after="1"/>
        <w:jc w:val="left"/>
        <w:rPr>
          <w:sz w:val="12"/>
        </w:rPr>
      </w:pPr>
    </w:p>
    <w:p>
      <w:pPr>
        <w:pStyle w:val="BodyText"/>
        <w:ind w:left="813"/>
        <w:jc w:val="left"/>
        <w:rPr>
          <w:sz w:val="20"/>
        </w:rPr>
      </w:pPr>
      <w:r>
        <w:rPr>
          <w:sz w:val="20"/>
        </w:rPr>
        <w:drawing>
          <wp:inline distT="0" distB="0" distL="0" distR="0">
            <wp:extent cx="103378" cy="209550"/>
            <wp:effectExtent l="0" t="0" r="0" b="0"/>
            <wp:docPr id="7" name="image3.png" descr=""/>
            <wp:cNvGraphicFramePr>
              <a:graphicFrameLocks noChangeAspect="1"/>
            </wp:cNvGraphicFramePr>
            <a:graphic>
              <a:graphicData uri="http://schemas.openxmlformats.org/drawingml/2006/picture">
                <pic:pic>
                  <pic:nvPicPr>
                    <pic:cNvPr id="8" name="image3.png"/>
                    <pic:cNvPicPr/>
                  </pic:nvPicPr>
                  <pic:blipFill>
                    <a:blip r:embed="rId12" cstate="print"/>
                    <a:stretch>
                      <a:fillRect/>
                    </a:stretch>
                  </pic:blipFill>
                  <pic:spPr>
                    <a:xfrm>
                      <a:off x="0" y="0"/>
                      <a:ext cx="103378" cy="209550"/>
                    </a:xfrm>
                    <a:prstGeom prst="rect">
                      <a:avLst/>
                    </a:prstGeom>
                  </pic:spPr>
                </pic:pic>
              </a:graphicData>
            </a:graphic>
          </wp:inline>
        </w:drawing>
      </w:r>
      <w:r>
        <w:rPr>
          <w:sz w:val="20"/>
        </w:rPr>
      </w:r>
    </w:p>
    <w:p>
      <w:pPr>
        <w:spacing w:after="0"/>
        <w:jc w:val="left"/>
        <w:rPr>
          <w:sz w:val="20"/>
        </w:rPr>
        <w:sectPr>
          <w:pgSz w:w="12240" w:h="15840"/>
          <w:pgMar w:header="0" w:footer="1329" w:top="1500" w:bottom="1580" w:left="1340" w:right="1080"/>
        </w:sectPr>
      </w:pPr>
    </w:p>
    <w:p>
      <w:pPr>
        <w:spacing w:before="64"/>
        <w:ind w:left="99" w:right="0" w:firstLine="0"/>
        <w:jc w:val="center"/>
        <w:rPr>
          <w:sz w:val="20"/>
        </w:rPr>
      </w:pPr>
      <w:r>
        <w:rPr/>
        <w:drawing>
          <wp:anchor distT="0" distB="0" distL="0" distR="0" allowOverlap="1" layoutInCell="1" locked="0" behindDoc="0" simplePos="0" relativeHeight="1456">
            <wp:simplePos x="0" y="0"/>
            <wp:positionH relativeFrom="page">
              <wp:posOffset>2150364</wp:posOffset>
            </wp:positionH>
            <wp:positionV relativeFrom="paragraph">
              <wp:posOffset>208024</wp:posOffset>
            </wp:positionV>
            <wp:extent cx="234950" cy="103378"/>
            <wp:effectExtent l="0" t="0" r="0" b="0"/>
            <wp:wrapNone/>
            <wp:docPr id="9" name="image4.png" descr=""/>
            <wp:cNvGraphicFramePr>
              <a:graphicFrameLocks noChangeAspect="1"/>
            </wp:cNvGraphicFramePr>
            <a:graphic>
              <a:graphicData uri="http://schemas.openxmlformats.org/drawingml/2006/picture">
                <pic:pic>
                  <pic:nvPicPr>
                    <pic:cNvPr id="10" name="image4.png"/>
                    <pic:cNvPicPr/>
                  </pic:nvPicPr>
                  <pic:blipFill>
                    <a:blip r:embed="rId13" cstate="print"/>
                    <a:stretch>
                      <a:fillRect/>
                    </a:stretch>
                  </pic:blipFill>
                  <pic:spPr>
                    <a:xfrm>
                      <a:off x="0" y="0"/>
                      <a:ext cx="234950" cy="103378"/>
                    </a:xfrm>
                    <a:prstGeom prst="rect">
                      <a:avLst/>
                    </a:prstGeom>
                  </pic:spPr>
                </pic:pic>
              </a:graphicData>
            </a:graphic>
          </wp:anchor>
        </w:drawing>
      </w:r>
      <w:r>
        <w:rPr>
          <w:sz w:val="20"/>
        </w:rPr>
        <w:t>Ácido linoleico</w:t>
      </w:r>
    </w:p>
    <w:p>
      <w:pPr>
        <w:spacing w:before="111"/>
        <w:ind w:left="105" w:right="0" w:firstLine="0"/>
        <w:jc w:val="center"/>
        <w:rPr>
          <w:sz w:val="20"/>
        </w:rPr>
      </w:pPr>
      <w:r>
        <w:rPr>
          <w:i/>
          <w:sz w:val="20"/>
        </w:rPr>
        <w:t>cis-9, cis-12 </w:t>
      </w:r>
      <w:r>
        <w:rPr>
          <w:sz w:val="20"/>
        </w:rPr>
        <w:t>C18:2</w:t>
      </w:r>
    </w:p>
    <w:p>
      <w:pPr>
        <w:spacing w:before="93"/>
        <w:ind w:left="622" w:right="0" w:firstLine="0"/>
        <w:jc w:val="left"/>
        <w:rPr>
          <w:sz w:val="20"/>
        </w:rPr>
      </w:pPr>
      <w:r>
        <w:rPr/>
        <w:br w:type="column"/>
      </w:r>
      <w:r>
        <w:rPr>
          <w:i/>
          <w:sz w:val="20"/>
        </w:rPr>
        <w:t>cis-9, trans-11 </w:t>
      </w:r>
      <w:r>
        <w:rPr>
          <w:sz w:val="20"/>
        </w:rPr>
        <w:t>CLA</w:t>
      </w:r>
    </w:p>
    <w:p>
      <w:pPr>
        <w:spacing w:line="208" w:lineRule="exact" w:before="0"/>
        <w:ind w:left="105" w:right="0" w:firstLine="0"/>
        <w:jc w:val="left"/>
        <w:rPr>
          <w:sz w:val="20"/>
        </w:rPr>
      </w:pPr>
      <w:r>
        <w:rPr/>
        <w:br w:type="column"/>
      </w:r>
      <w:r>
        <w:rPr>
          <w:sz w:val="20"/>
        </w:rPr>
        <w:t>Ácido vaccénico</w:t>
      </w:r>
    </w:p>
    <w:p>
      <w:pPr>
        <w:tabs>
          <w:tab w:pos="1996" w:val="left" w:leader="none"/>
        </w:tabs>
        <w:spacing w:before="120"/>
        <w:ind w:left="167" w:right="0" w:firstLine="0"/>
        <w:jc w:val="left"/>
        <w:rPr>
          <w:sz w:val="20"/>
        </w:rPr>
      </w:pPr>
      <w:r>
        <w:rPr/>
        <w:drawing>
          <wp:anchor distT="0" distB="0" distL="0" distR="0" allowOverlap="1" layoutInCell="1" locked="0" behindDoc="0" simplePos="0" relativeHeight="1480">
            <wp:simplePos x="0" y="0"/>
            <wp:positionH relativeFrom="page">
              <wp:posOffset>3799332</wp:posOffset>
            </wp:positionH>
            <wp:positionV relativeFrom="paragraph">
              <wp:posOffset>66800</wp:posOffset>
            </wp:positionV>
            <wp:extent cx="254000" cy="103378"/>
            <wp:effectExtent l="0" t="0" r="0" b="0"/>
            <wp:wrapNone/>
            <wp:docPr id="11" name="image5.png" descr=""/>
            <wp:cNvGraphicFramePr>
              <a:graphicFrameLocks noChangeAspect="1"/>
            </wp:cNvGraphicFramePr>
            <a:graphic>
              <a:graphicData uri="http://schemas.openxmlformats.org/drawingml/2006/picture">
                <pic:pic>
                  <pic:nvPicPr>
                    <pic:cNvPr id="12" name="image5.png"/>
                    <pic:cNvPicPr/>
                  </pic:nvPicPr>
                  <pic:blipFill>
                    <a:blip r:embed="rId14" cstate="print"/>
                    <a:stretch>
                      <a:fillRect/>
                    </a:stretch>
                  </pic:blipFill>
                  <pic:spPr>
                    <a:xfrm>
                      <a:off x="0" y="0"/>
                      <a:ext cx="254000" cy="103378"/>
                    </a:xfrm>
                    <a:prstGeom prst="rect">
                      <a:avLst/>
                    </a:prstGeom>
                  </pic:spPr>
                </pic:pic>
              </a:graphicData>
            </a:graphic>
          </wp:anchor>
        </w:drawing>
      </w:r>
      <w:r>
        <w:rPr>
          <w:i/>
          <w:sz w:val="20"/>
        </w:rPr>
        <w:t>trans-11</w:t>
      </w:r>
      <w:r>
        <w:rPr>
          <w:i/>
          <w:spacing w:val="-2"/>
          <w:sz w:val="20"/>
        </w:rPr>
        <w:t> </w:t>
      </w:r>
      <w:r>
        <w:rPr>
          <w:sz w:val="20"/>
        </w:rPr>
        <w:t>C18:1</w:t>
        <w:tab/>
      </w:r>
      <w:r>
        <w:rPr>
          <w:position w:val="1"/>
          <w:sz w:val="20"/>
        </w:rPr>
        <w:drawing>
          <wp:inline distT="0" distB="0" distL="0" distR="0">
            <wp:extent cx="254000" cy="103378"/>
            <wp:effectExtent l="0" t="0" r="0" b="0"/>
            <wp:docPr id="13" name="image6.png" descr=""/>
            <wp:cNvGraphicFramePr>
              <a:graphicFrameLocks noChangeAspect="1"/>
            </wp:cNvGraphicFramePr>
            <a:graphic>
              <a:graphicData uri="http://schemas.openxmlformats.org/drawingml/2006/picture">
                <pic:pic>
                  <pic:nvPicPr>
                    <pic:cNvPr id="14" name="image6.png"/>
                    <pic:cNvPicPr/>
                  </pic:nvPicPr>
                  <pic:blipFill>
                    <a:blip r:embed="rId15" cstate="print"/>
                    <a:stretch>
                      <a:fillRect/>
                    </a:stretch>
                  </pic:blipFill>
                  <pic:spPr>
                    <a:xfrm>
                      <a:off x="0" y="0"/>
                      <a:ext cx="254000" cy="103378"/>
                    </a:xfrm>
                    <a:prstGeom prst="rect">
                      <a:avLst/>
                    </a:prstGeom>
                  </pic:spPr>
                </pic:pic>
              </a:graphicData>
            </a:graphic>
          </wp:inline>
        </w:drawing>
      </w:r>
      <w:r>
        <w:rPr>
          <w:position w:val="1"/>
          <w:sz w:val="20"/>
        </w:rPr>
      </w:r>
    </w:p>
    <w:p>
      <w:pPr>
        <w:spacing w:line="203" w:lineRule="exact" w:before="0"/>
        <w:ind w:left="88" w:right="88" w:firstLine="0"/>
        <w:jc w:val="center"/>
        <w:rPr>
          <w:sz w:val="20"/>
        </w:rPr>
      </w:pPr>
      <w:r>
        <w:rPr/>
        <w:br w:type="column"/>
      </w:r>
      <w:r>
        <w:rPr>
          <w:sz w:val="20"/>
        </w:rPr>
        <w:t>Ácido esteárico</w:t>
      </w:r>
    </w:p>
    <w:p>
      <w:pPr>
        <w:spacing w:before="115"/>
        <w:ind w:left="87" w:right="88" w:firstLine="0"/>
        <w:jc w:val="center"/>
        <w:rPr>
          <w:sz w:val="20"/>
        </w:rPr>
      </w:pPr>
      <w:r>
        <w:rPr>
          <w:sz w:val="20"/>
        </w:rPr>
        <w:t>C18:0</w:t>
      </w:r>
    </w:p>
    <w:p>
      <w:pPr>
        <w:spacing w:after="0"/>
        <w:jc w:val="center"/>
        <w:rPr>
          <w:sz w:val="20"/>
        </w:rPr>
        <w:sectPr>
          <w:type w:val="continuous"/>
          <w:pgSz w:w="12240" w:h="15840"/>
          <w:pgMar w:top="1500" w:bottom="2600" w:left="1340" w:right="1080"/>
          <w:cols w:num="4" w:equalWidth="0">
            <w:col w:w="1769" w:space="172"/>
            <w:col w:w="3103" w:space="383"/>
            <w:col w:w="2397" w:space="412"/>
            <w:col w:w="1584"/>
          </w:cols>
        </w:sectPr>
      </w:pPr>
    </w:p>
    <w:p>
      <w:pPr>
        <w:pStyle w:val="BodyText"/>
        <w:spacing w:before="6"/>
        <w:jc w:val="left"/>
        <w:rPr>
          <w:sz w:val="20"/>
        </w:rPr>
      </w:pPr>
    </w:p>
    <w:p>
      <w:pPr>
        <w:pStyle w:val="Heading1"/>
        <w:numPr>
          <w:ilvl w:val="1"/>
          <w:numId w:val="2"/>
        </w:numPr>
        <w:tabs>
          <w:tab w:pos="623" w:val="left" w:leader="none"/>
        </w:tabs>
        <w:spacing w:line="240" w:lineRule="auto" w:before="69" w:after="0"/>
        <w:ind w:left="622" w:right="0" w:hanging="470"/>
        <w:jc w:val="both"/>
      </w:pPr>
      <w:bookmarkStart w:name="_bookmark15" w:id="29"/>
      <w:bookmarkEnd w:id="29"/>
      <w:r>
        <w:rPr>
          <w:b w:val="0"/>
        </w:rPr>
      </w:r>
      <w:bookmarkStart w:name="_bookmark15" w:id="30"/>
      <w:bookmarkEnd w:id="30"/>
      <w:r>
        <w:rPr/>
        <w:t>A</w:t>
      </w:r>
      <w:r>
        <w:rPr/>
        <w:t>ntecedentes de biohidrogenación</w:t>
      </w:r>
      <w:r>
        <w:rPr>
          <w:spacing w:val="-36"/>
        </w:rPr>
        <w:t> </w:t>
      </w:r>
      <w:r>
        <w:rPr/>
        <w:t>ruminal</w:t>
      </w:r>
    </w:p>
    <w:p>
      <w:pPr>
        <w:pStyle w:val="BodyText"/>
        <w:spacing w:line="360" w:lineRule="auto" w:before="141"/>
        <w:ind w:left="152" w:right="102"/>
      </w:pPr>
      <w:r>
        <w:rPr/>
        <w:t>La conversión de los ácidos grasos poliinsaturados (PUFA) a ácidos grasos saturados (SFA) tiene implicaciones importantes en la salud humana. La transformación de PUFA a SFA (biohidrogenación) y la transformación de CLA, es catalizada por los microorganismos que habitan en el rúmen. La Organización Mundial de la Salud (por sus siglas en ingles WHO) (1994) ha recomendado que el total de grasa, SFA y trans-FA debe contribuir &lt;15% y el 30%, &lt;10% y &lt;1% de la ingesta energética total, respectivamente.</w:t>
      </w:r>
    </w:p>
    <w:p>
      <w:pPr>
        <w:pStyle w:val="BodyText"/>
        <w:spacing w:line="360" w:lineRule="auto" w:before="2"/>
        <w:ind w:left="152" w:right="100"/>
      </w:pPr>
      <w:r>
        <w:rPr/>
        <w:t>El CLA se encuentra presente en mayor concentración en los productos de rumiantes que en aquellos que no son rumiantes, o en aceites vegetales (Chin </w:t>
      </w:r>
      <w:r>
        <w:rPr>
          <w:i/>
        </w:rPr>
        <w:t>et </w:t>
      </w:r>
      <w:r>
        <w:rPr>
          <w:i/>
        </w:rPr>
        <w:t>al</w:t>
      </w:r>
      <w:r>
        <w:rPr/>
        <w:t>., 1992) a medida que se produce a partir de la biohidrogenación parcial de ácido linoleico (LA) y ácido linolénico (LNA) en el rúmen por los microorganismos ruminales (Chilliard </w:t>
      </w:r>
      <w:r>
        <w:rPr>
          <w:i/>
        </w:rPr>
        <w:t>et al</w:t>
      </w:r>
      <w:r>
        <w:rPr/>
        <w:t>., 2007)</w:t>
      </w:r>
    </w:p>
    <w:p>
      <w:pPr>
        <w:pStyle w:val="BodyText"/>
        <w:spacing w:before="8"/>
        <w:jc w:val="left"/>
        <w:rPr>
          <w:sz w:val="35"/>
        </w:rPr>
      </w:pPr>
    </w:p>
    <w:p>
      <w:pPr>
        <w:pStyle w:val="Heading1"/>
        <w:numPr>
          <w:ilvl w:val="2"/>
          <w:numId w:val="2"/>
        </w:numPr>
        <w:tabs>
          <w:tab w:pos="825" w:val="left" w:leader="none"/>
        </w:tabs>
        <w:spacing w:line="240" w:lineRule="auto" w:before="0" w:after="0"/>
        <w:ind w:left="825" w:right="0" w:hanging="673"/>
        <w:jc w:val="both"/>
      </w:pPr>
      <w:bookmarkStart w:name="_bookmark16" w:id="31"/>
      <w:bookmarkEnd w:id="31"/>
      <w:r>
        <w:rPr>
          <w:b w:val="0"/>
        </w:rPr>
      </w:r>
      <w:bookmarkStart w:name="_bookmark16" w:id="32"/>
      <w:bookmarkEnd w:id="32"/>
      <w:r>
        <w:rPr/>
        <w:t>M</w:t>
      </w:r>
      <w:r>
        <w:rPr/>
        <w:t>icroorganismos</w:t>
      </w:r>
      <w:r>
        <w:rPr>
          <w:spacing w:val="-21"/>
        </w:rPr>
        <w:t> </w:t>
      </w:r>
      <w:r>
        <w:rPr/>
        <w:t>ruminales</w:t>
      </w:r>
    </w:p>
    <w:p>
      <w:pPr>
        <w:pStyle w:val="BodyText"/>
        <w:spacing w:line="360" w:lineRule="auto" w:before="146"/>
        <w:ind w:left="152" w:right="103"/>
      </w:pPr>
      <w:r>
        <w:rPr/>
        <w:t>El rúmen es un órgano donde se almacena en forma parcial el forraje y cereales entre otros alimentos consumidos por las vacas, este material mezclado con otros residuos no digeridos se mantiene a una temperatura y presión osmótica constante. </w:t>
      </w:r>
      <w:r>
        <w:rPr>
          <w:spacing w:val="-4"/>
        </w:rPr>
        <w:t>El </w:t>
      </w:r>
      <w:r>
        <w:rPr/>
        <w:t>pH oscila de 6 a 7 por una acción tipo Buffer, atribuida en primer lugar a la gran secreción de saliva (conformada por bicarbonato de sodio, potasio  y urea), en segundo lugar por la absorción de ácidos a través de la pared ruminal y en tercer lugar por el amoniaco (Escobosa y Ávila,</w:t>
      </w:r>
      <w:r>
        <w:rPr>
          <w:spacing w:val="-11"/>
        </w:rPr>
        <w:t> </w:t>
      </w:r>
      <w:r>
        <w:rPr/>
        <w:t>2010)</w:t>
      </w:r>
    </w:p>
    <w:p>
      <w:pPr>
        <w:pStyle w:val="BodyText"/>
        <w:spacing w:line="279" w:lineRule="exact"/>
        <w:ind w:left="152"/>
        <w:rPr>
          <w:sz w:val="16"/>
        </w:rPr>
      </w:pPr>
      <w:r>
        <w:rPr/>
        <w:t>Los principales miembros de la comunidad microbiana son bacterias  (10</w:t>
      </w:r>
      <w:r>
        <w:rPr>
          <w:position w:val="8"/>
          <w:sz w:val="16"/>
        </w:rPr>
        <w:t>10  </w:t>
      </w:r>
      <w:r>
        <w:rPr/>
        <w:t>a   10</w:t>
      </w:r>
      <w:r>
        <w:rPr>
          <w:position w:val="8"/>
          <w:sz w:val="16"/>
        </w:rPr>
        <w:t>11</w:t>
      </w:r>
    </w:p>
    <w:p>
      <w:pPr>
        <w:pStyle w:val="BodyText"/>
        <w:spacing w:line="360" w:lineRule="auto" w:before="132"/>
        <w:ind w:left="152" w:right="99"/>
      </w:pPr>
      <w:r>
        <w:rPr/>
        <w:t>/ml), arqueas, protozoos (10</w:t>
      </w:r>
      <w:r>
        <w:rPr>
          <w:position w:val="8"/>
          <w:sz w:val="16"/>
        </w:rPr>
        <w:t>2 </w:t>
      </w:r>
      <w:r>
        <w:rPr/>
        <w:t>a 10</w:t>
      </w:r>
      <w:r>
        <w:rPr>
          <w:position w:val="8"/>
          <w:sz w:val="16"/>
        </w:rPr>
        <w:t>6 </w:t>
      </w:r>
      <w:r>
        <w:rPr/>
        <w:t>/ml) y hongos. Las bacterias son las </w:t>
      </w:r>
      <w:r>
        <w:rPr>
          <w:spacing w:val="-3"/>
        </w:rPr>
        <w:t>más </w:t>
      </w:r>
      <w:r>
        <w:rPr>
          <w:position w:val="2"/>
        </w:rPr>
        <w:t>abundantes, seguidos de arqueas (las productoras de CH</w:t>
      </w:r>
      <w:r>
        <w:rPr>
          <w:sz w:val="16"/>
        </w:rPr>
        <w:t>4</w:t>
      </w:r>
      <w:r>
        <w:rPr>
          <w:position w:val="2"/>
        </w:rPr>
        <w:t>), ciliadas protozoos y </w:t>
      </w:r>
      <w:r>
        <w:rPr/>
        <w:t>en menor número los hongos anaeróbicos., estas diferentes especies tienen diferentes roles, que interactúan y son esenciales para el sostenimiento de la comunidad microbiana y su actividad colectiva. Siendo un ejemplo de esto encontramos  a  la  bacteria  gram-positiva  </w:t>
      </w:r>
      <w:r>
        <w:rPr>
          <w:i/>
        </w:rPr>
        <w:t>Butyrivibrio  fibrisolvens  </w:t>
      </w:r>
      <w:r>
        <w:rPr/>
        <w:t>que  juega</w:t>
      </w:r>
      <w:r>
        <w:rPr>
          <w:spacing w:val="31"/>
        </w:rPr>
        <w:t> </w:t>
      </w:r>
      <w:r>
        <w:rPr/>
        <w:t>un</w:t>
      </w:r>
    </w:p>
    <w:p>
      <w:pPr>
        <w:spacing w:after="0" w:line="360" w:lineRule="auto"/>
        <w:sectPr>
          <w:pgSz w:w="12240" w:h="15840"/>
          <w:pgMar w:header="0" w:footer="1329" w:top="1500" w:bottom="1580" w:left="1720" w:right="1420"/>
        </w:sectPr>
      </w:pPr>
    </w:p>
    <w:p>
      <w:pPr>
        <w:pStyle w:val="BodyText"/>
        <w:spacing w:before="11"/>
        <w:jc w:val="left"/>
        <w:rPr>
          <w:sz w:val="20"/>
        </w:rPr>
      </w:pPr>
    </w:p>
    <w:p>
      <w:pPr>
        <w:pStyle w:val="BodyText"/>
        <w:spacing w:line="360" w:lineRule="auto" w:before="69"/>
        <w:ind w:left="152" w:right="110"/>
      </w:pPr>
      <w:r>
        <w:rPr/>
        <w:t>papel clave en la digestión de las fibras, aunque también muchas cepas son proteolíticas (Escobosa y Ávila, 2010)</w:t>
      </w:r>
    </w:p>
    <w:p>
      <w:pPr>
        <w:pStyle w:val="BodyText"/>
        <w:spacing w:line="360" w:lineRule="auto" w:before="3"/>
        <w:ind w:left="152" w:right="113"/>
      </w:pPr>
      <w:r>
        <w:rPr/>
        <w:t>Por otra parte, los protozoarios desempeñan un papel primordial en la biohidrogenación, pero diversos estudios revelan que las bacterias son las principales, siendo las celulolíticas las más involucradas en el proceso de biohidrogenación de los AG (Harfoot y Hazlewood, 1997; Martin y Jenkins, 2002)</w:t>
      </w:r>
    </w:p>
    <w:p>
      <w:pPr>
        <w:pStyle w:val="BodyText"/>
        <w:jc w:val="left"/>
      </w:pPr>
    </w:p>
    <w:p>
      <w:pPr>
        <w:pStyle w:val="Heading1"/>
        <w:numPr>
          <w:ilvl w:val="2"/>
          <w:numId w:val="2"/>
        </w:numPr>
        <w:tabs>
          <w:tab w:pos="824" w:val="left" w:leader="none"/>
        </w:tabs>
        <w:spacing w:line="240" w:lineRule="auto" w:before="140" w:after="0"/>
        <w:ind w:left="824" w:right="0" w:hanging="672"/>
        <w:jc w:val="both"/>
      </w:pPr>
      <w:bookmarkStart w:name="_bookmark17" w:id="33"/>
      <w:bookmarkEnd w:id="33"/>
      <w:r>
        <w:rPr>
          <w:b w:val="0"/>
        </w:rPr>
      </w:r>
      <w:bookmarkStart w:name="_bookmark17" w:id="34"/>
      <w:bookmarkEnd w:id="34"/>
      <w:r>
        <w:rPr/>
        <w:t>B</w:t>
      </w:r>
      <w:r>
        <w:rPr/>
        <w:t>iohidrogenacíón per</w:t>
      </w:r>
      <w:r>
        <w:rPr>
          <w:spacing w:val="-17"/>
        </w:rPr>
        <w:t> </w:t>
      </w:r>
      <w:r>
        <w:rPr/>
        <w:t>se</w:t>
      </w:r>
    </w:p>
    <w:p>
      <w:pPr>
        <w:pStyle w:val="BodyText"/>
        <w:spacing w:line="360" w:lineRule="auto" w:before="141"/>
        <w:ind w:left="152" w:right="102"/>
      </w:pPr>
      <w:r>
        <w:rPr/>
        <w:t>El sustrato principal de los AG´s para la biohidrogenación en animales de pastoreo es el LNA (</w:t>
      </w:r>
      <w:r>
        <w:rPr>
          <w:i/>
        </w:rPr>
        <w:t>cis-9, cis-12, cis-15 </w:t>
      </w:r>
      <w:r>
        <w:rPr/>
        <w:t>C18:3), ya que es el AG </w:t>
      </w:r>
      <w:r>
        <w:rPr>
          <w:spacing w:val="-3"/>
        </w:rPr>
        <w:t>más </w:t>
      </w:r>
      <w:r>
        <w:rPr/>
        <w:t>abundante presente en los glicolípidos y fosfolípidos de las hierbas y otros forrajes. El metabolismo de los AG´s en el rúmen implica la formación transitoria del CLA, principalmente </w:t>
      </w:r>
      <w:r>
        <w:rPr>
          <w:i/>
        </w:rPr>
        <w:t>cis-9, </w:t>
      </w:r>
      <w:r>
        <w:rPr>
          <w:i/>
        </w:rPr>
        <w:t>trans-11 </w:t>
      </w:r>
      <w:r>
        <w:rPr/>
        <w:t>C18:2 o ácido ruménico, que después se convierte en ácido vaccénico (VA), y, finalmente, ácido esteárico (C18:0). El LNA se metaboliza de una manera similar, aunque, como hay tres dobles enlaces que se reduzcan en las vías es ligeramente </w:t>
      </w:r>
      <w:r>
        <w:rPr>
          <w:spacing w:val="-3"/>
        </w:rPr>
        <w:t>más </w:t>
      </w:r>
      <w:r>
        <w:rPr/>
        <w:t>complicado (Harfoot y Hazlewood, 1997). La biohidrogenación sirve como protección a los microorganismos de los efectos tóxicos de los ácidos grasos insaturados (Jenkins,</w:t>
      </w:r>
      <w:r>
        <w:rPr>
          <w:spacing w:val="-12"/>
        </w:rPr>
        <w:t> </w:t>
      </w:r>
      <w:r>
        <w:rPr/>
        <w:t>1993)</w:t>
      </w:r>
    </w:p>
    <w:p>
      <w:pPr>
        <w:pStyle w:val="BodyText"/>
        <w:spacing w:line="360" w:lineRule="auto" w:before="3"/>
        <w:ind w:left="152" w:right="101"/>
      </w:pPr>
      <w:r>
        <w:rPr/>
        <w:t>En la lipólisis, los lípidos esterificados ingeridos se hidrolizan rápidamente por acción de la lipasas microbianas, producidas por bacterias; </w:t>
      </w:r>
      <w:r>
        <w:rPr>
          <w:i/>
        </w:rPr>
        <w:t>Anaerovibrio lipolytica </w:t>
      </w:r>
      <w:r>
        <w:rPr/>
        <w:t>es considerada la de mayor importancia como agente lipolítico en el rúmen (Henderson, 1975). Aunque, también los protozoos (Harfoot y Hazlewood, 1988) liberan ácidos grasos.</w:t>
      </w:r>
    </w:p>
    <w:p>
      <w:pPr>
        <w:pStyle w:val="BodyText"/>
        <w:spacing w:line="362" w:lineRule="auto" w:before="2"/>
        <w:ind w:left="152" w:right="111"/>
      </w:pPr>
      <w:r>
        <w:rPr/>
        <w:t>Después del proceso de lipólisis, tiene lugar la biohidrogenación, con ésta se reduce el número de enlaces dobles (Jenkins, 1993)</w:t>
      </w:r>
    </w:p>
    <w:p>
      <w:pPr>
        <w:pStyle w:val="BodyText"/>
        <w:spacing w:line="360" w:lineRule="auto"/>
        <w:ind w:left="152" w:right="103"/>
      </w:pPr>
      <w:r>
        <w:rPr/>
        <w:t>La biohidrogenación ruminal de los ácidos linoléico y linolénico da lugar al ácido linoléico conjugado (CLA </w:t>
      </w:r>
      <w:r>
        <w:rPr>
          <w:i/>
        </w:rPr>
        <w:t>cis-9, trans-11 </w:t>
      </w:r>
      <w:r>
        <w:rPr/>
        <w:t>C18:2) de la leche y sus derivados. En la biohidrogenación del ácido linoléico (</w:t>
      </w:r>
      <w:r>
        <w:rPr>
          <w:i/>
        </w:rPr>
        <w:t>cis-9, cis-12 </w:t>
      </w:r>
      <w:r>
        <w:rPr/>
        <w:t>C18:2) se observan tres pasos:</w:t>
      </w:r>
    </w:p>
    <w:p>
      <w:pPr>
        <w:spacing w:after="0" w:line="360" w:lineRule="auto"/>
        <w:sectPr>
          <w:pgSz w:w="12240" w:h="15840"/>
          <w:pgMar w:header="0" w:footer="1329" w:top="1500" w:bottom="1580" w:left="1720" w:right="1420"/>
        </w:sectPr>
      </w:pPr>
    </w:p>
    <w:p>
      <w:pPr>
        <w:pStyle w:val="BodyText"/>
        <w:spacing w:before="11"/>
        <w:jc w:val="left"/>
        <w:rPr>
          <w:sz w:val="20"/>
        </w:rPr>
      </w:pPr>
    </w:p>
    <w:p>
      <w:pPr>
        <w:pStyle w:val="ListParagraph"/>
        <w:numPr>
          <w:ilvl w:val="0"/>
          <w:numId w:val="4"/>
        </w:numPr>
        <w:tabs>
          <w:tab w:pos="864" w:val="left" w:leader="none"/>
        </w:tabs>
        <w:spacing w:line="360" w:lineRule="auto" w:before="69" w:after="0"/>
        <w:ind w:left="152" w:right="116" w:firstLine="0"/>
        <w:jc w:val="both"/>
        <w:rPr>
          <w:sz w:val="24"/>
        </w:rPr>
      </w:pPr>
      <w:r>
        <w:rPr>
          <w:sz w:val="24"/>
        </w:rPr>
        <w:t>Reacción de isomerización: convierte el enlace doble en la posición </w:t>
      </w:r>
      <w:r>
        <w:rPr>
          <w:i/>
          <w:sz w:val="24"/>
        </w:rPr>
        <w:t>cis-12 </w:t>
      </w:r>
      <w:r>
        <w:rPr>
          <w:sz w:val="24"/>
        </w:rPr>
        <w:t>del ácido graso insaturado en isomería </w:t>
      </w:r>
      <w:r>
        <w:rPr>
          <w:i/>
          <w:sz w:val="24"/>
        </w:rPr>
        <w:t>trans-11 </w:t>
      </w:r>
      <w:r>
        <w:rPr>
          <w:sz w:val="24"/>
        </w:rPr>
        <w:t>(Jenkins, 1993) por una enzima isomerasa, formando el CLA. La isomerasa no es funcional a menos que los  ácidos grasos tengan un grupo carboxilo libre; en el caso de los ácidos grasos poliinsaturados, como el linoléico, la configuración de enlace doble está presente (Kepler </w:t>
      </w:r>
      <w:r>
        <w:rPr>
          <w:i/>
          <w:sz w:val="24"/>
        </w:rPr>
        <w:t>et al</w:t>
      </w:r>
      <w:r>
        <w:rPr>
          <w:sz w:val="24"/>
        </w:rPr>
        <w:t>.,</w:t>
      </w:r>
      <w:r>
        <w:rPr>
          <w:spacing w:val="-6"/>
          <w:sz w:val="24"/>
        </w:rPr>
        <w:t> </w:t>
      </w:r>
      <w:r>
        <w:rPr>
          <w:sz w:val="24"/>
        </w:rPr>
        <w:t>1970)</w:t>
      </w:r>
    </w:p>
    <w:p>
      <w:pPr>
        <w:pStyle w:val="ListParagraph"/>
        <w:numPr>
          <w:ilvl w:val="0"/>
          <w:numId w:val="4"/>
        </w:numPr>
        <w:tabs>
          <w:tab w:pos="864" w:val="left" w:leader="none"/>
        </w:tabs>
        <w:spacing w:line="360" w:lineRule="auto" w:before="3" w:after="0"/>
        <w:ind w:left="152" w:right="116" w:firstLine="0"/>
        <w:jc w:val="both"/>
        <w:rPr>
          <w:sz w:val="24"/>
        </w:rPr>
      </w:pPr>
      <w:r>
        <w:rPr>
          <w:sz w:val="24"/>
        </w:rPr>
        <w:t>Acción reductasa sobre el enlace doble </w:t>
      </w:r>
      <w:r>
        <w:rPr>
          <w:i/>
          <w:sz w:val="24"/>
        </w:rPr>
        <w:t>cis-9, trans-11 </w:t>
      </w:r>
      <w:r>
        <w:rPr>
          <w:sz w:val="24"/>
        </w:rPr>
        <w:t>C18:2 a </w:t>
      </w:r>
      <w:r>
        <w:rPr>
          <w:i/>
          <w:sz w:val="24"/>
        </w:rPr>
        <w:t>trans-11 </w:t>
      </w:r>
      <w:r>
        <w:rPr>
          <w:sz w:val="24"/>
        </w:rPr>
        <w:t>C18:1 (ácido trans vaccénico), precursor del ácido ruménico (RA por sus siglas en inglés) en la glándula</w:t>
      </w:r>
      <w:r>
        <w:rPr>
          <w:spacing w:val="-13"/>
          <w:sz w:val="24"/>
        </w:rPr>
        <w:t> </w:t>
      </w:r>
      <w:r>
        <w:rPr>
          <w:sz w:val="24"/>
        </w:rPr>
        <w:t>mamaria.</w:t>
      </w:r>
    </w:p>
    <w:p>
      <w:pPr>
        <w:pStyle w:val="BodyText"/>
        <w:spacing w:line="360" w:lineRule="auto" w:before="2"/>
        <w:ind w:left="152" w:right="117"/>
      </w:pPr>
      <w:r>
        <w:rPr/>
        <w:t>En el caso del ácido linolénico, </w:t>
      </w:r>
      <w:r>
        <w:rPr>
          <w:spacing w:val="-3"/>
        </w:rPr>
        <w:t>se </w:t>
      </w:r>
      <w:r>
        <w:rPr/>
        <w:t>tienen en consideración dos isómeros de tipo </w:t>
      </w:r>
      <w:r>
        <w:rPr>
          <w:i/>
        </w:rPr>
        <w:t>cis</w:t>
      </w:r>
      <w:r>
        <w:rPr/>
        <w:t>-, el ácido α-linolénico (</w:t>
      </w:r>
      <w:r>
        <w:rPr>
          <w:i/>
        </w:rPr>
        <w:t>cis-9, cis-12, cis</w:t>
      </w:r>
      <w:r>
        <w:rPr/>
        <w:t>-15 C18:3) y el ácido γ-linolénico (</w:t>
      </w:r>
      <w:r>
        <w:rPr>
          <w:i/>
        </w:rPr>
        <w:t>cis-6, </w:t>
      </w:r>
      <w:r>
        <w:rPr>
          <w:i/>
        </w:rPr>
        <w:t>cis-9, cis-12 </w:t>
      </w:r>
      <w:r>
        <w:rPr/>
        <w:t>C18:3). Ambos son isomerizados en el enlace doble </w:t>
      </w:r>
      <w:r>
        <w:rPr>
          <w:i/>
        </w:rPr>
        <w:t>cis-12</w:t>
      </w:r>
      <w:r>
        <w:rPr/>
        <w:t>, seguido de una reducción de los enlaces dobles </w:t>
      </w:r>
      <w:r>
        <w:rPr>
          <w:i/>
        </w:rPr>
        <w:t>cis </w:t>
      </w:r>
      <w:r>
        <w:rPr/>
        <w:t>hasta la formación </w:t>
      </w:r>
      <w:r>
        <w:rPr>
          <w:spacing w:val="-3"/>
        </w:rPr>
        <w:t>del </w:t>
      </w:r>
      <w:r>
        <w:rPr/>
        <w:t>C18:1</w:t>
      </w:r>
      <w:r>
        <w:rPr>
          <w:spacing w:val="-9"/>
        </w:rPr>
        <w:t> </w:t>
      </w:r>
      <w:r>
        <w:rPr>
          <w:i/>
        </w:rPr>
        <w:t>trans-11</w:t>
      </w:r>
      <w:r>
        <w:rPr/>
        <w:t>.</w:t>
      </w:r>
    </w:p>
    <w:p>
      <w:pPr>
        <w:pStyle w:val="ListParagraph"/>
        <w:numPr>
          <w:ilvl w:val="0"/>
          <w:numId w:val="4"/>
        </w:numPr>
        <w:tabs>
          <w:tab w:pos="864" w:val="left" w:leader="none"/>
        </w:tabs>
        <w:spacing w:line="360" w:lineRule="auto" w:before="2" w:after="0"/>
        <w:ind w:left="152" w:right="119" w:firstLine="0"/>
        <w:jc w:val="both"/>
        <w:rPr>
          <w:sz w:val="24"/>
        </w:rPr>
      </w:pPr>
      <w:r>
        <w:rPr>
          <w:sz w:val="24"/>
        </w:rPr>
        <w:t>Acción reductasa del doble enlace </w:t>
      </w:r>
      <w:r>
        <w:rPr>
          <w:i/>
          <w:sz w:val="24"/>
        </w:rPr>
        <w:t>trans-11 </w:t>
      </w:r>
      <w:r>
        <w:rPr>
          <w:sz w:val="24"/>
        </w:rPr>
        <w:t>del ácido vaccénico originando ácido esteárico (C18:0) totalmente saturado. La isomerización inicial produce probablemente isómeros C18:1 </w:t>
      </w:r>
      <w:r>
        <w:rPr>
          <w:i/>
          <w:sz w:val="24"/>
        </w:rPr>
        <w:t>trans-10 </w:t>
      </w:r>
      <w:r>
        <w:rPr>
          <w:spacing w:val="-2"/>
          <w:sz w:val="24"/>
        </w:rPr>
        <w:t>además </w:t>
      </w:r>
      <w:r>
        <w:rPr>
          <w:sz w:val="24"/>
        </w:rPr>
        <w:t>del </w:t>
      </w:r>
      <w:r>
        <w:rPr>
          <w:i/>
          <w:sz w:val="24"/>
        </w:rPr>
        <w:t>trans-11 </w:t>
      </w:r>
      <w:r>
        <w:rPr>
          <w:sz w:val="24"/>
        </w:rPr>
        <w:t>(Griinari y Bauman, 1999)</w:t>
      </w:r>
    </w:p>
    <w:p>
      <w:pPr>
        <w:pStyle w:val="BodyText"/>
        <w:jc w:val="left"/>
      </w:pPr>
    </w:p>
    <w:p>
      <w:pPr>
        <w:pStyle w:val="BodyText"/>
        <w:spacing w:line="360" w:lineRule="auto" w:before="140"/>
        <w:ind w:left="152" w:right="117"/>
      </w:pPr>
      <w:r>
        <w:rPr/>
        <w:t>Se considera que los dos primeros pasos de la biohidrogenación son rápidos, mientras que el tercero tarda en completarse (Harfoot y Hazlewood, 1997), por lo que en el rúmen puede tener lugar un incremento en la concentración del producto intermedio (TVA), lo que permite que esté más disponible para su posterior absorción en el intestino.</w:t>
      </w:r>
    </w:p>
    <w:p>
      <w:pPr>
        <w:spacing w:line="360" w:lineRule="auto" w:before="2"/>
        <w:ind w:left="152" w:right="120" w:firstLine="0"/>
        <w:jc w:val="both"/>
        <w:rPr>
          <w:sz w:val="24"/>
        </w:rPr>
      </w:pPr>
      <w:r>
        <w:rPr>
          <w:sz w:val="24"/>
        </w:rPr>
        <w:t>La biohidrogenación del ácido linolénico (</w:t>
      </w:r>
      <w:r>
        <w:rPr>
          <w:i/>
          <w:sz w:val="24"/>
        </w:rPr>
        <w:t>cis-9, cis-12, cis-15 </w:t>
      </w:r>
      <w:r>
        <w:rPr>
          <w:sz w:val="24"/>
        </w:rPr>
        <w:t>C18:3) también produce </w:t>
      </w:r>
      <w:r>
        <w:rPr>
          <w:i/>
          <w:sz w:val="24"/>
        </w:rPr>
        <w:t>trans</w:t>
      </w:r>
      <w:r>
        <w:rPr>
          <w:sz w:val="24"/>
        </w:rPr>
        <w:t>-C18:1. La primera reacción es una isomerización produciendo </w:t>
      </w:r>
      <w:r>
        <w:rPr>
          <w:i/>
          <w:sz w:val="24"/>
        </w:rPr>
        <w:t>cis-9, </w:t>
      </w:r>
      <w:r>
        <w:rPr>
          <w:i/>
          <w:sz w:val="24"/>
        </w:rPr>
        <w:t>trans-11, cis15 </w:t>
      </w:r>
      <w:r>
        <w:rPr>
          <w:sz w:val="24"/>
        </w:rPr>
        <w:t>C18:3, seguida por una hidrogenación produciendo </w:t>
      </w:r>
      <w:r>
        <w:rPr>
          <w:i/>
          <w:sz w:val="24"/>
        </w:rPr>
        <w:t>trans-11, cis-15 </w:t>
      </w:r>
      <w:r>
        <w:rPr>
          <w:sz w:val="24"/>
        </w:rPr>
        <w:t>C18:2. Éste último puede ser hidrogenado a </w:t>
      </w:r>
      <w:r>
        <w:rPr>
          <w:i/>
          <w:sz w:val="24"/>
        </w:rPr>
        <w:t>trans-11, trans-15</w:t>
      </w:r>
      <w:r>
        <w:rPr>
          <w:sz w:val="24"/>
        </w:rPr>
        <w:t>, o </w:t>
      </w:r>
      <w:r>
        <w:rPr>
          <w:i/>
          <w:sz w:val="24"/>
        </w:rPr>
        <w:t>cis-15 </w:t>
      </w:r>
      <w:r>
        <w:rPr>
          <w:sz w:val="24"/>
        </w:rPr>
        <w:t>C18:1.  Los ácidos grasos </w:t>
      </w:r>
      <w:r>
        <w:rPr>
          <w:i/>
          <w:sz w:val="24"/>
        </w:rPr>
        <w:t>trans-15 </w:t>
      </w:r>
      <w:r>
        <w:rPr>
          <w:sz w:val="24"/>
        </w:rPr>
        <w:t>y </w:t>
      </w:r>
      <w:r>
        <w:rPr>
          <w:i/>
          <w:sz w:val="24"/>
        </w:rPr>
        <w:t>cis-15 </w:t>
      </w:r>
      <w:r>
        <w:rPr>
          <w:sz w:val="24"/>
        </w:rPr>
        <w:t>C18:1 son considerados productos finales  </w:t>
      </w:r>
      <w:r>
        <w:rPr>
          <w:spacing w:val="25"/>
          <w:sz w:val="24"/>
        </w:rPr>
        <w:t> </w:t>
      </w:r>
      <w:r>
        <w:rPr>
          <w:sz w:val="24"/>
        </w:rPr>
        <w:t>de</w:t>
      </w:r>
    </w:p>
    <w:p>
      <w:pPr>
        <w:spacing w:after="0" w:line="360" w:lineRule="auto"/>
        <w:jc w:val="both"/>
        <w:rPr>
          <w:sz w:val="24"/>
        </w:rPr>
        <w:sectPr>
          <w:pgSz w:w="12240" w:h="15840"/>
          <w:pgMar w:header="0" w:footer="1329" w:top="1500" w:bottom="1580" w:left="1720" w:right="1400"/>
        </w:sectPr>
      </w:pPr>
    </w:p>
    <w:p>
      <w:pPr>
        <w:pStyle w:val="BodyText"/>
        <w:spacing w:before="11"/>
        <w:jc w:val="left"/>
        <w:rPr>
          <w:sz w:val="20"/>
        </w:rPr>
      </w:pPr>
    </w:p>
    <w:p>
      <w:pPr>
        <w:pStyle w:val="BodyText"/>
        <w:spacing w:line="360" w:lineRule="auto" w:before="69"/>
        <w:ind w:left="412"/>
        <w:jc w:val="left"/>
      </w:pPr>
      <w:r>
        <w:rPr/>
        <w:t>la biohidrogenación porque es probable que no sean hidrogenados más adelante (Harfoot y Hazlewood, 1997) (Figura 5)</w:t>
      </w:r>
    </w:p>
    <w:p>
      <w:pPr>
        <w:pStyle w:val="BodyText"/>
        <w:jc w:val="left"/>
      </w:pPr>
    </w:p>
    <w:p>
      <w:pPr>
        <w:pStyle w:val="BodyText"/>
        <w:spacing w:before="6"/>
        <w:jc w:val="left"/>
        <w:rPr>
          <w:sz w:val="20"/>
        </w:rPr>
      </w:pPr>
    </w:p>
    <w:p>
      <w:pPr>
        <w:spacing w:before="0"/>
        <w:ind w:left="412" w:right="0" w:firstLine="0"/>
        <w:jc w:val="left"/>
        <w:rPr>
          <w:sz w:val="24"/>
        </w:rPr>
      </w:pPr>
      <w:r>
        <w:rPr>
          <w:b/>
          <w:sz w:val="24"/>
        </w:rPr>
        <w:t>Figura 5: </w:t>
      </w:r>
      <w:r>
        <w:rPr>
          <w:sz w:val="24"/>
        </w:rPr>
        <w:t>Vías de biohidrogenación en el rúmen</w:t>
      </w:r>
    </w:p>
    <w:p>
      <w:pPr>
        <w:pStyle w:val="BodyText"/>
        <w:jc w:val="left"/>
        <w:rPr>
          <w:sz w:val="20"/>
        </w:rPr>
      </w:pPr>
    </w:p>
    <w:p>
      <w:pPr>
        <w:pStyle w:val="BodyText"/>
        <w:spacing w:before="4"/>
        <w:jc w:val="left"/>
        <w:rPr>
          <w:sz w:val="26"/>
        </w:rPr>
      </w:pPr>
      <w:r>
        <w:rPr/>
        <w:drawing>
          <wp:anchor distT="0" distB="0" distL="0" distR="0" allowOverlap="1" layoutInCell="1" locked="0" behindDoc="0" simplePos="0" relativeHeight="1504">
            <wp:simplePos x="0" y="0"/>
            <wp:positionH relativeFrom="page">
              <wp:posOffset>990600</wp:posOffset>
            </wp:positionH>
            <wp:positionV relativeFrom="paragraph">
              <wp:posOffset>217271</wp:posOffset>
            </wp:positionV>
            <wp:extent cx="5402645" cy="2241232"/>
            <wp:effectExtent l="0" t="0" r="0" b="0"/>
            <wp:wrapTopAndBottom/>
            <wp:docPr id="15" name="image7.jpeg" descr=""/>
            <wp:cNvGraphicFramePr>
              <a:graphicFrameLocks noChangeAspect="1"/>
            </wp:cNvGraphicFramePr>
            <a:graphic>
              <a:graphicData uri="http://schemas.openxmlformats.org/drawingml/2006/picture">
                <pic:pic>
                  <pic:nvPicPr>
                    <pic:cNvPr id="16" name="image7.jpeg"/>
                    <pic:cNvPicPr/>
                  </pic:nvPicPr>
                  <pic:blipFill>
                    <a:blip r:embed="rId16" cstate="print"/>
                    <a:stretch>
                      <a:fillRect/>
                    </a:stretch>
                  </pic:blipFill>
                  <pic:spPr>
                    <a:xfrm>
                      <a:off x="0" y="0"/>
                      <a:ext cx="5402645" cy="2241232"/>
                    </a:xfrm>
                    <a:prstGeom prst="rect">
                      <a:avLst/>
                    </a:prstGeom>
                  </pic:spPr>
                </pic:pic>
              </a:graphicData>
            </a:graphic>
          </wp:anchor>
        </w:drawing>
      </w:r>
    </w:p>
    <w:p>
      <w:pPr>
        <w:spacing w:after="0"/>
        <w:jc w:val="left"/>
        <w:rPr>
          <w:sz w:val="26"/>
        </w:rPr>
        <w:sectPr>
          <w:pgSz w:w="12240" w:h="15840"/>
          <w:pgMar w:header="0" w:footer="1329" w:top="1500" w:bottom="1580" w:left="1460" w:right="1420"/>
        </w:sectPr>
      </w:pPr>
    </w:p>
    <w:p>
      <w:pPr>
        <w:pStyle w:val="BodyText"/>
        <w:spacing w:before="6"/>
        <w:jc w:val="left"/>
        <w:rPr>
          <w:sz w:val="20"/>
        </w:rPr>
      </w:pPr>
    </w:p>
    <w:p>
      <w:pPr>
        <w:pStyle w:val="Heading1"/>
        <w:numPr>
          <w:ilvl w:val="0"/>
          <w:numId w:val="5"/>
        </w:numPr>
        <w:tabs>
          <w:tab w:pos="422" w:val="left" w:leader="none"/>
        </w:tabs>
        <w:spacing w:line="240" w:lineRule="auto" w:before="69" w:after="0"/>
        <w:ind w:left="421" w:right="0" w:hanging="269"/>
        <w:jc w:val="both"/>
      </w:pPr>
      <w:bookmarkStart w:name="_bookmark18" w:id="35"/>
      <w:bookmarkEnd w:id="35"/>
      <w:r>
        <w:rPr>
          <w:b w:val="0"/>
        </w:rPr>
      </w:r>
      <w:bookmarkStart w:name="_bookmark18" w:id="36"/>
      <w:bookmarkEnd w:id="36"/>
      <w:r>
        <w:rPr/>
        <w:t>J</w:t>
      </w:r>
      <w:r>
        <w:rPr/>
        <w:t>USTIFICACIÓN</w:t>
      </w:r>
    </w:p>
    <w:p>
      <w:pPr>
        <w:pStyle w:val="BodyText"/>
        <w:jc w:val="left"/>
        <w:rPr>
          <w:b/>
        </w:rPr>
      </w:pPr>
    </w:p>
    <w:p>
      <w:pPr>
        <w:pStyle w:val="BodyText"/>
        <w:spacing w:before="3"/>
        <w:jc w:val="left"/>
        <w:rPr>
          <w:b/>
        </w:rPr>
      </w:pPr>
    </w:p>
    <w:p>
      <w:pPr>
        <w:pStyle w:val="BodyText"/>
        <w:spacing w:line="360" w:lineRule="auto"/>
        <w:ind w:left="152" w:right="115"/>
      </w:pPr>
      <w:r>
        <w:rPr/>
        <w:t>En México la producción de leche basada en un Sistema Silvopastoril es relativamente nueva por lo que la base tecnológica de este sistema aún no es completamente conocida, tampoco se conocen los efectos sobre la calidad de la leche y los quesos. En el presente estudio se plantea la importancia de determinar el efecto de un sistema de alimentación Silvopastoril sobre el perfil de ácidos grasos de un queso artesanal, ya que se sabe que mediante la manipulación en la dieta del animal (pastoreo de forrajes frescos), es posible modificar el rendimiento y perfil de ácidos grasos de la grasa de la leche de bovinos y por consiguiente en el queso (Elgersma </w:t>
      </w:r>
      <w:r>
        <w:rPr>
          <w:i/>
        </w:rPr>
        <w:t>et al., </w:t>
      </w:r>
      <w:r>
        <w:rPr/>
        <w:t>2006), sin embargo este estudio nunca se ha llevado a cabo en Sistemas Silvopastoriles de regiones de clima tropical. Se estima que un sistema como el que </w:t>
      </w:r>
      <w:r>
        <w:rPr>
          <w:spacing w:val="-3"/>
        </w:rPr>
        <w:t>se </w:t>
      </w:r>
      <w:r>
        <w:rPr/>
        <w:t>plantea en el presente estudio puede aumentar el contenido de ácidos grasos de cadena larga, en particular aquellos que son benéficos para la salud del consumidor como el linoleico y linolénico, de ahí la importancia de llevar a cabo este</w:t>
      </w:r>
      <w:r>
        <w:rPr>
          <w:spacing w:val="-22"/>
        </w:rPr>
        <w:t> </w:t>
      </w:r>
      <w:r>
        <w:rPr/>
        <w:t>trabajo.</w:t>
      </w:r>
    </w:p>
    <w:p>
      <w:pPr>
        <w:spacing w:after="0" w:line="360" w:lineRule="auto"/>
        <w:sectPr>
          <w:pgSz w:w="12240" w:h="15840"/>
          <w:pgMar w:header="0" w:footer="1329" w:top="1500" w:bottom="1580" w:left="1720" w:right="1400"/>
        </w:sectPr>
      </w:pPr>
    </w:p>
    <w:p>
      <w:pPr>
        <w:pStyle w:val="BodyText"/>
        <w:spacing w:before="6"/>
        <w:jc w:val="left"/>
        <w:rPr>
          <w:sz w:val="20"/>
        </w:rPr>
      </w:pPr>
    </w:p>
    <w:p>
      <w:pPr>
        <w:pStyle w:val="Heading1"/>
        <w:numPr>
          <w:ilvl w:val="0"/>
          <w:numId w:val="5"/>
        </w:numPr>
        <w:tabs>
          <w:tab w:pos="422" w:val="left" w:leader="none"/>
        </w:tabs>
        <w:spacing w:line="240" w:lineRule="auto" w:before="69" w:after="0"/>
        <w:ind w:left="421" w:right="0" w:hanging="269"/>
        <w:jc w:val="both"/>
      </w:pPr>
      <w:bookmarkStart w:name="_bookmark19" w:id="37"/>
      <w:bookmarkEnd w:id="37"/>
      <w:r>
        <w:rPr>
          <w:b w:val="0"/>
        </w:rPr>
      </w:r>
      <w:bookmarkStart w:name="_bookmark19" w:id="38"/>
      <w:bookmarkEnd w:id="38"/>
      <w:r>
        <w:rPr/>
        <w:t>H</w:t>
      </w:r>
      <w:r>
        <w:rPr/>
        <w:t>IPÓTESIS</w:t>
      </w:r>
    </w:p>
    <w:p>
      <w:pPr>
        <w:pStyle w:val="BodyText"/>
        <w:jc w:val="left"/>
        <w:rPr>
          <w:b/>
        </w:rPr>
      </w:pPr>
    </w:p>
    <w:p>
      <w:pPr>
        <w:pStyle w:val="BodyText"/>
        <w:spacing w:before="3"/>
        <w:jc w:val="left"/>
        <w:rPr>
          <w:b/>
        </w:rPr>
      </w:pPr>
    </w:p>
    <w:p>
      <w:pPr>
        <w:pStyle w:val="BodyText"/>
        <w:spacing w:line="360" w:lineRule="auto"/>
        <w:ind w:left="152" w:right="98"/>
      </w:pPr>
      <w:r>
        <w:rPr/>
        <w:t>El empleo de un Sistema Silvopastoril Intensivo basado en el uso de </w:t>
      </w:r>
      <w:r>
        <w:rPr>
          <w:i/>
        </w:rPr>
        <w:t>Leucaena </w:t>
      </w:r>
      <w:r>
        <w:rPr>
          <w:i/>
        </w:rPr>
        <w:t>leucocephala </w:t>
      </w:r>
      <w:r>
        <w:rPr/>
        <w:t>y pasto Tanzania (</w:t>
      </w:r>
      <w:r>
        <w:rPr>
          <w:i/>
        </w:rPr>
        <w:t>Panicum máximum</w:t>
      </w:r>
      <w:r>
        <w:rPr/>
        <w:t>) modifica el contenido  de ácido linoleico y linolénico en el Queso Tepeque de Michoacán.</w:t>
      </w:r>
    </w:p>
    <w:p>
      <w:pPr>
        <w:spacing w:after="0" w:line="360" w:lineRule="auto"/>
        <w:sectPr>
          <w:pgSz w:w="12240" w:h="15840"/>
          <w:pgMar w:header="0" w:footer="1329" w:top="1500" w:bottom="1580" w:left="1720" w:right="1420"/>
        </w:sectPr>
      </w:pPr>
    </w:p>
    <w:p>
      <w:pPr>
        <w:pStyle w:val="BodyText"/>
        <w:spacing w:before="6"/>
        <w:jc w:val="left"/>
        <w:rPr>
          <w:sz w:val="20"/>
        </w:rPr>
      </w:pPr>
    </w:p>
    <w:p>
      <w:pPr>
        <w:pStyle w:val="Heading1"/>
        <w:numPr>
          <w:ilvl w:val="0"/>
          <w:numId w:val="5"/>
        </w:numPr>
        <w:tabs>
          <w:tab w:pos="422" w:val="left" w:leader="none"/>
        </w:tabs>
        <w:spacing w:line="240" w:lineRule="auto" w:before="69" w:after="0"/>
        <w:ind w:left="421" w:right="0" w:hanging="269"/>
        <w:jc w:val="both"/>
      </w:pPr>
      <w:bookmarkStart w:name="_bookmark20" w:id="39"/>
      <w:bookmarkEnd w:id="39"/>
      <w:r>
        <w:rPr>
          <w:b w:val="0"/>
        </w:rPr>
      </w:r>
      <w:bookmarkStart w:name="_bookmark20" w:id="40"/>
      <w:bookmarkEnd w:id="40"/>
      <w:r>
        <w:rPr/>
        <w:t>OBJ</w:t>
      </w:r>
      <w:r>
        <w:rPr/>
        <w:t>ETIVOS</w:t>
      </w:r>
    </w:p>
    <w:p>
      <w:pPr>
        <w:pStyle w:val="BodyText"/>
        <w:jc w:val="left"/>
        <w:rPr>
          <w:b/>
        </w:rPr>
      </w:pPr>
    </w:p>
    <w:p>
      <w:pPr>
        <w:pStyle w:val="BodyText"/>
        <w:spacing w:before="9"/>
        <w:jc w:val="left"/>
        <w:rPr>
          <w:b/>
          <w:sz w:val="23"/>
        </w:rPr>
      </w:pPr>
    </w:p>
    <w:p>
      <w:pPr>
        <w:spacing w:before="0"/>
        <w:ind w:left="152" w:right="0" w:firstLine="0"/>
        <w:jc w:val="both"/>
        <w:rPr>
          <w:b/>
          <w:sz w:val="24"/>
        </w:rPr>
      </w:pPr>
      <w:r>
        <w:rPr>
          <w:b/>
          <w:sz w:val="24"/>
        </w:rPr>
        <w:t>GENERAL</w:t>
      </w:r>
    </w:p>
    <w:p>
      <w:pPr>
        <w:pStyle w:val="BodyText"/>
        <w:spacing w:line="360" w:lineRule="auto" w:before="146"/>
        <w:ind w:left="152" w:right="117"/>
      </w:pPr>
      <w:r>
        <w:rPr/>
        <w:t>Determinar el contenido de ácidos grasos en el queso artesanal Tepeque elaborado en el Valle de Tepalcatepec producido en dos sistemas, el Sistema Silvopastoril intensivo y el Sistema Tradicional.</w:t>
      </w:r>
    </w:p>
    <w:p>
      <w:pPr>
        <w:pStyle w:val="BodyText"/>
        <w:jc w:val="left"/>
      </w:pPr>
    </w:p>
    <w:p>
      <w:pPr>
        <w:pStyle w:val="Heading1"/>
        <w:spacing w:before="140"/>
      </w:pPr>
      <w:r>
        <w:rPr/>
        <w:t>ESPECÍFICOS</w:t>
      </w:r>
    </w:p>
    <w:p>
      <w:pPr>
        <w:pStyle w:val="ListParagraph"/>
        <w:numPr>
          <w:ilvl w:val="1"/>
          <w:numId w:val="5"/>
        </w:numPr>
        <w:tabs>
          <w:tab w:pos="873" w:val="left" w:leader="none"/>
        </w:tabs>
        <w:spacing w:line="360" w:lineRule="auto" w:before="141" w:after="0"/>
        <w:ind w:left="873" w:right="115" w:hanging="360"/>
        <w:jc w:val="left"/>
        <w:rPr>
          <w:sz w:val="24"/>
        </w:rPr>
      </w:pPr>
      <w:r>
        <w:rPr>
          <w:sz w:val="24"/>
        </w:rPr>
        <w:t>Determinar sí el empleo de un Sistema Silvopastoril intensivo genera un aumento del contenido de ácidos grasos de cadena</w:t>
      </w:r>
      <w:r>
        <w:rPr>
          <w:spacing w:val="-29"/>
          <w:sz w:val="24"/>
        </w:rPr>
        <w:t> </w:t>
      </w:r>
      <w:r>
        <w:rPr>
          <w:sz w:val="24"/>
        </w:rPr>
        <w:t>larga.</w:t>
      </w:r>
    </w:p>
    <w:p>
      <w:pPr>
        <w:pStyle w:val="ListParagraph"/>
        <w:numPr>
          <w:ilvl w:val="1"/>
          <w:numId w:val="5"/>
        </w:numPr>
        <w:tabs>
          <w:tab w:pos="873" w:val="left" w:leader="none"/>
        </w:tabs>
        <w:spacing w:line="362" w:lineRule="auto" w:before="3" w:after="0"/>
        <w:ind w:left="873" w:right="115" w:hanging="360"/>
        <w:jc w:val="left"/>
        <w:rPr>
          <w:sz w:val="24"/>
        </w:rPr>
      </w:pPr>
      <w:r>
        <w:rPr>
          <w:sz w:val="24"/>
        </w:rPr>
        <w:t>Comparar el contenido de los ácidos grasos en el queso artesanal Tepeque en cuatro periodos de</w:t>
      </w:r>
      <w:r>
        <w:rPr>
          <w:spacing w:val="-6"/>
          <w:sz w:val="24"/>
        </w:rPr>
        <w:t> </w:t>
      </w:r>
      <w:r>
        <w:rPr>
          <w:sz w:val="24"/>
        </w:rPr>
        <w:t>maduración.</w:t>
      </w:r>
    </w:p>
    <w:p>
      <w:pPr>
        <w:spacing w:after="0" w:line="362" w:lineRule="auto"/>
        <w:jc w:val="left"/>
        <w:rPr>
          <w:sz w:val="24"/>
        </w:rPr>
        <w:sectPr>
          <w:pgSz w:w="12240" w:h="15840"/>
          <w:pgMar w:header="0" w:footer="1329" w:top="1500" w:bottom="1580" w:left="1720" w:right="1420"/>
        </w:sectPr>
      </w:pPr>
    </w:p>
    <w:p>
      <w:pPr>
        <w:pStyle w:val="BodyText"/>
        <w:spacing w:before="6"/>
        <w:jc w:val="left"/>
        <w:rPr>
          <w:sz w:val="20"/>
        </w:rPr>
      </w:pPr>
    </w:p>
    <w:p>
      <w:pPr>
        <w:pStyle w:val="Heading1"/>
        <w:numPr>
          <w:ilvl w:val="0"/>
          <w:numId w:val="5"/>
        </w:numPr>
        <w:tabs>
          <w:tab w:pos="422" w:val="left" w:leader="none"/>
        </w:tabs>
        <w:spacing w:line="240" w:lineRule="auto" w:before="69" w:after="0"/>
        <w:ind w:left="421" w:right="0" w:hanging="269"/>
        <w:jc w:val="both"/>
      </w:pPr>
      <w:bookmarkStart w:name="_bookmark21" w:id="41"/>
      <w:bookmarkEnd w:id="41"/>
      <w:r>
        <w:rPr>
          <w:b w:val="0"/>
        </w:rPr>
      </w:r>
      <w:bookmarkStart w:name="_bookmark21" w:id="42"/>
      <w:bookmarkEnd w:id="42"/>
      <w:r>
        <w:rPr/>
        <w:t>M</w:t>
      </w:r>
      <w:r>
        <w:rPr/>
        <w:t>ATERIAL Y</w:t>
      </w:r>
      <w:r>
        <w:rPr>
          <w:spacing w:val="-8"/>
        </w:rPr>
        <w:t> </w:t>
      </w:r>
      <w:r>
        <w:rPr/>
        <w:t>MÉTODOS</w:t>
      </w:r>
    </w:p>
    <w:p>
      <w:pPr>
        <w:pStyle w:val="Heading1"/>
        <w:numPr>
          <w:ilvl w:val="1"/>
          <w:numId w:val="6"/>
        </w:numPr>
        <w:tabs>
          <w:tab w:pos="624" w:val="left" w:leader="none"/>
        </w:tabs>
        <w:spacing w:line="240" w:lineRule="auto" w:before="137" w:after="0"/>
        <w:ind w:left="623" w:right="0" w:hanging="471"/>
        <w:jc w:val="both"/>
      </w:pPr>
      <w:bookmarkStart w:name="_bookmark22" w:id="43"/>
      <w:bookmarkEnd w:id="43"/>
      <w:r>
        <w:rPr>
          <w:b w:val="0"/>
        </w:rPr>
      </w:r>
      <w:bookmarkStart w:name="_bookmark22" w:id="44"/>
      <w:bookmarkEnd w:id="44"/>
      <w:r>
        <w:rPr/>
        <w:t>L</w:t>
      </w:r>
      <w:r>
        <w:rPr/>
        <w:t>ocalización geográfica del área de</w:t>
      </w:r>
      <w:r>
        <w:rPr>
          <w:spacing w:val="-27"/>
        </w:rPr>
        <w:t> </w:t>
      </w:r>
      <w:r>
        <w:rPr/>
        <w:t>estudio</w:t>
      </w:r>
    </w:p>
    <w:p>
      <w:pPr>
        <w:pStyle w:val="BodyText"/>
        <w:spacing w:line="360" w:lineRule="auto" w:before="142"/>
        <w:ind w:left="152" w:right="113"/>
      </w:pPr>
      <w:r>
        <w:rPr/>
        <w:t>El presente estudio se llevó a cabo en el Estado de Michoacán, el cual se localiza en la región Centro Occidente de la República Mexicana. Teniendo como coordenadas extremas: 19° 11´de latitud Norte, 102° 51´de longitud Oeste y una altitud de 370 msnm (INEGI, 2009)</w:t>
      </w:r>
    </w:p>
    <w:p>
      <w:pPr>
        <w:pStyle w:val="BodyText"/>
        <w:jc w:val="left"/>
      </w:pPr>
    </w:p>
    <w:p>
      <w:pPr>
        <w:pStyle w:val="Heading1"/>
        <w:spacing w:before="140"/>
      </w:pPr>
      <w:r>
        <w:rPr/>
        <w:t>Características del área de estudio</w:t>
      </w:r>
    </w:p>
    <w:p>
      <w:pPr>
        <w:pStyle w:val="BodyText"/>
        <w:spacing w:line="360" w:lineRule="auto" w:before="141"/>
        <w:ind w:left="152" w:right="108"/>
      </w:pPr>
      <w:r>
        <w:rPr/>
        <w:t>El valle de Tepalcatepec posee un clima seco o estepario, con una temperatura media mayor de 22°C, régimen de lluvias de verano con una precipitación anual  de </w:t>
      </w:r>
      <w:r>
        <w:rPr>
          <w:spacing w:val="-2"/>
        </w:rPr>
        <w:t>634mm. </w:t>
      </w:r>
      <w:r>
        <w:rPr/>
        <w:t>La vegetación nativa circundante corresponde a la selva baja caducifolia.</w:t>
      </w:r>
    </w:p>
    <w:p>
      <w:pPr>
        <w:pStyle w:val="BodyText"/>
        <w:spacing w:before="8"/>
        <w:jc w:val="left"/>
        <w:rPr>
          <w:sz w:val="35"/>
        </w:rPr>
      </w:pPr>
    </w:p>
    <w:p>
      <w:pPr>
        <w:pStyle w:val="Heading1"/>
        <w:numPr>
          <w:ilvl w:val="1"/>
          <w:numId w:val="6"/>
        </w:numPr>
        <w:tabs>
          <w:tab w:pos="624" w:val="left" w:leader="none"/>
        </w:tabs>
        <w:spacing w:line="240" w:lineRule="auto" w:before="0" w:after="0"/>
        <w:ind w:left="623" w:right="0" w:hanging="471"/>
        <w:jc w:val="both"/>
      </w:pPr>
      <w:bookmarkStart w:name="_bookmark23" w:id="45"/>
      <w:bookmarkEnd w:id="45"/>
      <w:r>
        <w:rPr>
          <w:b w:val="0"/>
        </w:rPr>
      </w:r>
      <w:bookmarkStart w:name="_bookmark23" w:id="46"/>
      <w:bookmarkEnd w:id="46"/>
      <w:r>
        <w:rPr/>
        <w:t>S</w:t>
      </w:r>
      <w:r>
        <w:rPr/>
        <w:t>istema de</w:t>
      </w:r>
      <w:r>
        <w:rPr>
          <w:spacing w:val="-15"/>
        </w:rPr>
        <w:t> </w:t>
      </w:r>
      <w:r>
        <w:rPr/>
        <w:t>alimentación</w:t>
      </w:r>
    </w:p>
    <w:p>
      <w:pPr>
        <w:pStyle w:val="BodyText"/>
        <w:spacing w:line="360" w:lineRule="auto" w:before="142"/>
        <w:ind w:left="152" w:right="102"/>
      </w:pPr>
      <w:r>
        <w:rPr/>
        <w:t>Los SSPi empleados en la producción de leche se basan en la utilización de una gramínea y una leguminosa sembrada a altas densidades, en este caso </w:t>
      </w:r>
      <w:r>
        <w:rPr>
          <w:i/>
        </w:rPr>
        <w:t>Leucaena </w:t>
      </w:r>
      <w:r>
        <w:rPr>
          <w:i/>
        </w:rPr>
        <w:t>leucocephala </w:t>
      </w:r>
      <w:r>
        <w:rPr/>
        <w:t>y Pasto Tanzania (</w:t>
      </w:r>
      <w:r>
        <w:rPr>
          <w:i/>
        </w:rPr>
        <w:t>Panicum máximum</w:t>
      </w:r>
      <w:r>
        <w:rPr/>
        <w:t>) adicionando 1.5 kg de concentrado comercial a la dieta. Para el Sistema Tradicional (ST) se empleó Pasto estrella de África (</w:t>
      </w:r>
      <w:r>
        <w:rPr>
          <w:i/>
        </w:rPr>
        <w:t>Cynodon plectostachyus</w:t>
      </w:r>
      <w:r>
        <w:rPr/>
        <w:t>) adicionando 6 kg de concentrado comercial, el cual estuvo constituido por soya, sorgo, mazorca de maíz y pulido de arroz en ambos</w:t>
      </w:r>
      <w:r>
        <w:rPr>
          <w:spacing w:val="-15"/>
        </w:rPr>
        <w:t> </w:t>
      </w:r>
      <w:r>
        <w:rPr/>
        <w:t>casos.</w:t>
      </w:r>
    </w:p>
    <w:p>
      <w:pPr>
        <w:pStyle w:val="BodyText"/>
        <w:spacing w:before="8"/>
        <w:jc w:val="left"/>
        <w:rPr>
          <w:sz w:val="35"/>
        </w:rPr>
      </w:pPr>
    </w:p>
    <w:p>
      <w:pPr>
        <w:pStyle w:val="Heading1"/>
        <w:numPr>
          <w:ilvl w:val="1"/>
          <w:numId w:val="6"/>
        </w:numPr>
        <w:tabs>
          <w:tab w:pos="623" w:val="left" w:leader="none"/>
        </w:tabs>
        <w:spacing w:line="240" w:lineRule="auto" w:before="1" w:after="0"/>
        <w:ind w:left="622" w:right="0" w:hanging="470"/>
        <w:jc w:val="both"/>
      </w:pPr>
      <w:bookmarkStart w:name="_bookmark24" w:id="47"/>
      <w:bookmarkEnd w:id="47"/>
      <w:r>
        <w:rPr>
          <w:b w:val="0"/>
        </w:rPr>
      </w:r>
      <w:bookmarkStart w:name="_bookmark24" w:id="48"/>
      <w:bookmarkEnd w:id="48"/>
      <w:r>
        <w:rPr/>
        <w:t>E</w:t>
      </w:r>
      <w:r>
        <w:rPr/>
        <w:t>laboración del queso</w:t>
      </w:r>
      <w:r>
        <w:rPr>
          <w:spacing w:val="-15"/>
        </w:rPr>
        <w:t> </w:t>
      </w:r>
      <w:r>
        <w:rPr/>
        <w:t>artesanal</w:t>
      </w:r>
    </w:p>
    <w:p>
      <w:pPr>
        <w:pStyle w:val="BodyText"/>
        <w:spacing w:line="360" w:lineRule="auto" w:before="141"/>
        <w:ind w:left="152" w:right="98"/>
      </w:pPr>
      <w:r>
        <w:rPr/>
        <w:t>El proceso de elaboración </w:t>
      </w:r>
      <w:r>
        <w:rPr>
          <w:spacing w:val="-3"/>
        </w:rPr>
        <w:t>del </w:t>
      </w:r>
      <w:r>
        <w:rPr/>
        <w:t>queso artesanal Tepeque consiste en la recepción de la leche cruda y entera, la </w:t>
      </w:r>
      <w:r>
        <w:rPr>
          <w:spacing w:val="-3"/>
        </w:rPr>
        <w:t>cual </w:t>
      </w:r>
      <w:r>
        <w:rPr/>
        <w:t>posee un pH 6.3 a 6.7 y una temperatura de 32°C, a la cual se le adiciona cuajo natural o bien cuajo líquido enzimático (15ml/100 L) disuelto en agua, otorgando un tiempo de reposo (cuajado de la leche) de 45 min. Posterior a este tiempo se realiza un corte fino de la cuajada dejando reposar nuevamente por 30 min generando con esto </w:t>
      </w:r>
      <w:r>
        <w:rPr>
          <w:spacing w:val="4"/>
        </w:rPr>
        <w:t>una  </w:t>
      </w:r>
      <w:r>
        <w:rPr>
          <w:spacing w:val="72"/>
        </w:rPr>
        <w:t> </w:t>
      </w:r>
      <w:r>
        <w:rPr/>
        <w:t>sedimentación</w:t>
      </w:r>
    </w:p>
    <w:p>
      <w:pPr>
        <w:spacing w:after="0" w:line="360" w:lineRule="auto"/>
        <w:sectPr>
          <w:pgSz w:w="12240" w:h="15840"/>
          <w:pgMar w:header="0" w:footer="1329" w:top="1500" w:bottom="1580" w:left="1720" w:right="1420"/>
        </w:sectPr>
      </w:pPr>
    </w:p>
    <w:p>
      <w:pPr>
        <w:pStyle w:val="BodyText"/>
        <w:spacing w:before="11"/>
        <w:jc w:val="left"/>
        <w:rPr>
          <w:sz w:val="20"/>
        </w:rPr>
      </w:pPr>
    </w:p>
    <w:p>
      <w:pPr>
        <w:pStyle w:val="BodyText"/>
        <w:spacing w:line="360" w:lineRule="auto" w:before="69"/>
        <w:ind w:left="152" w:right="103"/>
      </w:pPr>
      <w:r>
        <w:rPr/>
        <w:t>de la cuajada. Una vez transcurrido el tiempo se procede a realizar diversos cortes a la cuajada generando así un desuerado por auto-presión dando un tiempo para este proceso de 2hrs. Concluido este tiempo se procede a realizar el “salado” del queso, añadiendo sal gruesa de Colima (sin refinar), proceso en el cual se da un ligero amasado y moldeado del producto.</w:t>
      </w:r>
    </w:p>
    <w:p>
      <w:pPr>
        <w:pStyle w:val="BodyText"/>
        <w:spacing w:line="362" w:lineRule="auto" w:before="2"/>
        <w:ind w:left="152" w:right="115"/>
      </w:pPr>
      <w:r>
        <w:rPr/>
        <w:t>Dicho producto es prensado en un molde recubierto con tela de yute, dando un tiempo de reposo de 16hrs, posteriormente se procede al desorillado y se voltea dejándolo orear durante 8 días (Solís </w:t>
      </w:r>
      <w:r>
        <w:rPr>
          <w:i/>
        </w:rPr>
        <w:t>et al</w:t>
      </w:r>
      <w:r>
        <w:rPr/>
        <w:t>., 2013) (Cuadro 2)</w:t>
      </w:r>
    </w:p>
    <w:p>
      <w:pPr>
        <w:pStyle w:val="BodyText"/>
        <w:spacing w:before="5"/>
        <w:jc w:val="left"/>
        <w:rPr>
          <w:sz w:val="35"/>
        </w:rPr>
      </w:pPr>
    </w:p>
    <w:p>
      <w:pPr>
        <w:spacing w:before="0"/>
        <w:ind w:left="152" w:right="0" w:firstLine="0"/>
        <w:jc w:val="both"/>
        <w:rPr>
          <w:sz w:val="24"/>
        </w:rPr>
      </w:pPr>
      <w:r>
        <w:rPr>
          <w:b/>
          <w:sz w:val="24"/>
        </w:rPr>
        <w:t>Cuadro 2. </w:t>
      </w:r>
      <w:r>
        <w:rPr>
          <w:sz w:val="24"/>
        </w:rPr>
        <w:t>Tipos de maduración del queso Tepeque</w:t>
      </w:r>
    </w:p>
    <w:p>
      <w:pPr>
        <w:pStyle w:val="BodyText"/>
        <w:jc w:val="left"/>
        <w:rPr>
          <w:sz w:val="20"/>
        </w:rPr>
      </w:pPr>
    </w:p>
    <w:p>
      <w:pPr>
        <w:pStyle w:val="BodyText"/>
        <w:jc w:val="left"/>
        <w:rPr>
          <w:sz w:val="29"/>
        </w:rPr>
      </w:pPr>
    </w:p>
    <w:tbl>
      <w:tblPr>
        <w:tblW w:w="0" w:type="auto"/>
        <w:jc w:val="left"/>
        <w:tblInd w:w="2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12"/>
        <w:gridCol w:w="3227"/>
        <w:gridCol w:w="2724"/>
      </w:tblGrid>
      <w:tr>
        <w:trPr>
          <w:trHeight w:val="1248" w:hRule="exact"/>
        </w:trPr>
        <w:tc>
          <w:tcPr>
            <w:tcW w:w="2712" w:type="dxa"/>
            <w:tcBorders>
              <w:left w:val="nil"/>
              <w:right w:val="nil"/>
            </w:tcBorders>
          </w:tcPr>
          <w:p>
            <w:pPr>
              <w:pStyle w:val="TableParagraph"/>
              <w:spacing w:line="360" w:lineRule="auto"/>
              <w:ind w:left="619" w:firstLine="163"/>
              <w:rPr>
                <w:sz w:val="24"/>
              </w:rPr>
            </w:pPr>
            <w:r>
              <w:rPr>
                <w:sz w:val="24"/>
              </w:rPr>
              <w:t>TIEMPO DE MADURACIÓN</w:t>
            </w:r>
          </w:p>
        </w:tc>
        <w:tc>
          <w:tcPr>
            <w:tcW w:w="3227" w:type="dxa"/>
            <w:tcBorders>
              <w:left w:val="nil"/>
              <w:right w:val="nil"/>
            </w:tcBorders>
          </w:tcPr>
          <w:p>
            <w:pPr>
              <w:pStyle w:val="TableParagraph"/>
              <w:spacing w:line="360" w:lineRule="auto"/>
              <w:ind w:left="1177" w:hanging="778"/>
              <w:rPr>
                <w:sz w:val="24"/>
              </w:rPr>
            </w:pPr>
            <w:r>
              <w:rPr>
                <w:sz w:val="24"/>
              </w:rPr>
              <w:t>DENOMINACIÓN DEL QUESO</w:t>
            </w:r>
          </w:p>
        </w:tc>
        <w:tc>
          <w:tcPr>
            <w:tcW w:w="2724" w:type="dxa"/>
            <w:tcBorders>
              <w:left w:val="nil"/>
              <w:right w:val="nil"/>
            </w:tcBorders>
          </w:tcPr>
          <w:p>
            <w:pPr>
              <w:pStyle w:val="TableParagraph"/>
              <w:spacing w:line="272" w:lineRule="exact"/>
              <w:ind w:left="387" w:right="549"/>
              <w:jc w:val="center"/>
              <w:rPr>
                <w:sz w:val="24"/>
              </w:rPr>
            </w:pPr>
            <w:r>
              <w:rPr>
                <w:sz w:val="24"/>
              </w:rPr>
              <w:t>COLOR / TONO</w:t>
            </w:r>
          </w:p>
        </w:tc>
      </w:tr>
      <w:tr>
        <w:trPr>
          <w:trHeight w:val="499" w:hRule="exact"/>
        </w:trPr>
        <w:tc>
          <w:tcPr>
            <w:tcW w:w="2712" w:type="dxa"/>
            <w:tcBorders>
              <w:left w:val="nil"/>
              <w:bottom w:val="nil"/>
              <w:right w:val="nil"/>
            </w:tcBorders>
          </w:tcPr>
          <w:p>
            <w:pPr>
              <w:pStyle w:val="TableParagraph"/>
              <w:spacing w:line="272" w:lineRule="exact"/>
              <w:ind w:left="534" w:right="372"/>
              <w:jc w:val="center"/>
              <w:rPr>
                <w:sz w:val="24"/>
              </w:rPr>
            </w:pPr>
            <w:r>
              <w:rPr>
                <w:sz w:val="24"/>
              </w:rPr>
              <w:t>8 días a un mes</w:t>
            </w:r>
          </w:p>
        </w:tc>
        <w:tc>
          <w:tcPr>
            <w:tcW w:w="3227" w:type="dxa"/>
            <w:tcBorders>
              <w:left w:val="nil"/>
              <w:bottom w:val="nil"/>
              <w:right w:val="nil"/>
            </w:tcBorders>
          </w:tcPr>
          <w:p>
            <w:pPr>
              <w:pStyle w:val="TableParagraph"/>
              <w:spacing w:line="272" w:lineRule="exact"/>
              <w:ind w:left="664" w:right="664"/>
              <w:jc w:val="center"/>
              <w:rPr>
                <w:sz w:val="24"/>
              </w:rPr>
            </w:pPr>
            <w:r>
              <w:rPr>
                <w:sz w:val="24"/>
              </w:rPr>
              <w:t>Queso oreado</w:t>
            </w:r>
          </w:p>
        </w:tc>
        <w:tc>
          <w:tcPr>
            <w:tcW w:w="2724" w:type="dxa"/>
            <w:tcBorders>
              <w:left w:val="nil"/>
              <w:bottom w:val="nil"/>
              <w:right w:val="nil"/>
            </w:tcBorders>
          </w:tcPr>
          <w:p>
            <w:pPr>
              <w:pStyle w:val="TableParagraph"/>
              <w:spacing w:line="272" w:lineRule="exact"/>
              <w:ind w:left="376" w:right="549"/>
              <w:jc w:val="center"/>
              <w:rPr>
                <w:sz w:val="24"/>
              </w:rPr>
            </w:pPr>
            <w:r>
              <w:rPr>
                <w:sz w:val="24"/>
              </w:rPr>
              <w:t>Blanco / crema</w:t>
            </w:r>
          </w:p>
        </w:tc>
      </w:tr>
      <w:tr>
        <w:trPr>
          <w:trHeight w:val="689" w:hRule="exact"/>
        </w:trPr>
        <w:tc>
          <w:tcPr>
            <w:tcW w:w="2712" w:type="dxa"/>
            <w:tcBorders>
              <w:top w:val="nil"/>
              <w:left w:val="nil"/>
              <w:bottom w:val="nil"/>
              <w:right w:val="nil"/>
            </w:tcBorders>
          </w:tcPr>
          <w:p>
            <w:pPr>
              <w:pStyle w:val="TableParagraph"/>
              <w:spacing w:before="197"/>
              <w:ind w:left="534" w:right="367"/>
              <w:jc w:val="center"/>
              <w:rPr>
                <w:sz w:val="24"/>
              </w:rPr>
            </w:pPr>
            <w:r>
              <w:rPr>
                <w:sz w:val="24"/>
              </w:rPr>
              <w:t>2 a 6 meses</w:t>
            </w:r>
          </w:p>
        </w:tc>
        <w:tc>
          <w:tcPr>
            <w:tcW w:w="3227" w:type="dxa"/>
            <w:tcBorders>
              <w:top w:val="nil"/>
              <w:left w:val="nil"/>
              <w:bottom w:val="nil"/>
              <w:right w:val="nil"/>
            </w:tcBorders>
          </w:tcPr>
          <w:p>
            <w:pPr>
              <w:pStyle w:val="TableParagraph"/>
              <w:spacing w:before="197"/>
              <w:ind w:left="667" w:right="664"/>
              <w:jc w:val="center"/>
              <w:rPr>
                <w:sz w:val="24"/>
              </w:rPr>
            </w:pPr>
            <w:r>
              <w:rPr>
                <w:sz w:val="24"/>
              </w:rPr>
              <w:t>Queso madurado</w:t>
            </w:r>
          </w:p>
        </w:tc>
        <w:tc>
          <w:tcPr>
            <w:tcW w:w="2724" w:type="dxa"/>
            <w:tcBorders>
              <w:top w:val="nil"/>
              <w:left w:val="nil"/>
              <w:bottom w:val="nil"/>
              <w:right w:val="nil"/>
            </w:tcBorders>
          </w:tcPr>
          <w:p>
            <w:pPr>
              <w:pStyle w:val="TableParagraph"/>
              <w:spacing w:before="197"/>
              <w:ind w:left="387" w:right="548"/>
              <w:jc w:val="center"/>
              <w:rPr>
                <w:sz w:val="24"/>
              </w:rPr>
            </w:pPr>
            <w:r>
              <w:rPr>
                <w:sz w:val="24"/>
              </w:rPr>
              <w:t>Beige</w:t>
            </w:r>
          </w:p>
        </w:tc>
      </w:tr>
      <w:tr>
        <w:trPr>
          <w:trHeight w:val="461" w:hRule="exact"/>
        </w:trPr>
        <w:tc>
          <w:tcPr>
            <w:tcW w:w="2712" w:type="dxa"/>
            <w:tcBorders>
              <w:top w:val="nil"/>
              <w:left w:val="nil"/>
              <w:bottom w:val="nil"/>
              <w:right w:val="nil"/>
            </w:tcBorders>
          </w:tcPr>
          <w:p>
            <w:pPr>
              <w:pStyle w:val="TableParagraph"/>
              <w:spacing w:before="190"/>
              <w:ind w:left="534" w:right="377"/>
              <w:jc w:val="center"/>
              <w:rPr>
                <w:sz w:val="24"/>
              </w:rPr>
            </w:pPr>
            <w:r>
              <w:rPr>
                <w:sz w:val="24"/>
              </w:rPr>
              <w:t>Más de 6 meses</w:t>
            </w:r>
          </w:p>
        </w:tc>
        <w:tc>
          <w:tcPr>
            <w:tcW w:w="3227" w:type="dxa"/>
            <w:tcBorders>
              <w:top w:val="nil"/>
              <w:left w:val="nil"/>
              <w:bottom w:val="nil"/>
              <w:right w:val="nil"/>
            </w:tcBorders>
          </w:tcPr>
          <w:p>
            <w:pPr>
              <w:pStyle w:val="TableParagraph"/>
              <w:spacing w:before="190"/>
              <w:ind w:left="664" w:right="664"/>
              <w:jc w:val="center"/>
              <w:rPr>
                <w:sz w:val="24"/>
              </w:rPr>
            </w:pPr>
            <w:r>
              <w:rPr>
                <w:sz w:val="24"/>
              </w:rPr>
              <w:t>Queso añejo</w:t>
            </w:r>
          </w:p>
        </w:tc>
        <w:tc>
          <w:tcPr>
            <w:tcW w:w="2724" w:type="dxa"/>
            <w:tcBorders>
              <w:top w:val="nil"/>
              <w:left w:val="nil"/>
              <w:bottom w:val="nil"/>
              <w:right w:val="nil"/>
            </w:tcBorders>
          </w:tcPr>
          <w:p>
            <w:pPr>
              <w:pStyle w:val="TableParagraph"/>
              <w:spacing w:before="190"/>
              <w:ind w:left="381" w:right="549"/>
              <w:jc w:val="center"/>
              <w:rPr>
                <w:sz w:val="24"/>
              </w:rPr>
            </w:pPr>
            <w:r>
              <w:rPr>
                <w:sz w:val="24"/>
              </w:rPr>
              <w:t>Beige / ocre</w:t>
            </w:r>
          </w:p>
        </w:tc>
      </w:tr>
    </w:tbl>
    <w:p>
      <w:pPr>
        <w:pStyle w:val="BodyText"/>
        <w:jc w:val="left"/>
        <w:rPr>
          <w:sz w:val="20"/>
        </w:rPr>
      </w:pPr>
    </w:p>
    <w:p>
      <w:pPr>
        <w:pStyle w:val="BodyText"/>
        <w:spacing w:before="11"/>
        <w:jc w:val="left"/>
        <w:rPr>
          <w:sz w:val="13"/>
        </w:rPr>
      </w:pPr>
      <w:r>
        <w:rPr/>
        <w:pict>
          <v:group style="position:absolute;margin-left:97.237999pt;margin-top:9.974748pt;width:434.4pt;height:.5pt;mso-position-horizontal-relative:page;mso-position-vertical-relative:paragraph;z-index:1528;mso-wrap-distance-left:0;mso-wrap-distance-right:0" coordorigin="1945,199" coordsize="8688,10">
            <v:line style="position:absolute" from="1950,204" to="4850,204" stroked="true" strokeweight=".48001pt" strokecolor="#000000"/>
            <v:line style="position:absolute" from="4836,204" to="4845,204" stroked="true" strokeweight=".48001pt" strokecolor="#000000"/>
            <v:line style="position:absolute" from="4845,204" to="7736,204" stroked="true" strokeweight=".48001pt" strokecolor="#000000"/>
            <v:line style="position:absolute" from="7722,204" to="7731,204" stroked="true" strokeweight=".48001pt" strokecolor="#000000"/>
            <v:line style="position:absolute" from="7731,204" to="10627,204" stroked="true" strokeweight=".48001pt" strokecolor="#000000"/>
            <w10:wrap type="topAndBottom"/>
          </v:group>
        </w:pict>
      </w:r>
    </w:p>
    <w:p>
      <w:pPr>
        <w:spacing w:line="242" w:lineRule="exact" w:before="0"/>
        <w:ind w:left="152" w:right="0" w:firstLine="0"/>
        <w:jc w:val="both"/>
        <w:rPr>
          <w:sz w:val="24"/>
        </w:rPr>
      </w:pPr>
      <w:r>
        <w:rPr>
          <w:sz w:val="24"/>
        </w:rPr>
        <w:t>(Castelán </w:t>
      </w:r>
      <w:r>
        <w:rPr>
          <w:i/>
          <w:sz w:val="24"/>
        </w:rPr>
        <w:t>et al</w:t>
      </w:r>
      <w:r>
        <w:rPr>
          <w:sz w:val="24"/>
        </w:rPr>
        <w:t>., 2012)</w:t>
      </w:r>
    </w:p>
    <w:p>
      <w:pPr>
        <w:pStyle w:val="BodyText"/>
        <w:jc w:val="left"/>
      </w:pPr>
    </w:p>
    <w:p>
      <w:pPr>
        <w:pStyle w:val="BodyText"/>
        <w:spacing w:before="9"/>
        <w:jc w:val="left"/>
        <w:rPr>
          <w:sz w:val="23"/>
        </w:rPr>
      </w:pPr>
    </w:p>
    <w:p>
      <w:pPr>
        <w:pStyle w:val="Heading1"/>
        <w:numPr>
          <w:ilvl w:val="1"/>
          <w:numId w:val="6"/>
        </w:numPr>
        <w:tabs>
          <w:tab w:pos="624" w:val="left" w:leader="none"/>
        </w:tabs>
        <w:spacing w:line="240" w:lineRule="auto" w:before="0" w:after="0"/>
        <w:ind w:left="623" w:right="0" w:hanging="471"/>
        <w:jc w:val="both"/>
      </w:pPr>
      <w:bookmarkStart w:name="_bookmark25" w:id="49"/>
      <w:bookmarkEnd w:id="49"/>
      <w:r>
        <w:rPr>
          <w:b w:val="0"/>
        </w:rPr>
      </w:r>
      <w:bookmarkStart w:name="_bookmark25" w:id="50"/>
      <w:bookmarkEnd w:id="50"/>
      <w:r>
        <w:rPr/>
        <w:t>M</w:t>
      </w:r>
      <w:r>
        <w:rPr/>
        <w:t>uestras de queso artesanal</w:t>
      </w:r>
      <w:r>
        <w:rPr>
          <w:spacing w:val="-20"/>
        </w:rPr>
        <w:t> </w:t>
      </w:r>
      <w:r>
        <w:rPr/>
        <w:t>Tepeque</w:t>
      </w:r>
    </w:p>
    <w:p>
      <w:pPr>
        <w:pStyle w:val="BodyText"/>
        <w:spacing w:line="360" w:lineRule="auto" w:before="142"/>
        <w:ind w:left="152" w:right="101"/>
      </w:pPr>
      <w:r>
        <w:rPr/>
        <w:t>Los quesos artesanales empleados en el presente estudio fueron elaborados en el </w:t>
      </w:r>
      <w:r>
        <w:rPr>
          <w:spacing w:val="-3"/>
        </w:rPr>
        <w:t>mes </w:t>
      </w:r>
      <w:r>
        <w:rPr/>
        <w:t>de enero del 2013 teniendo un peso promedio de 3kg cada uno, los 48  quesos se dividieron en cuatro grupos, uno para cada periodo de maduración (P1=10, P2=45, P3=80 y P4=165 días) correspondiendo 12 quesos para cada periodo (6 quesos para cada sistema). Una vez que los quesos alcanzaron el tiempo de maduración fueron analizados para determinar su perfil de ácidos grasos. (Cuadro</w:t>
      </w:r>
      <w:r>
        <w:rPr>
          <w:spacing w:val="-3"/>
        </w:rPr>
        <w:t> </w:t>
      </w:r>
      <w:r>
        <w:rPr/>
        <w:t>3)</w:t>
      </w:r>
    </w:p>
    <w:p>
      <w:pPr>
        <w:spacing w:after="0" w:line="360" w:lineRule="auto"/>
        <w:sectPr>
          <w:pgSz w:w="12240" w:h="15840"/>
          <w:pgMar w:header="0" w:footer="1329" w:top="1500" w:bottom="1580" w:left="1720" w:right="1420"/>
        </w:sectPr>
      </w:pPr>
    </w:p>
    <w:p>
      <w:pPr>
        <w:pStyle w:val="BodyText"/>
        <w:spacing w:before="11"/>
        <w:jc w:val="left"/>
        <w:rPr>
          <w:sz w:val="20"/>
        </w:rPr>
      </w:pPr>
    </w:p>
    <w:p>
      <w:pPr>
        <w:pStyle w:val="BodyText"/>
        <w:spacing w:line="360" w:lineRule="auto" w:before="69"/>
        <w:ind w:left="212" w:right="216"/>
      </w:pPr>
      <w:r>
        <w:rPr/>
        <w:t>Las vacas en el SSPi pastorearon en praderas de pasto Tanzania (</w:t>
      </w:r>
      <w:r>
        <w:rPr>
          <w:i/>
        </w:rPr>
        <w:t>Panicum </w:t>
      </w:r>
      <w:r>
        <w:rPr>
          <w:i/>
        </w:rPr>
        <w:t>máximum</w:t>
      </w:r>
      <w:r>
        <w:rPr/>
        <w:t>) y </w:t>
      </w:r>
      <w:r>
        <w:rPr>
          <w:i/>
        </w:rPr>
        <w:t>Leucaena leucocephala </w:t>
      </w:r>
      <w:r>
        <w:rPr/>
        <w:t>sembrada en hileras con separación entre ellas de 1.6m y a una densidad de 35,000 plantas ha-1 (Bacab y Solorio, 2011)  Las vacas en el ST permanecieron en praderas de pasto estrella de África (</w:t>
      </w:r>
      <w:r>
        <w:rPr>
          <w:i/>
        </w:rPr>
        <w:t>Cynodon plectostachyus</w:t>
      </w:r>
      <w:r>
        <w:rPr/>
        <w:t>) y fueron suplementadas con 6 kg de concentrado comercial.</w:t>
      </w:r>
    </w:p>
    <w:p>
      <w:pPr>
        <w:pStyle w:val="BodyText"/>
        <w:jc w:val="left"/>
      </w:pPr>
    </w:p>
    <w:p>
      <w:pPr>
        <w:pStyle w:val="BodyText"/>
        <w:spacing w:before="140"/>
        <w:ind w:left="212"/>
      </w:pPr>
      <w:r>
        <w:rPr>
          <w:b/>
        </w:rPr>
        <w:t>Cuadro 3. </w:t>
      </w:r>
      <w:r>
        <w:rPr/>
        <w:t>Denominación del queso de acuerdo al tiempo de maduración</w:t>
      </w:r>
    </w:p>
    <w:p>
      <w:pPr>
        <w:pStyle w:val="BodyText"/>
        <w:jc w:val="left"/>
        <w:rPr>
          <w:sz w:val="20"/>
        </w:rPr>
      </w:pPr>
    </w:p>
    <w:p>
      <w:pPr>
        <w:pStyle w:val="BodyText"/>
        <w:spacing w:before="6"/>
        <w:jc w:val="left"/>
        <w:rPr>
          <w:sz w:val="28"/>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43"/>
        <w:gridCol w:w="2019"/>
        <w:gridCol w:w="2221"/>
        <w:gridCol w:w="2178"/>
      </w:tblGrid>
      <w:tr>
        <w:trPr>
          <w:trHeight w:val="841" w:hRule="exact"/>
        </w:trPr>
        <w:tc>
          <w:tcPr>
            <w:tcW w:w="2643" w:type="dxa"/>
            <w:tcBorders>
              <w:left w:val="nil"/>
              <w:right w:val="nil"/>
            </w:tcBorders>
          </w:tcPr>
          <w:p>
            <w:pPr>
              <w:pStyle w:val="TableParagraph"/>
              <w:spacing w:line="360" w:lineRule="auto"/>
              <w:ind w:left="412" w:firstLine="264"/>
              <w:rPr>
                <w:sz w:val="24"/>
              </w:rPr>
            </w:pPr>
            <w:r>
              <w:rPr>
                <w:sz w:val="24"/>
              </w:rPr>
              <w:t>FECHA DE ELABORACIÓN</w:t>
            </w:r>
          </w:p>
        </w:tc>
        <w:tc>
          <w:tcPr>
            <w:tcW w:w="2019" w:type="dxa"/>
            <w:tcBorders>
              <w:left w:val="nil"/>
              <w:right w:val="nil"/>
            </w:tcBorders>
          </w:tcPr>
          <w:p>
            <w:pPr>
              <w:pStyle w:val="TableParagraph"/>
              <w:spacing w:line="272" w:lineRule="exact"/>
              <w:ind w:left="480" w:right="392"/>
              <w:jc w:val="center"/>
              <w:rPr>
                <w:sz w:val="24"/>
              </w:rPr>
            </w:pPr>
            <w:r>
              <w:rPr>
                <w:sz w:val="24"/>
              </w:rPr>
              <w:t>PERIODO</w:t>
            </w:r>
          </w:p>
        </w:tc>
        <w:tc>
          <w:tcPr>
            <w:tcW w:w="2221" w:type="dxa"/>
            <w:tcBorders>
              <w:left w:val="nil"/>
              <w:right w:val="nil"/>
            </w:tcBorders>
          </w:tcPr>
          <w:p>
            <w:pPr>
              <w:pStyle w:val="TableParagraph"/>
              <w:spacing w:line="360" w:lineRule="auto"/>
              <w:ind w:left="413" w:firstLine="163"/>
              <w:rPr>
                <w:sz w:val="24"/>
              </w:rPr>
            </w:pPr>
            <w:r>
              <w:rPr>
                <w:sz w:val="24"/>
              </w:rPr>
              <w:t>TIEMPO DE MADURACIÓN</w:t>
            </w:r>
          </w:p>
        </w:tc>
        <w:tc>
          <w:tcPr>
            <w:tcW w:w="2178" w:type="dxa"/>
            <w:tcBorders>
              <w:left w:val="nil"/>
              <w:right w:val="nil"/>
            </w:tcBorders>
          </w:tcPr>
          <w:p>
            <w:pPr>
              <w:pStyle w:val="TableParagraph"/>
              <w:spacing w:line="360" w:lineRule="auto"/>
              <w:ind w:left="416" w:right="94" w:hanging="246"/>
              <w:rPr>
                <w:sz w:val="24"/>
              </w:rPr>
            </w:pPr>
            <w:r>
              <w:rPr>
                <w:sz w:val="24"/>
              </w:rPr>
              <w:t>DENOMINACIÓN DEL QUESO</w:t>
            </w:r>
          </w:p>
        </w:tc>
      </w:tr>
      <w:tr>
        <w:trPr>
          <w:trHeight w:val="358" w:hRule="exact"/>
        </w:trPr>
        <w:tc>
          <w:tcPr>
            <w:tcW w:w="2643" w:type="dxa"/>
            <w:tcBorders>
              <w:left w:val="nil"/>
              <w:bottom w:val="nil"/>
              <w:right w:val="nil"/>
            </w:tcBorders>
          </w:tcPr>
          <w:p>
            <w:pPr>
              <w:pStyle w:val="TableParagraph"/>
              <w:spacing w:line="272" w:lineRule="exact"/>
              <w:ind w:left="561"/>
              <w:rPr>
                <w:sz w:val="24"/>
              </w:rPr>
            </w:pPr>
            <w:r>
              <w:rPr>
                <w:sz w:val="24"/>
              </w:rPr>
              <w:t>4 Enero 2013</w:t>
            </w:r>
          </w:p>
        </w:tc>
        <w:tc>
          <w:tcPr>
            <w:tcW w:w="2019" w:type="dxa"/>
            <w:tcBorders>
              <w:left w:val="nil"/>
              <w:bottom w:val="nil"/>
              <w:right w:val="nil"/>
            </w:tcBorders>
          </w:tcPr>
          <w:p>
            <w:pPr>
              <w:pStyle w:val="TableParagraph"/>
              <w:spacing w:line="272" w:lineRule="exact"/>
              <w:ind w:left="98"/>
              <w:jc w:val="center"/>
              <w:rPr>
                <w:sz w:val="24"/>
              </w:rPr>
            </w:pPr>
            <w:r>
              <w:rPr>
                <w:w w:val="99"/>
                <w:sz w:val="24"/>
              </w:rPr>
              <w:t>1</w:t>
            </w:r>
          </w:p>
        </w:tc>
        <w:tc>
          <w:tcPr>
            <w:tcW w:w="2221" w:type="dxa"/>
            <w:tcBorders>
              <w:left w:val="nil"/>
              <w:bottom w:val="nil"/>
              <w:right w:val="nil"/>
            </w:tcBorders>
          </w:tcPr>
          <w:p>
            <w:pPr>
              <w:pStyle w:val="TableParagraph"/>
              <w:spacing w:line="272" w:lineRule="exact"/>
              <w:ind w:left="1013" w:right="766"/>
              <w:jc w:val="center"/>
              <w:rPr>
                <w:sz w:val="24"/>
              </w:rPr>
            </w:pPr>
            <w:r>
              <w:rPr>
                <w:sz w:val="24"/>
              </w:rPr>
              <w:t>10</w:t>
            </w:r>
          </w:p>
        </w:tc>
        <w:tc>
          <w:tcPr>
            <w:tcW w:w="2178" w:type="dxa"/>
            <w:tcBorders>
              <w:left w:val="nil"/>
              <w:bottom w:val="nil"/>
              <w:right w:val="nil"/>
            </w:tcBorders>
          </w:tcPr>
          <w:p>
            <w:pPr>
              <w:pStyle w:val="TableParagraph"/>
              <w:spacing w:line="272" w:lineRule="exact"/>
              <w:ind w:right="653"/>
              <w:jc w:val="right"/>
              <w:rPr>
                <w:sz w:val="24"/>
              </w:rPr>
            </w:pPr>
            <w:r>
              <w:rPr>
                <w:sz w:val="24"/>
              </w:rPr>
              <w:t>Oreado</w:t>
            </w:r>
          </w:p>
        </w:tc>
      </w:tr>
      <w:tr>
        <w:trPr>
          <w:trHeight w:val="413" w:hRule="exact"/>
        </w:trPr>
        <w:tc>
          <w:tcPr>
            <w:tcW w:w="2643" w:type="dxa"/>
            <w:tcBorders>
              <w:top w:val="nil"/>
              <w:left w:val="nil"/>
              <w:bottom w:val="nil"/>
              <w:right w:val="nil"/>
            </w:tcBorders>
          </w:tcPr>
          <w:p>
            <w:pPr>
              <w:pStyle w:val="TableParagraph"/>
              <w:spacing w:before="55"/>
              <w:ind w:left="561"/>
              <w:rPr>
                <w:sz w:val="24"/>
              </w:rPr>
            </w:pPr>
            <w:r>
              <w:rPr>
                <w:sz w:val="24"/>
              </w:rPr>
              <w:t>4 Enero 2013</w:t>
            </w:r>
          </w:p>
        </w:tc>
        <w:tc>
          <w:tcPr>
            <w:tcW w:w="2019" w:type="dxa"/>
            <w:tcBorders>
              <w:top w:val="nil"/>
              <w:left w:val="nil"/>
              <w:bottom w:val="nil"/>
              <w:right w:val="nil"/>
            </w:tcBorders>
          </w:tcPr>
          <w:p>
            <w:pPr>
              <w:pStyle w:val="TableParagraph"/>
              <w:spacing w:before="55"/>
              <w:ind w:left="98"/>
              <w:jc w:val="center"/>
              <w:rPr>
                <w:sz w:val="24"/>
              </w:rPr>
            </w:pPr>
            <w:r>
              <w:rPr>
                <w:w w:val="99"/>
                <w:sz w:val="24"/>
              </w:rPr>
              <w:t>2</w:t>
            </w:r>
          </w:p>
        </w:tc>
        <w:tc>
          <w:tcPr>
            <w:tcW w:w="2221" w:type="dxa"/>
            <w:tcBorders>
              <w:top w:val="nil"/>
              <w:left w:val="nil"/>
              <w:bottom w:val="nil"/>
              <w:right w:val="nil"/>
            </w:tcBorders>
          </w:tcPr>
          <w:p>
            <w:pPr>
              <w:pStyle w:val="TableParagraph"/>
              <w:spacing w:before="55"/>
              <w:ind w:left="1013" w:right="766"/>
              <w:jc w:val="center"/>
              <w:rPr>
                <w:sz w:val="24"/>
              </w:rPr>
            </w:pPr>
            <w:r>
              <w:rPr>
                <w:sz w:val="24"/>
              </w:rPr>
              <w:t>45</w:t>
            </w:r>
          </w:p>
        </w:tc>
        <w:tc>
          <w:tcPr>
            <w:tcW w:w="2178" w:type="dxa"/>
            <w:tcBorders>
              <w:top w:val="nil"/>
              <w:left w:val="nil"/>
              <w:bottom w:val="nil"/>
              <w:right w:val="nil"/>
            </w:tcBorders>
          </w:tcPr>
          <w:p>
            <w:pPr>
              <w:pStyle w:val="TableParagraph"/>
              <w:spacing w:before="55"/>
              <w:ind w:right="653"/>
              <w:jc w:val="right"/>
              <w:rPr>
                <w:sz w:val="24"/>
              </w:rPr>
            </w:pPr>
            <w:r>
              <w:rPr>
                <w:sz w:val="24"/>
              </w:rPr>
              <w:t>Maduro</w:t>
            </w:r>
          </w:p>
        </w:tc>
      </w:tr>
      <w:tr>
        <w:trPr>
          <w:trHeight w:val="413" w:hRule="exact"/>
        </w:trPr>
        <w:tc>
          <w:tcPr>
            <w:tcW w:w="2643" w:type="dxa"/>
            <w:tcBorders>
              <w:top w:val="nil"/>
              <w:left w:val="nil"/>
              <w:bottom w:val="nil"/>
              <w:right w:val="nil"/>
            </w:tcBorders>
          </w:tcPr>
          <w:p>
            <w:pPr>
              <w:pStyle w:val="TableParagraph"/>
              <w:spacing w:before="55"/>
              <w:ind w:left="561"/>
              <w:rPr>
                <w:sz w:val="24"/>
              </w:rPr>
            </w:pPr>
            <w:r>
              <w:rPr>
                <w:sz w:val="24"/>
              </w:rPr>
              <w:t>4 Enero 2013</w:t>
            </w:r>
          </w:p>
        </w:tc>
        <w:tc>
          <w:tcPr>
            <w:tcW w:w="2019" w:type="dxa"/>
            <w:tcBorders>
              <w:top w:val="nil"/>
              <w:left w:val="nil"/>
              <w:bottom w:val="nil"/>
              <w:right w:val="nil"/>
            </w:tcBorders>
          </w:tcPr>
          <w:p>
            <w:pPr>
              <w:pStyle w:val="TableParagraph"/>
              <w:spacing w:before="55"/>
              <w:ind w:left="98"/>
              <w:jc w:val="center"/>
              <w:rPr>
                <w:sz w:val="24"/>
              </w:rPr>
            </w:pPr>
            <w:r>
              <w:rPr>
                <w:w w:val="99"/>
                <w:sz w:val="24"/>
              </w:rPr>
              <w:t>3</w:t>
            </w:r>
          </w:p>
        </w:tc>
        <w:tc>
          <w:tcPr>
            <w:tcW w:w="2221" w:type="dxa"/>
            <w:tcBorders>
              <w:top w:val="nil"/>
              <w:left w:val="nil"/>
              <w:bottom w:val="nil"/>
              <w:right w:val="nil"/>
            </w:tcBorders>
          </w:tcPr>
          <w:p>
            <w:pPr>
              <w:pStyle w:val="TableParagraph"/>
              <w:spacing w:before="55"/>
              <w:ind w:left="1013" w:right="766"/>
              <w:jc w:val="center"/>
              <w:rPr>
                <w:sz w:val="24"/>
              </w:rPr>
            </w:pPr>
            <w:r>
              <w:rPr>
                <w:sz w:val="24"/>
              </w:rPr>
              <w:t>80</w:t>
            </w:r>
          </w:p>
        </w:tc>
        <w:tc>
          <w:tcPr>
            <w:tcW w:w="2178" w:type="dxa"/>
            <w:tcBorders>
              <w:top w:val="nil"/>
              <w:left w:val="nil"/>
              <w:bottom w:val="nil"/>
              <w:right w:val="nil"/>
            </w:tcBorders>
          </w:tcPr>
          <w:p>
            <w:pPr>
              <w:pStyle w:val="TableParagraph"/>
              <w:spacing w:before="55"/>
              <w:ind w:right="653"/>
              <w:jc w:val="right"/>
              <w:rPr>
                <w:sz w:val="24"/>
              </w:rPr>
            </w:pPr>
            <w:r>
              <w:rPr>
                <w:sz w:val="24"/>
              </w:rPr>
              <w:t>Maduro</w:t>
            </w:r>
          </w:p>
        </w:tc>
      </w:tr>
      <w:tr>
        <w:trPr>
          <w:trHeight w:val="483" w:hRule="exact"/>
        </w:trPr>
        <w:tc>
          <w:tcPr>
            <w:tcW w:w="2643" w:type="dxa"/>
            <w:tcBorders>
              <w:top w:val="nil"/>
              <w:left w:val="nil"/>
              <w:right w:val="nil"/>
            </w:tcBorders>
          </w:tcPr>
          <w:p>
            <w:pPr>
              <w:pStyle w:val="TableParagraph"/>
              <w:spacing w:before="56"/>
              <w:ind w:left="561"/>
              <w:rPr>
                <w:sz w:val="24"/>
              </w:rPr>
            </w:pPr>
            <w:r>
              <w:rPr>
                <w:sz w:val="24"/>
              </w:rPr>
              <w:t>4 Enero 2013</w:t>
            </w:r>
          </w:p>
        </w:tc>
        <w:tc>
          <w:tcPr>
            <w:tcW w:w="2019" w:type="dxa"/>
            <w:tcBorders>
              <w:top w:val="nil"/>
              <w:left w:val="nil"/>
              <w:right w:val="nil"/>
            </w:tcBorders>
          </w:tcPr>
          <w:p>
            <w:pPr>
              <w:pStyle w:val="TableParagraph"/>
              <w:spacing w:before="56"/>
              <w:ind w:left="98"/>
              <w:jc w:val="center"/>
              <w:rPr>
                <w:sz w:val="24"/>
              </w:rPr>
            </w:pPr>
            <w:r>
              <w:rPr>
                <w:w w:val="99"/>
                <w:sz w:val="24"/>
              </w:rPr>
              <w:t>4</w:t>
            </w:r>
          </w:p>
        </w:tc>
        <w:tc>
          <w:tcPr>
            <w:tcW w:w="2221" w:type="dxa"/>
            <w:tcBorders>
              <w:top w:val="nil"/>
              <w:left w:val="nil"/>
              <w:right w:val="nil"/>
            </w:tcBorders>
          </w:tcPr>
          <w:p>
            <w:pPr>
              <w:pStyle w:val="TableParagraph"/>
              <w:spacing w:before="56"/>
              <w:ind w:left="1013" w:right="766"/>
              <w:jc w:val="center"/>
              <w:rPr>
                <w:sz w:val="24"/>
              </w:rPr>
            </w:pPr>
            <w:r>
              <w:rPr>
                <w:sz w:val="24"/>
              </w:rPr>
              <w:t>165</w:t>
            </w:r>
          </w:p>
        </w:tc>
        <w:tc>
          <w:tcPr>
            <w:tcW w:w="2178" w:type="dxa"/>
            <w:tcBorders>
              <w:top w:val="nil"/>
              <w:left w:val="nil"/>
              <w:right w:val="nil"/>
            </w:tcBorders>
          </w:tcPr>
          <w:p>
            <w:pPr>
              <w:pStyle w:val="TableParagraph"/>
              <w:spacing w:before="56"/>
              <w:ind w:right="653"/>
              <w:jc w:val="right"/>
              <w:rPr>
                <w:sz w:val="24"/>
              </w:rPr>
            </w:pPr>
            <w:r>
              <w:rPr>
                <w:sz w:val="24"/>
              </w:rPr>
              <w:t>Maduro</w:t>
            </w:r>
          </w:p>
        </w:tc>
      </w:tr>
    </w:tbl>
    <w:p>
      <w:pPr>
        <w:spacing w:line="272" w:lineRule="exact" w:before="0"/>
        <w:ind w:left="212" w:right="0" w:firstLine="0"/>
        <w:jc w:val="both"/>
        <w:rPr>
          <w:sz w:val="24"/>
        </w:rPr>
      </w:pPr>
      <w:r>
        <w:rPr>
          <w:sz w:val="24"/>
        </w:rPr>
        <w:t>(Castelán </w:t>
      </w:r>
      <w:r>
        <w:rPr>
          <w:i/>
          <w:sz w:val="24"/>
        </w:rPr>
        <w:t>et al</w:t>
      </w:r>
      <w:r>
        <w:rPr>
          <w:sz w:val="24"/>
        </w:rPr>
        <w:t>., 2012)</w:t>
      </w:r>
    </w:p>
    <w:p>
      <w:pPr>
        <w:pStyle w:val="BodyText"/>
        <w:jc w:val="left"/>
      </w:pPr>
    </w:p>
    <w:p>
      <w:pPr>
        <w:pStyle w:val="BodyText"/>
        <w:spacing w:before="4"/>
        <w:jc w:val="left"/>
        <w:rPr>
          <w:sz w:val="23"/>
        </w:rPr>
      </w:pPr>
    </w:p>
    <w:p>
      <w:pPr>
        <w:pStyle w:val="Heading1"/>
        <w:spacing w:before="0"/>
        <w:ind w:left="212"/>
      </w:pPr>
      <w:r>
        <w:rPr/>
        <w:t>Toma de muestra</w:t>
      </w:r>
    </w:p>
    <w:p>
      <w:pPr>
        <w:pStyle w:val="BodyText"/>
        <w:spacing w:line="360" w:lineRule="auto" w:before="147"/>
        <w:ind w:left="212" w:right="221"/>
      </w:pPr>
      <w:r>
        <w:rPr/>
        <w:t>El método de muestreo de los quesos se llevó a cabo de acuerdo con la norma FIL-IDF 50B:1985, la primer toma de muestra se realizó en el mes de enero y la última se realizó en el mes de mayo. El muestreo se realizó tomando 250grs de queso empleando la técnica por corte de un sector, la cual considera la forma, masa, tipo y grado de madurez del queso.</w:t>
      </w:r>
    </w:p>
    <w:p>
      <w:pPr>
        <w:pStyle w:val="BodyText"/>
        <w:spacing w:line="360" w:lineRule="auto" w:before="2"/>
        <w:ind w:left="212" w:right="237"/>
      </w:pPr>
      <w:r>
        <w:rPr/>
        <w:t>Para la toma de muestras y en este caso en particular no es de importancia saber la edad de la vaca, etapa de lactación, número de partos o raza de la misma, dado a que no tienen algún tipo de influencia dentro de este estudio.</w:t>
      </w:r>
    </w:p>
    <w:p>
      <w:pPr>
        <w:spacing w:after="0" w:line="360" w:lineRule="auto"/>
        <w:sectPr>
          <w:pgSz w:w="12240" w:h="15840"/>
          <w:pgMar w:header="0" w:footer="1329" w:top="1500" w:bottom="1580" w:left="1660" w:right="1300"/>
        </w:sectPr>
      </w:pPr>
    </w:p>
    <w:p>
      <w:pPr>
        <w:pStyle w:val="BodyText"/>
        <w:spacing w:before="6"/>
        <w:jc w:val="left"/>
        <w:rPr>
          <w:sz w:val="20"/>
        </w:rPr>
      </w:pPr>
    </w:p>
    <w:p>
      <w:pPr>
        <w:pStyle w:val="Heading1"/>
        <w:numPr>
          <w:ilvl w:val="1"/>
          <w:numId w:val="6"/>
        </w:numPr>
        <w:tabs>
          <w:tab w:pos="624" w:val="left" w:leader="none"/>
        </w:tabs>
        <w:spacing w:line="240" w:lineRule="auto" w:before="69" w:after="0"/>
        <w:ind w:left="623" w:right="0" w:hanging="471"/>
        <w:jc w:val="both"/>
      </w:pPr>
      <w:bookmarkStart w:name="_bookmark26" w:id="51"/>
      <w:bookmarkEnd w:id="51"/>
      <w:r>
        <w:rPr>
          <w:b w:val="0"/>
        </w:rPr>
      </w:r>
      <w:bookmarkStart w:name="_bookmark26" w:id="52"/>
      <w:bookmarkEnd w:id="52"/>
      <w:r>
        <w:rPr/>
        <w:t>A</w:t>
      </w:r>
      <w:r>
        <w:rPr/>
        <w:t>nálisis de</w:t>
      </w:r>
      <w:r>
        <w:rPr>
          <w:spacing w:val="-18"/>
        </w:rPr>
        <w:t> </w:t>
      </w:r>
      <w:r>
        <w:rPr/>
        <w:t>laboratorio</w:t>
      </w:r>
    </w:p>
    <w:p>
      <w:pPr>
        <w:pStyle w:val="BodyText"/>
        <w:spacing w:line="360" w:lineRule="auto" w:before="141"/>
        <w:ind w:left="152" w:right="116"/>
      </w:pPr>
      <w:r>
        <w:rPr/>
        <w:t>Para la realización de los análisis, cada muestra se colocó en un mortero según Van Gulik, con el fin de obtener una masa homogénea finamente dividida </w:t>
      </w:r>
      <w:r>
        <w:rPr>
          <w:position w:val="2"/>
        </w:rPr>
        <w:t>agregando poco a poco 40grs de sulfato de sodio anhidro (Na</w:t>
      </w:r>
      <w:r>
        <w:rPr>
          <w:sz w:val="16"/>
        </w:rPr>
        <w:t>2</w:t>
      </w:r>
      <w:r>
        <w:rPr>
          <w:position w:val="2"/>
        </w:rPr>
        <w:t>SO</w:t>
      </w:r>
      <w:r>
        <w:rPr>
          <w:sz w:val="16"/>
        </w:rPr>
        <w:t>4</w:t>
      </w:r>
      <w:r>
        <w:rPr>
          <w:position w:val="2"/>
        </w:rPr>
        <w:t>). Para la </w:t>
      </w:r>
      <w:r>
        <w:rPr/>
        <w:t>determinación del contenido de materia grasa se siguió el método de referencia FIL-IDF 5B:1986, el cual se basa en la digestión y posterior extracción de una porción de la muestra con éter de petróleo (70ml) mediante el empleo  de un equipo Soxhlet (A-50270 Scorpion Scientific), la eliminación de este disolvente ocurre por destilación, este principio se conoce como el método gravimétrico basado en el principio de Schmid-Bondzynski-Ratzlaff (SBR).</w:t>
      </w:r>
    </w:p>
    <w:p>
      <w:pPr>
        <w:pStyle w:val="BodyText"/>
        <w:jc w:val="left"/>
      </w:pPr>
    </w:p>
    <w:p>
      <w:pPr>
        <w:pStyle w:val="Heading1"/>
        <w:spacing w:before="140"/>
      </w:pPr>
      <w:r>
        <w:rPr/>
        <w:t>Derivatización de los ácidos grasos</w:t>
      </w:r>
    </w:p>
    <w:p>
      <w:pPr>
        <w:pStyle w:val="BodyText"/>
        <w:spacing w:line="360" w:lineRule="auto" w:before="141"/>
        <w:ind w:left="152" w:right="116"/>
      </w:pPr>
      <w:r>
        <w:rPr/>
        <w:t>El proceso de derivatización de los ácidos grasos se realizó de acuerdo con Zlatanos </w:t>
      </w:r>
      <w:r>
        <w:rPr>
          <w:i/>
        </w:rPr>
        <w:t>et al</w:t>
      </w:r>
      <w:r>
        <w:rPr/>
        <w:t>., (2002). Este se realizó de acuerdo a la ISO 15885:2002 (IDF 184:2002), Milk fat-determination of the fatty acid composition by gas-liquid chromatography. Para este proceso se pesaron .025mg de la grasa extraída, colocando la </w:t>
      </w:r>
      <w:r>
        <w:rPr>
          <w:spacing w:val="-3"/>
        </w:rPr>
        <w:t>misma </w:t>
      </w:r>
      <w:r>
        <w:rPr/>
        <w:t>dentro de un tubo eppendorf con ayuda de una espátula, una vez finalizado el pesaje de las muestras se colocaron en el congelador (-20°C).  Por otro lado, </w:t>
      </w:r>
      <w:r>
        <w:rPr>
          <w:spacing w:val="-3"/>
        </w:rPr>
        <w:t>se </w:t>
      </w:r>
      <w:r>
        <w:rPr/>
        <w:t>preparó una “potasa” (hidróxido de potasio 0.5g + </w:t>
      </w:r>
      <w:r>
        <w:rPr>
          <w:spacing w:val="-3"/>
        </w:rPr>
        <w:t>5ml </w:t>
      </w:r>
      <w:r>
        <w:rPr/>
        <w:t>de metanol), empleando una parrilla para la disolución perfecta del hidróxido. Posteriormente se sacaron las muestras del congelador y se agregaron 200µl de hexano, agitando </w:t>
      </w:r>
      <w:r>
        <w:rPr>
          <w:spacing w:val="2"/>
        </w:rPr>
        <w:t>las </w:t>
      </w:r>
      <w:r>
        <w:rPr/>
        <w:t>muestras en el vortex hasta disolver la grasa y agregando 50µl de potasa, agitando nuevamente y congelando por 5 minutos. Transcurrido el tiempo, se agregó sodio dihidrogenofosfato y se agitaron una por una las muestras. Para finalizar el proceso, las muestras se centrifugaron a 14,000 rpm/5min. Finalizado el tiempo se tomaron 100µl de cada tubo (muestra) y se colocaron en un vial ámbar agregando 400µl de hexano como paso</w:t>
      </w:r>
      <w:r>
        <w:rPr>
          <w:spacing w:val="-27"/>
        </w:rPr>
        <w:t> </w:t>
      </w:r>
      <w:r>
        <w:rPr/>
        <w:t>final.</w:t>
      </w:r>
    </w:p>
    <w:p>
      <w:pPr>
        <w:spacing w:after="0" w:line="360" w:lineRule="auto"/>
        <w:sectPr>
          <w:pgSz w:w="12240" w:h="15840"/>
          <w:pgMar w:header="0" w:footer="1329" w:top="1500" w:bottom="1580" w:left="1720" w:right="1400"/>
        </w:sectPr>
      </w:pPr>
    </w:p>
    <w:p>
      <w:pPr>
        <w:pStyle w:val="BodyText"/>
        <w:spacing w:before="6"/>
        <w:jc w:val="left"/>
        <w:rPr>
          <w:sz w:val="20"/>
        </w:rPr>
      </w:pPr>
    </w:p>
    <w:p>
      <w:pPr>
        <w:pStyle w:val="Heading1"/>
      </w:pPr>
      <w:r>
        <w:rPr/>
        <w:t>Análisis por cromatografía de gases</w:t>
      </w:r>
    </w:p>
    <w:p>
      <w:pPr>
        <w:pStyle w:val="BodyText"/>
        <w:spacing w:line="360" w:lineRule="auto" w:before="141"/>
        <w:ind w:left="152" w:right="100"/>
      </w:pPr>
      <w:r>
        <w:rPr/>
        <w:t>Una vez realizado el proceso de derivatización se procedió a colocar las muestras en el cromatógrafo de gases GC-2010 Plus marca Shimadzu. Donde se manejó una columna capilar (SP-2380, 30m x 0.25mm y 0.20µm de espesor), empleando Nitrógeno como gas acarreador. La temperatura del inyector fue de 220°C y del detector 260°C. Se inyecto 1µl de muestra de ácidos grasos, considerando una temperatura inicial de 100°C/3min (elevada 15°C/min), 140°C/4min (elevada 4°C/min), 195°C/2min (elevada 8°C/min) hasta llegar a una temperatura final de 220°C/15min.</w:t>
      </w:r>
    </w:p>
    <w:p>
      <w:pPr>
        <w:pStyle w:val="BodyText"/>
        <w:spacing w:before="8"/>
        <w:jc w:val="left"/>
        <w:rPr>
          <w:sz w:val="35"/>
        </w:rPr>
      </w:pPr>
    </w:p>
    <w:p>
      <w:pPr>
        <w:pStyle w:val="Heading1"/>
        <w:numPr>
          <w:ilvl w:val="1"/>
          <w:numId w:val="6"/>
        </w:numPr>
        <w:tabs>
          <w:tab w:pos="624" w:val="left" w:leader="none"/>
        </w:tabs>
        <w:spacing w:line="240" w:lineRule="auto" w:before="1" w:after="0"/>
        <w:ind w:left="623" w:right="0" w:hanging="471"/>
        <w:jc w:val="both"/>
      </w:pPr>
      <w:bookmarkStart w:name="_bookmark27" w:id="53"/>
      <w:bookmarkEnd w:id="53"/>
      <w:r>
        <w:rPr>
          <w:b w:val="0"/>
        </w:rPr>
      </w:r>
      <w:bookmarkStart w:name="_bookmark27" w:id="54"/>
      <w:bookmarkEnd w:id="54"/>
      <w:r>
        <w:rPr/>
        <w:t>Dise</w:t>
      </w:r>
      <w:r>
        <w:rPr/>
        <w:t>ño experimental y análisis</w:t>
      </w:r>
      <w:r>
        <w:rPr>
          <w:spacing w:val="-25"/>
        </w:rPr>
        <w:t> </w:t>
      </w:r>
      <w:r>
        <w:rPr/>
        <w:t>estadístico</w:t>
      </w:r>
    </w:p>
    <w:p>
      <w:pPr>
        <w:pStyle w:val="BodyText"/>
        <w:spacing w:line="360" w:lineRule="auto" w:before="146"/>
        <w:ind w:left="152" w:right="102"/>
      </w:pPr>
      <w:r>
        <w:rPr/>
        <w:t>En el presente estudio se empleó un diseño completamente al azar con arreglo factorial de 2x4 donde se consideró sistema de alimentación (tratamiento) y el tiempo de maduración., con la siguiente formula general lineal:</w:t>
      </w:r>
    </w:p>
    <w:p>
      <w:pPr>
        <w:pStyle w:val="BodyText"/>
        <w:jc w:val="left"/>
        <w:rPr>
          <w:sz w:val="20"/>
        </w:rPr>
      </w:pPr>
    </w:p>
    <w:p>
      <w:pPr>
        <w:spacing w:before="190"/>
        <w:ind w:left="141" w:right="95" w:firstLine="0"/>
        <w:jc w:val="center"/>
        <w:rPr>
          <w:sz w:val="16"/>
        </w:rPr>
      </w:pPr>
      <w:r>
        <w:rPr>
          <w:position w:val="2"/>
          <w:sz w:val="24"/>
        </w:rPr>
        <w:t>Y</w:t>
      </w:r>
      <w:r>
        <w:rPr>
          <w:sz w:val="16"/>
        </w:rPr>
        <w:t>ij </w:t>
      </w:r>
      <w:r>
        <w:rPr>
          <w:position w:val="2"/>
          <w:sz w:val="24"/>
        </w:rPr>
        <w:t>= µ + T</w:t>
      </w:r>
      <w:r>
        <w:rPr>
          <w:sz w:val="16"/>
        </w:rPr>
        <w:t>i </w:t>
      </w:r>
      <w:r>
        <w:rPr>
          <w:position w:val="2"/>
          <w:sz w:val="24"/>
        </w:rPr>
        <w:t>+ B</w:t>
      </w:r>
      <w:r>
        <w:rPr>
          <w:sz w:val="16"/>
        </w:rPr>
        <w:t>j </w:t>
      </w:r>
      <w:r>
        <w:rPr>
          <w:position w:val="2"/>
          <w:sz w:val="24"/>
        </w:rPr>
        <w:t>+ (T</w:t>
      </w:r>
      <w:r>
        <w:rPr>
          <w:sz w:val="16"/>
        </w:rPr>
        <w:t>i</w:t>
      </w:r>
      <w:r>
        <w:rPr>
          <w:position w:val="2"/>
          <w:sz w:val="24"/>
        </w:rPr>
        <w:t>*B</w:t>
      </w:r>
      <w:r>
        <w:rPr>
          <w:sz w:val="16"/>
        </w:rPr>
        <w:t>j</w:t>
      </w:r>
      <w:r>
        <w:rPr>
          <w:position w:val="2"/>
          <w:sz w:val="24"/>
        </w:rPr>
        <w:t>) +</w:t>
      </w:r>
      <w:r>
        <w:rPr>
          <w:spacing w:val="55"/>
          <w:position w:val="2"/>
          <w:sz w:val="24"/>
        </w:rPr>
        <w:t> </w:t>
      </w:r>
      <w:r>
        <w:rPr>
          <w:spacing w:val="2"/>
          <w:position w:val="2"/>
          <w:sz w:val="24"/>
        </w:rPr>
        <w:t>e</w:t>
      </w:r>
      <w:r>
        <w:rPr>
          <w:spacing w:val="2"/>
          <w:sz w:val="16"/>
        </w:rPr>
        <w:t>ij</w:t>
      </w:r>
    </w:p>
    <w:p>
      <w:pPr>
        <w:pStyle w:val="BodyText"/>
        <w:spacing w:before="134"/>
        <w:ind w:left="152"/>
        <w:jc w:val="left"/>
      </w:pPr>
      <w:r>
        <w:rPr/>
        <w:t>Dónde:</w:t>
      </w:r>
    </w:p>
    <w:p>
      <w:pPr>
        <w:pStyle w:val="BodyText"/>
        <w:spacing w:before="136"/>
        <w:ind w:left="152"/>
        <w:jc w:val="left"/>
      </w:pPr>
      <w:r>
        <w:rPr>
          <w:position w:val="2"/>
        </w:rPr>
        <w:t>Y</w:t>
      </w:r>
      <w:r>
        <w:rPr>
          <w:sz w:val="16"/>
        </w:rPr>
        <w:t>ij </w:t>
      </w:r>
      <w:r>
        <w:rPr>
          <w:position w:val="2"/>
        </w:rPr>
        <w:t>= variables respuesta</w:t>
      </w:r>
    </w:p>
    <w:p>
      <w:pPr>
        <w:pStyle w:val="BodyText"/>
        <w:spacing w:before="135"/>
        <w:ind w:left="152"/>
        <w:jc w:val="left"/>
      </w:pPr>
      <w:r>
        <w:rPr/>
        <w:t>µ = media general</w:t>
      </w:r>
    </w:p>
    <w:p>
      <w:pPr>
        <w:pStyle w:val="BodyText"/>
        <w:spacing w:line="355" w:lineRule="auto" w:before="141"/>
        <w:ind w:left="152" w:right="3049"/>
        <w:jc w:val="left"/>
      </w:pPr>
      <w:r>
        <w:rPr>
          <w:position w:val="2"/>
        </w:rPr>
        <w:t>T</w:t>
      </w:r>
      <w:r>
        <w:rPr>
          <w:sz w:val="16"/>
        </w:rPr>
        <w:t>i </w:t>
      </w:r>
      <w:r>
        <w:rPr>
          <w:position w:val="2"/>
        </w:rPr>
        <w:t>= efecto debido al sistema de alimentación (i= 1 : 2) B</w:t>
      </w:r>
      <w:r>
        <w:rPr>
          <w:sz w:val="16"/>
        </w:rPr>
        <w:t>j </w:t>
      </w:r>
      <w:r>
        <w:rPr>
          <w:position w:val="2"/>
        </w:rPr>
        <w:t>= efecto debido al periodo de maduración (j= 1 : 4)</w:t>
      </w:r>
    </w:p>
    <w:p>
      <w:pPr>
        <w:pStyle w:val="BodyText"/>
        <w:spacing w:line="357" w:lineRule="auto" w:before="3"/>
        <w:ind w:left="152" w:right="110"/>
      </w:pPr>
      <w:r>
        <w:rPr>
          <w:position w:val="2"/>
        </w:rPr>
        <w:t>(T</w:t>
      </w:r>
      <w:r>
        <w:rPr>
          <w:sz w:val="16"/>
        </w:rPr>
        <w:t>i</w:t>
      </w:r>
      <w:r>
        <w:rPr>
          <w:position w:val="2"/>
        </w:rPr>
        <w:t>*B</w:t>
      </w:r>
      <w:r>
        <w:rPr>
          <w:sz w:val="16"/>
        </w:rPr>
        <w:t>j</w:t>
      </w:r>
      <w:r>
        <w:rPr>
          <w:position w:val="2"/>
        </w:rPr>
        <w:t>) = efecto debido a la interacción entre el sistema de alimentación por el </w:t>
      </w:r>
      <w:r>
        <w:rPr/>
        <w:t>periodo de maduración</w:t>
      </w:r>
    </w:p>
    <w:p>
      <w:pPr>
        <w:pStyle w:val="BodyText"/>
        <w:spacing w:before="4"/>
        <w:ind w:left="152"/>
      </w:pPr>
      <w:r>
        <w:rPr>
          <w:position w:val="2"/>
        </w:rPr>
        <w:t>e</w:t>
      </w:r>
      <w:r>
        <w:rPr>
          <w:sz w:val="16"/>
        </w:rPr>
        <w:t>ij </w:t>
      </w:r>
      <w:r>
        <w:rPr>
          <w:position w:val="2"/>
        </w:rPr>
        <w:t>= error residual</w:t>
      </w:r>
    </w:p>
    <w:p>
      <w:pPr>
        <w:pStyle w:val="BodyText"/>
        <w:jc w:val="left"/>
      </w:pPr>
    </w:p>
    <w:p>
      <w:pPr>
        <w:pStyle w:val="BodyText"/>
        <w:jc w:val="left"/>
      </w:pPr>
    </w:p>
    <w:p>
      <w:pPr>
        <w:pStyle w:val="BodyText"/>
        <w:spacing w:line="360" w:lineRule="auto"/>
        <w:ind w:left="152" w:right="101"/>
      </w:pPr>
      <w:r>
        <w:rPr/>
        <w:t>Los resultados se analizaron mediante un análisis de varianza y la diferencia entre medias se calculó mediante la prueba de Tukey. Se utilizó el modelo general lineal de MINITAB v13 para el análisis de resultados.</w:t>
      </w:r>
    </w:p>
    <w:p>
      <w:pPr>
        <w:spacing w:after="0" w:line="360" w:lineRule="auto"/>
        <w:sectPr>
          <w:pgSz w:w="12240" w:h="15840"/>
          <w:pgMar w:header="0" w:footer="1329" w:top="1500" w:bottom="1580" w:left="1720" w:right="1420"/>
        </w:sectPr>
      </w:pPr>
    </w:p>
    <w:p>
      <w:pPr>
        <w:pStyle w:val="BodyText"/>
        <w:spacing w:before="6"/>
        <w:jc w:val="left"/>
        <w:rPr>
          <w:sz w:val="20"/>
        </w:rPr>
      </w:pPr>
    </w:p>
    <w:p>
      <w:pPr>
        <w:pStyle w:val="Heading1"/>
        <w:numPr>
          <w:ilvl w:val="0"/>
          <w:numId w:val="5"/>
        </w:numPr>
        <w:tabs>
          <w:tab w:pos="422" w:val="left" w:leader="none"/>
        </w:tabs>
        <w:spacing w:line="240" w:lineRule="auto" w:before="69" w:after="0"/>
        <w:ind w:left="421" w:right="0" w:hanging="269"/>
        <w:jc w:val="left"/>
      </w:pPr>
      <w:r>
        <w:rPr/>
        <w:drawing>
          <wp:anchor distT="0" distB="0" distL="0" distR="0" allowOverlap="1" layoutInCell="1" locked="0" behindDoc="0" simplePos="0" relativeHeight="1552">
            <wp:simplePos x="0" y="0"/>
            <wp:positionH relativeFrom="page">
              <wp:posOffset>1190625</wp:posOffset>
            </wp:positionH>
            <wp:positionV relativeFrom="paragraph">
              <wp:posOffset>282141</wp:posOffset>
            </wp:positionV>
            <wp:extent cx="5606567" cy="7383780"/>
            <wp:effectExtent l="0" t="0" r="0" b="0"/>
            <wp:wrapTopAndBottom/>
            <wp:docPr id="17" name="image8.jpeg" descr=""/>
            <wp:cNvGraphicFramePr>
              <a:graphicFrameLocks noChangeAspect="1"/>
            </wp:cNvGraphicFramePr>
            <a:graphic>
              <a:graphicData uri="http://schemas.openxmlformats.org/drawingml/2006/picture">
                <pic:pic>
                  <pic:nvPicPr>
                    <pic:cNvPr id="18" name="image8.jpeg"/>
                    <pic:cNvPicPr/>
                  </pic:nvPicPr>
                  <pic:blipFill>
                    <a:blip r:embed="rId17" cstate="print"/>
                    <a:stretch>
                      <a:fillRect/>
                    </a:stretch>
                  </pic:blipFill>
                  <pic:spPr>
                    <a:xfrm>
                      <a:off x="0" y="0"/>
                      <a:ext cx="5606567" cy="7383780"/>
                    </a:xfrm>
                    <a:prstGeom prst="rect">
                      <a:avLst/>
                    </a:prstGeom>
                  </pic:spPr>
                </pic:pic>
              </a:graphicData>
            </a:graphic>
          </wp:anchor>
        </w:drawing>
      </w:r>
      <w:bookmarkStart w:name="_bookmark28" w:id="55"/>
      <w:bookmarkEnd w:id="55"/>
      <w:r>
        <w:rPr>
          <w:b w:val="0"/>
        </w:rPr>
      </w:r>
      <w:bookmarkStart w:name="_bookmark28" w:id="56"/>
      <w:bookmarkEnd w:id="56"/>
      <w:r>
        <w:rPr/>
        <w:t>R</w:t>
      </w:r>
      <w:r>
        <w:rPr/>
        <w:t>ESULTADOS</w:t>
      </w:r>
    </w:p>
    <w:p>
      <w:pPr>
        <w:spacing w:after="0" w:line="240" w:lineRule="auto"/>
        <w:jc w:val="left"/>
        <w:sectPr>
          <w:pgSz w:w="12240" w:h="15840"/>
          <w:pgMar w:header="0" w:footer="1329" w:top="1500" w:bottom="1580" w:left="1720" w:right="1420"/>
        </w:sectPr>
      </w:pPr>
    </w:p>
    <w:p>
      <w:pPr>
        <w:pStyle w:val="BodyText"/>
        <w:spacing w:before="1"/>
        <w:jc w:val="left"/>
        <w:rPr>
          <w:rFonts w:ascii="Times New Roman"/>
          <w:sz w:val="29"/>
        </w:rPr>
      </w:pPr>
    </w:p>
    <w:p>
      <w:pPr>
        <w:pStyle w:val="BodyText"/>
        <w:ind w:left="101"/>
        <w:jc w:val="left"/>
        <w:rPr>
          <w:rFonts w:ascii="Times New Roman"/>
          <w:sz w:val="20"/>
        </w:rPr>
      </w:pPr>
      <w:r>
        <w:rPr>
          <w:rFonts w:ascii="Times New Roman"/>
          <w:sz w:val="20"/>
        </w:rPr>
        <w:drawing>
          <wp:inline distT="0" distB="0" distL="0" distR="0">
            <wp:extent cx="5606763" cy="7461504"/>
            <wp:effectExtent l="0" t="0" r="0" b="0"/>
            <wp:docPr id="19" name="image9.jpeg" descr=""/>
            <wp:cNvGraphicFramePr>
              <a:graphicFrameLocks noChangeAspect="1"/>
            </wp:cNvGraphicFramePr>
            <a:graphic>
              <a:graphicData uri="http://schemas.openxmlformats.org/drawingml/2006/picture">
                <pic:pic>
                  <pic:nvPicPr>
                    <pic:cNvPr id="20" name="image9.jpeg"/>
                    <pic:cNvPicPr/>
                  </pic:nvPicPr>
                  <pic:blipFill>
                    <a:blip r:embed="rId18" cstate="print"/>
                    <a:stretch>
                      <a:fillRect/>
                    </a:stretch>
                  </pic:blipFill>
                  <pic:spPr>
                    <a:xfrm>
                      <a:off x="0" y="0"/>
                      <a:ext cx="5606763" cy="7461504"/>
                    </a:xfrm>
                    <a:prstGeom prst="rect">
                      <a:avLst/>
                    </a:prstGeom>
                  </pic:spPr>
                </pic:pic>
              </a:graphicData>
            </a:graphic>
          </wp:inline>
        </w:drawing>
      </w:r>
      <w:r>
        <w:rPr>
          <w:rFonts w:ascii="Times New Roman"/>
          <w:sz w:val="20"/>
        </w:rPr>
      </w:r>
    </w:p>
    <w:p>
      <w:pPr>
        <w:spacing w:after="0"/>
        <w:jc w:val="left"/>
        <w:rPr>
          <w:rFonts w:ascii="Times New Roman"/>
          <w:sz w:val="20"/>
        </w:rPr>
        <w:sectPr>
          <w:pgSz w:w="12240" w:h="15840"/>
          <w:pgMar w:header="0" w:footer="1329" w:top="1500" w:bottom="1520" w:left="1720" w:right="1420"/>
        </w:sectPr>
      </w:pPr>
    </w:p>
    <w:p>
      <w:pPr>
        <w:pStyle w:val="BodyText"/>
        <w:spacing w:before="11"/>
        <w:jc w:val="left"/>
        <w:rPr>
          <w:rFonts w:ascii="Times New Roman"/>
          <w:sz w:val="26"/>
        </w:rPr>
      </w:pPr>
    </w:p>
    <w:p>
      <w:pPr>
        <w:pStyle w:val="BodyText"/>
        <w:ind w:left="152"/>
        <w:jc w:val="left"/>
        <w:rPr>
          <w:rFonts w:ascii="Times New Roman"/>
          <w:sz w:val="20"/>
        </w:rPr>
      </w:pPr>
      <w:r>
        <w:rPr>
          <w:rFonts w:ascii="Times New Roman"/>
          <w:sz w:val="20"/>
        </w:rPr>
        <w:drawing>
          <wp:inline distT="0" distB="0" distL="0" distR="0">
            <wp:extent cx="5607367" cy="7475220"/>
            <wp:effectExtent l="0" t="0" r="0" b="0"/>
            <wp:docPr id="21" name="image10.jpeg" descr=""/>
            <wp:cNvGraphicFramePr>
              <a:graphicFrameLocks noChangeAspect="1"/>
            </wp:cNvGraphicFramePr>
            <a:graphic>
              <a:graphicData uri="http://schemas.openxmlformats.org/drawingml/2006/picture">
                <pic:pic>
                  <pic:nvPicPr>
                    <pic:cNvPr id="22" name="image10.jpeg"/>
                    <pic:cNvPicPr/>
                  </pic:nvPicPr>
                  <pic:blipFill>
                    <a:blip r:embed="rId19" cstate="print"/>
                    <a:stretch>
                      <a:fillRect/>
                    </a:stretch>
                  </pic:blipFill>
                  <pic:spPr>
                    <a:xfrm>
                      <a:off x="0" y="0"/>
                      <a:ext cx="5607367" cy="7475220"/>
                    </a:xfrm>
                    <a:prstGeom prst="rect">
                      <a:avLst/>
                    </a:prstGeom>
                  </pic:spPr>
                </pic:pic>
              </a:graphicData>
            </a:graphic>
          </wp:inline>
        </w:drawing>
      </w:r>
      <w:r>
        <w:rPr>
          <w:rFonts w:ascii="Times New Roman"/>
          <w:sz w:val="20"/>
        </w:rPr>
      </w:r>
    </w:p>
    <w:p>
      <w:pPr>
        <w:spacing w:after="0"/>
        <w:jc w:val="left"/>
        <w:rPr>
          <w:rFonts w:ascii="Times New Roman"/>
          <w:sz w:val="20"/>
        </w:rPr>
        <w:sectPr>
          <w:pgSz w:w="12240" w:h="15840"/>
          <w:pgMar w:header="0" w:footer="1329" w:top="1500" w:bottom="1520" w:left="1720" w:right="1420"/>
        </w:sectPr>
      </w:pPr>
    </w:p>
    <w:p>
      <w:pPr>
        <w:pStyle w:val="BodyText"/>
        <w:spacing w:before="6"/>
        <w:jc w:val="left"/>
        <w:rPr>
          <w:rFonts w:ascii="Times New Roman"/>
          <w:sz w:val="20"/>
        </w:rPr>
      </w:pPr>
    </w:p>
    <w:p>
      <w:pPr>
        <w:pStyle w:val="Heading1"/>
        <w:jc w:val="left"/>
      </w:pPr>
      <w:bookmarkStart w:name="_bookmark29" w:id="57"/>
      <w:bookmarkEnd w:id="57"/>
      <w:r>
        <w:rPr>
          <w:b w:val="0"/>
        </w:rPr>
      </w:r>
      <w:r>
        <w:rPr/>
        <w:t>7.1. Artículo enviado</w:t>
      </w:r>
    </w:p>
    <w:p>
      <w:pPr>
        <w:pStyle w:val="BodyText"/>
        <w:jc w:val="left"/>
        <w:rPr>
          <w:b/>
        </w:rPr>
      </w:pPr>
    </w:p>
    <w:p>
      <w:pPr>
        <w:pStyle w:val="BodyText"/>
        <w:spacing w:before="3"/>
        <w:jc w:val="left"/>
        <w:rPr>
          <w:b/>
        </w:rPr>
      </w:pPr>
    </w:p>
    <w:p>
      <w:pPr>
        <w:pStyle w:val="BodyText"/>
        <w:spacing w:line="362" w:lineRule="auto"/>
        <w:ind w:left="141" w:right="96"/>
        <w:jc w:val="center"/>
      </w:pPr>
      <w:r>
        <w:rPr/>
        <w:t>Efecto de un Sistema Silvopastoril sobre el perfil de Ácidos grasos de un Queso Artesanal Mexicano</w:t>
      </w:r>
    </w:p>
    <w:p>
      <w:pPr>
        <w:pStyle w:val="BodyText"/>
        <w:jc w:val="left"/>
      </w:pPr>
    </w:p>
    <w:p>
      <w:pPr>
        <w:pStyle w:val="BodyText"/>
        <w:jc w:val="left"/>
      </w:pPr>
    </w:p>
    <w:p>
      <w:pPr>
        <w:pStyle w:val="BodyText"/>
        <w:spacing w:before="9"/>
        <w:jc w:val="left"/>
        <w:rPr>
          <w:sz w:val="23"/>
        </w:rPr>
      </w:pPr>
    </w:p>
    <w:p>
      <w:pPr>
        <w:pStyle w:val="BodyText"/>
        <w:spacing w:line="362" w:lineRule="auto"/>
        <w:ind w:left="141" w:right="101"/>
        <w:jc w:val="center"/>
      </w:pPr>
      <w:r>
        <w:rPr/>
        <w:t>Effect of a Silvopastoral system on the fatty acids profile of an Artisan Mexican Cheese</w:t>
      </w:r>
    </w:p>
    <w:p>
      <w:pPr>
        <w:pStyle w:val="BodyText"/>
        <w:jc w:val="left"/>
      </w:pPr>
    </w:p>
    <w:p>
      <w:pPr>
        <w:pStyle w:val="BodyText"/>
        <w:jc w:val="left"/>
      </w:pPr>
    </w:p>
    <w:p>
      <w:pPr>
        <w:pStyle w:val="BodyText"/>
        <w:spacing w:before="4"/>
        <w:jc w:val="left"/>
        <w:rPr>
          <w:sz w:val="23"/>
        </w:rPr>
      </w:pPr>
    </w:p>
    <w:p>
      <w:pPr>
        <w:pStyle w:val="BodyText"/>
        <w:spacing w:line="360" w:lineRule="auto" w:before="1"/>
        <w:ind w:left="2169" w:right="278" w:hanging="1844"/>
        <w:jc w:val="left"/>
      </w:pPr>
      <w:r>
        <w:rPr/>
        <w:t>A.R. Praga-Ayala</w:t>
      </w:r>
      <w:r>
        <w:rPr>
          <w:position w:val="8"/>
          <w:sz w:val="16"/>
        </w:rPr>
        <w:t>1</w:t>
      </w:r>
      <w:r>
        <w:rPr/>
        <w:t>, R. Martínez-Loperena</w:t>
      </w:r>
      <w:r>
        <w:rPr>
          <w:position w:val="8"/>
          <w:sz w:val="16"/>
        </w:rPr>
        <w:t>2</w:t>
      </w:r>
      <w:r>
        <w:rPr/>
        <w:t>, J. Ku-Vera</w:t>
      </w:r>
      <w:r>
        <w:rPr>
          <w:position w:val="8"/>
          <w:sz w:val="16"/>
        </w:rPr>
        <w:t>2</w:t>
      </w:r>
      <w:r>
        <w:rPr/>
        <w:t>, J. Solorio-Sánchez</w:t>
      </w:r>
      <w:r>
        <w:rPr>
          <w:position w:val="8"/>
          <w:sz w:val="16"/>
        </w:rPr>
        <w:t>2</w:t>
      </w:r>
      <w:r>
        <w:rPr/>
        <w:t>, M. González-Ronquillo</w:t>
      </w:r>
      <w:r>
        <w:rPr>
          <w:position w:val="8"/>
          <w:sz w:val="16"/>
        </w:rPr>
        <w:t>2</w:t>
      </w:r>
      <w:r>
        <w:rPr/>
        <w:t>, O.A. Castelán-Ortega</w:t>
      </w:r>
      <w:r>
        <w:rPr>
          <w:position w:val="8"/>
          <w:sz w:val="16"/>
        </w:rPr>
        <w:t>1</w:t>
      </w:r>
      <w:r>
        <w:rPr/>
        <w:t>*</w:t>
      </w:r>
    </w:p>
    <w:p>
      <w:pPr>
        <w:pStyle w:val="BodyText"/>
        <w:spacing w:before="4"/>
        <w:jc w:val="left"/>
        <w:rPr>
          <w:sz w:val="35"/>
        </w:rPr>
      </w:pPr>
    </w:p>
    <w:p>
      <w:pPr>
        <w:pStyle w:val="BodyText"/>
        <w:spacing w:line="360" w:lineRule="auto"/>
        <w:ind w:left="141" w:right="105"/>
        <w:jc w:val="center"/>
      </w:pPr>
      <w:r>
        <w:rPr>
          <w:position w:val="8"/>
          <w:sz w:val="16"/>
        </w:rPr>
        <w:t>1</w:t>
      </w:r>
      <w:r>
        <w:rPr/>
        <w:t>Facultad de Medicina Veterinaria y Zootecnia, Universidad Autónoma del Estado de México, Campus el Cerrillo Piedras Blancas, Toluca, México.</w:t>
      </w:r>
    </w:p>
    <w:p>
      <w:pPr>
        <w:pStyle w:val="BodyText"/>
        <w:jc w:val="left"/>
      </w:pPr>
    </w:p>
    <w:p>
      <w:pPr>
        <w:pStyle w:val="BodyText"/>
        <w:spacing w:line="360" w:lineRule="auto" w:before="139"/>
        <w:ind w:left="141" w:right="107"/>
        <w:jc w:val="center"/>
      </w:pPr>
      <w:r>
        <w:rPr>
          <w:position w:val="8"/>
          <w:sz w:val="16"/>
        </w:rPr>
        <w:t>2</w:t>
      </w:r>
      <w:r>
        <w:rPr/>
        <w:t>Facultad de Medicina Veterinaria y Zootecnia, Universidad Autónoma de Yucatán, carretera Mérida-Xmatkuil km 15.5, Mérida, Yucatán, México.</w:t>
      </w:r>
    </w:p>
    <w:p>
      <w:pPr>
        <w:pStyle w:val="BodyText"/>
        <w:jc w:val="left"/>
      </w:pPr>
    </w:p>
    <w:p>
      <w:pPr>
        <w:pStyle w:val="BodyText"/>
        <w:spacing w:line="360" w:lineRule="auto" w:before="144"/>
        <w:ind w:left="141" w:right="100"/>
        <w:jc w:val="center"/>
      </w:pPr>
      <w:r>
        <w:rPr/>
        <w:t>* Autor para correspondencia: Dr. Octavio Alonso Castelán Ortega </w:t>
      </w:r>
      <w:hyperlink r:id="rId20">
        <w:r>
          <w:rPr/>
          <w:t>oaco2002@yahoo.com.mx</w:t>
        </w:r>
      </w:hyperlink>
    </w:p>
    <w:p>
      <w:pPr>
        <w:pStyle w:val="BodyText"/>
        <w:spacing w:line="360" w:lineRule="auto" w:before="2"/>
        <w:ind w:left="141" w:right="101"/>
        <w:jc w:val="center"/>
      </w:pPr>
      <w:r>
        <w:rPr/>
        <w:t>Instituto Literario 100, Colonia Centro, C.P. 50000 Toluca, Estado de México, México.</w:t>
      </w:r>
    </w:p>
    <w:p>
      <w:pPr>
        <w:pStyle w:val="BodyText"/>
        <w:spacing w:before="2"/>
        <w:ind w:left="141" w:right="96"/>
        <w:jc w:val="center"/>
      </w:pPr>
      <w:r>
        <w:rPr/>
        <w:t>Teléfono: +52 7222965542</w:t>
      </w:r>
    </w:p>
    <w:p>
      <w:pPr>
        <w:spacing w:after="0"/>
        <w:jc w:val="center"/>
        <w:sectPr>
          <w:pgSz w:w="12240" w:h="15840"/>
          <w:pgMar w:header="0" w:footer="1329" w:top="1500" w:bottom="1520" w:left="1720" w:right="1420"/>
        </w:sectPr>
      </w:pPr>
    </w:p>
    <w:p>
      <w:pPr>
        <w:pStyle w:val="BodyText"/>
        <w:spacing w:before="11"/>
        <w:jc w:val="left"/>
        <w:rPr>
          <w:sz w:val="20"/>
        </w:rPr>
      </w:pPr>
    </w:p>
    <w:p>
      <w:pPr>
        <w:pStyle w:val="BodyText"/>
        <w:spacing w:before="69"/>
        <w:ind w:left="152"/>
      </w:pPr>
      <w:r>
        <w:rPr/>
        <w:t>Resumen</w:t>
      </w:r>
    </w:p>
    <w:p>
      <w:pPr>
        <w:pStyle w:val="BodyText"/>
        <w:spacing w:line="360" w:lineRule="auto" w:before="137"/>
        <w:ind w:left="152" w:right="99"/>
      </w:pPr>
      <w:r>
        <w:rPr/>
        <w:t>El objetivo del presente estudio fue determinar sí el perfil de ácidos grasos y el contenido de ácidos linoleico y linolénico del queso artesanal Tepeque elaborado con leche de vaca es modificado por una dieta basada en un Sistema Silvopastoril intensivo (SSPi), en comparación con un sistema tradicional (ST). Se elaboraron 48 quesos, 24 con leche del SSPi y 24 del ST. Se empleó un diseño experimental completamente al azar con un arreglo factorial 2 x 4 para analizar el efecto del sistema de alimentación y cuatro periodos de maduración de los quesos. Los resultados demuestran que existe una concentración significativamente menor (P&lt;0.05) de ácidos grasos de cadena corta en el SSPi. También se observó que la concentración de los ácidos grasos C18:2n3 y C18:3n3 fue mayor (P&lt;0.01 y P&lt;0.05, respectivamente) en los quesos del SSPi. Para los periodos se observó  un incremento (P&lt;0.05) para C14:0, C16:0, C18:0 y C18:3n6 en el tercer periodo de maduración con respecto al primero, encontrando una estabilización en el cuarto periodo. Para la concentración promedio de ácidos grasos agrupados por el largo de su cadena de carbonos, se observó que ésta fue mayor para los ácidos de cadena larga (P&lt;0.01) en los quesos del SSPi, lo cual se explica por  el consumo de forrajes frescos y de buena calidad en </w:t>
      </w:r>
      <w:r>
        <w:rPr>
          <w:spacing w:val="2"/>
        </w:rPr>
        <w:t>este </w:t>
      </w:r>
      <w:r>
        <w:rPr/>
        <w:t>sistema. Se concluye que el empleo de un SSPi genera un aumento en el contenido de ácidos grasos de cadena larga del queso artesanal</w:t>
      </w:r>
      <w:r>
        <w:rPr>
          <w:spacing w:val="-20"/>
        </w:rPr>
        <w:t> </w:t>
      </w:r>
      <w:r>
        <w:rPr/>
        <w:t>Tepeque.</w:t>
      </w:r>
    </w:p>
    <w:p>
      <w:pPr>
        <w:spacing w:line="274" w:lineRule="exact" w:before="0"/>
        <w:ind w:left="152" w:right="0" w:firstLine="0"/>
        <w:jc w:val="both"/>
        <w:rPr>
          <w:sz w:val="24"/>
        </w:rPr>
      </w:pPr>
      <w:r>
        <w:rPr>
          <w:b/>
          <w:sz w:val="24"/>
        </w:rPr>
        <w:t>Palabras clave</w:t>
      </w:r>
      <w:r>
        <w:rPr>
          <w:sz w:val="24"/>
        </w:rPr>
        <w:t>: Ácidos grasos, queso Tepeque, Sistema silvopastoril.</w:t>
      </w:r>
    </w:p>
    <w:p>
      <w:pPr>
        <w:spacing w:after="0" w:line="274" w:lineRule="exact"/>
        <w:jc w:val="both"/>
        <w:rPr>
          <w:sz w:val="24"/>
        </w:rPr>
        <w:sectPr>
          <w:pgSz w:w="12240" w:h="15840"/>
          <w:pgMar w:header="0" w:footer="1329" w:top="1500" w:bottom="1580" w:left="1720" w:right="1420"/>
        </w:sectPr>
      </w:pPr>
    </w:p>
    <w:p>
      <w:pPr>
        <w:pStyle w:val="BodyText"/>
        <w:spacing w:before="11"/>
        <w:jc w:val="left"/>
        <w:rPr>
          <w:sz w:val="20"/>
        </w:rPr>
      </w:pPr>
    </w:p>
    <w:p>
      <w:pPr>
        <w:pStyle w:val="BodyText"/>
        <w:spacing w:before="69"/>
        <w:ind w:left="152"/>
      </w:pPr>
      <w:r>
        <w:rPr/>
        <w:t>Summary</w:t>
      </w:r>
    </w:p>
    <w:p>
      <w:pPr>
        <w:pStyle w:val="BodyText"/>
        <w:spacing w:line="360" w:lineRule="auto" w:before="137"/>
        <w:ind w:left="152" w:right="117"/>
      </w:pPr>
      <w:r>
        <w:rPr/>
        <w:t>The aim of the present study was to determine whether the profile of fatty acids  and the linoleic and linolenic acids of the artisan Tepeque cheese made with cow's milk is modified by a diet based on an intensive silvo-pastoral system (ISPs) compared with a Traditional System (TS). Forty eight cheeses were made, 24 with milk from the ISPs and 24 from the TS. An experimental completely randomized design with a factorial arrangement, 2 x 4, was used to analyse the effect of the feeding system and four cheese ripening periods. The results showed a significantly lower concentration (P&lt;0.05) of short chain fatty acids in the ISPs. On the contrary, the concentration of C18:2n3 and C18:3n3 was higher (P&lt;0.01 and P&lt;0.05, respectively) in the ISPs than in the TS cheeses. For the periods, there  was an increment (P&lt;0.05) in the concentration of C14:0, C16:0, C18:0 and C18:3n6 over the third ripening period in comparison with the first period. This concentration was stabilised and remained constant at the end of the fourth period. In relation with the concentration of fatty acids as grouped by the length of their carbon atoms chain, this was higher for the long chain fatty acids in the ISPs (P&lt;0.01). This </w:t>
      </w:r>
      <w:r>
        <w:rPr>
          <w:spacing w:val="-3"/>
        </w:rPr>
        <w:t>may </w:t>
      </w:r>
      <w:r>
        <w:rPr/>
        <w:t>be explained by intake of good quality forages in the ISPs. Finally, it is concluded that the use of an ISPs results in an increment in the long chain fatty acids in the Tepeque artisan cheese. </w:t>
      </w:r>
      <w:r>
        <w:rPr>
          <w:b/>
        </w:rPr>
        <w:t>Keywords: </w:t>
      </w:r>
      <w:r>
        <w:rPr/>
        <w:t>Fattty acids, Tepeque cheese, Silvopastoral</w:t>
      </w:r>
      <w:r>
        <w:rPr>
          <w:spacing w:val="-16"/>
        </w:rPr>
        <w:t> </w:t>
      </w:r>
      <w:r>
        <w:rPr/>
        <w:t>system.</w:t>
      </w:r>
    </w:p>
    <w:p>
      <w:pPr>
        <w:spacing w:after="0" w:line="360" w:lineRule="auto"/>
        <w:sectPr>
          <w:pgSz w:w="12240" w:h="15840"/>
          <w:pgMar w:header="0" w:footer="1329" w:top="1500" w:bottom="1580" w:left="1720" w:right="1400"/>
        </w:sectPr>
      </w:pPr>
    </w:p>
    <w:p>
      <w:pPr>
        <w:pStyle w:val="BodyText"/>
        <w:spacing w:before="11"/>
        <w:jc w:val="left"/>
        <w:rPr>
          <w:sz w:val="20"/>
        </w:rPr>
      </w:pPr>
    </w:p>
    <w:p>
      <w:pPr>
        <w:pStyle w:val="BodyText"/>
        <w:spacing w:before="69"/>
        <w:ind w:left="152"/>
        <w:jc w:val="left"/>
      </w:pPr>
      <w:r>
        <w:rPr/>
        <w:t>Introducción</w:t>
      </w:r>
    </w:p>
    <w:p>
      <w:pPr>
        <w:pStyle w:val="BodyText"/>
        <w:spacing w:line="360" w:lineRule="auto" w:before="137"/>
        <w:ind w:left="152" w:right="104"/>
      </w:pPr>
      <w:r>
        <w:rPr/>
        <w:t>El contenido de ácidos grasos en la leche y sus derivados ha sido ampliamente investigado con el objeto de lograr una mejor comprensión de sus efectos sobre la salud humana. Recientemente se ha puesto particular atención en el contenido de ácidos de grasos de cadena larga en la leche y quesos de vaca </w:t>
      </w:r>
      <w:r>
        <w:rPr>
          <w:spacing w:val="3"/>
        </w:rPr>
        <w:t>pues </w:t>
      </w:r>
      <w:r>
        <w:rPr/>
        <w:t>éstos son asociados con beneficios en la salud de los consumidores. De acuerdo con (1) los niveles </w:t>
      </w:r>
      <w:r>
        <w:rPr>
          <w:spacing w:val="-3"/>
        </w:rPr>
        <w:t>más </w:t>
      </w:r>
      <w:r>
        <w:rPr/>
        <w:t>altos de ácido linoleico conjugado (CLA, por sus siglas en inglés) en la grasa de la leche de vaca se han observado cuando las vacas son alimentadas con pastos frescos, dietas orgánicas y dietas suplementadas con plantas ricas en ácidos grasos polinsaturados (PUFA, por sus siglas en inglés). De acuerdo con</w:t>
      </w:r>
      <w:r>
        <w:rPr>
          <w:spacing w:val="22"/>
        </w:rPr>
        <w:t> </w:t>
      </w:r>
      <w:r>
        <w:rPr/>
        <w:t>(2,</w:t>
      </w:r>
    </w:p>
    <w:p>
      <w:pPr>
        <w:pStyle w:val="BodyText"/>
        <w:spacing w:line="360" w:lineRule="auto" w:before="3"/>
        <w:ind w:left="152" w:right="123"/>
        <w:jc w:val="left"/>
      </w:pPr>
      <w:r>
        <w:rPr/>
        <w:t>3) lo anterior se debe a que la alimentación con forrajes frescos da lugar a un mayor contenido de compuestos saludables como los ácidos grasos poli- insaturados (PUFA) en la leche, que los encontrados en la leche de los sistemas de alimentación intensivo o estabulado. El CLA, es uno de los ácidos grasos presentes en la grasa láctea que ha demostrado tener una serie de efectos positivos para la salud en estudios biomédicos con animales de experimentación (4). Estos incluyen la supresión de la carcinogénesis (4) disminución del riesgo de cáncer de próstata y cáncer de </w:t>
      </w:r>
      <w:r>
        <w:rPr>
          <w:spacing w:val="-3"/>
        </w:rPr>
        <w:t>mama, </w:t>
      </w:r>
      <w:r>
        <w:rPr/>
        <w:t>mejora de la mineralización ósea, y la redistribución de la grasa corporal, lo que ayuda a reducir la obesidad (5, 6), estimulante inmunológico (7) y reducciones en la aterogénesis (8) y diabetes (9). En los quesos elaborados con leche de vaca el contenido de ácidos grasos linoleico y linolénico es variable y depende principalmente de su concentración en la leche cruda. Estudios recientes (3) demuestran que el pastoreo así como la alimentación de las vacas con forrajes frescos son determinantes en el aumento de los ácidos grasos insaturados de cadena larga en la leche entre ellos el linoleico, lo cual da por resultado una disminución en el contenido de ácidos grasos saturados de cadena corta por lo que posiblemente el contenido de éste ácido graso en el queso es afectado por las características específicas de la leche utilizada</w:t>
      </w:r>
      <w:r>
        <w:rPr>
          <w:spacing w:val="37"/>
        </w:rPr>
        <w:t> </w:t>
      </w:r>
      <w:r>
        <w:rPr/>
        <w:t>en</w:t>
      </w:r>
      <w:r>
        <w:rPr>
          <w:spacing w:val="37"/>
        </w:rPr>
        <w:t> </w:t>
      </w:r>
      <w:r>
        <w:rPr/>
        <w:t>su</w:t>
      </w:r>
      <w:r>
        <w:rPr>
          <w:spacing w:val="37"/>
        </w:rPr>
        <w:t> </w:t>
      </w:r>
      <w:r>
        <w:rPr/>
        <w:t>elaboración</w:t>
      </w:r>
      <w:r>
        <w:rPr>
          <w:spacing w:val="32"/>
        </w:rPr>
        <w:t> </w:t>
      </w:r>
      <w:r>
        <w:rPr/>
        <w:t>(10).</w:t>
      </w:r>
      <w:r>
        <w:rPr>
          <w:spacing w:val="37"/>
        </w:rPr>
        <w:t> </w:t>
      </w:r>
      <w:r>
        <w:rPr>
          <w:spacing w:val="-4"/>
        </w:rPr>
        <w:t>El</w:t>
      </w:r>
      <w:r>
        <w:rPr>
          <w:spacing w:val="41"/>
        </w:rPr>
        <w:t> </w:t>
      </w:r>
      <w:r>
        <w:rPr/>
        <w:t>uso</w:t>
      </w:r>
      <w:r>
        <w:rPr>
          <w:spacing w:val="37"/>
        </w:rPr>
        <w:t> </w:t>
      </w:r>
      <w:r>
        <w:rPr/>
        <w:t>de</w:t>
      </w:r>
      <w:r>
        <w:rPr>
          <w:spacing w:val="32"/>
        </w:rPr>
        <w:t> </w:t>
      </w:r>
      <w:r>
        <w:rPr/>
        <w:t>SSPi</w:t>
      </w:r>
      <w:r>
        <w:rPr>
          <w:spacing w:val="41"/>
        </w:rPr>
        <w:t> </w:t>
      </w:r>
      <w:r>
        <w:rPr/>
        <w:t>en</w:t>
      </w:r>
      <w:r>
        <w:rPr>
          <w:spacing w:val="37"/>
        </w:rPr>
        <w:t> </w:t>
      </w:r>
      <w:r>
        <w:rPr/>
        <w:t>la</w:t>
      </w:r>
      <w:r>
        <w:rPr>
          <w:spacing w:val="37"/>
        </w:rPr>
        <w:t> </w:t>
      </w:r>
      <w:r>
        <w:rPr/>
        <w:t>alimentación</w:t>
      </w:r>
      <w:r>
        <w:rPr>
          <w:spacing w:val="37"/>
        </w:rPr>
        <w:t> </w:t>
      </w:r>
      <w:r>
        <w:rPr/>
        <w:t>del</w:t>
      </w:r>
      <w:r>
        <w:rPr>
          <w:spacing w:val="41"/>
        </w:rPr>
        <w:t> </w:t>
      </w:r>
      <w:r>
        <w:rPr/>
        <w:t>ganado</w:t>
      </w:r>
    </w:p>
    <w:p>
      <w:pPr>
        <w:spacing w:after="0" w:line="360" w:lineRule="auto"/>
        <w:jc w:val="left"/>
        <w:sectPr>
          <w:pgSz w:w="12240" w:h="15840"/>
          <w:pgMar w:header="0" w:footer="1329" w:top="1500" w:bottom="1580" w:left="1720" w:right="1420"/>
        </w:sectPr>
      </w:pPr>
    </w:p>
    <w:p>
      <w:pPr>
        <w:pStyle w:val="BodyText"/>
        <w:spacing w:before="11"/>
        <w:jc w:val="left"/>
        <w:rPr>
          <w:sz w:val="20"/>
        </w:rPr>
      </w:pPr>
    </w:p>
    <w:p>
      <w:pPr>
        <w:pStyle w:val="BodyText"/>
        <w:spacing w:line="360" w:lineRule="auto" w:before="69"/>
        <w:ind w:left="152" w:right="116"/>
      </w:pPr>
      <w:r>
        <w:rPr/>
        <w:t>lechero posiblemente resulte en una mayor concentración de ácido linoleico y linolénico en la leche y por lo tanto en los quesos que se producen con ésta, pues éste sistema se caracteriza por emplear forrajes frescos que son pastoreados directamente por el ganado lechero. El SSPi que se empleó en el presente estudio se basa en la asociación de pasto estrella de África (</w:t>
      </w:r>
      <w:r>
        <w:rPr>
          <w:i/>
        </w:rPr>
        <w:t>Cynodon plectostachyus</w:t>
      </w:r>
      <w:r>
        <w:rPr/>
        <w:t>) o pasto Guinea (</w:t>
      </w:r>
      <w:r>
        <w:rPr>
          <w:i/>
        </w:rPr>
        <w:t>Panicum máximum</w:t>
      </w:r>
      <w:r>
        <w:rPr/>
        <w:t>) </w:t>
      </w:r>
      <w:r>
        <w:rPr>
          <w:spacing w:val="-3"/>
        </w:rPr>
        <w:t>más </w:t>
      </w:r>
      <w:r>
        <w:rPr/>
        <w:t>la leguminosa arbórea </w:t>
      </w:r>
      <w:r>
        <w:rPr>
          <w:i/>
        </w:rPr>
        <w:t>Leucaena </w:t>
      </w:r>
      <w:r>
        <w:rPr>
          <w:i/>
        </w:rPr>
        <w:t>leucocephala</w:t>
      </w:r>
      <w:r>
        <w:rPr/>
        <w:t>, esta última sembrada a altas densidades, &gt;35,000 plantas </w:t>
      </w:r>
      <w:r>
        <w:rPr>
          <w:spacing w:val="2"/>
        </w:rPr>
        <w:t>ha</w:t>
      </w:r>
      <w:r>
        <w:rPr>
          <w:spacing w:val="2"/>
          <w:position w:val="8"/>
          <w:sz w:val="16"/>
        </w:rPr>
        <w:t>-1</w:t>
      </w:r>
      <w:r>
        <w:rPr>
          <w:spacing w:val="2"/>
        </w:rPr>
        <w:t>, </w:t>
      </w:r>
      <w:r>
        <w:rPr/>
        <w:t>lo cual genera durante el año una mayor producción y disposición de forraje de buena calidad destinado a la alimentación de ganado lechero, el cual lo pastorea directamente (11). Por lo tanto, el objetivo del presente estudio fue determinar sí el perfil de ácidos grasos y el contenido de ácidos grasos de cadena corta, media y larga en el queso artesanal Tepeque elaborado con leche de vaca cruda, es modificado por una dieta basada en un SSPi y si este comportamiento se modifica a lo largo de su</w:t>
      </w:r>
      <w:r>
        <w:rPr>
          <w:spacing w:val="-11"/>
        </w:rPr>
        <w:t> </w:t>
      </w:r>
      <w:r>
        <w:rPr/>
        <w:t>maduración.</w:t>
      </w:r>
    </w:p>
    <w:p>
      <w:pPr>
        <w:pStyle w:val="BodyText"/>
        <w:spacing w:before="3"/>
        <w:ind w:left="152"/>
      </w:pPr>
      <w:r>
        <w:rPr/>
        <w:t>Materiales y Métodos</w:t>
      </w:r>
    </w:p>
    <w:p>
      <w:pPr>
        <w:pStyle w:val="BodyText"/>
        <w:spacing w:before="141"/>
        <w:ind w:left="152"/>
      </w:pPr>
      <w:r>
        <w:rPr/>
        <w:t>Localización geográfica del área de estudio</w:t>
      </w:r>
    </w:p>
    <w:p>
      <w:pPr>
        <w:pStyle w:val="BodyText"/>
        <w:spacing w:line="360" w:lineRule="auto" w:before="137"/>
        <w:ind w:left="152" w:right="122"/>
      </w:pPr>
      <w:r>
        <w:rPr/>
        <w:t>El presente estudio se llevó a cabo en el laboratorio de producción animal de la Facultad de Medicina Veterinaria y Zootecnia de la Universidad Autónoma del Estado de México y en el laboratorio de Instrumentación de la División de Ciencias Biológicas y de la Salud de la Universidad Autónoma Metropolitana, Unidad Xochimilco.</w:t>
      </w:r>
    </w:p>
    <w:p>
      <w:pPr>
        <w:pStyle w:val="BodyText"/>
        <w:spacing w:before="2"/>
        <w:ind w:left="152"/>
      </w:pPr>
      <w:r>
        <w:rPr/>
        <w:t>Muestras de queso artesanal Tepeque</w:t>
      </w:r>
    </w:p>
    <w:p>
      <w:pPr>
        <w:pStyle w:val="BodyText"/>
        <w:spacing w:line="360" w:lineRule="auto" w:before="137"/>
        <w:ind w:left="152" w:right="123"/>
      </w:pPr>
      <w:r>
        <w:rPr/>
        <w:t>Los quesos artesanales empleados en el presente estudio fueron elaborados en el municipio de Tepalcatepec, Estado de Michoacán, México. Tepalcatepec se localiza en la región Centro Occidente de la República Mexicana a 19° 11´ de latitud Norte, 102° 51´ de longitud Oeste y una altitud de 370 msnm, con una temperatura de 24</w:t>
      </w:r>
      <w:r>
        <w:rPr>
          <w:position w:val="8"/>
          <w:sz w:val="16"/>
        </w:rPr>
        <w:t>o</w:t>
      </w:r>
      <w:r>
        <w:rPr/>
        <w:t>C y precipitación anual de 900mm (12). Se elaboraron exprofeso 48 quesos, de los cuales 24 se elaboraron con leche proveniente de</w:t>
      </w:r>
    </w:p>
    <w:p>
      <w:pPr>
        <w:spacing w:after="0" w:line="360" w:lineRule="auto"/>
        <w:sectPr>
          <w:pgSz w:w="12240" w:h="15840"/>
          <w:pgMar w:header="0" w:footer="1329" w:top="1500" w:bottom="1580" w:left="1720" w:right="1400"/>
        </w:sectPr>
      </w:pPr>
    </w:p>
    <w:p>
      <w:pPr>
        <w:pStyle w:val="BodyText"/>
        <w:spacing w:before="11"/>
        <w:jc w:val="left"/>
        <w:rPr>
          <w:sz w:val="20"/>
        </w:rPr>
      </w:pPr>
    </w:p>
    <w:p>
      <w:pPr>
        <w:pStyle w:val="BodyText"/>
        <w:spacing w:line="360" w:lineRule="auto" w:before="69"/>
        <w:ind w:left="152" w:right="115"/>
      </w:pPr>
      <w:r>
        <w:rPr/>
        <w:t>vacas alimentadas en un SSPi y 24 quesos provenientes de un ST de producción de leche de la región de estudio.</w:t>
      </w:r>
    </w:p>
    <w:p>
      <w:pPr>
        <w:pStyle w:val="BodyText"/>
        <w:spacing w:line="360" w:lineRule="auto" w:before="3"/>
        <w:ind w:left="152" w:right="103"/>
      </w:pPr>
      <w:r>
        <w:rPr/>
        <w:t>Los quesos fueron elaborados en enero del 2013 teniendo un peso promedio de 3 kg cada uno, los 48 quesos se dividieron en cuatro grupos, uno para cada periodo de maduración (P1=10, P2=45, P3=80 y P4=165 días) correspondiendo 12 quesos para cada periodo, de los cuales seis quesos fueron para cada sistema. Una vez que los quesos alcanzaron el tiempo de maduración fueron analizados para determinar su perfil de ácidos grasos.</w:t>
      </w:r>
    </w:p>
    <w:p>
      <w:pPr>
        <w:pStyle w:val="BodyText"/>
        <w:spacing w:before="2"/>
        <w:ind w:left="152"/>
      </w:pPr>
      <w:r>
        <w:rPr/>
        <w:t>Alimentación del ganado</w:t>
      </w:r>
    </w:p>
    <w:p>
      <w:pPr>
        <w:pStyle w:val="BodyText"/>
        <w:spacing w:line="360" w:lineRule="auto" w:before="137"/>
        <w:ind w:left="152" w:right="100"/>
      </w:pPr>
      <w:r>
        <w:rPr/>
        <w:t>El sistema de alimentación y </w:t>
      </w:r>
      <w:r>
        <w:rPr>
          <w:spacing w:val="-3"/>
        </w:rPr>
        <w:t>manejo </w:t>
      </w:r>
      <w:r>
        <w:rPr/>
        <w:t>del ganado fue el tradicional observado en   los sistemas doble propósito de las regiones tropicales del mundo, el </w:t>
      </w:r>
      <w:r>
        <w:rPr>
          <w:spacing w:val="-3"/>
        </w:rPr>
        <w:t>cual </w:t>
      </w:r>
      <w:r>
        <w:rPr/>
        <w:t>se basa en el pastoreo directo de una gramínea en </w:t>
      </w:r>
      <w:r>
        <w:rPr>
          <w:spacing w:val="2"/>
        </w:rPr>
        <w:t>este </w:t>
      </w:r>
      <w:r>
        <w:rPr/>
        <w:t>caso pasto estrella de África y altas cantidades de concentrado comercial. El SSPi se basó en el pastoreo de praderas de pasto Tanzania y </w:t>
      </w:r>
      <w:r>
        <w:rPr>
          <w:i/>
        </w:rPr>
        <w:t>Leucaena leucocephala </w:t>
      </w:r>
      <w:r>
        <w:rPr/>
        <w:t>sembrada en hileras con separación entre ellas de 1.6m y a una densidad de 35,000 plantas </w:t>
      </w:r>
      <w:r>
        <w:rPr>
          <w:spacing w:val="2"/>
        </w:rPr>
        <w:t>ha</w:t>
      </w:r>
      <w:r>
        <w:rPr>
          <w:spacing w:val="2"/>
          <w:position w:val="8"/>
          <w:sz w:val="16"/>
        </w:rPr>
        <w:t>-1</w:t>
      </w:r>
      <w:r>
        <w:rPr>
          <w:spacing w:val="2"/>
        </w:rPr>
        <w:t>. </w:t>
      </w:r>
      <w:r>
        <w:rPr/>
        <w:t>Adicionalmente, las vacas en el SSPi recibieron 1.5 kg de concentrado comercial vaca</w:t>
      </w:r>
      <w:r>
        <w:rPr>
          <w:position w:val="8"/>
          <w:sz w:val="16"/>
        </w:rPr>
        <w:t>-1 </w:t>
      </w:r>
      <w:r>
        <w:rPr/>
        <w:t>día</w:t>
      </w:r>
      <w:r>
        <w:rPr>
          <w:position w:val="8"/>
          <w:sz w:val="16"/>
        </w:rPr>
        <w:t>-1</w:t>
      </w:r>
      <w:r>
        <w:rPr/>
        <w:t>. Las vacas en el ST permanecieron en pastoreo de praderas de pasto estrella de África (</w:t>
      </w:r>
      <w:r>
        <w:rPr>
          <w:i/>
        </w:rPr>
        <w:t>Cynodon plectostachyus</w:t>
      </w:r>
      <w:r>
        <w:rPr/>
        <w:t>) y fueron suplementadas con 6 kg de concentrado comercial por vaca</w:t>
      </w:r>
      <w:r>
        <w:rPr>
          <w:position w:val="8"/>
          <w:sz w:val="16"/>
        </w:rPr>
        <w:t>-1 </w:t>
      </w:r>
      <w:r>
        <w:rPr/>
        <w:t>día</w:t>
      </w:r>
      <w:r>
        <w:rPr>
          <w:position w:val="8"/>
          <w:sz w:val="16"/>
        </w:rPr>
        <w:t>-1</w:t>
      </w:r>
      <w:r>
        <w:rPr/>
        <w:t>. En ambos casos las vacas empleadas fueron cruzas de razas Cebuinas y Pardo Suizo, las vacas permanecieron todo el día en las praderas con excepción de la hora de la ordeña a las 7:00 </w:t>
      </w:r>
      <w:r>
        <w:rPr>
          <w:spacing w:val="-3"/>
        </w:rPr>
        <w:t>am, </w:t>
      </w:r>
      <w:r>
        <w:rPr/>
        <w:t>cuando también se les administró el</w:t>
      </w:r>
      <w:r>
        <w:rPr>
          <w:spacing w:val="-8"/>
        </w:rPr>
        <w:t> </w:t>
      </w:r>
      <w:r>
        <w:rPr/>
        <w:t>concentrado.</w:t>
      </w:r>
    </w:p>
    <w:p>
      <w:pPr>
        <w:pStyle w:val="BodyText"/>
        <w:spacing w:before="3"/>
        <w:ind w:left="152"/>
      </w:pPr>
      <w:r>
        <w:rPr/>
        <w:t>Toma de muestras para análisis de laboratorio</w:t>
      </w:r>
    </w:p>
    <w:p>
      <w:pPr>
        <w:pStyle w:val="BodyText"/>
        <w:spacing w:line="360" w:lineRule="auto" w:before="137"/>
        <w:ind w:left="152" w:right="107"/>
      </w:pPr>
      <w:r>
        <w:rPr/>
        <w:t>El método de muestreo de los quesos se llevó a cabo de acuerdo con la norma FIL-IDF 50B:1985., la primer toma de muestra se realizó en el mes de enero y la última en el mes de mayo. El muestreo se realizó tomando 250 grs de queso empleando la técnica por corte de un sector, la cual considera la forma, masa, tipo y grado de madurez del queso.</w:t>
      </w:r>
    </w:p>
    <w:p>
      <w:pPr>
        <w:pStyle w:val="BodyText"/>
        <w:spacing w:before="7"/>
        <w:ind w:left="152"/>
      </w:pPr>
      <w:r>
        <w:rPr/>
        <w:t>Análisis de laboratorio</w:t>
      </w:r>
    </w:p>
    <w:p>
      <w:pPr>
        <w:spacing w:after="0"/>
        <w:sectPr>
          <w:pgSz w:w="12240" w:h="15840"/>
          <w:pgMar w:header="0" w:footer="1329" w:top="1500" w:bottom="1580" w:left="1720" w:right="1420"/>
        </w:sectPr>
      </w:pPr>
    </w:p>
    <w:p>
      <w:pPr>
        <w:pStyle w:val="BodyText"/>
        <w:spacing w:before="11"/>
        <w:jc w:val="left"/>
        <w:rPr>
          <w:sz w:val="20"/>
        </w:rPr>
      </w:pPr>
    </w:p>
    <w:p>
      <w:pPr>
        <w:pStyle w:val="BodyText"/>
        <w:spacing w:line="360" w:lineRule="auto" w:before="69"/>
        <w:ind w:left="152" w:right="102"/>
      </w:pPr>
      <w:r>
        <w:rPr/>
        <w:t>Para la realización de los análisis se preparó cada muestra previamente colocándola en un mortero con el fin de obtener una masa homogénea finamente </w:t>
      </w:r>
      <w:r>
        <w:rPr>
          <w:position w:val="2"/>
        </w:rPr>
        <w:t>dividida agregando poco a poco 40grs de sulfato de sodio anhidro (Na</w:t>
      </w:r>
      <w:r>
        <w:rPr>
          <w:sz w:val="16"/>
        </w:rPr>
        <w:t>2</w:t>
      </w:r>
      <w:r>
        <w:rPr>
          <w:position w:val="2"/>
        </w:rPr>
        <w:t>SO</w:t>
      </w:r>
      <w:r>
        <w:rPr>
          <w:sz w:val="16"/>
        </w:rPr>
        <w:t>4</w:t>
      </w:r>
      <w:r>
        <w:rPr>
          <w:position w:val="2"/>
        </w:rPr>
        <w:t>). Para </w:t>
      </w:r>
      <w:r>
        <w:rPr/>
        <w:t>la determinación del contenido de materia grasa se siguió el método de referencia FIL-IDF 5B:1986, el cual se basa en la digestión y posterior extracción de una porción de la muestra con éter de petróleo (70ml) mediante el empleo  de un equipo Soxhlet (A-50270 Scorpion Scientific), la eliminación de este disolvente ocurre por destilación, este principio se conoce como el método gravimétrico basado en el principio de Schmid-Bondzynski-Ratzlaff (SBR)</w:t>
      </w:r>
    </w:p>
    <w:p>
      <w:pPr>
        <w:pStyle w:val="BodyText"/>
        <w:spacing w:before="2"/>
        <w:ind w:left="152"/>
      </w:pPr>
      <w:r>
        <w:rPr/>
        <w:t>Derivatización de los ácidos grasos</w:t>
      </w:r>
    </w:p>
    <w:p>
      <w:pPr>
        <w:pStyle w:val="BodyText"/>
        <w:spacing w:line="360" w:lineRule="auto" w:before="137"/>
        <w:ind w:left="152" w:right="101"/>
      </w:pPr>
      <w:r>
        <w:rPr/>
        <w:t>El proceso de derivatización de los ácidos grasos se realizó de acuerdo a (13). Este se realizó de acuerdo a la ISO 15885:2002 (IDF 184:2002), Milk </w:t>
      </w:r>
      <w:r>
        <w:rPr>
          <w:spacing w:val="2"/>
        </w:rPr>
        <w:t>fat- </w:t>
      </w:r>
      <w:r>
        <w:rPr/>
        <w:t>determination of the fatty acid composition by gas-liquid chromatography. Para este proceso </w:t>
      </w:r>
      <w:r>
        <w:rPr>
          <w:spacing w:val="-3"/>
        </w:rPr>
        <w:t>se </w:t>
      </w:r>
      <w:r>
        <w:rPr/>
        <w:t>pesaron .025mg de la grasa extraída, colocando la </w:t>
      </w:r>
      <w:r>
        <w:rPr>
          <w:spacing w:val="-3"/>
        </w:rPr>
        <w:t>misma </w:t>
      </w:r>
      <w:r>
        <w:rPr/>
        <w:t>dentro de un tubo eppendorf con ayuda de una espátula, una vez finalizado el pesaje de las muestras se colocaron en el congelador (-20°C). </w:t>
      </w:r>
      <w:r>
        <w:rPr>
          <w:spacing w:val="-2"/>
        </w:rPr>
        <w:t>Por </w:t>
      </w:r>
      <w:r>
        <w:rPr/>
        <w:t>otro lado, se preparó una “potasa” (hidróxido de potasio 0.5g + </w:t>
      </w:r>
      <w:r>
        <w:rPr>
          <w:spacing w:val="-3"/>
        </w:rPr>
        <w:t>5ml </w:t>
      </w:r>
      <w:r>
        <w:rPr/>
        <w:t>de metanol), empleando una parrilla para la disolución perfecta del hidróxido. Posteriormente se sacaron las muestras del congelador y se agregaron 200µl de hexano, agitando las muestras en el vortex hasta la disolver la grasa y agregando 50µl de potasa, agitando nuevamente y congelando por 5 minutos. Transcurrido el tiempo, se agregó sodio dihidrogenofosfato y se agitaron una por una las muestras. Para finalizar el proceso, las muestras se centrifugaron a 14,000 rpm/5min. Finalizado el tiempo se tomaron 100µl de cada tubo (muestra) y se colocaron en un vial ámbar agregando 400µl de hexano como paso</w:t>
      </w:r>
      <w:r>
        <w:rPr>
          <w:spacing w:val="-12"/>
        </w:rPr>
        <w:t> </w:t>
      </w:r>
      <w:r>
        <w:rPr/>
        <w:t>final.</w:t>
      </w:r>
    </w:p>
    <w:p>
      <w:pPr>
        <w:pStyle w:val="BodyText"/>
        <w:spacing w:before="2"/>
        <w:ind w:left="152"/>
      </w:pPr>
      <w:r>
        <w:rPr/>
        <w:t>Análisis de cromatografía</w:t>
      </w:r>
    </w:p>
    <w:p>
      <w:pPr>
        <w:pStyle w:val="BodyText"/>
        <w:spacing w:line="360" w:lineRule="auto" w:before="137"/>
        <w:ind w:left="152" w:right="107"/>
      </w:pPr>
      <w:r>
        <w:rPr/>
        <w:t>Una vez realizado el proceso de derivatización de los ácidos grasos </w:t>
      </w:r>
      <w:r>
        <w:rPr>
          <w:spacing w:val="-3"/>
        </w:rPr>
        <w:t>se </w:t>
      </w:r>
      <w:r>
        <w:rPr/>
        <w:t>procedió a inyectar las muestras en un cromatógrafo de gases GC-2010 Plus marca Shimadzu. Se empleó una columna capilar SP-2380, 30m x 0.25mm y 0.20µm </w:t>
      </w:r>
      <w:r>
        <w:rPr>
          <w:spacing w:val="61"/>
        </w:rPr>
        <w:t> </w:t>
      </w:r>
      <w:r>
        <w:rPr/>
        <w:t>de</w:t>
      </w:r>
    </w:p>
    <w:p>
      <w:pPr>
        <w:spacing w:after="0" w:line="360" w:lineRule="auto"/>
        <w:sectPr>
          <w:pgSz w:w="12240" w:h="15840"/>
          <w:pgMar w:header="0" w:footer="1329" w:top="1500" w:bottom="1580" w:left="1720" w:right="1420"/>
        </w:sectPr>
      </w:pPr>
    </w:p>
    <w:p>
      <w:pPr>
        <w:pStyle w:val="BodyText"/>
        <w:spacing w:before="11"/>
        <w:jc w:val="left"/>
        <w:rPr>
          <w:sz w:val="20"/>
        </w:rPr>
      </w:pPr>
    </w:p>
    <w:p>
      <w:pPr>
        <w:pStyle w:val="BodyText"/>
        <w:spacing w:line="360" w:lineRule="auto" w:before="69"/>
        <w:ind w:left="152" w:right="111"/>
      </w:pPr>
      <w:r>
        <w:rPr/>
        <w:t>espesor, empleando Nitrógeno como gas acarreador. La temperatura del inyector fue de 220°C y del detector 260°C. Se inyectó 1µl de muestra de ácidos grasos, considerando una temperatura inicial de 100°C/3min (elevada 15°C/min), 140°C/4min (elevada 4°C/min), 195°C/2min (elevada 8°C/min) hasta llegar a una temperatura final de 220°C/15min.</w:t>
      </w:r>
    </w:p>
    <w:p>
      <w:pPr>
        <w:pStyle w:val="BodyText"/>
        <w:jc w:val="left"/>
      </w:pPr>
    </w:p>
    <w:p>
      <w:pPr>
        <w:pStyle w:val="BodyText"/>
        <w:spacing w:before="140"/>
        <w:ind w:left="152"/>
      </w:pPr>
      <w:r>
        <w:rPr/>
        <w:t>Diseño experimental y análisis estadístico</w:t>
      </w:r>
    </w:p>
    <w:p>
      <w:pPr>
        <w:pStyle w:val="BodyText"/>
        <w:spacing w:line="360" w:lineRule="auto" w:before="141"/>
        <w:ind w:left="152" w:right="107"/>
      </w:pPr>
      <w:r>
        <w:rPr/>
        <w:t>En el presente estudio se empleó un diseño completamente al azar con arreglo factorial de 2x4 donde se consideró sistema de alimentación (tratamiento) y el tiempo de maduración., con la siguiente formula general lineal:</w:t>
      </w:r>
    </w:p>
    <w:p>
      <w:pPr>
        <w:spacing w:before="2"/>
        <w:ind w:left="141" w:right="96" w:firstLine="0"/>
        <w:jc w:val="center"/>
        <w:rPr>
          <w:sz w:val="16"/>
        </w:rPr>
      </w:pPr>
      <w:r>
        <w:rPr>
          <w:position w:val="2"/>
          <w:sz w:val="24"/>
        </w:rPr>
        <w:t>Y</w:t>
      </w:r>
      <w:r>
        <w:rPr>
          <w:sz w:val="16"/>
        </w:rPr>
        <w:t>ij </w:t>
      </w:r>
      <w:r>
        <w:rPr>
          <w:position w:val="2"/>
          <w:sz w:val="24"/>
        </w:rPr>
        <w:t>= µ + T</w:t>
      </w:r>
      <w:r>
        <w:rPr>
          <w:sz w:val="16"/>
        </w:rPr>
        <w:t>i </w:t>
      </w:r>
      <w:r>
        <w:rPr>
          <w:position w:val="2"/>
          <w:sz w:val="24"/>
        </w:rPr>
        <w:t>+ B</w:t>
      </w:r>
      <w:r>
        <w:rPr>
          <w:sz w:val="16"/>
        </w:rPr>
        <w:t>j </w:t>
      </w:r>
      <w:r>
        <w:rPr>
          <w:position w:val="2"/>
          <w:sz w:val="24"/>
        </w:rPr>
        <w:t>+</w:t>
      </w:r>
      <w:r>
        <w:rPr>
          <w:spacing w:val="57"/>
          <w:position w:val="2"/>
          <w:sz w:val="24"/>
        </w:rPr>
        <w:t> </w:t>
      </w:r>
      <w:r>
        <w:rPr>
          <w:position w:val="2"/>
          <w:sz w:val="24"/>
        </w:rPr>
        <w:t>e</w:t>
      </w:r>
      <w:r>
        <w:rPr>
          <w:sz w:val="16"/>
        </w:rPr>
        <w:t>ij</w:t>
      </w:r>
    </w:p>
    <w:p>
      <w:pPr>
        <w:pStyle w:val="BodyText"/>
        <w:spacing w:before="139"/>
        <w:ind w:left="152"/>
      </w:pPr>
      <w:r>
        <w:rPr/>
        <w:t>Dónde:</w:t>
      </w:r>
    </w:p>
    <w:p>
      <w:pPr>
        <w:pStyle w:val="BodyText"/>
        <w:spacing w:line="357" w:lineRule="auto" w:before="136"/>
        <w:ind w:left="152" w:right="103"/>
      </w:pPr>
      <w:r>
        <w:rPr>
          <w:position w:val="2"/>
        </w:rPr>
        <w:t>Y</w:t>
      </w:r>
      <w:r>
        <w:rPr>
          <w:sz w:val="16"/>
        </w:rPr>
        <w:t>ij </w:t>
      </w:r>
      <w:r>
        <w:rPr>
          <w:position w:val="2"/>
        </w:rPr>
        <w:t>= variables respuesta, µ = media general, T</w:t>
      </w:r>
      <w:r>
        <w:rPr>
          <w:sz w:val="16"/>
        </w:rPr>
        <w:t>i </w:t>
      </w:r>
      <w:r>
        <w:rPr>
          <w:position w:val="2"/>
        </w:rPr>
        <w:t>= efecto debido al sistema de alimentación (</w:t>
      </w:r>
      <w:r>
        <w:rPr>
          <w:i/>
          <w:position w:val="2"/>
        </w:rPr>
        <w:t>i</w:t>
      </w:r>
      <w:r>
        <w:rPr>
          <w:position w:val="2"/>
        </w:rPr>
        <w:t>= 1: 2), B</w:t>
      </w:r>
      <w:r>
        <w:rPr>
          <w:sz w:val="16"/>
        </w:rPr>
        <w:t>j </w:t>
      </w:r>
      <w:r>
        <w:rPr>
          <w:position w:val="2"/>
        </w:rPr>
        <w:t>= efecto debido al  periodo de  maduración (</w:t>
      </w:r>
      <w:r>
        <w:rPr>
          <w:i/>
          <w:position w:val="2"/>
        </w:rPr>
        <w:t>j</w:t>
      </w:r>
      <w:r>
        <w:rPr>
          <w:position w:val="2"/>
        </w:rPr>
        <w:t>=1:4), e</w:t>
      </w:r>
      <w:r>
        <w:rPr>
          <w:i/>
          <w:position w:val="1"/>
          <w:sz w:val="16"/>
        </w:rPr>
        <w:t>ij</w:t>
      </w:r>
      <w:r>
        <w:rPr>
          <w:position w:val="2"/>
        </w:rPr>
        <w:t>= </w:t>
      </w:r>
      <w:r>
        <w:rPr/>
        <w:t>error residual</w:t>
      </w:r>
    </w:p>
    <w:p>
      <w:pPr>
        <w:pStyle w:val="BodyText"/>
        <w:spacing w:before="10"/>
        <w:ind w:left="152"/>
      </w:pPr>
      <w:r>
        <w:rPr/>
        <w:t>Resultados</w:t>
      </w:r>
    </w:p>
    <w:p>
      <w:pPr>
        <w:pStyle w:val="BodyText"/>
        <w:spacing w:line="360" w:lineRule="auto" w:before="137"/>
        <w:ind w:left="152" w:right="99"/>
      </w:pPr>
      <w:r>
        <w:rPr/>
        <w:t>La Tabla 1, muestra el perfil promedio de ácidos grasos (g/100g de ácidos grasos) del queso Tepeque producido con leche de ambos sistemas de alimentación. Se observa que los quesos elaborados con leche del SSPi presentan, en su mayoría, una concentración significativamente menor (P&lt;0.05) de ácidos grasos saturados de cadena corta como el C4:0 (ST= 1.21, SSPi= 0.92 g/100g de ácidos grasos) y C6:0 (ST= 1.03, SSPi= 0.73 g/100g de ácidos grasos), la concentración de C8:0 también es numéricamente inferior aunque la diferencia no es estadísticamente significativa (P&gt;0.05). De igual forma se observa que los ácidos grasos de cadena media (C10:0, C11:0, C12:0, C14:0 y C14:1) se encuentran en una concentración numéricamente menor en los quesos elaborados con leche del SSPi, siendo la diferencia altamente significativa (P&lt;0.01) para el caso del C10:0 y el C11:0. Por otro lado, se aprecia que la alimentación basada en un SSPi no resulta en una mayor concentración (P&gt;0.05) de algunos ácidos grasos de cadena larga como  el</w:t>
      </w:r>
    </w:p>
    <w:p>
      <w:pPr>
        <w:spacing w:after="0" w:line="360" w:lineRule="auto"/>
        <w:sectPr>
          <w:pgSz w:w="12240" w:h="15840"/>
          <w:pgMar w:header="0" w:footer="1329" w:top="1500" w:bottom="1580" w:left="1720" w:right="1420"/>
        </w:sectPr>
      </w:pPr>
    </w:p>
    <w:p>
      <w:pPr>
        <w:pStyle w:val="BodyText"/>
        <w:spacing w:before="11"/>
        <w:jc w:val="left"/>
        <w:rPr>
          <w:sz w:val="20"/>
        </w:rPr>
      </w:pPr>
    </w:p>
    <w:p>
      <w:pPr>
        <w:pStyle w:val="BodyText"/>
        <w:spacing w:line="360" w:lineRule="auto" w:before="69"/>
        <w:ind w:left="152" w:right="103"/>
      </w:pPr>
      <w:r>
        <w:rPr/>
        <w:t>palmítico (C16:0) y vaccénico (C18:1), los cuales se encuentran en la mayor concentración, &gt;30g/100 de ácidos grasos, con respecto a todos los ácidos grasos de los quesos. También se observa que la concentración del ácido linoleico (C18:2n6) perteneciente al grupo de los ácidos omega 6 no se encuentra en una mayor concentración en los quesos producidos con leche del SSPi (P&gt;0.05). Sin embargo, se observó que la concentración de los ácidos alfa linoleico (C18:2n3) y alfa linolénico (C18:3n3) fue significativamente mayor (P&lt;0.01 y P&lt;0.05, respectivamente) en el queso del SSPi que en el ST, de hecho la concentración del C18:3n3 fue 18 veces </w:t>
      </w:r>
      <w:r>
        <w:rPr>
          <w:spacing w:val="-3"/>
        </w:rPr>
        <w:t>más </w:t>
      </w:r>
      <w:r>
        <w:rPr/>
        <w:t>alta en el queso del SSPi que en el ST, lo cual es un aspecto positivo para este trabajo pues ambos ácidos grasos pertenece al grupo de los omega 3, los cuales son esenciales para la nutrición humana ya que no se sintetiza por el cuerpo</w:t>
      </w:r>
      <w:r>
        <w:rPr>
          <w:spacing w:val="-13"/>
        </w:rPr>
        <w:t> </w:t>
      </w:r>
      <w:r>
        <w:rPr/>
        <w:t>humano.</w:t>
      </w:r>
    </w:p>
    <w:p>
      <w:pPr>
        <w:pStyle w:val="BodyText"/>
        <w:spacing w:line="360" w:lineRule="auto" w:before="2"/>
        <w:ind w:left="152" w:right="102"/>
      </w:pPr>
      <w:r>
        <w:rPr/>
        <w:t>La Tabla 1 también muestra la concentración de ácidos grasos durante los cuatro períodos de maduración. Para varios ácidos grasos como el Mirístico C14:0 (9.87g/100g), Palmítico C16:0 (32.44g/100g), Esteárico C18:0 (12.93g/100g) y Gama linolénico C18:3n6 (.74g/100g), se observa un incremento significativo (P&lt;0.05) en la concentración observada en el período uno con respecto al tres, posteriormente en el período cuatro la concentración se estabiliza o incluso  declina para algunos de ellos como el ácido graso Caproico C6:0 (.86g/100g), Caprilico C8:0 (1.19g/100g), Cáprico C10:0 (2.08g/100g), Undecílico C11:0 (.06g/100g), Mirístico C14:0 (9.18g/100g), Palmítico C16:0 (30.05g/100g), Heptadecenoico C17:1 (.31g/100g), Esteárico C18:0 (11.66g/100g), Alfa linolénico C18:3n3 (0g/100g) y Araquidónico C20:0</w:t>
      </w:r>
      <w:r>
        <w:rPr>
          <w:spacing w:val="-20"/>
        </w:rPr>
        <w:t> </w:t>
      </w:r>
      <w:r>
        <w:rPr/>
        <w:t>(.1g/100g).</w:t>
      </w:r>
    </w:p>
    <w:p>
      <w:pPr>
        <w:pStyle w:val="BodyText"/>
        <w:spacing w:line="360" w:lineRule="auto" w:before="2"/>
        <w:ind w:left="152" w:right="108"/>
      </w:pPr>
      <w:r>
        <w:rPr/>
        <w:t>La Tabla 2 muestra la concentración promedio de ácidos grasos agrupados en función del largo de su cadena, se observa la </w:t>
      </w:r>
      <w:r>
        <w:rPr>
          <w:spacing w:val="-3"/>
        </w:rPr>
        <w:t>misma </w:t>
      </w:r>
      <w:r>
        <w:rPr/>
        <w:t>tendencia antes descrita,  sólo que en este caso la concentración de ácidos grasos de cadena corta y media es significativamente menor (P&lt;0.05) en los quesos del SSPi en comparación con los quesos del ST. De la </w:t>
      </w:r>
      <w:r>
        <w:rPr>
          <w:spacing w:val="-3"/>
        </w:rPr>
        <w:t>misma </w:t>
      </w:r>
      <w:r>
        <w:rPr/>
        <w:t>forma, la concentración de los ácidos grasos de cadena</w:t>
      </w:r>
      <w:r>
        <w:rPr>
          <w:spacing w:val="18"/>
        </w:rPr>
        <w:t> </w:t>
      </w:r>
      <w:r>
        <w:rPr/>
        <w:t>larga</w:t>
      </w:r>
      <w:r>
        <w:rPr>
          <w:spacing w:val="23"/>
        </w:rPr>
        <w:t> </w:t>
      </w:r>
      <w:r>
        <w:rPr/>
        <w:t>es</w:t>
      </w:r>
      <w:r>
        <w:rPr>
          <w:spacing w:val="22"/>
        </w:rPr>
        <w:t> </w:t>
      </w:r>
      <w:r>
        <w:rPr/>
        <w:t>significativamente</w:t>
      </w:r>
      <w:r>
        <w:rPr>
          <w:spacing w:val="28"/>
        </w:rPr>
        <w:t> </w:t>
      </w:r>
      <w:r>
        <w:rPr/>
        <w:t>mayor</w:t>
      </w:r>
      <w:r>
        <w:rPr>
          <w:spacing w:val="23"/>
        </w:rPr>
        <w:t> </w:t>
      </w:r>
      <w:r>
        <w:rPr/>
        <w:t>(P&lt;0.01)</w:t>
      </w:r>
      <w:r>
        <w:rPr>
          <w:spacing w:val="23"/>
        </w:rPr>
        <w:t> </w:t>
      </w:r>
      <w:r>
        <w:rPr/>
        <w:t>en</w:t>
      </w:r>
      <w:r>
        <w:rPr>
          <w:spacing w:val="18"/>
        </w:rPr>
        <w:t> </w:t>
      </w:r>
      <w:r>
        <w:rPr/>
        <w:t>los</w:t>
      </w:r>
      <w:r>
        <w:rPr>
          <w:spacing w:val="22"/>
        </w:rPr>
        <w:t> </w:t>
      </w:r>
      <w:r>
        <w:rPr>
          <w:spacing w:val="2"/>
        </w:rPr>
        <w:t>quesos</w:t>
      </w:r>
      <w:r>
        <w:rPr>
          <w:spacing w:val="22"/>
        </w:rPr>
        <w:t> </w:t>
      </w:r>
      <w:r>
        <w:rPr>
          <w:spacing w:val="-3"/>
        </w:rPr>
        <w:t>del</w:t>
      </w:r>
      <w:r>
        <w:rPr>
          <w:spacing w:val="26"/>
        </w:rPr>
        <w:t> </w:t>
      </w:r>
      <w:r>
        <w:rPr/>
        <w:t>SSPi.</w:t>
      </w:r>
      <w:r>
        <w:rPr>
          <w:spacing w:val="22"/>
        </w:rPr>
        <w:t> </w:t>
      </w:r>
      <w:r>
        <w:rPr/>
        <w:t>Esta</w:t>
      </w:r>
    </w:p>
    <w:p>
      <w:pPr>
        <w:spacing w:after="0" w:line="360" w:lineRule="auto"/>
        <w:sectPr>
          <w:pgSz w:w="12240" w:h="15840"/>
          <w:pgMar w:header="0" w:footer="1329" w:top="1500" w:bottom="1580" w:left="1720" w:right="1420"/>
        </w:sectPr>
      </w:pPr>
    </w:p>
    <w:p>
      <w:pPr>
        <w:pStyle w:val="BodyText"/>
        <w:spacing w:before="11"/>
        <w:jc w:val="left"/>
        <w:rPr>
          <w:sz w:val="20"/>
        </w:rPr>
      </w:pPr>
    </w:p>
    <w:p>
      <w:pPr>
        <w:pStyle w:val="BodyText"/>
        <w:spacing w:line="360" w:lineRule="auto" w:before="69"/>
        <w:ind w:left="152" w:right="115"/>
      </w:pPr>
      <w:r>
        <w:rPr/>
        <w:t>tabla muestra que los cambios en la concentración de los ácidos grasos  de cadena corta y larga son consecuencia de la interacción entre el sistema de alimentación y el período de maduración.</w:t>
      </w:r>
    </w:p>
    <w:p>
      <w:pPr>
        <w:pStyle w:val="BodyText"/>
        <w:spacing w:before="7"/>
        <w:ind w:left="152"/>
      </w:pPr>
      <w:r>
        <w:rPr/>
        <w:t>Discusión</w:t>
      </w:r>
    </w:p>
    <w:p>
      <w:pPr>
        <w:pStyle w:val="BodyText"/>
        <w:spacing w:line="360" w:lineRule="auto" w:before="137"/>
        <w:ind w:left="152" w:right="103"/>
      </w:pPr>
      <w:r>
        <w:rPr/>
        <w:t>El perfil de ácidos grasos en leche y quesos de leche bovina, ovina y caprina ha sido reportado extensamente, siendo así que autores como (14, 15), demostraron altas concentraciones de ácidos palmítico y oleico, concentraciones intermedias para los ácidos mirístico y esteárico, y concentraciones bajas para el caproico y caprílico, estas investigaciones coinciden con los resultados obtenidos en el presente trabajo teniendo así los valores de 30.6 g/100grs y 32.1 g/100grs para el C16:0 y C18:1; 9.7 g/100 grs y 11.2 g/100grs para C14:0 y C18:0, y finalmente</w:t>
      </w:r>
    </w:p>
    <w:p>
      <w:pPr>
        <w:pStyle w:val="ListParagraph"/>
        <w:numPr>
          <w:ilvl w:val="1"/>
          <w:numId w:val="7"/>
        </w:numPr>
        <w:tabs>
          <w:tab w:pos="786" w:val="left" w:leader="none"/>
        </w:tabs>
        <w:spacing w:line="360" w:lineRule="auto" w:before="7" w:after="0"/>
        <w:ind w:left="152" w:right="108" w:firstLine="0"/>
        <w:jc w:val="both"/>
        <w:rPr>
          <w:sz w:val="24"/>
        </w:rPr>
      </w:pPr>
      <w:r>
        <w:rPr>
          <w:sz w:val="24"/>
        </w:rPr>
        <w:t>g/100grs y 1.6 g/100grs para C6:0 y C8:0. Estos resultados además concuerdan con el hecho de que las lipasas (ya sea en </w:t>
      </w:r>
      <w:r>
        <w:rPr>
          <w:spacing w:val="-3"/>
          <w:sz w:val="24"/>
        </w:rPr>
        <w:t>forma </w:t>
      </w:r>
      <w:r>
        <w:rPr>
          <w:sz w:val="24"/>
        </w:rPr>
        <w:t>de leche, </w:t>
      </w:r>
      <w:r>
        <w:rPr>
          <w:spacing w:val="-3"/>
          <w:sz w:val="24"/>
        </w:rPr>
        <w:t>cuajo </w:t>
      </w:r>
      <w:r>
        <w:rPr>
          <w:sz w:val="24"/>
        </w:rPr>
        <w:t>o microbianas) que participan en la maduración del Queso Tepeque poseen una mayor selectividad hacia la hidrólisis de residuos de ácidos grasos de cadena  corta y media, que hacia los de cadena</w:t>
      </w:r>
      <w:r>
        <w:rPr>
          <w:spacing w:val="-18"/>
          <w:sz w:val="24"/>
        </w:rPr>
        <w:t> </w:t>
      </w:r>
      <w:r>
        <w:rPr>
          <w:sz w:val="24"/>
        </w:rPr>
        <w:t>larga.</w:t>
      </w:r>
    </w:p>
    <w:p>
      <w:pPr>
        <w:pStyle w:val="BodyText"/>
        <w:spacing w:line="360" w:lineRule="auto" w:before="2"/>
        <w:ind w:left="152" w:right="101"/>
      </w:pPr>
      <w:r>
        <w:rPr/>
        <w:t>Por otro lado, la mayor concentración de ácidos grasos de cadena larga en particular el alfa linolénico y el alfa linoleico en los quesos del SSPi se puede explicar por el mayor consumo de forrajes frescos y de buena calidad por el ganado en este sistema. Dentro de un SSPi se encuentran integrados los sistemas de producción de especies de árboles asociados con pastos para ganado, en el mismo espacio de suelo, de una manera secuencial o simultánea, siendo así que la alimentación de los animales a base de pasto y forrajes de buena calidad ha demostrado dar lugar a un mayor contenido de compuestos saludables en la leche que otros sistemas de alimentación (16), </w:t>
      </w:r>
      <w:r>
        <w:rPr>
          <w:spacing w:val="-4"/>
        </w:rPr>
        <w:t>como </w:t>
      </w:r>
      <w:r>
        <w:rPr/>
        <w:t>ocurrió en el presente estudio donde la concentración del ácido C18:3n3, el cual es un ácido graso esencial, fue varias veces </w:t>
      </w:r>
      <w:r>
        <w:rPr>
          <w:spacing w:val="-3"/>
        </w:rPr>
        <w:t>más </w:t>
      </w:r>
      <w:r>
        <w:rPr/>
        <w:t>alta en los quesos del SSPi que en el ST. Autores como (16, 17) son algunos investigadores que han realizado estudios sobre el efecto que tiene la alimentación  del  ganado  en  la leche  y  la calidad  del  queso,  demostrando </w:t>
      </w:r>
      <w:r>
        <w:rPr>
          <w:spacing w:val="23"/>
        </w:rPr>
        <w:t> </w:t>
      </w:r>
      <w:r>
        <w:rPr/>
        <w:t>las</w:t>
      </w:r>
    </w:p>
    <w:p>
      <w:pPr>
        <w:spacing w:after="0" w:line="360" w:lineRule="auto"/>
        <w:sectPr>
          <w:pgSz w:w="12240" w:h="15840"/>
          <w:pgMar w:header="0" w:footer="1329" w:top="1500" w:bottom="1580" w:left="1720" w:right="1420"/>
        </w:sectPr>
      </w:pPr>
    </w:p>
    <w:p>
      <w:pPr>
        <w:pStyle w:val="BodyText"/>
        <w:spacing w:before="11"/>
        <w:jc w:val="left"/>
        <w:rPr>
          <w:sz w:val="20"/>
        </w:rPr>
      </w:pPr>
    </w:p>
    <w:p>
      <w:pPr>
        <w:pStyle w:val="BodyText"/>
        <w:spacing w:line="360" w:lineRule="auto" w:before="69"/>
        <w:ind w:left="152" w:right="115"/>
      </w:pPr>
      <w:r>
        <w:rPr/>
        <w:t>ventajas que tiene alimentar a los mismos con pasto. Una dieta basada en forrajes frescos puede modificar el perfil de ácidos grasos de la leche y el queso, por ejemplo, incrementa la concentración del ácido octadecadienoico (C18:2) cis-9, trans-11 el cual da a la leche y sus productos un importante valor hipocolesterolémico (17), así como otro importante ácido poliinsaturado como el C18:1 que es significativamente influenciado por la alimentación. En trabajos anteriores se ha analizado la influencia de la alimentación sobre la concentración de proteínas y la grasa de la leche (18) que son importantes para el rendimiento quesero además de otras características (18). Confirmando así la información otorgada por algunos investigadores (19) y queseros quienes afirman sobre las diferencias en las características sensoriales de los quesos en los SSPi.</w:t>
      </w:r>
    </w:p>
    <w:p>
      <w:pPr>
        <w:pStyle w:val="BodyText"/>
        <w:spacing w:line="360" w:lineRule="auto" w:before="7"/>
        <w:ind w:left="152" w:right="119"/>
      </w:pPr>
      <w:r>
        <w:rPr/>
        <w:t>Existen cinco importantes ácidos grasos en pastos, aproximadamente el 95% se compone de linolénico, linoleico y palmítico (20). Es así que el forraje fresco contiene una alta proporción (0.50 a 0.75) del contenido total de ácidos grasos como ácido α-linolénico, coincidiendo esta explicación con los resultados arrojados en esta investigación, observando que la concentración del ácido linoleico (C18:2n6) perteneciente al grupo de los ácidos Omega 6 no se encuentra en una mayor concentración en los quesos producidos en un SSPi. En contraste, alfa linolénico (C18:3n3) fue significativamente mayor lo cual es un aspecto positivo pues éste ácido graso pertenecen al grupo de los Omega 3, los cuales son esenciales para la nutrición humana ya que no son sintetizados por el cuerpo de las personas.</w:t>
      </w:r>
    </w:p>
    <w:p>
      <w:pPr>
        <w:pStyle w:val="BodyText"/>
        <w:spacing w:line="360" w:lineRule="auto" w:before="3"/>
        <w:ind w:left="152" w:right="120"/>
      </w:pPr>
      <w:r>
        <w:rPr/>
        <w:t>Los ácidos grasos de cadena larga de la familia Omega 3 son llamados “esenciales” debido a su importancia en la preservación de la salud y en la prevención de enfermedades. El ácido alfa linolénico es considerado como un ácido graso principal o “padre” dentro de la familia de los Omega-3, cerca del 96% de este ácido parece ser absorbido en el intestino y ser metabolizado de diferentes formas entre las más destacadas es que puede fungir como substrato para la cetogénesis (proceso para crear cuerpos cetónicos), además de que puede ser</w:t>
      </w:r>
    </w:p>
    <w:p>
      <w:pPr>
        <w:spacing w:after="0" w:line="360" w:lineRule="auto"/>
        <w:sectPr>
          <w:pgSz w:w="12240" w:h="15840"/>
          <w:pgMar w:header="0" w:footer="1329" w:top="1500" w:bottom="1580" w:left="1720" w:right="1400"/>
        </w:sectPr>
      </w:pPr>
    </w:p>
    <w:p>
      <w:pPr>
        <w:pStyle w:val="BodyText"/>
        <w:spacing w:before="11"/>
        <w:jc w:val="left"/>
        <w:rPr>
          <w:sz w:val="20"/>
        </w:rPr>
      </w:pPr>
    </w:p>
    <w:p>
      <w:pPr>
        <w:pStyle w:val="BodyText"/>
        <w:spacing w:line="360" w:lineRule="auto" w:before="69"/>
        <w:ind w:left="152" w:right="111"/>
      </w:pPr>
      <w:r>
        <w:rPr/>
        <w:t>reciclado para producir otros ácidos grasos entre los cuales se encuentra al ácido Docosahexanoico (ADH), ácido Docosapentanoico (ADP) y el ácido Eicosapentanoico (AEP) esto a través de la desaturación y elongación del alfa linolénico.</w:t>
      </w:r>
    </w:p>
    <w:p>
      <w:pPr>
        <w:pStyle w:val="BodyText"/>
        <w:spacing w:line="360" w:lineRule="auto" w:before="2"/>
        <w:ind w:left="152" w:right="105"/>
      </w:pPr>
      <w:r>
        <w:rPr/>
        <w:t>El ácido alfa linolénico es precursor del AEP, el cual a su vez es un precursor de los eicosanoides los cuales controlan las reacciones inflamatorias. Esta es una de las principales razones por la cual se recomienda a las personas a consumir más ácidos grasos Omega 3. Siendo así que algunos estudios revelan que una ingesta de aproximadamente 2-3 g/día durante 6-12 meses por un adulto pudiese impartir efectos biológicos óptimos, que serían de larga duración (21).</w:t>
      </w:r>
    </w:p>
    <w:p>
      <w:pPr>
        <w:pStyle w:val="BodyText"/>
        <w:spacing w:line="360" w:lineRule="auto" w:before="3"/>
        <w:ind w:left="152" w:right="100"/>
      </w:pPr>
      <w:r>
        <w:rPr/>
        <w:t>Con respecto a la concentración de los ácidos grasos en los períodos de maduración se observó que los resultados obtenidos en el presente estudio están en línea con lo reportado por Fuente (30), quienes mencionan que las concentraciones de los ácidos grasos se incrementan a medida que progresa la maduración de los quesos. Estos autores también reportan que los ácidos C14:0, C16:0, C18:0 y C18:1 en quesos de leche de vaca se mantienen en concentraciones altas independientemente del período de maduración, lo cual también se observa en este estudio.</w:t>
      </w:r>
    </w:p>
    <w:p>
      <w:pPr>
        <w:pStyle w:val="BodyText"/>
        <w:spacing w:before="3"/>
        <w:ind w:left="152"/>
      </w:pPr>
      <w:r>
        <w:rPr/>
        <w:t>Conclusiones</w:t>
      </w:r>
    </w:p>
    <w:p>
      <w:pPr>
        <w:pStyle w:val="BodyText"/>
        <w:spacing w:line="360" w:lineRule="auto" w:before="141"/>
        <w:ind w:left="152" w:right="103"/>
      </w:pPr>
      <w:r>
        <w:rPr/>
        <w:t>Los resultados del presente estudio permiten concluir que el empleo de un  Sistema Silvopastoril intensivo genera un aumento del contenido de ácidos grasos de cadena larga en el queso artesanal Tepeque efecto debido a la </w:t>
      </w:r>
      <w:r>
        <w:rPr>
          <w:color w:val="202020"/>
        </w:rPr>
        <w:t>alimentación de los animales a base de pasto y forrajes de buena calidad demostrando dar lugar a un mayor contenido de compuestos saludables en la leche que otros sistemas de alimentación modificando así el perfil de ácidos grasos en la leche y el queso. Se concluye también que </w:t>
      </w:r>
      <w:r>
        <w:rPr/>
        <w:t>la concentración de los ácidos grasos en los períodos de maduración incrementa a medida que progresa la maduración de los</w:t>
      </w:r>
      <w:r>
        <w:rPr>
          <w:spacing w:val="-36"/>
        </w:rPr>
        <w:t> </w:t>
      </w:r>
      <w:r>
        <w:rPr/>
        <w:t>quesos.</w:t>
      </w:r>
    </w:p>
    <w:p>
      <w:pPr>
        <w:spacing w:after="0" w:line="360" w:lineRule="auto"/>
        <w:sectPr>
          <w:pgSz w:w="12240" w:h="15840"/>
          <w:pgMar w:header="0" w:footer="1329" w:top="1500" w:bottom="1580" w:left="1720" w:right="1420"/>
        </w:sectPr>
      </w:pPr>
    </w:p>
    <w:p>
      <w:pPr>
        <w:pStyle w:val="BodyText"/>
        <w:spacing w:before="11"/>
        <w:jc w:val="left"/>
        <w:rPr>
          <w:sz w:val="20"/>
        </w:rPr>
      </w:pPr>
    </w:p>
    <w:p>
      <w:pPr>
        <w:pStyle w:val="BodyText"/>
        <w:spacing w:before="69"/>
        <w:ind w:left="152"/>
      </w:pPr>
      <w:r>
        <w:rPr/>
        <w:t>Agradecimientos</w:t>
      </w:r>
    </w:p>
    <w:p>
      <w:pPr>
        <w:pStyle w:val="BodyText"/>
        <w:spacing w:line="360" w:lineRule="auto" w:before="137"/>
        <w:ind w:left="152" w:right="100"/>
      </w:pPr>
      <w:r>
        <w:rPr/>
        <w:t>Se agradece el financiamiento otorgado para la realización de la presente tesis por el proyecto de investigación “Caracterización </w:t>
      </w:r>
      <w:r>
        <w:rPr>
          <w:spacing w:val="3"/>
        </w:rPr>
        <w:t>del </w:t>
      </w:r>
      <w:r>
        <w:rPr/>
        <w:t>queso regional y del proceso socio-técnico de elaboración” Proyecto operado por la Universidad Autónoma del Estado de México (Clave UAEM: 3053/2011E), y financiado por Fondo  Institucional de Fomento Regional para el Desarrollo Científico, Tecnológico y </w:t>
      </w:r>
      <w:r>
        <w:rPr>
          <w:spacing w:val="5"/>
        </w:rPr>
        <w:t>de </w:t>
      </w:r>
      <w:r>
        <w:rPr/>
        <w:t>Innovación (FORDECYT) del Consejo Nacional de Ciencia y Tecnología (CONACYT). También se agradece a este </w:t>
      </w:r>
      <w:r>
        <w:rPr>
          <w:spacing w:val="-3"/>
        </w:rPr>
        <w:t>último </w:t>
      </w:r>
      <w:r>
        <w:rPr/>
        <w:t>la beca recibida para estudios de maestría en ciencias. Se agradece el apoyo y las facilidades prestadas por la Fundación Produce Michoacán A.C. y al Rancho los Huarinches. Finalmente, se agradece al Dr. Rey Gutiérrez Tolentino, responsable del laboratorio de Instrumentación de la División de Ciencias Biológicas y de la Salud de la Universidad Autónoma Metropolitana Unidad Xochimilco, por las facilidades otorgadas para el análisis de las muestras de</w:t>
      </w:r>
      <w:r>
        <w:rPr>
          <w:spacing w:val="-21"/>
        </w:rPr>
        <w:t> </w:t>
      </w:r>
      <w:r>
        <w:rPr/>
        <w:t>queso.</w:t>
      </w:r>
    </w:p>
    <w:p>
      <w:pPr>
        <w:pStyle w:val="BodyText"/>
        <w:spacing w:before="3"/>
        <w:ind w:left="152"/>
      </w:pPr>
      <w:r>
        <w:rPr/>
        <w:t>Bibliografía</w:t>
      </w:r>
    </w:p>
    <w:p>
      <w:pPr>
        <w:pStyle w:val="ListParagraph"/>
        <w:numPr>
          <w:ilvl w:val="2"/>
          <w:numId w:val="7"/>
        </w:numPr>
        <w:tabs>
          <w:tab w:pos="873" w:val="left" w:leader="none"/>
        </w:tabs>
        <w:spacing w:line="360" w:lineRule="auto" w:before="141" w:after="0"/>
        <w:ind w:left="873" w:right="107" w:hanging="360"/>
        <w:jc w:val="both"/>
        <w:rPr>
          <w:sz w:val="24"/>
        </w:rPr>
      </w:pPr>
      <w:r>
        <w:rPr>
          <w:sz w:val="24"/>
        </w:rPr>
        <w:t>Stanton C, Murphy J, McGrath E, Devery R. Animal feeding strategies for conjugated linoleic acid enrichment of milk. In: Sebedio L, Christie </w:t>
      </w:r>
      <w:r>
        <w:rPr>
          <w:spacing w:val="3"/>
          <w:sz w:val="24"/>
        </w:rPr>
        <w:t>WW, </w:t>
      </w:r>
      <w:r>
        <w:rPr>
          <w:sz w:val="24"/>
        </w:rPr>
        <w:t>Adolf R. (Eds.), Ad in CLA Res, </w:t>
      </w:r>
      <w:r>
        <w:rPr>
          <w:spacing w:val="2"/>
          <w:sz w:val="24"/>
        </w:rPr>
        <w:t>vol. </w:t>
      </w:r>
      <w:r>
        <w:rPr>
          <w:sz w:val="24"/>
        </w:rPr>
        <w:t>2. AOCS Press, Champaing, IL. 2003; 123-145.</w:t>
      </w:r>
    </w:p>
    <w:p>
      <w:pPr>
        <w:pStyle w:val="ListParagraph"/>
        <w:numPr>
          <w:ilvl w:val="2"/>
          <w:numId w:val="7"/>
        </w:numPr>
        <w:tabs>
          <w:tab w:pos="873" w:val="left" w:leader="none"/>
        </w:tabs>
        <w:spacing w:line="357" w:lineRule="auto" w:before="7" w:after="0"/>
        <w:ind w:left="873" w:right="108" w:hanging="360"/>
        <w:jc w:val="both"/>
        <w:rPr>
          <w:sz w:val="24"/>
        </w:rPr>
      </w:pPr>
      <w:r>
        <w:rPr>
          <w:sz w:val="24"/>
        </w:rPr>
        <w:t>Lock AL y Garnsworthy PC. Seasonal variation in milk conjugated linoleic acid and Δ</w:t>
      </w:r>
      <w:r>
        <w:rPr>
          <w:position w:val="8"/>
          <w:sz w:val="16"/>
        </w:rPr>
        <w:t>9</w:t>
      </w:r>
      <w:r>
        <w:rPr>
          <w:sz w:val="24"/>
        </w:rPr>
        <w:t>-desaturase activity in dairy cows. Livestock Prod Sci. 2003; (79):47-59.</w:t>
      </w:r>
    </w:p>
    <w:p>
      <w:pPr>
        <w:pStyle w:val="ListParagraph"/>
        <w:numPr>
          <w:ilvl w:val="2"/>
          <w:numId w:val="7"/>
        </w:numPr>
        <w:tabs>
          <w:tab w:pos="873" w:val="left" w:leader="none"/>
        </w:tabs>
        <w:spacing w:line="360" w:lineRule="auto" w:before="6" w:after="0"/>
        <w:ind w:left="873" w:right="98" w:hanging="360"/>
        <w:jc w:val="both"/>
        <w:rPr>
          <w:sz w:val="24"/>
        </w:rPr>
      </w:pPr>
      <w:r>
        <w:rPr>
          <w:sz w:val="24"/>
        </w:rPr>
        <w:t>AbuGhazaleh AA y Holmes LD. Diet Supplementation with fish oil and sunflower oil to increase Conjugated Linoleic Acid Levels in Milk Fat of Partially Grazing Dairy Cows. J of Dairy Sci. 2007; (90):</w:t>
      </w:r>
      <w:r>
        <w:rPr>
          <w:spacing w:val="-18"/>
          <w:sz w:val="24"/>
        </w:rPr>
        <w:t> </w:t>
      </w:r>
      <w:r>
        <w:rPr>
          <w:sz w:val="24"/>
        </w:rPr>
        <w:t>2897-2904.</w:t>
      </w:r>
    </w:p>
    <w:p>
      <w:pPr>
        <w:pStyle w:val="ListParagraph"/>
        <w:numPr>
          <w:ilvl w:val="2"/>
          <w:numId w:val="7"/>
        </w:numPr>
        <w:tabs>
          <w:tab w:pos="873" w:val="left" w:leader="none"/>
        </w:tabs>
        <w:spacing w:line="360" w:lineRule="auto" w:before="2" w:after="0"/>
        <w:ind w:left="873" w:right="109" w:hanging="360"/>
        <w:jc w:val="both"/>
        <w:rPr>
          <w:sz w:val="24"/>
        </w:rPr>
      </w:pPr>
      <w:r>
        <w:rPr>
          <w:sz w:val="24"/>
        </w:rPr>
        <w:t>Ip C, Banni S, Angioni E, Carta G, McGinley J, Thompson HJ, Barbano D, y Bauman D. Conjugated Linoleic Acid–Enriched Butter Fat Alters Mammary Gland Morphogenesis and Reduces Cancer Risk in Rats. J of Nutr. 1999; 129(12):2135-2142.</w:t>
      </w:r>
    </w:p>
    <w:p>
      <w:pPr>
        <w:spacing w:after="0" w:line="360" w:lineRule="auto"/>
        <w:jc w:val="both"/>
        <w:rPr>
          <w:sz w:val="24"/>
        </w:rPr>
        <w:sectPr>
          <w:pgSz w:w="12240" w:h="15840"/>
          <w:pgMar w:header="0" w:footer="1329" w:top="1500" w:bottom="1580" w:left="1720" w:right="1420"/>
        </w:sectPr>
      </w:pPr>
    </w:p>
    <w:p>
      <w:pPr>
        <w:pStyle w:val="BodyText"/>
        <w:spacing w:before="11"/>
        <w:jc w:val="left"/>
        <w:rPr>
          <w:sz w:val="20"/>
        </w:rPr>
      </w:pPr>
    </w:p>
    <w:p>
      <w:pPr>
        <w:pStyle w:val="ListParagraph"/>
        <w:numPr>
          <w:ilvl w:val="2"/>
          <w:numId w:val="7"/>
        </w:numPr>
        <w:tabs>
          <w:tab w:pos="873" w:val="left" w:leader="none"/>
        </w:tabs>
        <w:spacing w:line="360" w:lineRule="auto" w:before="69" w:after="0"/>
        <w:ind w:left="873" w:right="121" w:hanging="360"/>
        <w:jc w:val="both"/>
        <w:rPr>
          <w:sz w:val="24"/>
        </w:rPr>
      </w:pPr>
      <w:r>
        <w:rPr>
          <w:sz w:val="24"/>
        </w:rPr>
        <w:t>Palmquist DL, Lock AL, Shingfield KJ. Biosynthesis of conjugated linoleic acid in ruminants and humans. Adv in Food and Nutr Ress. 2005; (50): 179- 217.</w:t>
      </w:r>
    </w:p>
    <w:p>
      <w:pPr>
        <w:pStyle w:val="ListParagraph"/>
        <w:numPr>
          <w:ilvl w:val="2"/>
          <w:numId w:val="7"/>
        </w:numPr>
        <w:tabs>
          <w:tab w:pos="873" w:val="left" w:leader="none"/>
        </w:tabs>
        <w:spacing w:line="360" w:lineRule="auto" w:before="7" w:after="0"/>
        <w:ind w:left="873" w:right="132" w:hanging="360"/>
        <w:jc w:val="both"/>
        <w:rPr>
          <w:sz w:val="24"/>
        </w:rPr>
      </w:pPr>
      <w:r>
        <w:rPr>
          <w:sz w:val="24"/>
        </w:rPr>
        <w:t>Bhattacharya A, Banu J, </w:t>
      </w:r>
      <w:r>
        <w:rPr>
          <w:spacing w:val="-3"/>
          <w:sz w:val="24"/>
        </w:rPr>
        <w:t>Rahman </w:t>
      </w:r>
      <w:r>
        <w:rPr>
          <w:sz w:val="24"/>
        </w:rPr>
        <w:t>M, Causey J, Fernandes G. Biological effects of conjugated linoleic acids in health and disease. J of Nutr Biochem. 2006; (17):</w:t>
      </w:r>
      <w:r>
        <w:rPr>
          <w:spacing w:val="-7"/>
          <w:sz w:val="24"/>
        </w:rPr>
        <w:t> </w:t>
      </w:r>
      <w:r>
        <w:rPr>
          <w:sz w:val="24"/>
        </w:rPr>
        <w:t>789-810.</w:t>
      </w:r>
    </w:p>
    <w:p>
      <w:pPr>
        <w:pStyle w:val="ListParagraph"/>
        <w:numPr>
          <w:ilvl w:val="2"/>
          <w:numId w:val="7"/>
        </w:numPr>
        <w:tabs>
          <w:tab w:pos="873" w:val="left" w:leader="none"/>
        </w:tabs>
        <w:spacing w:line="360" w:lineRule="auto" w:before="3" w:after="0"/>
        <w:ind w:left="873" w:right="122" w:hanging="360"/>
        <w:jc w:val="both"/>
        <w:rPr>
          <w:sz w:val="24"/>
        </w:rPr>
      </w:pPr>
      <w:r>
        <w:rPr>
          <w:sz w:val="24"/>
        </w:rPr>
        <w:t>Collomb </w:t>
      </w:r>
      <w:r>
        <w:rPr>
          <w:spacing w:val="-2"/>
          <w:sz w:val="24"/>
        </w:rPr>
        <w:t>MA, </w:t>
      </w:r>
      <w:r>
        <w:rPr>
          <w:sz w:val="24"/>
        </w:rPr>
        <w:t>Schmid A, Sieber R, Wechsler D. y Ryhänen </w:t>
      </w:r>
      <w:r>
        <w:rPr>
          <w:spacing w:val="2"/>
          <w:sz w:val="24"/>
        </w:rPr>
        <w:t>EL. </w:t>
      </w:r>
      <w:r>
        <w:rPr>
          <w:sz w:val="24"/>
        </w:rPr>
        <w:t>Conjugated linoleic acids in milk fat: Variation and physiological effects. Int Dairy J.  2006; (16):</w:t>
      </w:r>
      <w:r>
        <w:rPr>
          <w:spacing w:val="-8"/>
          <w:sz w:val="24"/>
        </w:rPr>
        <w:t> </w:t>
      </w:r>
      <w:r>
        <w:rPr>
          <w:sz w:val="24"/>
        </w:rPr>
        <w:t>1347-1361.</w:t>
      </w:r>
    </w:p>
    <w:p>
      <w:pPr>
        <w:pStyle w:val="ListParagraph"/>
        <w:numPr>
          <w:ilvl w:val="2"/>
          <w:numId w:val="7"/>
        </w:numPr>
        <w:tabs>
          <w:tab w:pos="873" w:val="left" w:leader="none"/>
        </w:tabs>
        <w:spacing w:line="360" w:lineRule="auto" w:before="2" w:after="0"/>
        <w:ind w:left="873" w:right="116" w:hanging="360"/>
        <w:jc w:val="both"/>
        <w:rPr>
          <w:sz w:val="24"/>
        </w:rPr>
      </w:pPr>
      <w:r>
        <w:rPr>
          <w:sz w:val="24"/>
        </w:rPr>
        <w:t>Nicolosi RJ, Rogers EJ, Kritchevsky D, Scimeca JA. y Huth PJ. Dietary conjugated linoleic acid reduces </w:t>
      </w:r>
      <w:r>
        <w:rPr>
          <w:spacing w:val="-2"/>
          <w:sz w:val="24"/>
        </w:rPr>
        <w:t>plasma </w:t>
      </w:r>
      <w:r>
        <w:rPr>
          <w:sz w:val="24"/>
        </w:rPr>
        <w:t>lipoproteins and early aortic atherosclerosis in hypercholesterolemic hamsters. Artery. 1997; (22): </w:t>
      </w:r>
      <w:r>
        <w:rPr>
          <w:spacing w:val="3"/>
          <w:sz w:val="24"/>
        </w:rPr>
        <w:t>266- </w:t>
      </w:r>
      <w:r>
        <w:rPr>
          <w:sz w:val="24"/>
        </w:rPr>
        <w:t>277.</w:t>
      </w:r>
    </w:p>
    <w:p>
      <w:pPr>
        <w:pStyle w:val="ListParagraph"/>
        <w:numPr>
          <w:ilvl w:val="2"/>
          <w:numId w:val="7"/>
        </w:numPr>
        <w:tabs>
          <w:tab w:pos="873" w:val="left" w:leader="none"/>
        </w:tabs>
        <w:spacing w:line="360" w:lineRule="auto" w:before="2" w:after="0"/>
        <w:ind w:left="873" w:right="120" w:hanging="360"/>
        <w:jc w:val="both"/>
        <w:rPr>
          <w:sz w:val="24"/>
        </w:rPr>
      </w:pPr>
      <w:r>
        <w:rPr>
          <w:sz w:val="24"/>
        </w:rPr>
        <w:t>Houseknecht KL, Vanden Heuvel JP, Moya-Camarena  SY,  Portocarrero CP, Peck </w:t>
      </w:r>
      <w:r>
        <w:rPr>
          <w:spacing w:val="3"/>
          <w:sz w:val="24"/>
        </w:rPr>
        <w:t>LW, </w:t>
      </w:r>
      <w:r>
        <w:rPr>
          <w:sz w:val="24"/>
        </w:rPr>
        <w:t>Nickel KP. y Belury </w:t>
      </w:r>
      <w:r>
        <w:rPr>
          <w:spacing w:val="-2"/>
          <w:sz w:val="24"/>
        </w:rPr>
        <w:t>MA. </w:t>
      </w:r>
      <w:r>
        <w:rPr>
          <w:sz w:val="24"/>
        </w:rPr>
        <w:t>Dietary conjugated linoleic acid normalizes impaired glucose tolerance in the Zucker diabetic fatty rat. Biochem. Biophys. Res. Commun. 1998; (244):</w:t>
      </w:r>
      <w:r>
        <w:rPr>
          <w:spacing w:val="-19"/>
          <w:sz w:val="24"/>
        </w:rPr>
        <w:t> </w:t>
      </w:r>
      <w:r>
        <w:rPr>
          <w:sz w:val="24"/>
        </w:rPr>
        <w:t>678–682.</w:t>
      </w:r>
    </w:p>
    <w:p>
      <w:pPr>
        <w:pStyle w:val="ListParagraph"/>
        <w:numPr>
          <w:ilvl w:val="2"/>
          <w:numId w:val="7"/>
        </w:numPr>
        <w:tabs>
          <w:tab w:pos="873" w:val="left" w:leader="none"/>
        </w:tabs>
        <w:spacing w:line="362" w:lineRule="auto" w:before="2" w:after="0"/>
        <w:ind w:left="873" w:right="134" w:hanging="360"/>
        <w:jc w:val="both"/>
        <w:rPr>
          <w:sz w:val="24"/>
        </w:rPr>
      </w:pPr>
      <w:r>
        <w:rPr>
          <w:sz w:val="24"/>
        </w:rPr>
        <w:t>Prandini A, Sigolo S, Tansini G, Brogna N, Piva G. Different level of conjugated linoleic acid (CLA) in dairy products from Italy. J of Food Comp and Anal. 2007; (20):</w:t>
      </w:r>
      <w:r>
        <w:rPr>
          <w:spacing w:val="-10"/>
          <w:sz w:val="24"/>
        </w:rPr>
        <w:t> </w:t>
      </w:r>
      <w:r>
        <w:rPr>
          <w:sz w:val="24"/>
        </w:rPr>
        <w:t>472-479.</w:t>
      </w:r>
    </w:p>
    <w:p>
      <w:pPr>
        <w:pStyle w:val="ListParagraph"/>
        <w:numPr>
          <w:ilvl w:val="2"/>
          <w:numId w:val="7"/>
        </w:numPr>
        <w:tabs>
          <w:tab w:pos="873" w:val="left" w:leader="none"/>
        </w:tabs>
        <w:spacing w:line="360" w:lineRule="auto" w:before="0" w:after="0"/>
        <w:ind w:left="873" w:right="118" w:hanging="360"/>
        <w:jc w:val="both"/>
        <w:rPr>
          <w:sz w:val="24"/>
        </w:rPr>
      </w:pPr>
      <w:r>
        <w:rPr>
          <w:sz w:val="24"/>
        </w:rPr>
        <w:t>Murgueitio E, y Ibrahim M. Ganadería y medio ambiente en América Latina. En Murgueitio, E., Cuartas, C., Najaro, J. (eds). Ganadería del futuro: Investigación para el desarrollo. Fundación CIPAV, Cali-Colombia. 2008; 19-40.</w:t>
      </w:r>
    </w:p>
    <w:p>
      <w:pPr>
        <w:pStyle w:val="ListParagraph"/>
        <w:numPr>
          <w:ilvl w:val="2"/>
          <w:numId w:val="7"/>
        </w:numPr>
        <w:tabs>
          <w:tab w:pos="873" w:val="left" w:leader="none"/>
        </w:tabs>
        <w:spacing w:line="360" w:lineRule="auto" w:before="7" w:after="0"/>
        <w:ind w:left="873" w:right="124" w:hanging="360"/>
        <w:jc w:val="both"/>
        <w:rPr>
          <w:sz w:val="24"/>
        </w:rPr>
      </w:pPr>
      <w:r>
        <w:rPr>
          <w:sz w:val="24"/>
        </w:rPr>
        <w:t>INEGI. Instituto Nacional de Estadística, Geografía e Informática. Prontuario de información geográfica municipal de los, Estados Unidos Mexicanos, Tepalcatepec, Michoacán de Ocampo. Disponible en línea en: </w:t>
      </w:r>
      <w:hyperlink r:id="rId21">
        <w:r>
          <w:rPr>
            <w:sz w:val="24"/>
          </w:rPr>
          <w:t>http://www.inegi.gob.mx.</w:t>
        </w:r>
      </w:hyperlink>
      <w:r>
        <w:rPr>
          <w:sz w:val="24"/>
        </w:rPr>
        <w:t> Revisado el 20 de Mayo de</w:t>
      </w:r>
      <w:r>
        <w:rPr>
          <w:spacing w:val="-26"/>
          <w:sz w:val="24"/>
        </w:rPr>
        <w:t> </w:t>
      </w:r>
      <w:r>
        <w:rPr>
          <w:sz w:val="24"/>
        </w:rPr>
        <w:t>2013.</w:t>
      </w:r>
    </w:p>
    <w:p>
      <w:pPr>
        <w:spacing w:after="0" w:line="360" w:lineRule="auto"/>
        <w:jc w:val="both"/>
        <w:rPr>
          <w:sz w:val="24"/>
        </w:rPr>
        <w:sectPr>
          <w:pgSz w:w="12240" w:h="15840"/>
          <w:pgMar w:header="0" w:footer="1329" w:top="1500" w:bottom="1580" w:left="1720" w:right="1400"/>
        </w:sectPr>
      </w:pPr>
    </w:p>
    <w:p>
      <w:pPr>
        <w:pStyle w:val="BodyText"/>
        <w:spacing w:before="11"/>
        <w:jc w:val="left"/>
        <w:rPr>
          <w:sz w:val="20"/>
        </w:rPr>
      </w:pPr>
    </w:p>
    <w:p>
      <w:pPr>
        <w:pStyle w:val="ListParagraph"/>
        <w:numPr>
          <w:ilvl w:val="2"/>
          <w:numId w:val="7"/>
        </w:numPr>
        <w:tabs>
          <w:tab w:pos="873" w:val="left" w:leader="none"/>
        </w:tabs>
        <w:spacing w:line="360" w:lineRule="auto" w:before="69" w:after="0"/>
        <w:ind w:left="873" w:right="100" w:hanging="360"/>
        <w:jc w:val="both"/>
        <w:rPr>
          <w:sz w:val="24"/>
        </w:rPr>
      </w:pPr>
      <w:r>
        <w:rPr>
          <w:sz w:val="24"/>
        </w:rPr>
        <w:t>Zlatanos S, Laskaridis K, Feist C, y Sagredos A. CLA content and fatty acid composition of Greek feta and hard cheeses. Food Chem. 2002; (78): 471– 477.</w:t>
      </w:r>
    </w:p>
    <w:p>
      <w:pPr>
        <w:pStyle w:val="ListParagraph"/>
        <w:numPr>
          <w:ilvl w:val="2"/>
          <w:numId w:val="7"/>
        </w:numPr>
        <w:tabs>
          <w:tab w:pos="873" w:val="left" w:leader="none"/>
        </w:tabs>
        <w:spacing w:line="360" w:lineRule="auto" w:before="7" w:after="0"/>
        <w:ind w:left="873" w:right="107" w:hanging="360"/>
        <w:jc w:val="both"/>
        <w:rPr>
          <w:sz w:val="24"/>
        </w:rPr>
      </w:pPr>
      <w:r>
        <w:rPr>
          <w:sz w:val="24"/>
        </w:rPr>
        <w:t>Gatusso </w:t>
      </w:r>
      <w:r>
        <w:rPr>
          <w:spacing w:val="-2"/>
          <w:sz w:val="24"/>
        </w:rPr>
        <w:t>AM. </w:t>
      </w:r>
      <w:r>
        <w:rPr>
          <w:sz w:val="24"/>
        </w:rPr>
        <w:t>y Fazio G. Characteristics </w:t>
      </w:r>
      <w:r>
        <w:rPr>
          <w:spacing w:val="-3"/>
          <w:sz w:val="24"/>
        </w:rPr>
        <w:t>and </w:t>
      </w:r>
      <w:r>
        <w:rPr>
          <w:sz w:val="24"/>
        </w:rPr>
        <w:t>composition of milk fat from sheep of Sicilian breeds. Riv Italy Sostanze Grasse. 1980; (57):</w:t>
      </w:r>
      <w:r>
        <w:rPr>
          <w:spacing w:val="-25"/>
          <w:sz w:val="24"/>
        </w:rPr>
        <w:t> </w:t>
      </w:r>
      <w:r>
        <w:rPr>
          <w:sz w:val="24"/>
        </w:rPr>
        <w:t>530-535.</w:t>
      </w:r>
    </w:p>
    <w:p>
      <w:pPr>
        <w:pStyle w:val="ListParagraph"/>
        <w:numPr>
          <w:ilvl w:val="2"/>
          <w:numId w:val="7"/>
        </w:numPr>
        <w:tabs>
          <w:tab w:pos="873" w:val="left" w:leader="none"/>
        </w:tabs>
        <w:spacing w:line="362" w:lineRule="auto" w:before="2" w:after="0"/>
        <w:ind w:left="873" w:right="106" w:hanging="360"/>
        <w:jc w:val="both"/>
        <w:rPr>
          <w:sz w:val="24"/>
        </w:rPr>
      </w:pPr>
      <w:r>
        <w:rPr>
          <w:sz w:val="24"/>
        </w:rPr>
        <w:t>Fuente </w:t>
      </w:r>
      <w:r>
        <w:rPr>
          <w:spacing w:val="-2"/>
          <w:sz w:val="24"/>
        </w:rPr>
        <w:t>MA, </w:t>
      </w:r>
      <w:r>
        <w:rPr>
          <w:sz w:val="24"/>
        </w:rPr>
        <w:t>Fontecha J, Juárez MZ. Fatty acid composition of the triglyceride and free fatty acid fractions in different cows, ewes and goats milk cheeses. Z Lebensm Unters Forsch. 1993; (38):</w:t>
      </w:r>
      <w:r>
        <w:rPr>
          <w:spacing w:val="-13"/>
          <w:sz w:val="24"/>
        </w:rPr>
        <w:t> </w:t>
      </w:r>
      <w:r>
        <w:rPr>
          <w:sz w:val="24"/>
        </w:rPr>
        <w:t>155-158.</w:t>
      </w:r>
    </w:p>
    <w:p>
      <w:pPr>
        <w:pStyle w:val="ListParagraph"/>
        <w:numPr>
          <w:ilvl w:val="2"/>
          <w:numId w:val="7"/>
        </w:numPr>
        <w:tabs>
          <w:tab w:pos="873" w:val="left" w:leader="none"/>
        </w:tabs>
        <w:spacing w:line="360" w:lineRule="auto" w:before="0" w:after="0"/>
        <w:ind w:left="873" w:right="98" w:hanging="360"/>
        <w:jc w:val="both"/>
        <w:rPr>
          <w:sz w:val="24"/>
        </w:rPr>
      </w:pPr>
      <w:r>
        <w:rPr>
          <w:sz w:val="24"/>
        </w:rPr>
        <w:t>Morand-Fehr P, Fedele V, Decandia M, y Le Frileux Y. Influence of farming and feeding systems on composition and quality of goat and sheep milk. S Rum Res. 2007; (68):</w:t>
      </w:r>
      <w:r>
        <w:rPr>
          <w:spacing w:val="-4"/>
          <w:sz w:val="24"/>
        </w:rPr>
        <w:t> </w:t>
      </w:r>
      <w:r>
        <w:rPr>
          <w:sz w:val="24"/>
        </w:rPr>
        <w:t>20-34.</w:t>
      </w:r>
    </w:p>
    <w:p>
      <w:pPr>
        <w:pStyle w:val="ListParagraph"/>
        <w:numPr>
          <w:ilvl w:val="2"/>
          <w:numId w:val="7"/>
        </w:numPr>
        <w:tabs>
          <w:tab w:pos="873" w:val="left" w:leader="none"/>
        </w:tabs>
        <w:spacing w:line="360" w:lineRule="auto" w:before="7" w:after="0"/>
        <w:ind w:left="873" w:right="114" w:hanging="360"/>
        <w:jc w:val="both"/>
        <w:rPr>
          <w:sz w:val="24"/>
        </w:rPr>
      </w:pPr>
      <w:r>
        <w:rPr>
          <w:sz w:val="24"/>
        </w:rPr>
        <w:t>Elgersma A, Tamminga S, y Ellen G. Modifying milk composition through forage. Anim Feed Sci and Tech. 2006;</w:t>
      </w:r>
      <w:r>
        <w:rPr>
          <w:spacing w:val="-17"/>
          <w:sz w:val="24"/>
        </w:rPr>
        <w:t> </w:t>
      </w:r>
      <w:r>
        <w:rPr>
          <w:sz w:val="24"/>
        </w:rPr>
        <w:t>(131):207–225.</w:t>
      </w:r>
    </w:p>
    <w:p>
      <w:pPr>
        <w:pStyle w:val="ListParagraph"/>
        <w:numPr>
          <w:ilvl w:val="2"/>
          <w:numId w:val="7"/>
        </w:numPr>
        <w:tabs>
          <w:tab w:pos="873" w:val="left" w:leader="none"/>
        </w:tabs>
        <w:spacing w:line="360" w:lineRule="auto" w:before="2" w:after="0"/>
        <w:ind w:left="873" w:right="107" w:hanging="360"/>
        <w:jc w:val="both"/>
        <w:rPr>
          <w:sz w:val="24"/>
        </w:rPr>
      </w:pPr>
      <w:r>
        <w:rPr>
          <w:sz w:val="24"/>
        </w:rPr>
        <w:t>Verdier-Metz I, Coulon JB y Pradel P. Relationship between milk fat and protein contents and cheese yield. Anim Res. 2001; (50):</w:t>
      </w:r>
      <w:r>
        <w:rPr>
          <w:spacing w:val="-20"/>
          <w:sz w:val="24"/>
        </w:rPr>
        <w:t> </w:t>
      </w:r>
      <w:r>
        <w:rPr>
          <w:sz w:val="24"/>
        </w:rPr>
        <w:t>365-371.</w:t>
      </w:r>
    </w:p>
    <w:p>
      <w:pPr>
        <w:pStyle w:val="ListParagraph"/>
        <w:numPr>
          <w:ilvl w:val="2"/>
          <w:numId w:val="7"/>
        </w:numPr>
        <w:tabs>
          <w:tab w:pos="873" w:val="left" w:leader="none"/>
        </w:tabs>
        <w:spacing w:line="360" w:lineRule="auto" w:before="7" w:after="0"/>
        <w:ind w:left="873" w:right="106" w:hanging="360"/>
        <w:jc w:val="both"/>
        <w:rPr>
          <w:sz w:val="24"/>
        </w:rPr>
      </w:pPr>
      <w:r>
        <w:rPr>
          <w:sz w:val="24"/>
        </w:rPr>
        <w:t>Martínez LR, Ayala BA, Solorio SJ, y Castelán OO. Efecto de un sistema silvopastoril intensivo sobre el perfil de textura y composición físico-química del queso artesanal Tepeque de México. Rev Cient. FCV-LUZ, Vol. XXV. 2015;</w:t>
      </w:r>
      <w:r>
        <w:rPr>
          <w:spacing w:val="-6"/>
          <w:sz w:val="24"/>
        </w:rPr>
        <w:t> </w:t>
      </w:r>
      <w:r>
        <w:rPr>
          <w:sz w:val="24"/>
        </w:rPr>
        <w:t>(2):153-158.</w:t>
      </w:r>
    </w:p>
    <w:p>
      <w:pPr>
        <w:pStyle w:val="ListParagraph"/>
        <w:numPr>
          <w:ilvl w:val="2"/>
          <w:numId w:val="7"/>
        </w:numPr>
        <w:tabs>
          <w:tab w:pos="873" w:val="left" w:leader="none"/>
        </w:tabs>
        <w:spacing w:line="360" w:lineRule="auto" w:before="7" w:after="0"/>
        <w:ind w:left="873" w:right="112" w:hanging="360"/>
        <w:jc w:val="both"/>
        <w:rPr>
          <w:sz w:val="24"/>
        </w:rPr>
      </w:pPr>
      <w:r>
        <w:rPr>
          <w:sz w:val="24"/>
        </w:rPr>
        <w:t>Hawke JC. Lipids. In: Butler, G.W., Bailey, R.W. (Eds.), Chemistry and Biochemistry of Herbage. Academic Press. London, UK. 1973;</w:t>
      </w:r>
      <w:r>
        <w:rPr>
          <w:spacing w:val="-20"/>
          <w:sz w:val="24"/>
        </w:rPr>
        <w:t> </w:t>
      </w:r>
      <w:r>
        <w:rPr>
          <w:sz w:val="24"/>
        </w:rPr>
        <w:t>213–263.</w:t>
      </w:r>
    </w:p>
    <w:p>
      <w:pPr>
        <w:pStyle w:val="ListParagraph"/>
        <w:numPr>
          <w:ilvl w:val="2"/>
          <w:numId w:val="7"/>
        </w:numPr>
        <w:tabs>
          <w:tab w:pos="873" w:val="left" w:leader="none"/>
        </w:tabs>
        <w:spacing w:line="360" w:lineRule="auto" w:before="2" w:after="0"/>
        <w:ind w:left="873" w:right="98" w:hanging="360"/>
        <w:jc w:val="both"/>
        <w:rPr>
          <w:sz w:val="24"/>
        </w:rPr>
      </w:pPr>
      <w:r>
        <w:rPr>
          <w:sz w:val="24"/>
        </w:rPr>
        <w:t>Whigham LD, Wastras AC. y Schoeller DA. Efficacy of conjugated linoleic acid for reducing fat mass: a meta-analysis in humans. Am J of Clin Nutr. 2007; (85):</w:t>
      </w:r>
      <w:r>
        <w:rPr>
          <w:spacing w:val="-8"/>
          <w:sz w:val="24"/>
        </w:rPr>
        <w:t> </w:t>
      </w:r>
      <w:r>
        <w:rPr>
          <w:sz w:val="24"/>
        </w:rPr>
        <w:t>1203-1211.</w:t>
      </w:r>
    </w:p>
    <w:p>
      <w:pPr>
        <w:spacing w:after="0" w:line="360" w:lineRule="auto"/>
        <w:jc w:val="both"/>
        <w:rPr>
          <w:sz w:val="24"/>
        </w:rPr>
        <w:sectPr>
          <w:pgSz w:w="12240" w:h="15840"/>
          <w:pgMar w:header="0" w:footer="1329" w:top="1500" w:bottom="1580" w:left="1720" w:right="1420"/>
        </w:sectPr>
      </w:pPr>
    </w:p>
    <w:p>
      <w:pPr>
        <w:pStyle w:val="BodyText"/>
        <w:jc w:val="left"/>
        <w:rPr>
          <w:sz w:val="20"/>
        </w:rPr>
      </w:pPr>
    </w:p>
    <w:p>
      <w:pPr>
        <w:pStyle w:val="BodyText"/>
        <w:jc w:val="left"/>
        <w:rPr>
          <w:sz w:val="20"/>
        </w:rPr>
      </w:pPr>
    </w:p>
    <w:p>
      <w:pPr>
        <w:pStyle w:val="BodyText"/>
        <w:spacing w:line="360" w:lineRule="auto" w:before="211" w:after="5"/>
        <w:ind w:left="192"/>
        <w:jc w:val="left"/>
      </w:pPr>
      <w:r>
        <w:rPr/>
        <w:t>Tabla 1. Perfíl promedio de ácidos grasos del queso artesanal Tepeque (g/100g de ácidos grasos) por sistema de alimentación y período de maduración.</w:t>
      </w: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95"/>
        <w:gridCol w:w="1635"/>
        <w:gridCol w:w="1032"/>
        <w:gridCol w:w="952"/>
        <w:gridCol w:w="981"/>
        <w:gridCol w:w="1230"/>
        <w:gridCol w:w="700"/>
        <w:gridCol w:w="967"/>
        <w:gridCol w:w="898"/>
        <w:gridCol w:w="1007"/>
        <w:gridCol w:w="1002"/>
      </w:tblGrid>
      <w:tr>
        <w:trPr>
          <w:trHeight w:val="291" w:hRule="exact"/>
        </w:trPr>
        <w:tc>
          <w:tcPr>
            <w:tcW w:w="2195" w:type="dxa"/>
            <w:tcBorders>
              <w:left w:val="nil"/>
              <w:bottom w:val="nil"/>
              <w:right w:val="nil"/>
            </w:tcBorders>
          </w:tcPr>
          <w:p>
            <w:pPr>
              <w:pStyle w:val="TableParagraph"/>
              <w:spacing w:before="67"/>
              <w:ind w:left="86"/>
              <w:rPr>
                <w:b/>
                <w:sz w:val="10"/>
              </w:rPr>
            </w:pPr>
            <w:r>
              <w:rPr>
                <w:b/>
                <w:sz w:val="10"/>
              </w:rPr>
              <w:t>Ácido graso</w:t>
            </w:r>
          </w:p>
        </w:tc>
        <w:tc>
          <w:tcPr>
            <w:tcW w:w="2667" w:type="dxa"/>
            <w:gridSpan w:val="2"/>
            <w:tcBorders>
              <w:left w:val="nil"/>
              <w:bottom w:val="nil"/>
              <w:right w:val="nil"/>
            </w:tcBorders>
          </w:tcPr>
          <w:p>
            <w:pPr>
              <w:pStyle w:val="TableParagraph"/>
              <w:spacing w:before="67"/>
              <w:ind w:left="988"/>
              <w:rPr>
                <w:b/>
                <w:sz w:val="10"/>
              </w:rPr>
            </w:pPr>
            <w:r>
              <w:rPr>
                <w:b/>
                <w:sz w:val="10"/>
              </w:rPr>
              <w:t>Sistema de alimentación</w:t>
            </w:r>
          </w:p>
        </w:tc>
        <w:tc>
          <w:tcPr>
            <w:tcW w:w="952" w:type="dxa"/>
            <w:tcBorders>
              <w:left w:val="nil"/>
              <w:bottom w:val="nil"/>
              <w:right w:val="nil"/>
            </w:tcBorders>
          </w:tcPr>
          <w:p>
            <w:pPr>
              <w:pStyle w:val="TableParagraph"/>
              <w:spacing w:before="67"/>
              <w:ind w:right="371"/>
              <w:jc w:val="right"/>
              <w:rPr>
                <w:b/>
                <w:sz w:val="10"/>
              </w:rPr>
            </w:pPr>
            <w:r>
              <w:rPr>
                <w:b/>
                <w:sz w:val="10"/>
              </w:rPr>
              <w:t>eem</w:t>
            </w:r>
          </w:p>
        </w:tc>
        <w:tc>
          <w:tcPr>
            <w:tcW w:w="981" w:type="dxa"/>
            <w:tcBorders>
              <w:left w:val="nil"/>
              <w:bottom w:val="nil"/>
              <w:right w:val="nil"/>
            </w:tcBorders>
          </w:tcPr>
          <w:p>
            <w:pPr/>
          </w:p>
        </w:tc>
        <w:tc>
          <w:tcPr>
            <w:tcW w:w="1230" w:type="dxa"/>
            <w:tcBorders>
              <w:left w:val="nil"/>
              <w:bottom w:val="nil"/>
              <w:right w:val="nil"/>
            </w:tcBorders>
          </w:tcPr>
          <w:p>
            <w:pPr>
              <w:pStyle w:val="TableParagraph"/>
              <w:spacing w:before="67"/>
              <w:ind w:left="777"/>
              <w:rPr>
                <w:b/>
                <w:sz w:val="10"/>
              </w:rPr>
            </w:pPr>
            <w:r>
              <w:rPr>
                <w:b/>
                <w:sz w:val="10"/>
              </w:rPr>
              <w:t>Periodo</w:t>
            </w:r>
          </w:p>
        </w:tc>
        <w:tc>
          <w:tcPr>
            <w:tcW w:w="700" w:type="dxa"/>
            <w:tcBorders>
              <w:left w:val="nil"/>
              <w:bottom w:val="nil"/>
              <w:right w:val="nil"/>
            </w:tcBorders>
          </w:tcPr>
          <w:p>
            <w:pPr/>
          </w:p>
        </w:tc>
        <w:tc>
          <w:tcPr>
            <w:tcW w:w="967" w:type="dxa"/>
            <w:tcBorders>
              <w:left w:val="nil"/>
              <w:bottom w:val="nil"/>
              <w:right w:val="nil"/>
            </w:tcBorders>
          </w:tcPr>
          <w:p>
            <w:pPr/>
          </w:p>
        </w:tc>
        <w:tc>
          <w:tcPr>
            <w:tcW w:w="898" w:type="dxa"/>
            <w:tcBorders>
              <w:left w:val="nil"/>
              <w:bottom w:val="nil"/>
              <w:right w:val="nil"/>
            </w:tcBorders>
          </w:tcPr>
          <w:p>
            <w:pPr>
              <w:pStyle w:val="TableParagraph"/>
              <w:spacing w:before="67"/>
              <w:ind w:left="309"/>
              <w:rPr>
                <w:b/>
                <w:sz w:val="10"/>
              </w:rPr>
            </w:pPr>
            <w:r>
              <w:rPr>
                <w:b/>
                <w:sz w:val="10"/>
              </w:rPr>
              <w:t>eem</w:t>
            </w:r>
          </w:p>
        </w:tc>
        <w:tc>
          <w:tcPr>
            <w:tcW w:w="2010" w:type="dxa"/>
            <w:gridSpan w:val="2"/>
            <w:tcBorders>
              <w:left w:val="nil"/>
              <w:bottom w:val="nil"/>
              <w:right w:val="nil"/>
            </w:tcBorders>
          </w:tcPr>
          <w:p>
            <w:pPr>
              <w:pStyle w:val="TableParagraph"/>
              <w:spacing w:before="67"/>
              <w:ind w:left="698" w:right="781"/>
              <w:jc w:val="center"/>
              <w:rPr>
                <w:b/>
                <w:sz w:val="10"/>
              </w:rPr>
            </w:pPr>
            <w:r>
              <w:rPr>
                <w:b/>
                <w:sz w:val="10"/>
              </w:rPr>
              <w:t>Valor de P</w:t>
            </w:r>
          </w:p>
        </w:tc>
      </w:tr>
      <w:tr>
        <w:trPr>
          <w:trHeight w:val="353" w:hRule="exact"/>
        </w:trPr>
        <w:tc>
          <w:tcPr>
            <w:tcW w:w="2195" w:type="dxa"/>
            <w:tcBorders>
              <w:top w:val="nil"/>
              <w:left w:val="nil"/>
              <w:right w:val="nil"/>
            </w:tcBorders>
          </w:tcPr>
          <w:p>
            <w:pPr/>
          </w:p>
        </w:tc>
        <w:tc>
          <w:tcPr>
            <w:tcW w:w="1635" w:type="dxa"/>
            <w:tcBorders>
              <w:top w:val="nil"/>
              <w:left w:val="nil"/>
              <w:right w:val="nil"/>
            </w:tcBorders>
          </w:tcPr>
          <w:p>
            <w:pPr>
              <w:pStyle w:val="TableParagraph"/>
              <w:spacing w:before="6"/>
              <w:rPr>
                <w:sz w:val="8"/>
              </w:rPr>
            </w:pPr>
          </w:p>
          <w:p>
            <w:pPr>
              <w:pStyle w:val="TableParagraph"/>
              <w:ind w:right="477"/>
              <w:jc w:val="right"/>
              <w:rPr>
                <w:b/>
                <w:sz w:val="10"/>
              </w:rPr>
            </w:pPr>
            <w:r>
              <w:rPr>
                <w:b/>
                <w:sz w:val="10"/>
              </w:rPr>
              <w:t>ST</w:t>
            </w:r>
          </w:p>
        </w:tc>
        <w:tc>
          <w:tcPr>
            <w:tcW w:w="1032" w:type="dxa"/>
            <w:tcBorders>
              <w:top w:val="nil"/>
              <w:left w:val="nil"/>
              <w:right w:val="nil"/>
            </w:tcBorders>
          </w:tcPr>
          <w:p>
            <w:pPr>
              <w:pStyle w:val="TableParagraph"/>
              <w:spacing w:before="6"/>
              <w:rPr>
                <w:sz w:val="8"/>
              </w:rPr>
            </w:pPr>
          </w:p>
          <w:p>
            <w:pPr>
              <w:pStyle w:val="TableParagraph"/>
              <w:ind w:left="367" w:right="330"/>
              <w:jc w:val="center"/>
              <w:rPr>
                <w:b/>
                <w:sz w:val="10"/>
              </w:rPr>
            </w:pPr>
            <w:r>
              <w:rPr>
                <w:b/>
                <w:sz w:val="10"/>
              </w:rPr>
              <w:t>SSP</w:t>
            </w:r>
          </w:p>
        </w:tc>
        <w:tc>
          <w:tcPr>
            <w:tcW w:w="952" w:type="dxa"/>
            <w:tcBorders>
              <w:top w:val="nil"/>
              <w:left w:val="nil"/>
              <w:right w:val="nil"/>
            </w:tcBorders>
          </w:tcPr>
          <w:p>
            <w:pPr/>
          </w:p>
        </w:tc>
        <w:tc>
          <w:tcPr>
            <w:tcW w:w="981" w:type="dxa"/>
            <w:tcBorders>
              <w:top w:val="nil"/>
              <w:left w:val="nil"/>
              <w:right w:val="nil"/>
            </w:tcBorders>
          </w:tcPr>
          <w:p>
            <w:pPr>
              <w:pStyle w:val="TableParagraph"/>
              <w:spacing w:before="6"/>
              <w:rPr>
                <w:sz w:val="8"/>
              </w:rPr>
            </w:pPr>
          </w:p>
          <w:p>
            <w:pPr>
              <w:pStyle w:val="TableParagraph"/>
              <w:jc w:val="center"/>
              <w:rPr>
                <w:b/>
                <w:sz w:val="10"/>
              </w:rPr>
            </w:pPr>
            <w:r>
              <w:rPr>
                <w:b/>
                <w:w w:val="100"/>
                <w:sz w:val="10"/>
              </w:rPr>
              <w:t>1</w:t>
            </w:r>
          </w:p>
        </w:tc>
        <w:tc>
          <w:tcPr>
            <w:tcW w:w="1230" w:type="dxa"/>
            <w:tcBorders>
              <w:top w:val="nil"/>
              <w:left w:val="nil"/>
              <w:right w:val="nil"/>
            </w:tcBorders>
          </w:tcPr>
          <w:p>
            <w:pPr>
              <w:pStyle w:val="TableParagraph"/>
              <w:spacing w:before="6"/>
              <w:rPr>
                <w:sz w:val="8"/>
              </w:rPr>
            </w:pPr>
          </w:p>
          <w:p>
            <w:pPr>
              <w:pStyle w:val="TableParagraph"/>
              <w:ind w:left="450"/>
              <w:rPr>
                <w:b/>
                <w:sz w:val="10"/>
              </w:rPr>
            </w:pPr>
            <w:r>
              <w:rPr>
                <w:b/>
                <w:w w:val="100"/>
                <w:sz w:val="10"/>
              </w:rPr>
              <w:t>2</w:t>
            </w:r>
          </w:p>
        </w:tc>
        <w:tc>
          <w:tcPr>
            <w:tcW w:w="700" w:type="dxa"/>
            <w:tcBorders>
              <w:top w:val="nil"/>
              <w:left w:val="nil"/>
              <w:right w:val="nil"/>
            </w:tcBorders>
          </w:tcPr>
          <w:p>
            <w:pPr>
              <w:pStyle w:val="TableParagraph"/>
              <w:spacing w:before="6"/>
              <w:rPr>
                <w:sz w:val="8"/>
              </w:rPr>
            </w:pPr>
          </w:p>
          <w:p>
            <w:pPr>
              <w:pStyle w:val="TableParagraph"/>
              <w:ind w:right="261"/>
              <w:jc w:val="center"/>
              <w:rPr>
                <w:b/>
                <w:sz w:val="10"/>
              </w:rPr>
            </w:pPr>
            <w:r>
              <w:rPr>
                <w:b/>
                <w:w w:val="100"/>
                <w:sz w:val="10"/>
              </w:rPr>
              <w:t>3</w:t>
            </w:r>
          </w:p>
        </w:tc>
        <w:tc>
          <w:tcPr>
            <w:tcW w:w="967" w:type="dxa"/>
            <w:tcBorders>
              <w:top w:val="nil"/>
              <w:left w:val="nil"/>
              <w:right w:val="nil"/>
            </w:tcBorders>
          </w:tcPr>
          <w:p>
            <w:pPr>
              <w:pStyle w:val="TableParagraph"/>
              <w:spacing w:before="6"/>
              <w:rPr>
                <w:sz w:val="8"/>
              </w:rPr>
            </w:pPr>
          </w:p>
          <w:p>
            <w:pPr>
              <w:pStyle w:val="TableParagraph"/>
              <w:ind w:left="10"/>
              <w:jc w:val="center"/>
              <w:rPr>
                <w:b/>
                <w:sz w:val="10"/>
              </w:rPr>
            </w:pPr>
            <w:r>
              <w:rPr>
                <w:b/>
                <w:w w:val="100"/>
                <w:sz w:val="10"/>
              </w:rPr>
              <w:t>4</w:t>
            </w:r>
          </w:p>
        </w:tc>
        <w:tc>
          <w:tcPr>
            <w:tcW w:w="898" w:type="dxa"/>
            <w:tcBorders>
              <w:top w:val="nil"/>
              <w:left w:val="nil"/>
              <w:right w:val="nil"/>
            </w:tcBorders>
          </w:tcPr>
          <w:p>
            <w:pPr/>
          </w:p>
        </w:tc>
        <w:tc>
          <w:tcPr>
            <w:tcW w:w="1007" w:type="dxa"/>
            <w:tcBorders>
              <w:top w:val="nil"/>
              <w:left w:val="nil"/>
              <w:right w:val="nil"/>
            </w:tcBorders>
          </w:tcPr>
          <w:p>
            <w:pPr>
              <w:pStyle w:val="TableParagraph"/>
              <w:spacing w:before="6"/>
              <w:rPr>
                <w:sz w:val="8"/>
              </w:rPr>
            </w:pPr>
          </w:p>
          <w:p>
            <w:pPr>
              <w:pStyle w:val="TableParagraph"/>
              <w:ind w:left="273" w:right="310"/>
              <w:jc w:val="center"/>
              <w:rPr>
                <w:b/>
                <w:sz w:val="10"/>
              </w:rPr>
            </w:pPr>
            <w:r>
              <w:rPr>
                <w:b/>
                <w:sz w:val="10"/>
              </w:rPr>
              <w:t>Sistema</w:t>
            </w:r>
          </w:p>
        </w:tc>
        <w:tc>
          <w:tcPr>
            <w:tcW w:w="1002" w:type="dxa"/>
            <w:tcBorders>
              <w:top w:val="nil"/>
              <w:left w:val="nil"/>
              <w:right w:val="nil"/>
            </w:tcBorders>
          </w:tcPr>
          <w:p>
            <w:pPr>
              <w:pStyle w:val="TableParagraph"/>
              <w:spacing w:before="6"/>
              <w:rPr>
                <w:sz w:val="8"/>
              </w:rPr>
            </w:pPr>
          </w:p>
          <w:p>
            <w:pPr>
              <w:pStyle w:val="TableParagraph"/>
              <w:ind w:left="310" w:right="280"/>
              <w:jc w:val="center"/>
              <w:rPr>
                <w:b/>
                <w:sz w:val="10"/>
              </w:rPr>
            </w:pPr>
            <w:r>
              <w:rPr>
                <w:b/>
                <w:sz w:val="10"/>
              </w:rPr>
              <w:t>Periodo</w:t>
            </w:r>
          </w:p>
        </w:tc>
      </w:tr>
      <w:tr>
        <w:trPr>
          <w:trHeight w:val="270" w:hRule="exact"/>
        </w:trPr>
        <w:tc>
          <w:tcPr>
            <w:tcW w:w="2195" w:type="dxa"/>
            <w:tcBorders>
              <w:left w:val="nil"/>
              <w:bottom w:val="nil"/>
              <w:right w:val="nil"/>
            </w:tcBorders>
          </w:tcPr>
          <w:p>
            <w:pPr>
              <w:pStyle w:val="TableParagraph"/>
              <w:spacing w:before="57"/>
              <w:ind w:left="86"/>
              <w:rPr>
                <w:sz w:val="10"/>
              </w:rPr>
            </w:pPr>
            <w:r>
              <w:rPr>
                <w:sz w:val="10"/>
              </w:rPr>
              <w:t>Butírico, C4:0</w:t>
            </w:r>
          </w:p>
        </w:tc>
        <w:tc>
          <w:tcPr>
            <w:tcW w:w="1635" w:type="dxa"/>
            <w:tcBorders>
              <w:left w:val="nil"/>
              <w:bottom w:val="nil"/>
              <w:right w:val="nil"/>
            </w:tcBorders>
          </w:tcPr>
          <w:p>
            <w:pPr>
              <w:pStyle w:val="TableParagraph"/>
              <w:spacing w:before="55"/>
              <w:ind w:right="422"/>
              <w:jc w:val="right"/>
              <w:rPr>
                <w:sz w:val="6"/>
              </w:rPr>
            </w:pPr>
            <w:r>
              <w:rPr>
                <w:sz w:val="10"/>
              </w:rPr>
              <w:t>1.21</w:t>
            </w:r>
            <w:r>
              <w:rPr>
                <w:position w:val="4"/>
                <w:sz w:val="6"/>
              </w:rPr>
              <w:t>a</w:t>
            </w:r>
          </w:p>
        </w:tc>
        <w:tc>
          <w:tcPr>
            <w:tcW w:w="1032" w:type="dxa"/>
            <w:tcBorders>
              <w:left w:val="nil"/>
              <w:bottom w:val="nil"/>
              <w:right w:val="nil"/>
            </w:tcBorders>
          </w:tcPr>
          <w:p>
            <w:pPr>
              <w:pStyle w:val="TableParagraph"/>
              <w:spacing w:before="55"/>
              <w:ind w:left="378" w:right="330"/>
              <w:jc w:val="center"/>
              <w:rPr>
                <w:sz w:val="6"/>
              </w:rPr>
            </w:pPr>
            <w:r>
              <w:rPr>
                <w:sz w:val="10"/>
              </w:rPr>
              <w:t>0.92</w:t>
            </w:r>
            <w:r>
              <w:rPr>
                <w:position w:val="4"/>
                <w:sz w:val="6"/>
              </w:rPr>
              <w:t>b</w:t>
            </w:r>
          </w:p>
        </w:tc>
        <w:tc>
          <w:tcPr>
            <w:tcW w:w="952" w:type="dxa"/>
            <w:tcBorders>
              <w:left w:val="nil"/>
              <w:bottom w:val="nil"/>
              <w:right w:val="nil"/>
            </w:tcBorders>
          </w:tcPr>
          <w:p>
            <w:pPr>
              <w:pStyle w:val="TableParagraph"/>
              <w:spacing w:before="57"/>
              <w:ind w:right="373"/>
              <w:jc w:val="right"/>
              <w:rPr>
                <w:sz w:val="10"/>
              </w:rPr>
            </w:pPr>
            <w:r>
              <w:rPr>
                <w:sz w:val="10"/>
              </w:rPr>
              <w:t>0.09</w:t>
            </w:r>
          </w:p>
        </w:tc>
        <w:tc>
          <w:tcPr>
            <w:tcW w:w="981" w:type="dxa"/>
            <w:tcBorders>
              <w:left w:val="nil"/>
              <w:bottom w:val="nil"/>
              <w:right w:val="nil"/>
            </w:tcBorders>
          </w:tcPr>
          <w:p>
            <w:pPr>
              <w:pStyle w:val="TableParagraph"/>
              <w:spacing w:before="55"/>
              <w:ind w:left="45" w:right="34"/>
              <w:jc w:val="center"/>
              <w:rPr>
                <w:sz w:val="6"/>
              </w:rPr>
            </w:pPr>
            <w:r>
              <w:rPr>
                <w:sz w:val="10"/>
              </w:rPr>
              <w:t>0.59</w:t>
            </w:r>
            <w:r>
              <w:rPr>
                <w:position w:val="4"/>
                <w:sz w:val="6"/>
              </w:rPr>
              <w:t>a</w:t>
            </w:r>
          </w:p>
        </w:tc>
        <w:tc>
          <w:tcPr>
            <w:tcW w:w="1230" w:type="dxa"/>
            <w:tcBorders>
              <w:left w:val="nil"/>
              <w:bottom w:val="nil"/>
              <w:right w:val="nil"/>
            </w:tcBorders>
          </w:tcPr>
          <w:p>
            <w:pPr>
              <w:pStyle w:val="TableParagraph"/>
              <w:spacing w:before="55"/>
              <w:ind w:left="369"/>
              <w:rPr>
                <w:sz w:val="6"/>
              </w:rPr>
            </w:pPr>
            <w:r>
              <w:rPr>
                <w:sz w:val="10"/>
              </w:rPr>
              <w:t>0.90</w:t>
            </w:r>
            <w:r>
              <w:rPr>
                <w:position w:val="4"/>
                <w:sz w:val="6"/>
              </w:rPr>
              <w:t>a</w:t>
            </w:r>
          </w:p>
        </w:tc>
        <w:tc>
          <w:tcPr>
            <w:tcW w:w="700" w:type="dxa"/>
            <w:tcBorders>
              <w:left w:val="nil"/>
              <w:bottom w:val="nil"/>
              <w:right w:val="nil"/>
            </w:tcBorders>
          </w:tcPr>
          <w:p>
            <w:pPr>
              <w:pStyle w:val="TableParagraph"/>
              <w:spacing w:before="55"/>
              <w:ind w:left="63" w:right="311"/>
              <w:jc w:val="center"/>
              <w:rPr>
                <w:sz w:val="6"/>
              </w:rPr>
            </w:pPr>
            <w:r>
              <w:rPr>
                <w:sz w:val="10"/>
              </w:rPr>
              <w:t>1.70</w:t>
            </w:r>
            <w:r>
              <w:rPr>
                <w:position w:val="4"/>
                <w:sz w:val="6"/>
              </w:rPr>
              <w:t>b</w:t>
            </w:r>
          </w:p>
        </w:tc>
        <w:tc>
          <w:tcPr>
            <w:tcW w:w="967" w:type="dxa"/>
            <w:tcBorders>
              <w:left w:val="nil"/>
              <w:bottom w:val="nil"/>
              <w:right w:val="nil"/>
            </w:tcBorders>
          </w:tcPr>
          <w:p>
            <w:pPr>
              <w:pStyle w:val="TableParagraph"/>
              <w:spacing w:before="55"/>
              <w:ind w:left="313" w:right="291"/>
              <w:jc w:val="center"/>
              <w:rPr>
                <w:sz w:val="6"/>
              </w:rPr>
            </w:pPr>
            <w:r>
              <w:rPr>
                <w:sz w:val="10"/>
              </w:rPr>
              <w:t>1.06</w:t>
            </w:r>
            <w:r>
              <w:rPr>
                <w:position w:val="4"/>
                <w:sz w:val="6"/>
              </w:rPr>
              <w:t>a</w:t>
            </w:r>
          </w:p>
        </w:tc>
        <w:tc>
          <w:tcPr>
            <w:tcW w:w="898" w:type="dxa"/>
            <w:tcBorders>
              <w:left w:val="nil"/>
              <w:bottom w:val="nil"/>
              <w:right w:val="nil"/>
            </w:tcBorders>
          </w:tcPr>
          <w:p>
            <w:pPr>
              <w:pStyle w:val="TableParagraph"/>
              <w:spacing w:before="57"/>
              <w:ind w:left="314"/>
              <w:rPr>
                <w:sz w:val="10"/>
              </w:rPr>
            </w:pPr>
            <w:r>
              <w:rPr>
                <w:sz w:val="10"/>
              </w:rPr>
              <w:t>0.13</w:t>
            </w:r>
          </w:p>
        </w:tc>
        <w:tc>
          <w:tcPr>
            <w:tcW w:w="1007" w:type="dxa"/>
            <w:tcBorders>
              <w:left w:val="nil"/>
              <w:bottom w:val="nil"/>
              <w:right w:val="nil"/>
            </w:tcBorders>
          </w:tcPr>
          <w:p>
            <w:pPr>
              <w:pStyle w:val="TableParagraph"/>
              <w:spacing w:before="57"/>
              <w:ind w:left="267" w:right="310"/>
              <w:jc w:val="center"/>
              <w:rPr>
                <w:sz w:val="10"/>
              </w:rPr>
            </w:pPr>
            <w:r>
              <w:rPr>
                <w:sz w:val="10"/>
              </w:rPr>
              <w:t>0.03</w:t>
            </w:r>
          </w:p>
        </w:tc>
        <w:tc>
          <w:tcPr>
            <w:tcW w:w="1002" w:type="dxa"/>
            <w:tcBorders>
              <w:left w:val="nil"/>
              <w:bottom w:val="nil"/>
              <w:right w:val="nil"/>
            </w:tcBorders>
          </w:tcPr>
          <w:p>
            <w:pPr>
              <w:pStyle w:val="TableParagraph"/>
              <w:spacing w:before="57"/>
              <w:ind w:left="310" w:right="271"/>
              <w:jc w:val="center"/>
              <w:rPr>
                <w:sz w:val="10"/>
              </w:rPr>
            </w:pPr>
            <w:r>
              <w:rPr>
                <w:sz w:val="10"/>
              </w:rPr>
              <w:t>0.01</w:t>
            </w:r>
          </w:p>
        </w:tc>
      </w:tr>
      <w:tr>
        <w:trPr>
          <w:trHeight w:val="300" w:hRule="exact"/>
        </w:trPr>
        <w:tc>
          <w:tcPr>
            <w:tcW w:w="2195" w:type="dxa"/>
            <w:tcBorders>
              <w:top w:val="nil"/>
              <w:left w:val="nil"/>
              <w:bottom w:val="nil"/>
              <w:right w:val="nil"/>
            </w:tcBorders>
          </w:tcPr>
          <w:p>
            <w:pPr>
              <w:pStyle w:val="TableParagraph"/>
              <w:spacing w:before="2"/>
              <w:rPr>
                <w:sz w:val="8"/>
              </w:rPr>
            </w:pPr>
          </w:p>
          <w:p>
            <w:pPr>
              <w:pStyle w:val="TableParagraph"/>
              <w:spacing w:before="1"/>
              <w:ind w:left="86"/>
              <w:rPr>
                <w:sz w:val="10"/>
              </w:rPr>
            </w:pPr>
            <w:r>
              <w:rPr>
                <w:sz w:val="10"/>
              </w:rPr>
              <w:t>Caproico, C6:0</w:t>
            </w:r>
          </w:p>
        </w:tc>
        <w:tc>
          <w:tcPr>
            <w:tcW w:w="1635" w:type="dxa"/>
            <w:tcBorders>
              <w:top w:val="nil"/>
              <w:left w:val="nil"/>
              <w:bottom w:val="nil"/>
              <w:right w:val="nil"/>
            </w:tcBorders>
          </w:tcPr>
          <w:p>
            <w:pPr>
              <w:pStyle w:val="TableParagraph"/>
              <w:rPr>
                <w:sz w:val="8"/>
              </w:rPr>
            </w:pPr>
          </w:p>
          <w:p>
            <w:pPr>
              <w:pStyle w:val="TableParagraph"/>
              <w:ind w:right="422"/>
              <w:jc w:val="right"/>
              <w:rPr>
                <w:sz w:val="6"/>
              </w:rPr>
            </w:pPr>
            <w:r>
              <w:rPr>
                <w:sz w:val="10"/>
              </w:rPr>
              <w:t>1.03</w:t>
            </w:r>
            <w:r>
              <w:rPr>
                <w:position w:val="4"/>
                <w:sz w:val="6"/>
              </w:rPr>
              <w:t>a</w:t>
            </w:r>
          </w:p>
        </w:tc>
        <w:tc>
          <w:tcPr>
            <w:tcW w:w="1032" w:type="dxa"/>
            <w:tcBorders>
              <w:top w:val="nil"/>
              <w:left w:val="nil"/>
              <w:bottom w:val="nil"/>
              <w:right w:val="nil"/>
            </w:tcBorders>
          </w:tcPr>
          <w:p>
            <w:pPr>
              <w:pStyle w:val="TableParagraph"/>
              <w:rPr>
                <w:sz w:val="8"/>
              </w:rPr>
            </w:pPr>
          </w:p>
          <w:p>
            <w:pPr>
              <w:pStyle w:val="TableParagraph"/>
              <w:ind w:left="378" w:right="330"/>
              <w:jc w:val="center"/>
              <w:rPr>
                <w:sz w:val="6"/>
              </w:rPr>
            </w:pPr>
            <w:r>
              <w:rPr>
                <w:sz w:val="10"/>
              </w:rPr>
              <w:t>0.73</w:t>
            </w:r>
            <w:r>
              <w:rPr>
                <w:position w:val="4"/>
                <w:sz w:val="6"/>
              </w:rPr>
              <w:t>b</w:t>
            </w:r>
          </w:p>
        </w:tc>
        <w:tc>
          <w:tcPr>
            <w:tcW w:w="952" w:type="dxa"/>
            <w:tcBorders>
              <w:top w:val="nil"/>
              <w:left w:val="nil"/>
              <w:bottom w:val="nil"/>
              <w:right w:val="nil"/>
            </w:tcBorders>
          </w:tcPr>
          <w:p>
            <w:pPr>
              <w:pStyle w:val="TableParagraph"/>
              <w:spacing w:before="2"/>
              <w:rPr>
                <w:sz w:val="8"/>
              </w:rPr>
            </w:pPr>
          </w:p>
          <w:p>
            <w:pPr>
              <w:pStyle w:val="TableParagraph"/>
              <w:spacing w:before="1"/>
              <w:ind w:right="373"/>
              <w:jc w:val="right"/>
              <w:rPr>
                <w:sz w:val="10"/>
              </w:rPr>
            </w:pPr>
            <w:r>
              <w:rPr>
                <w:sz w:val="10"/>
              </w:rPr>
              <w:t>0.06</w:t>
            </w:r>
          </w:p>
        </w:tc>
        <w:tc>
          <w:tcPr>
            <w:tcW w:w="981" w:type="dxa"/>
            <w:tcBorders>
              <w:top w:val="nil"/>
              <w:left w:val="nil"/>
              <w:bottom w:val="nil"/>
              <w:right w:val="nil"/>
            </w:tcBorders>
          </w:tcPr>
          <w:p>
            <w:pPr>
              <w:pStyle w:val="TableParagraph"/>
              <w:spacing w:before="2"/>
              <w:rPr>
                <w:sz w:val="8"/>
              </w:rPr>
            </w:pPr>
          </w:p>
          <w:p>
            <w:pPr>
              <w:pStyle w:val="TableParagraph"/>
              <w:spacing w:before="1"/>
              <w:ind w:left="45" w:right="37"/>
              <w:jc w:val="center"/>
              <w:rPr>
                <w:sz w:val="10"/>
              </w:rPr>
            </w:pPr>
            <w:r>
              <w:rPr>
                <w:sz w:val="10"/>
              </w:rPr>
              <w:t>0.74</w:t>
            </w:r>
          </w:p>
        </w:tc>
        <w:tc>
          <w:tcPr>
            <w:tcW w:w="1230" w:type="dxa"/>
            <w:tcBorders>
              <w:top w:val="nil"/>
              <w:left w:val="nil"/>
              <w:bottom w:val="nil"/>
              <w:right w:val="nil"/>
            </w:tcBorders>
          </w:tcPr>
          <w:p>
            <w:pPr>
              <w:pStyle w:val="TableParagraph"/>
              <w:spacing w:before="2"/>
              <w:rPr>
                <w:sz w:val="8"/>
              </w:rPr>
            </w:pPr>
          </w:p>
          <w:p>
            <w:pPr>
              <w:pStyle w:val="TableParagraph"/>
              <w:spacing w:before="1"/>
              <w:ind w:left="383"/>
              <w:rPr>
                <w:sz w:val="10"/>
              </w:rPr>
            </w:pPr>
            <w:r>
              <w:rPr>
                <w:sz w:val="10"/>
              </w:rPr>
              <w:t>0.88</w:t>
            </w:r>
          </w:p>
        </w:tc>
        <w:tc>
          <w:tcPr>
            <w:tcW w:w="700" w:type="dxa"/>
            <w:tcBorders>
              <w:top w:val="nil"/>
              <w:left w:val="nil"/>
              <w:bottom w:val="nil"/>
              <w:right w:val="nil"/>
            </w:tcBorders>
          </w:tcPr>
          <w:p>
            <w:pPr>
              <w:pStyle w:val="TableParagraph"/>
              <w:spacing w:before="2"/>
              <w:rPr>
                <w:sz w:val="8"/>
              </w:rPr>
            </w:pPr>
          </w:p>
          <w:p>
            <w:pPr>
              <w:pStyle w:val="TableParagraph"/>
              <w:spacing w:before="1"/>
              <w:ind w:left="60" w:right="311"/>
              <w:jc w:val="center"/>
              <w:rPr>
                <w:sz w:val="10"/>
              </w:rPr>
            </w:pPr>
            <w:r>
              <w:rPr>
                <w:sz w:val="10"/>
              </w:rPr>
              <w:t>1.03</w:t>
            </w:r>
          </w:p>
        </w:tc>
        <w:tc>
          <w:tcPr>
            <w:tcW w:w="967" w:type="dxa"/>
            <w:tcBorders>
              <w:top w:val="nil"/>
              <w:left w:val="nil"/>
              <w:bottom w:val="nil"/>
              <w:right w:val="nil"/>
            </w:tcBorders>
          </w:tcPr>
          <w:p>
            <w:pPr>
              <w:pStyle w:val="TableParagraph"/>
              <w:spacing w:before="2"/>
              <w:rPr>
                <w:sz w:val="8"/>
              </w:rPr>
            </w:pPr>
          </w:p>
          <w:p>
            <w:pPr>
              <w:pStyle w:val="TableParagraph"/>
              <w:spacing w:before="1"/>
              <w:ind w:left="313" w:right="294"/>
              <w:jc w:val="center"/>
              <w:rPr>
                <w:sz w:val="10"/>
              </w:rPr>
            </w:pPr>
            <w:r>
              <w:rPr>
                <w:sz w:val="10"/>
              </w:rPr>
              <w:t>0.86</w:t>
            </w:r>
          </w:p>
        </w:tc>
        <w:tc>
          <w:tcPr>
            <w:tcW w:w="898" w:type="dxa"/>
            <w:tcBorders>
              <w:top w:val="nil"/>
              <w:left w:val="nil"/>
              <w:bottom w:val="nil"/>
              <w:right w:val="nil"/>
            </w:tcBorders>
          </w:tcPr>
          <w:p>
            <w:pPr>
              <w:pStyle w:val="TableParagraph"/>
              <w:spacing w:before="2"/>
              <w:rPr>
                <w:sz w:val="8"/>
              </w:rPr>
            </w:pPr>
          </w:p>
          <w:p>
            <w:pPr>
              <w:pStyle w:val="TableParagraph"/>
              <w:spacing w:before="1"/>
              <w:ind w:left="314"/>
              <w:rPr>
                <w:sz w:val="10"/>
              </w:rPr>
            </w:pPr>
            <w:r>
              <w:rPr>
                <w:sz w:val="10"/>
              </w:rPr>
              <w:t>0.09</w:t>
            </w:r>
          </w:p>
        </w:tc>
        <w:tc>
          <w:tcPr>
            <w:tcW w:w="1007" w:type="dxa"/>
            <w:tcBorders>
              <w:top w:val="nil"/>
              <w:left w:val="nil"/>
              <w:bottom w:val="nil"/>
              <w:right w:val="nil"/>
            </w:tcBorders>
          </w:tcPr>
          <w:p>
            <w:pPr>
              <w:pStyle w:val="TableParagraph"/>
              <w:spacing w:before="2"/>
              <w:rPr>
                <w:sz w:val="8"/>
              </w:rPr>
            </w:pPr>
          </w:p>
          <w:p>
            <w:pPr>
              <w:pStyle w:val="TableParagraph"/>
              <w:spacing w:before="1"/>
              <w:ind w:left="267" w:right="310"/>
              <w:jc w:val="center"/>
              <w:rPr>
                <w:sz w:val="10"/>
              </w:rPr>
            </w:pPr>
            <w:r>
              <w:rPr>
                <w:sz w:val="10"/>
              </w:rPr>
              <w:t>0.01</w:t>
            </w:r>
          </w:p>
        </w:tc>
        <w:tc>
          <w:tcPr>
            <w:tcW w:w="1002" w:type="dxa"/>
            <w:tcBorders>
              <w:top w:val="nil"/>
              <w:left w:val="nil"/>
              <w:bottom w:val="nil"/>
              <w:right w:val="nil"/>
            </w:tcBorders>
          </w:tcPr>
          <w:p>
            <w:pPr>
              <w:pStyle w:val="TableParagraph"/>
              <w:spacing w:before="2"/>
              <w:rPr>
                <w:sz w:val="8"/>
              </w:rPr>
            </w:pPr>
          </w:p>
          <w:p>
            <w:pPr>
              <w:pStyle w:val="TableParagraph"/>
              <w:spacing w:before="1"/>
              <w:ind w:left="310" w:right="271"/>
              <w:jc w:val="center"/>
              <w:rPr>
                <w:sz w:val="10"/>
              </w:rPr>
            </w:pPr>
            <w:r>
              <w:rPr>
                <w:sz w:val="10"/>
              </w:rPr>
              <w:t>0.2</w:t>
            </w:r>
          </w:p>
        </w:tc>
      </w:tr>
      <w:tr>
        <w:trPr>
          <w:trHeight w:val="300" w:hRule="exact"/>
        </w:trPr>
        <w:tc>
          <w:tcPr>
            <w:tcW w:w="2195" w:type="dxa"/>
            <w:tcBorders>
              <w:top w:val="nil"/>
              <w:left w:val="nil"/>
              <w:bottom w:val="nil"/>
              <w:right w:val="nil"/>
            </w:tcBorders>
          </w:tcPr>
          <w:p>
            <w:pPr>
              <w:pStyle w:val="TableParagraph"/>
              <w:rPr>
                <w:sz w:val="8"/>
              </w:rPr>
            </w:pPr>
          </w:p>
          <w:p>
            <w:pPr>
              <w:pStyle w:val="TableParagraph"/>
              <w:ind w:left="86"/>
              <w:rPr>
                <w:sz w:val="10"/>
              </w:rPr>
            </w:pPr>
            <w:r>
              <w:rPr>
                <w:sz w:val="10"/>
              </w:rPr>
              <w:t>Caprilico, C8:0</w:t>
            </w:r>
          </w:p>
        </w:tc>
        <w:tc>
          <w:tcPr>
            <w:tcW w:w="1635" w:type="dxa"/>
            <w:tcBorders>
              <w:top w:val="nil"/>
              <w:left w:val="nil"/>
              <w:bottom w:val="nil"/>
              <w:right w:val="nil"/>
            </w:tcBorders>
          </w:tcPr>
          <w:p>
            <w:pPr>
              <w:pStyle w:val="TableParagraph"/>
              <w:rPr>
                <w:sz w:val="8"/>
              </w:rPr>
            </w:pPr>
          </w:p>
          <w:p>
            <w:pPr>
              <w:pStyle w:val="TableParagraph"/>
              <w:ind w:right="439"/>
              <w:jc w:val="right"/>
              <w:rPr>
                <w:sz w:val="10"/>
              </w:rPr>
            </w:pPr>
            <w:r>
              <w:rPr>
                <w:sz w:val="10"/>
              </w:rPr>
              <w:t>1.69</w:t>
            </w:r>
          </w:p>
        </w:tc>
        <w:tc>
          <w:tcPr>
            <w:tcW w:w="1032" w:type="dxa"/>
            <w:tcBorders>
              <w:top w:val="nil"/>
              <w:left w:val="nil"/>
              <w:bottom w:val="nil"/>
              <w:right w:val="nil"/>
            </w:tcBorders>
          </w:tcPr>
          <w:p>
            <w:pPr>
              <w:pStyle w:val="TableParagraph"/>
              <w:rPr>
                <w:sz w:val="8"/>
              </w:rPr>
            </w:pPr>
          </w:p>
          <w:p>
            <w:pPr>
              <w:pStyle w:val="TableParagraph"/>
              <w:ind w:left="375" w:right="330"/>
              <w:jc w:val="center"/>
              <w:rPr>
                <w:sz w:val="10"/>
              </w:rPr>
            </w:pPr>
            <w:r>
              <w:rPr>
                <w:sz w:val="10"/>
              </w:rPr>
              <w:t>1.59</w:t>
            </w:r>
          </w:p>
        </w:tc>
        <w:tc>
          <w:tcPr>
            <w:tcW w:w="952" w:type="dxa"/>
            <w:tcBorders>
              <w:top w:val="nil"/>
              <w:left w:val="nil"/>
              <w:bottom w:val="nil"/>
              <w:right w:val="nil"/>
            </w:tcBorders>
          </w:tcPr>
          <w:p>
            <w:pPr>
              <w:pStyle w:val="TableParagraph"/>
              <w:rPr>
                <w:sz w:val="8"/>
              </w:rPr>
            </w:pPr>
          </w:p>
          <w:p>
            <w:pPr>
              <w:pStyle w:val="TableParagraph"/>
              <w:ind w:right="373"/>
              <w:jc w:val="right"/>
              <w:rPr>
                <w:sz w:val="10"/>
              </w:rPr>
            </w:pPr>
            <w:r>
              <w:rPr>
                <w:sz w:val="10"/>
              </w:rPr>
              <w:t>0.08</w:t>
            </w:r>
          </w:p>
        </w:tc>
        <w:tc>
          <w:tcPr>
            <w:tcW w:w="981" w:type="dxa"/>
            <w:tcBorders>
              <w:top w:val="nil"/>
              <w:left w:val="nil"/>
              <w:bottom w:val="nil"/>
              <w:right w:val="nil"/>
            </w:tcBorders>
          </w:tcPr>
          <w:p>
            <w:pPr>
              <w:pStyle w:val="TableParagraph"/>
              <w:rPr>
                <w:sz w:val="8"/>
              </w:rPr>
            </w:pPr>
          </w:p>
          <w:p>
            <w:pPr>
              <w:pStyle w:val="TableParagraph"/>
              <w:ind w:left="45" w:right="37"/>
              <w:jc w:val="center"/>
              <w:rPr>
                <w:sz w:val="10"/>
              </w:rPr>
            </w:pPr>
            <w:r>
              <w:rPr>
                <w:sz w:val="10"/>
              </w:rPr>
              <w:t>1.63</w:t>
            </w:r>
          </w:p>
        </w:tc>
        <w:tc>
          <w:tcPr>
            <w:tcW w:w="1230" w:type="dxa"/>
            <w:tcBorders>
              <w:top w:val="nil"/>
              <w:left w:val="nil"/>
              <w:bottom w:val="nil"/>
              <w:right w:val="nil"/>
            </w:tcBorders>
          </w:tcPr>
          <w:p>
            <w:pPr>
              <w:pStyle w:val="TableParagraph"/>
              <w:spacing w:before="9"/>
              <w:rPr>
                <w:sz w:val="7"/>
              </w:rPr>
            </w:pPr>
          </w:p>
          <w:p>
            <w:pPr>
              <w:pStyle w:val="TableParagraph"/>
              <w:ind w:left="369"/>
              <w:rPr>
                <w:sz w:val="6"/>
              </w:rPr>
            </w:pPr>
            <w:r>
              <w:rPr>
                <w:sz w:val="10"/>
              </w:rPr>
              <w:t>1.74</w:t>
            </w:r>
            <w:r>
              <w:rPr>
                <w:position w:val="4"/>
                <w:sz w:val="6"/>
              </w:rPr>
              <w:t>a</w:t>
            </w:r>
          </w:p>
        </w:tc>
        <w:tc>
          <w:tcPr>
            <w:tcW w:w="700" w:type="dxa"/>
            <w:tcBorders>
              <w:top w:val="nil"/>
              <w:left w:val="nil"/>
              <w:bottom w:val="nil"/>
              <w:right w:val="nil"/>
            </w:tcBorders>
          </w:tcPr>
          <w:p>
            <w:pPr>
              <w:pStyle w:val="TableParagraph"/>
              <w:spacing w:before="9"/>
              <w:rPr>
                <w:sz w:val="7"/>
              </w:rPr>
            </w:pPr>
          </w:p>
          <w:p>
            <w:pPr>
              <w:pStyle w:val="TableParagraph"/>
              <w:ind w:left="63" w:right="311"/>
              <w:jc w:val="center"/>
              <w:rPr>
                <w:sz w:val="6"/>
              </w:rPr>
            </w:pPr>
            <w:r>
              <w:rPr>
                <w:sz w:val="10"/>
              </w:rPr>
              <w:t>2.01</w:t>
            </w:r>
            <w:r>
              <w:rPr>
                <w:position w:val="4"/>
                <w:sz w:val="6"/>
              </w:rPr>
              <w:t>a</w:t>
            </w:r>
          </w:p>
        </w:tc>
        <w:tc>
          <w:tcPr>
            <w:tcW w:w="967" w:type="dxa"/>
            <w:tcBorders>
              <w:top w:val="nil"/>
              <w:left w:val="nil"/>
              <w:bottom w:val="nil"/>
              <w:right w:val="nil"/>
            </w:tcBorders>
          </w:tcPr>
          <w:p>
            <w:pPr>
              <w:pStyle w:val="TableParagraph"/>
              <w:spacing w:before="9"/>
              <w:rPr>
                <w:sz w:val="7"/>
              </w:rPr>
            </w:pPr>
          </w:p>
          <w:p>
            <w:pPr>
              <w:pStyle w:val="TableParagraph"/>
              <w:ind w:left="313" w:right="291"/>
              <w:jc w:val="center"/>
              <w:rPr>
                <w:sz w:val="6"/>
              </w:rPr>
            </w:pPr>
            <w:r>
              <w:rPr>
                <w:sz w:val="10"/>
              </w:rPr>
              <w:t>1.19</w:t>
            </w:r>
            <w:r>
              <w:rPr>
                <w:position w:val="4"/>
                <w:sz w:val="6"/>
              </w:rPr>
              <w:t>b</w:t>
            </w:r>
          </w:p>
        </w:tc>
        <w:tc>
          <w:tcPr>
            <w:tcW w:w="898" w:type="dxa"/>
            <w:tcBorders>
              <w:top w:val="nil"/>
              <w:left w:val="nil"/>
              <w:bottom w:val="nil"/>
              <w:right w:val="nil"/>
            </w:tcBorders>
          </w:tcPr>
          <w:p>
            <w:pPr>
              <w:pStyle w:val="TableParagraph"/>
              <w:rPr>
                <w:sz w:val="8"/>
              </w:rPr>
            </w:pPr>
          </w:p>
          <w:p>
            <w:pPr>
              <w:pStyle w:val="TableParagraph"/>
              <w:ind w:left="314"/>
              <w:rPr>
                <w:sz w:val="10"/>
              </w:rPr>
            </w:pPr>
            <w:r>
              <w:rPr>
                <w:sz w:val="10"/>
              </w:rPr>
              <w:t>0.12</w:t>
            </w:r>
          </w:p>
        </w:tc>
        <w:tc>
          <w:tcPr>
            <w:tcW w:w="1007" w:type="dxa"/>
            <w:tcBorders>
              <w:top w:val="nil"/>
              <w:left w:val="nil"/>
              <w:bottom w:val="nil"/>
              <w:right w:val="nil"/>
            </w:tcBorders>
          </w:tcPr>
          <w:p>
            <w:pPr>
              <w:pStyle w:val="TableParagraph"/>
              <w:rPr>
                <w:sz w:val="8"/>
              </w:rPr>
            </w:pPr>
          </w:p>
          <w:p>
            <w:pPr>
              <w:pStyle w:val="TableParagraph"/>
              <w:ind w:left="269" w:right="310"/>
              <w:jc w:val="center"/>
              <w:rPr>
                <w:sz w:val="10"/>
              </w:rPr>
            </w:pPr>
            <w:r>
              <w:rPr>
                <w:sz w:val="10"/>
              </w:rPr>
              <w:t>0.4</w:t>
            </w:r>
          </w:p>
        </w:tc>
        <w:tc>
          <w:tcPr>
            <w:tcW w:w="1002" w:type="dxa"/>
            <w:tcBorders>
              <w:top w:val="nil"/>
              <w:left w:val="nil"/>
              <w:bottom w:val="nil"/>
              <w:right w:val="nil"/>
            </w:tcBorders>
          </w:tcPr>
          <w:p>
            <w:pPr>
              <w:pStyle w:val="TableParagraph"/>
              <w:rPr>
                <w:sz w:val="8"/>
              </w:rPr>
            </w:pPr>
          </w:p>
          <w:p>
            <w:pPr>
              <w:pStyle w:val="TableParagraph"/>
              <w:ind w:left="310" w:right="271"/>
              <w:jc w:val="center"/>
              <w:rPr>
                <w:sz w:val="10"/>
              </w:rPr>
            </w:pPr>
            <w:r>
              <w:rPr>
                <w:sz w:val="10"/>
              </w:rPr>
              <w:t>0.01</w:t>
            </w:r>
          </w:p>
        </w:tc>
      </w:tr>
      <w:tr>
        <w:trPr>
          <w:trHeight w:val="300" w:hRule="exact"/>
        </w:trPr>
        <w:tc>
          <w:tcPr>
            <w:tcW w:w="2195" w:type="dxa"/>
            <w:tcBorders>
              <w:top w:val="nil"/>
              <w:left w:val="nil"/>
              <w:bottom w:val="nil"/>
              <w:right w:val="nil"/>
            </w:tcBorders>
          </w:tcPr>
          <w:p>
            <w:pPr>
              <w:pStyle w:val="TableParagraph"/>
              <w:spacing w:before="3"/>
              <w:rPr>
                <w:sz w:val="8"/>
              </w:rPr>
            </w:pPr>
          </w:p>
          <w:p>
            <w:pPr>
              <w:pStyle w:val="TableParagraph"/>
              <w:ind w:left="86"/>
              <w:rPr>
                <w:sz w:val="10"/>
              </w:rPr>
            </w:pPr>
            <w:r>
              <w:rPr>
                <w:sz w:val="10"/>
              </w:rPr>
              <w:t>Caprico, C10:0</w:t>
            </w:r>
          </w:p>
        </w:tc>
        <w:tc>
          <w:tcPr>
            <w:tcW w:w="1635" w:type="dxa"/>
            <w:tcBorders>
              <w:top w:val="nil"/>
              <w:left w:val="nil"/>
              <w:bottom w:val="nil"/>
              <w:right w:val="nil"/>
            </w:tcBorders>
          </w:tcPr>
          <w:p>
            <w:pPr>
              <w:pStyle w:val="TableParagraph"/>
              <w:rPr>
                <w:sz w:val="8"/>
              </w:rPr>
            </w:pPr>
          </w:p>
          <w:p>
            <w:pPr>
              <w:pStyle w:val="TableParagraph"/>
              <w:ind w:right="422"/>
              <w:jc w:val="right"/>
              <w:rPr>
                <w:sz w:val="6"/>
              </w:rPr>
            </w:pPr>
            <w:r>
              <w:rPr>
                <w:sz w:val="10"/>
              </w:rPr>
              <w:t>2.38</w:t>
            </w:r>
            <w:r>
              <w:rPr>
                <w:position w:val="4"/>
                <w:sz w:val="6"/>
              </w:rPr>
              <w:t>a</w:t>
            </w:r>
          </w:p>
        </w:tc>
        <w:tc>
          <w:tcPr>
            <w:tcW w:w="1032" w:type="dxa"/>
            <w:tcBorders>
              <w:top w:val="nil"/>
              <w:left w:val="nil"/>
              <w:bottom w:val="nil"/>
              <w:right w:val="nil"/>
            </w:tcBorders>
          </w:tcPr>
          <w:p>
            <w:pPr>
              <w:pStyle w:val="TableParagraph"/>
              <w:rPr>
                <w:sz w:val="8"/>
              </w:rPr>
            </w:pPr>
          </w:p>
          <w:p>
            <w:pPr>
              <w:pStyle w:val="TableParagraph"/>
              <w:ind w:left="378" w:right="330"/>
              <w:jc w:val="center"/>
              <w:rPr>
                <w:sz w:val="6"/>
              </w:rPr>
            </w:pPr>
            <w:r>
              <w:rPr>
                <w:sz w:val="10"/>
              </w:rPr>
              <w:t>2.10</w:t>
            </w:r>
            <w:r>
              <w:rPr>
                <w:position w:val="4"/>
                <w:sz w:val="6"/>
              </w:rPr>
              <w:t>b</w:t>
            </w:r>
          </w:p>
        </w:tc>
        <w:tc>
          <w:tcPr>
            <w:tcW w:w="952" w:type="dxa"/>
            <w:tcBorders>
              <w:top w:val="nil"/>
              <w:left w:val="nil"/>
              <w:bottom w:val="nil"/>
              <w:right w:val="nil"/>
            </w:tcBorders>
          </w:tcPr>
          <w:p>
            <w:pPr>
              <w:pStyle w:val="TableParagraph"/>
              <w:spacing w:before="3"/>
              <w:rPr>
                <w:sz w:val="8"/>
              </w:rPr>
            </w:pPr>
          </w:p>
          <w:p>
            <w:pPr>
              <w:pStyle w:val="TableParagraph"/>
              <w:ind w:right="373"/>
              <w:jc w:val="right"/>
              <w:rPr>
                <w:sz w:val="10"/>
              </w:rPr>
            </w:pPr>
            <w:r>
              <w:rPr>
                <w:sz w:val="10"/>
              </w:rPr>
              <w:t>0.06</w:t>
            </w:r>
          </w:p>
        </w:tc>
        <w:tc>
          <w:tcPr>
            <w:tcW w:w="981" w:type="dxa"/>
            <w:tcBorders>
              <w:top w:val="nil"/>
              <w:left w:val="nil"/>
              <w:bottom w:val="nil"/>
              <w:right w:val="nil"/>
            </w:tcBorders>
          </w:tcPr>
          <w:p>
            <w:pPr>
              <w:pStyle w:val="TableParagraph"/>
              <w:spacing w:before="3"/>
              <w:rPr>
                <w:sz w:val="8"/>
              </w:rPr>
            </w:pPr>
          </w:p>
          <w:p>
            <w:pPr>
              <w:pStyle w:val="TableParagraph"/>
              <w:ind w:left="45" w:right="37"/>
              <w:jc w:val="center"/>
              <w:rPr>
                <w:sz w:val="10"/>
              </w:rPr>
            </w:pPr>
            <w:r>
              <w:rPr>
                <w:sz w:val="10"/>
              </w:rPr>
              <w:t>2.14</w:t>
            </w:r>
          </w:p>
        </w:tc>
        <w:tc>
          <w:tcPr>
            <w:tcW w:w="1230" w:type="dxa"/>
            <w:tcBorders>
              <w:top w:val="nil"/>
              <w:left w:val="nil"/>
              <w:bottom w:val="nil"/>
              <w:right w:val="nil"/>
            </w:tcBorders>
          </w:tcPr>
          <w:p>
            <w:pPr>
              <w:pStyle w:val="TableParagraph"/>
              <w:spacing w:before="3"/>
              <w:rPr>
                <w:sz w:val="8"/>
              </w:rPr>
            </w:pPr>
          </w:p>
          <w:p>
            <w:pPr>
              <w:pStyle w:val="TableParagraph"/>
              <w:ind w:left="383"/>
              <w:rPr>
                <w:sz w:val="10"/>
              </w:rPr>
            </w:pPr>
            <w:r>
              <w:rPr>
                <w:sz w:val="10"/>
              </w:rPr>
              <w:t>2.30</w:t>
            </w:r>
          </w:p>
        </w:tc>
        <w:tc>
          <w:tcPr>
            <w:tcW w:w="700" w:type="dxa"/>
            <w:tcBorders>
              <w:top w:val="nil"/>
              <w:left w:val="nil"/>
              <w:bottom w:val="nil"/>
              <w:right w:val="nil"/>
            </w:tcBorders>
          </w:tcPr>
          <w:p>
            <w:pPr>
              <w:pStyle w:val="TableParagraph"/>
              <w:rPr>
                <w:sz w:val="8"/>
              </w:rPr>
            </w:pPr>
          </w:p>
          <w:p>
            <w:pPr>
              <w:pStyle w:val="TableParagraph"/>
              <w:ind w:left="63" w:right="311"/>
              <w:jc w:val="center"/>
              <w:rPr>
                <w:sz w:val="6"/>
              </w:rPr>
            </w:pPr>
            <w:r>
              <w:rPr>
                <w:sz w:val="10"/>
              </w:rPr>
              <w:t>2.42</w:t>
            </w:r>
            <w:r>
              <w:rPr>
                <w:position w:val="4"/>
                <w:sz w:val="6"/>
              </w:rPr>
              <w:t>a</w:t>
            </w:r>
          </w:p>
        </w:tc>
        <w:tc>
          <w:tcPr>
            <w:tcW w:w="967" w:type="dxa"/>
            <w:tcBorders>
              <w:top w:val="nil"/>
              <w:left w:val="nil"/>
              <w:bottom w:val="nil"/>
              <w:right w:val="nil"/>
            </w:tcBorders>
          </w:tcPr>
          <w:p>
            <w:pPr>
              <w:pStyle w:val="TableParagraph"/>
              <w:rPr>
                <w:sz w:val="8"/>
              </w:rPr>
            </w:pPr>
          </w:p>
          <w:p>
            <w:pPr>
              <w:pStyle w:val="TableParagraph"/>
              <w:ind w:left="313" w:right="291"/>
              <w:jc w:val="center"/>
              <w:rPr>
                <w:sz w:val="6"/>
              </w:rPr>
            </w:pPr>
            <w:r>
              <w:rPr>
                <w:sz w:val="10"/>
              </w:rPr>
              <w:t>2.08</w:t>
            </w:r>
            <w:r>
              <w:rPr>
                <w:position w:val="4"/>
                <w:sz w:val="6"/>
              </w:rPr>
              <w:t>b</w:t>
            </w:r>
          </w:p>
        </w:tc>
        <w:tc>
          <w:tcPr>
            <w:tcW w:w="898" w:type="dxa"/>
            <w:tcBorders>
              <w:top w:val="nil"/>
              <w:left w:val="nil"/>
              <w:bottom w:val="nil"/>
              <w:right w:val="nil"/>
            </w:tcBorders>
          </w:tcPr>
          <w:p>
            <w:pPr>
              <w:pStyle w:val="TableParagraph"/>
              <w:spacing w:before="3"/>
              <w:rPr>
                <w:sz w:val="8"/>
              </w:rPr>
            </w:pPr>
          </w:p>
          <w:p>
            <w:pPr>
              <w:pStyle w:val="TableParagraph"/>
              <w:ind w:left="314"/>
              <w:rPr>
                <w:sz w:val="10"/>
              </w:rPr>
            </w:pPr>
            <w:r>
              <w:rPr>
                <w:sz w:val="10"/>
              </w:rPr>
              <w:t>0.08</w:t>
            </w:r>
          </w:p>
        </w:tc>
        <w:tc>
          <w:tcPr>
            <w:tcW w:w="1007" w:type="dxa"/>
            <w:tcBorders>
              <w:top w:val="nil"/>
              <w:left w:val="nil"/>
              <w:bottom w:val="nil"/>
              <w:right w:val="nil"/>
            </w:tcBorders>
          </w:tcPr>
          <w:p>
            <w:pPr>
              <w:pStyle w:val="TableParagraph"/>
              <w:spacing w:before="3"/>
              <w:rPr>
                <w:sz w:val="8"/>
              </w:rPr>
            </w:pPr>
          </w:p>
          <w:p>
            <w:pPr>
              <w:pStyle w:val="TableParagraph"/>
              <w:ind w:left="267" w:right="310"/>
              <w:jc w:val="center"/>
              <w:rPr>
                <w:sz w:val="10"/>
              </w:rPr>
            </w:pPr>
            <w:r>
              <w:rPr>
                <w:sz w:val="10"/>
              </w:rPr>
              <w:t>0.01</w:t>
            </w:r>
          </w:p>
        </w:tc>
        <w:tc>
          <w:tcPr>
            <w:tcW w:w="1002" w:type="dxa"/>
            <w:tcBorders>
              <w:top w:val="nil"/>
              <w:left w:val="nil"/>
              <w:bottom w:val="nil"/>
              <w:right w:val="nil"/>
            </w:tcBorders>
          </w:tcPr>
          <w:p>
            <w:pPr>
              <w:pStyle w:val="TableParagraph"/>
              <w:spacing w:before="3"/>
              <w:rPr>
                <w:sz w:val="8"/>
              </w:rPr>
            </w:pPr>
          </w:p>
          <w:p>
            <w:pPr>
              <w:pStyle w:val="TableParagraph"/>
              <w:ind w:left="310" w:right="271"/>
              <w:jc w:val="center"/>
              <w:rPr>
                <w:sz w:val="10"/>
              </w:rPr>
            </w:pPr>
            <w:r>
              <w:rPr>
                <w:sz w:val="10"/>
              </w:rPr>
              <w:t>0.04</w:t>
            </w:r>
          </w:p>
        </w:tc>
      </w:tr>
      <w:tr>
        <w:trPr>
          <w:trHeight w:val="304" w:hRule="exact"/>
        </w:trPr>
        <w:tc>
          <w:tcPr>
            <w:tcW w:w="2195" w:type="dxa"/>
            <w:tcBorders>
              <w:top w:val="nil"/>
              <w:left w:val="nil"/>
              <w:bottom w:val="nil"/>
              <w:right w:val="nil"/>
            </w:tcBorders>
          </w:tcPr>
          <w:p>
            <w:pPr>
              <w:pStyle w:val="TableParagraph"/>
              <w:rPr>
                <w:sz w:val="8"/>
              </w:rPr>
            </w:pPr>
          </w:p>
          <w:p>
            <w:pPr>
              <w:pStyle w:val="TableParagraph"/>
              <w:ind w:left="86"/>
              <w:rPr>
                <w:sz w:val="10"/>
              </w:rPr>
            </w:pPr>
            <w:r>
              <w:rPr>
                <w:sz w:val="10"/>
              </w:rPr>
              <w:t>Undecílico, C11:0</w:t>
            </w:r>
          </w:p>
        </w:tc>
        <w:tc>
          <w:tcPr>
            <w:tcW w:w="1635" w:type="dxa"/>
            <w:tcBorders>
              <w:top w:val="nil"/>
              <w:left w:val="nil"/>
              <w:bottom w:val="nil"/>
              <w:right w:val="nil"/>
            </w:tcBorders>
          </w:tcPr>
          <w:p>
            <w:pPr>
              <w:pStyle w:val="TableParagraph"/>
              <w:spacing w:before="9"/>
              <w:rPr>
                <w:sz w:val="7"/>
              </w:rPr>
            </w:pPr>
          </w:p>
          <w:p>
            <w:pPr>
              <w:pStyle w:val="TableParagraph"/>
              <w:ind w:right="422"/>
              <w:jc w:val="right"/>
              <w:rPr>
                <w:sz w:val="6"/>
              </w:rPr>
            </w:pPr>
            <w:r>
              <w:rPr>
                <w:sz w:val="10"/>
              </w:rPr>
              <w:t>0.11</w:t>
            </w:r>
            <w:r>
              <w:rPr>
                <w:position w:val="4"/>
                <w:sz w:val="6"/>
              </w:rPr>
              <w:t>a</w:t>
            </w:r>
          </w:p>
        </w:tc>
        <w:tc>
          <w:tcPr>
            <w:tcW w:w="1032" w:type="dxa"/>
            <w:tcBorders>
              <w:top w:val="nil"/>
              <w:left w:val="nil"/>
              <w:bottom w:val="nil"/>
              <w:right w:val="nil"/>
            </w:tcBorders>
          </w:tcPr>
          <w:p>
            <w:pPr>
              <w:pStyle w:val="TableParagraph"/>
              <w:spacing w:before="9"/>
              <w:rPr>
                <w:sz w:val="7"/>
              </w:rPr>
            </w:pPr>
          </w:p>
          <w:p>
            <w:pPr>
              <w:pStyle w:val="TableParagraph"/>
              <w:ind w:left="378" w:right="330"/>
              <w:jc w:val="center"/>
              <w:rPr>
                <w:sz w:val="6"/>
              </w:rPr>
            </w:pPr>
            <w:r>
              <w:rPr>
                <w:sz w:val="10"/>
              </w:rPr>
              <w:t>0.03</w:t>
            </w:r>
            <w:r>
              <w:rPr>
                <w:position w:val="4"/>
                <w:sz w:val="6"/>
              </w:rPr>
              <w:t>b</w:t>
            </w:r>
          </w:p>
        </w:tc>
        <w:tc>
          <w:tcPr>
            <w:tcW w:w="952" w:type="dxa"/>
            <w:tcBorders>
              <w:top w:val="nil"/>
              <w:left w:val="nil"/>
              <w:bottom w:val="nil"/>
              <w:right w:val="nil"/>
            </w:tcBorders>
          </w:tcPr>
          <w:p>
            <w:pPr>
              <w:pStyle w:val="TableParagraph"/>
              <w:rPr>
                <w:sz w:val="8"/>
              </w:rPr>
            </w:pPr>
          </w:p>
          <w:p>
            <w:pPr>
              <w:pStyle w:val="TableParagraph"/>
              <w:ind w:right="373"/>
              <w:jc w:val="right"/>
              <w:rPr>
                <w:sz w:val="10"/>
              </w:rPr>
            </w:pPr>
            <w:r>
              <w:rPr>
                <w:sz w:val="10"/>
              </w:rPr>
              <w:t>0.02</w:t>
            </w:r>
          </w:p>
        </w:tc>
        <w:tc>
          <w:tcPr>
            <w:tcW w:w="981" w:type="dxa"/>
            <w:tcBorders>
              <w:top w:val="nil"/>
              <w:left w:val="nil"/>
              <w:bottom w:val="nil"/>
              <w:right w:val="nil"/>
            </w:tcBorders>
          </w:tcPr>
          <w:p>
            <w:pPr>
              <w:pStyle w:val="TableParagraph"/>
              <w:rPr>
                <w:sz w:val="8"/>
              </w:rPr>
            </w:pPr>
          </w:p>
          <w:p>
            <w:pPr>
              <w:pStyle w:val="TableParagraph"/>
              <w:ind w:left="45" w:right="37"/>
              <w:jc w:val="center"/>
              <w:rPr>
                <w:sz w:val="10"/>
              </w:rPr>
            </w:pPr>
            <w:r>
              <w:rPr>
                <w:sz w:val="10"/>
              </w:rPr>
              <w:t>0.05</w:t>
            </w:r>
          </w:p>
        </w:tc>
        <w:tc>
          <w:tcPr>
            <w:tcW w:w="1230" w:type="dxa"/>
            <w:tcBorders>
              <w:top w:val="nil"/>
              <w:left w:val="nil"/>
              <w:bottom w:val="nil"/>
              <w:right w:val="nil"/>
            </w:tcBorders>
          </w:tcPr>
          <w:p>
            <w:pPr>
              <w:pStyle w:val="TableParagraph"/>
              <w:rPr>
                <w:sz w:val="8"/>
              </w:rPr>
            </w:pPr>
          </w:p>
          <w:p>
            <w:pPr>
              <w:pStyle w:val="TableParagraph"/>
              <w:ind w:left="383"/>
              <w:rPr>
                <w:sz w:val="10"/>
              </w:rPr>
            </w:pPr>
            <w:r>
              <w:rPr>
                <w:sz w:val="10"/>
              </w:rPr>
              <w:t>0.04</w:t>
            </w:r>
          </w:p>
        </w:tc>
        <w:tc>
          <w:tcPr>
            <w:tcW w:w="700" w:type="dxa"/>
            <w:tcBorders>
              <w:top w:val="nil"/>
              <w:left w:val="nil"/>
              <w:bottom w:val="nil"/>
              <w:right w:val="nil"/>
            </w:tcBorders>
          </w:tcPr>
          <w:p>
            <w:pPr>
              <w:pStyle w:val="TableParagraph"/>
              <w:rPr>
                <w:sz w:val="8"/>
              </w:rPr>
            </w:pPr>
          </w:p>
          <w:p>
            <w:pPr>
              <w:pStyle w:val="TableParagraph"/>
              <w:ind w:left="60" w:right="311"/>
              <w:jc w:val="center"/>
              <w:rPr>
                <w:sz w:val="10"/>
              </w:rPr>
            </w:pPr>
            <w:r>
              <w:rPr>
                <w:sz w:val="10"/>
              </w:rPr>
              <w:t>0.14</w:t>
            </w:r>
          </w:p>
        </w:tc>
        <w:tc>
          <w:tcPr>
            <w:tcW w:w="967" w:type="dxa"/>
            <w:tcBorders>
              <w:top w:val="nil"/>
              <w:left w:val="nil"/>
              <w:bottom w:val="nil"/>
              <w:right w:val="nil"/>
            </w:tcBorders>
          </w:tcPr>
          <w:p>
            <w:pPr>
              <w:pStyle w:val="TableParagraph"/>
              <w:rPr>
                <w:sz w:val="8"/>
              </w:rPr>
            </w:pPr>
          </w:p>
          <w:p>
            <w:pPr>
              <w:pStyle w:val="TableParagraph"/>
              <w:ind w:left="313" w:right="294"/>
              <w:jc w:val="center"/>
              <w:rPr>
                <w:sz w:val="10"/>
              </w:rPr>
            </w:pPr>
            <w:r>
              <w:rPr>
                <w:sz w:val="10"/>
              </w:rPr>
              <w:t>0.06</w:t>
            </w:r>
          </w:p>
        </w:tc>
        <w:tc>
          <w:tcPr>
            <w:tcW w:w="898" w:type="dxa"/>
            <w:tcBorders>
              <w:top w:val="nil"/>
              <w:left w:val="nil"/>
              <w:bottom w:val="nil"/>
              <w:right w:val="nil"/>
            </w:tcBorders>
          </w:tcPr>
          <w:p>
            <w:pPr>
              <w:pStyle w:val="TableParagraph"/>
              <w:rPr>
                <w:sz w:val="8"/>
              </w:rPr>
            </w:pPr>
          </w:p>
          <w:p>
            <w:pPr>
              <w:pStyle w:val="TableParagraph"/>
              <w:ind w:left="314"/>
              <w:rPr>
                <w:sz w:val="10"/>
              </w:rPr>
            </w:pPr>
            <w:r>
              <w:rPr>
                <w:sz w:val="10"/>
              </w:rPr>
              <w:t>0.03</w:t>
            </w:r>
          </w:p>
        </w:tc>
        <w:tc>
          <w:tcPr>
            <w:tcW w:w="1007" w:type="dxa"/>
            <w:tcBorders>
              <w:top w:val="nil"/>
              <w:left w:val="nil"/>
              <w:bottom w:val="nil"/>
              <w:right w:val="nil"/>
            </w:tcBorders>
          </w:tcPr>
          <w:p>
            <w:pPr>
              <w:pStyle w:val="TableParagraph"/>
              <w:rPr>
                <w:sz w:val="8"/>
              </w:rPr>
            </w:pPr>
          </w:p>
          <w:p>
            <w:pPr>
              <w:pStyle w:val="TableParagraph"/>
              <w:ind w:left="267" w:right="310"/>
              <w:jc w:val="center"/>
              <w:rPr>
                <w:sz w:val="10"/>
              </w:rPr>
            </w:pPr>
            <w:r>
              <w:rPr>
                <w:sz w:val="10"/>
              </w:rPr>
              <w:t>0.01</w:t>
            </w:r>
          </w:p>
        </w:tc>
        <w:tc>
          <w:tcPr>
            <w:tcW w:w="1002" w:type="dxa"/>
            <w:tcBorders>
              <w:top w:val="nil"/>
              <w:left w:val="nil"/>
              <w:bottom w:val="nil"/>
              <w:right w:val="nil"/>
            </w:tcBorders>
          </w:tcPr>
          <w:p>
            <w:pPr>
              <w:pStyle w:val="TableParagraph"/>
              <w:rPr>
                <w:sz w:val="8"/>
              </w:rPr>
            </w:pPr>
          </w:p>
          <w:p>
            <w:pPr>
              <w:pStyle w:val="TableParagraph"/>
              <w:ind w:left="310" w:right="271"/>
              <w:jc w:val="center"/>
              <w:rPr>
                <w:sz w:val="10"/>
              </w:rPr>
            </w:pPr>
            <w:r>
              <w:rPr>
                <w:sz w:val="10"/>
              </w:rPr>
              <w:t>0.13</w:t>
            </w:r>
          </w:p>
        </w:tc>
      </w:tr>
      <w:tr>
        <w:trPr>
          <w:trHeight w:val="296" w:hRule="exact"/>
        </w:trPr>
        <w:tc>
          <w:tcPr>
            <w:tcW w:w="2195" w:type="dxa"/>
            <w:tcBorders>
              <w:top w:val="nil"/>
              <w:left w:val="nil"/>
              <w:bottom w:val="nil"/>
              <w:right w:val="nil"/>
            </w:tcBorders>
          </w:tcPr>
          <w:p>
            <w:pPr>
              <w:pStyle w:val="TableParagraph"/>
              <w:spacing w:before="10"/>
              <w:rPr>
                <w:sz w:val="7"/>
              </w:rPr>
            </w:pPr>
          </w:p>
          <w:p>
            <w:pPr>
              <w:pStyle w:val="TableParagraph"/>
              <w:ind w:left="86"/>
              <w:rPr>
                <w:sz w:val="10"/>
              </w:rPr>
            </w:pPr>
            <w:r>
              <w:rPr>
                <w:sz w:val="10"/>
              </w:rPr>
              <w:t>Laurico, C12:0</w:t>
            </w:r>
          </w:p>
        </w:tc>
        <w:tc>
          <w:tcPr>
            <w:tcW w:w="1635" w:type="dxa"/>
            <w:tcBorders>
              <w:top w:val="nil"/>
              <w:left w:val="nil"/>
              <w:bottom w:val="nil"/>
              <w:right w:val="nil"/>
            </w:tcBorders>
          </w:tcPr>
          <w:p>
            <w:pPr>
              <w:pStyle w:val="TableParagraph"/>
              <w:spacing w:before="10"/>
              <w:rPr>
                <w:sz w:val="7"/>
              </w:rPr>
            </w:pPr>
          </w:p>
          <w:p>
            <w:pPr>
              <w:pStyle w:val="TableParagraph"/>
              <w:ind w:right="439"/>
              <w:jc w:val="right"/>
              <w:rPr>
                <w:sz w:val="10"/>
              </w:rPr>
            </w:pPr>
            <w:r>
              <w:rPr>
                <w:sz w:val="10"/>
              </w:rPr>
              <w:t>0.03</w:t>
            </w:r>
          </w:p>
        </w:tc>
        <w:tc>
          <w:tcPr>
            <w:tcW w:w="1032" w:type="dxa"/>
            <w:tcBorders>
              <w:top w:val="nil"/>
              <w:left w:val="nil"/>
              <w:bottom w:val="nil"/>
              <w:right w:val="nil"/>
            </w:tcBorders>
          </w:tcPr>
          <w:p>
            <w:pPr>
              <w:pStyle w:val="TableParagraph"/>
              <w:spacing w:before="10"/>
              <w:rPr>
                <w:sz w:val="7"/>
              </w:rPr>
            </w:pPr>
          </w:p>
          <w:p>
            <w:pPr>
              <w:pStyle w:val="TableParagraph"/>
              <w:ind w:left="370" w:right="330"/>
              <w:jc w:val="center"/>
              <w:rPr>
                <w:sz w:val="10"/>
              </w:rPr>
            </w:pPr>
            <w:r>
              <w:rPr>
                <w:sz w:val="10"/>
              </w:rPr>
              <w:t>0.008</w:t>
            </w:r>
          </w:p>
        </w:tc>
        <w:tc>
          <w:tcPr>
            <w:tcW w:w="952" w:type="dxa"/>
            <w:tcBorders>
              <w:top w:val="nil"/>
              <w:left w:val="nil"/>
              <w:bottom w:val="nil"/>
              <w:right w:val="nil"/>
            </w:tcBorders>
          </w:tcPr>
          <w:p>
            <w:pPr>
              <w:pStyle w:val="TableParagraph"/>
              <w:spacing w:before="10"/>
              <w:rPr>
                <w:sz w:val="7"/>
              </w:rPr>
            </w:pPr>
          </w:p>
          <w:p>
            <w:pPr>
              <w:pStyle w:val="TableParagraph"/>
              <w:ind w:right="349"/>
              <w:jc w:val="right"/>
              <w:rPr>
                <w:sz w:val="10"/>
              </w:rPr>
            </w:pPr>
            <w:r>
              <w:rPr>
                <w:sz w:val="10"/>
              </w:rPr>
              <w:t>0.009</w:t>
            </w:r>
          </w:p>
        </w:tc>
        <w:tc>
          <w:tcPr>
            <w:tcW w:w="981" w:type="dxa"/>
            <w:tcBorders>
              <w:top w:val="nil"/>
              <w:left w:val="nil"/>
              <w:bottom w:val="nil"/>
              <w:right w:val="nil"/>
            </w:tcBorders>
          </w:tcPr>
          <w:p>
            <w:pPr>
              <w:pStyle w:val="TableParagraph"/>
              <w:spacing w:before="10"/>
              <w:rPr>
                <w:sz w:val="7"/>
              </w:rPr>
            </w:pPr>
          </w:p>
          <w:p>
            <w:pPr>
              <w:pStyle w:val="TableParagraph"/>
              <w:ind w:left="45" w:right="37"/>
              <w:jc w:val="center"/>
              <w:rPr>
                <w:sz w:val="10"/>
              </w:rPr>
            </w:pPr>
            <w:r>
              <w:rPr>
                <w:sz w:val="10"/>
              </w:rPr>
              <w:t>0.0</w:t>
            </w:r>
          </w:p>
        </w:tc>
        <w:tc>
          <w:tcPr>
            <w:tcW w:w="1230" w:type="dxa"/>
            <w:tcBorders>
              <w:top w:val="nil"/>
              <w:left w:val="nil"/>
              <w:bottom w:val="nil"/>
              <w:right w:val="nil"/>
            </w:tcBorders>
          </w:tcPr>
          <w:p>
            <w:pPr>
              <w:pStyle w:val="TableParagraph"/>
              <w:spacing w:before="10"/>
              <w:rPr>
                <w:sz w:val="7"/>
              </w:rPr>
            </w:pPr>
          </w:p>
          <w:p>
            <w:pPr>
              <w:pStyle w:val="TableParagraph"/>
              <w:ind w:left="383"/>
              <w:rPr>
                <w:sz w:val="10"/>
              </w:rPr>
            </w:pPr>
            <w:r>
              <w:rPr>
                <w:sz w:val="10"/>
              </w:rPr>
              <w:t>0.02</w:t>
            </w:r>
          </w:p>
        </w:tc>
        <w:tc>
          <w:tcPr>
            <w:tcW w:w="700" w:type="dxa"/>
            <w:tcBorders>
              <w:top w:val="nil"/>
              <w:left w:val="nil"/>
              <w:bottom w:val="nil"/>
              <w:right w:val="nil"/>
            </w:tcBorders>
          </w:tcPr>
          <w:p>
            <w:pPr>
              <w:pStyle w:val="TableParagraph"/>
              <w:spacing w:before="10"/>
              <w:rPr>
                <w:sz w:val="7"/>
              </w:rPr>
            </w:pPr>
          </w:p>
          <w:p>
            <w:pPr>
              <w:pStyle w:val="TableParagraph"/>
              <w:ind w:left="60" w:right="311"/>
              <w:jc w:val="center"/>
              <w:rPr>
                <w:sz w:val="10"/>
              </w:rPr>
            </w:pPr>
            <w:r>
              <w:rPr>
                <w:sz w:val="10"/>
              </w:rPr>
              <w:t>0.05</w:t>
            </w:r>
          </w:p>
        </w:tc>
        <w:tc>
          <w:tcPr>
            <w:tcW w:w="967" w:type="dxa"/>
            <w:tcBorders>
              <w:top w:val="nil"/>
              <w:left w:val="nil"/>
              <w:bottom w:val="nil"/>
              <w:right w:val="nil"/>
            </w:tcBorders>
          </w:tcPr>
          <w:p>
            <w:pPr>
              <w:pStyle w:val="TableParagraph"/>
              <w:spacing w:before="10"/>
              <w:rPr>
                <w:sz w:val="7"/>
              </w:rPr>
            </w:pPr>
          </w:p>
          <w:p>
            <w:pPr>
              <w:pStyle w:val="TableParagraph"/>
              <w:ind w:left="311" w:right="297"/>
              <w:jc w:val="center"/>
              <w:rPr>
                <w:sz w:val="10"/>
              </w:rPr>
            </w:pPr>
            <w:r>
              <w:rPr>
                <w:sz w:val="10"/>
              </w:rPr>
              <w:t>0.003</w:t>
            </w:r>
          </w:p>
        </w:tc>
        <w:tc>
          <w:tcPr>
            <w:tcW w:w="898" w:type="dxa"/>
            <w:tcBorders>
              <w:top w:val="nil"/>
              <w:left w:val="nil"/>
              <w:bottom w:val="nil"/>
              <w:right w:val="nil"/>
            </w:tcBorders>
          </w:tcPr>
          <w:p>
            <w:pPr>
              <w:pStyle w:val="TableParagraph"/>
              <w:spacing w:before="10"/>
              <w:rPr>
                <w:sz w:val="7"/>
              </w:rPr>
            </w:pPr>
          </w:p>
          <w:p>
            <w:pPr>
              <w:pStyle w:val="TableParagraph"/>
              <w:ind w:left="314"/>
              <w:rPr>
                <w:sz w:val="10"/>
              </w:rPr>
            </w:pPr>
            <w:r>
              <w:rPr>
                <w:sz w:val="10"/>
              </w:rPr>
              <w:t>0.01</w:t>
            </w:r>
          </w:p>
        </w:tc>
        <w:tc>
          <w:tcPr>
            <w:tcW w:w="1007" w:type="dxa"/>
            <w:tcBorders>
              <w:top w:val="nil"/>
              <w:left w:val="nil"/>
              <w:bottom w:val="nil"/>
              <w:right w:val="nil"/>
            </w:tcBorders>
          </w:tcPr>
          <w:p>
            <w:pPr>
              <w:pStyle w:val="TableParagraph"/>
              <w:spacing w:before="10"/>
              <w:rPr>
                <w:sz w:val="7"/>
              </w:rPr>
            </w:pPr>
          </w:p>
          <w:p>
            <w:pPr>
              <w:pStyle w:val="TableParagraph"/>
              <w:ind w:left="267" w:right="310"/>
              <w:jc w:val="center"/>
              <w:rPr>
                <w:sz w:val="10"/>
              </w:rPr>
            </w:pPr>
            <w:r>
              <w:rPr>
                <w:sz w:val="10"/>
              </w:rPr>
              <w:t>0.12</w:t>
            </w:r>
          </w:p>
        </w:tc>
        <w:tc>
          <w:tcPr>
            <w:tcW w:w="1002" w:type="dxa"/>
            <w:tcBorders>
              <w:top w:val="nil"/>
              <w:left w:val="nil"/>
              <w:bottom w:val="nil"/>
              <w:right w:val="nil"/>
            </w:tcBorders>
          </w:tcPr>
          <w:p>
            <w:pPr>
              <w:pStyle w:val="TableParagraph"/>
              <w:spacing w:before="10"/>
              <w:rPr>
                <w:sz w:val="7"/>
              </w:rPr>
            </w:pPr>
          </w:p>
          <w:p>
            <w:pPr>
              <w:pStyle w:val="TableParagraph"/>
              <w:ind w:left="310" w:right="271"/>
              <w:jc w:val="center"/>
              <w:rPr>
                <w:sz w:val="10"/>
              </w:rPr>
            </w:pPr>
            <w:r>
              <w:rPr>
                <w:sz w:val="10"/>
              </w:rPr>
              <w:t>0.06</w:t>
            </w:r>
          </w:p>
        </w:tc>
      </w:tr>
      <w:tr>
        <w:trPr>
          <w:trHeight w:val="304" w:hRule="exact"/>
        </w:trPr>
        <w:tc>
          <w:tcPr>
            <w:tcW w:w="2195" w:type="dxa"/>
            <w:tcBorders>
              <w:top w:val="nil"/>
              <w:left w:val="nil"/>
              <w:bottom w:val="nil"/>
              <w:right w:val="nil"/>
            </w:tcBorders>
          </w:tcPr>
          <w:p>
            <w:pPr>
              <w:pStyle w:val="TableParagraph"/>
              <w:rPr>
                <w:sz w:val="8"/>
              </w:rPr>
            </w:pPr>
          </w:p>
          <w:p>
            <w:pPr>
              <w:pStyle w:val="TableParagraph"/>
              <w:ind w:left="86"/>
              <w:rPr>
                <w:sz w:val="10"/>
              </w:rPr>
            </w:pPr>
            <w:r>
              <w:rPr>
                <w:sz w:val="10"/>
              </w:rPr>
              <w:t>Mirístico, C14:0</w:t>
            </w:r>
          </w:p>
        </w:tc>
        <w:tc>
          <w:tcPr>
            <w:tcW w:w="1635" w:type="dxa"/>
            <w:tcBorders>
              <w:top w:val="nil"/>
              <w:left w:val="nil"/>
              <w:bottom w:val="nil"/>
              <w:right w:val="nil"/>
            </w:tcBorders>
          </w:tcPr>
          <w:p>
            <w:pPr>
              <w:pStyle w:val="TableParagraph"/>
              <w:rPr>
                <w:sz w:val="8"/>
              </w:rPr>
            </w:pPr>
          </w:p>
          <w:p>
            <w:pPr>
              <w:pStyle w:val="TableParagraph"/>
              <w:ind w:right="439"/>
              <w:jc w:val="right"/>
              <w:rPr>
                <w:sz w:val="10"/>
              </w:rPr>
            </w:pPr>
            <w:r>
              <w:rPr>
                <w:sz w:val="10"/>
              </w:rPr>
              <w:t>9.71</w:t>
            </w:r>
          </w:p>
        </w:tc>
        <w:tc>
          <w:tcPr>
            <w:tcW w:w="1032" w:type="dxa"/>
            <w:tcBorders>
              <w:top w:val="nil"/>
              <w:left w:val="nil"/>
              <w:bottom w:val="nil"/>
              <w:right w:val="nil"/>
            </w:tcBorders>
          </w:tcPr>
          <w:p>
            <w:pPr>
              <w:pStyle w:val="TableParagraph"/>
              <w:rPr>
                <w:sz w:val="8"/>
              </w:rPr>
            </w:pPr>
          </w:p>
          <w:p>
            <w:pPr>
              <w:pStyle w:val="TableParagraph"/>
              <w:ind w:left="375" w:right="330"/>
              <w:jc w:val="center"/>
              <w:rPr>
                <w:sz w:val="10"/>
              </w:rPr>
            </w:pPr>
            <w:r>
              <w:rPr>
                <w:sz w:val="10"/>
              </w:rPr>
              <w:t>9.44</w:t>
            </w:r>
          </w:p>
        </w:tc>
        <w:tc>
          <w:tcPr>
            <w:tcW w:w="952" w:type="dxa"/>
            <w:tcBorders>
              <w:top w:val="nil"/>
              <w:left w:val="nil"/>
              <w:bottom w:val="nil"/>
              <w:right w:val="nil"/>
            </w:tcBorders>
          </w:tcPr>
          <w:p>
            <w:pPr>
              <w:pStyle w:val="TableParagraph"/>
              <w:rPr>
                <w:sz w:val="8"/>
              </w:rPr>
            </w:pPr>
          </w:p>
          <w:p>
            <w:pPr>
              <w:pStyle w:val="TableParagraph"/>
              <w:ind w:right="373"/>
              <w:jc w:val="right"/>
              <w:rPr>
                <w:sz w:val="10"/>
              </w:rPr>
            </w:pPr>
            <w:r>
              <w:rPr>
                <w:sz w:val="10"/>
              </w:rPr>
              <w:t>0.11</w:t>
            </w:r>
          </w:p>
        </w:tc>
        <w:tc>
          <w:tcPr>
            <w:tcW w:w="981" w:type="dxa"/>
            <w:tcBorders>
              <w:top w:val="nil"/>
              <w:left w:val="nil"/>
              <w:bottom w:val="nil"/>
              <w:right w:val="nil"/>
            </w:tcBorders>
          </w:tcPr>
          <w:p>
            <w:pPr>
              <w:pStyle w:val="TableParagraph"/>
              <w:spacing w:before="9"/>
              <w:rPr>
                <w:sz w:val="7"/>
              </w:rPr>
            </w:pPr>
          </w:p>
          <w:p>
            <w:pPr>
              <w:pStyle w:val="TableParagraph"/>
              <w:ind w:left="45" w:right="34"/>
              <w:jc w:val="center"/>
              <w:rPr>
                <w:sz w:val="6"/>
              </w:rPr>
            </w:pPr>
            <w:r>
              <w:rPr>
                <w:sz w:val="10"/>
              </w:rPr>
              <w:t>9.87</w:t>
            </w:r>
            <w:r>
              <w:rPr>
                <w:position w:val="4"/>
                <w:sz w:val="6"/>
              </w:rPr>
              <w:t>a</w:t>
            </w:r>
          </w:p>
        </w:tc>
        <w:tc>
          <w:tcPr>
            <w:tcW w:w="1230" w:type="dxa"/>
            <w:tcBorders>
              <w:top w:val="nil"/>
              <w:left w:val="nil"/>
              <w:bottom w:val="nil"/>
              <w:right w:val="nil"/>
            </w:tcBorders>
          </w:tcPr>
          <w:p>
            <w:pPr>
              <w:pStyle w:val="TableParagraph"/>
              <w:spacing w:before="9"/>
              <w:rPr>
                <w:sz w:val="7"/>
              </w:rPr>
            </w:pPr>
          </w:p>
          <w:p>
            <w:pPr>
              <w:pStyle w:val="TableParagraph"/>
              <w:ind w:left="369"/>
              <w:rPr>
                <w:sz w:val="6"/>
              </w:rPr>
            </w:pPr>
            <w:r>
              <w:rPr>
                <w:sz w:val="10"/>
              </w:rPr>
              <w:t>9.41</w:t>
            </w:r>
            <w:r>
              <w:rPr>
                <w:position w:val="4"/>
                <w:sz w:val="6"/>
              </w:rPr>
              <w:t>a</w:t>
            </w:r>
          </w:p>
        </w:tc>
        <w:tc>
          <w:tcPr>
            <w:tcW w:w="700" w:type="dxa"/>
            <w:tcBorders>
              <w:top w:val="nil"/>
              <w:left w:val="nil"/>
              <w:bottom w:val="nil"/>
              <w:right w:val="nil"/>
            </w:tcBorders>
          </w:tcPr>
          <w:p>
            <w:pPr>
              <w:pStyle w:val="TableParagraph"/>
              <w:spacing w:before="9"/>
              <w:rPr>
                <w:sz w:val="7"/>
              </w:rPr>
            </w:pPr>
          </w:p>
          <w:p>
            <w:pPr>
              <w:pStyle w:val="TableParagraph"/>
              <w:ind w:left="63" w:right="311"/>
              <w:jc w:val="center"/>
              <w:rPr>
                <w:sz w:val="6"/>
              </w:rPr>
            </w:pPr>
            <w:r>
              <w:rPr>
                <w:sz w:val="10"/>
              </w:rPr>
              <w:t>9.83</w:t>
            </w:r>
            <w:r>
              <w:rPr>
                <w:position w:val="4"/>
                <w:sz w:val="6"/>
              </w:rPr>
              <w:t>a</w:t>
            </w:r>
          </w:p>
        </w:tc>
        <w:tc>
          <w:tcPr>
            <w:tcW w:w="967" w:type="dxa"/>
            <w:tcBorders>
              <w:top w:val="nil"/>
              <w:left w:val="nil"/>
              <w:bottom w:val="nil"/>
              <w:right w:val="nil"/>
            </w:tcBorders>
          </w:tcPr>
          <w:p>
            <w:pPr>
              <w:pStyle w:val="TableParagraph"/>
              <w:spacing w:before="9"/>
              <w:rPr>
                <w:sz w:val="7"/>
              </w:rPr>
            </w:pPr>
          </w:p>
          <w:p>
            <w:pPr>
              <w:pStyle w:val="TableParagraph"/>
              <w:ind w:left="313" w:right="291"/>
              <w:jc w:val="center"/>
              <w:rPr>
                <w:sz w:val="6"/>
              </w:rPr>
            </w:pPr>
            <w:r>
              <w:rPr>
                <w:sz w:val="10"/>
              </w:rPr>
              <w:t>9.18</w:t>
            </w:r>
            <w:r>
              <w:rPr>
                <w:position w:val="4"/>
                <w:sz w:val="6"/>
              </w:rPr>
              <w:t>b</w:t>
            </w:r>
          </w:p>
        </w:tc>
        <w:tc>
          <w:tcPr>
            <w:tcW w:w="898" w:type="dxa"/>
            <w:tcBorders>
              <w:top w:val="nil"/>
              <w:left w:val="nil"/>
              <w:bottom w:val="nil"/>
              <w:right w:val="nil"/>
            </w:tcBorders>
          </w:tcPr>
          <w:p>
            <w:pPr>
              <w:pStyle w:val="TableParagraph"/>
              <w:rPr>
                <w:sz w:val="8"/>
              </w:rPr>
            </w:pPr>
          </w:p>
          <w:p>
            <w:pPr>
              <w:pStyle w:val="TableParagraph"/>
              <w:ind w:left="314"/>
              <w:rPr>
                <w:sz w:val="10"/>
              </w:rPr>
            </w:pPr>
            <w:r>
              <w:rPr>
                <w:sz w:val="10"/>
              </w:rPr>
              <w:t>0.16</w:t>
            </w:r>
          </w:p>
        </w:tc>
        <w:tc>
          <w:tcPr>
            <w:tcW w:w="1007" w:type="dxa"/>
            <w:tcBorders>
              <w:top w:val="nil"/>
              <w:left w:val="nil"/>
              <w:bottom w:val="nil"/>
              <w:right w:val="nil"/>
            </w:tcBorders>
          </w:tcPr>
          <w:p>
            <w:pPr>
              <w:pStyle w:val="TableParagraph"/>
              <w:rPr>
                <w:sz w:val="8"/>
              </w:rPr>
            </w:pPr>
          </w:p>
          <w:p>
            <w:pPr>
              <w:pStyle w:val="TableParagraph"/>
              <w:ind w:left="267" w:right="310"/>
              <w:jc w:val="center"/>
              <w:rPr>
                <w:sz w:val="10"/>
              </w:rPr>
            </w:pPr>
            <w:r>
              <w:rPr>
                <w:sz w:val="10"/>
              </w:rPr>
              <w:t>0.11</w:t>
            </w:r>
          </w:p>
        </w:tc>
        <w:tc>
          <w:tcPr>
            <w:tcW w:w="1002" w:type="dxa"/>
            <w:tcBorders>
              <w:top w:val="nil"/>
              <w:left w:val="nil"/>
              <w:bottom w:val="nil"/>
              <w:right w:val="nil"/>
            </w:tcBorders>
          </w:tcPr>
          <w:p>
            <w:pPr>
              <w:pStyle w:val="TableParagraph"/>
              <w:rPr>
                <w:sz w:val="8"/>
              </w:rPr>
            </w:pPr>
          </w:p>
          <w:p>
            <w:pPr>
              <w:pStyle w:val="TableParagraph"/>
              <w:ind w:left="310" w:right="271"/>
              <w:jc w:val="center"/>
              <w:rPr>
                <w:sz w:val="10"/>
              </w:rPr>
            </w:pPr>
            <w:r>
              <w:rPr>
                <w:sz w:val="10"/>
              </w:rPr>
              <w:t>0.01</w:t>
            </w:r>
          </w:p>
        </w:tc>
      </w:tr>
      <w:tr>
        <w:trPr>
          <w:trHeight w:val="297" w:hRule="exact"/>
        </w:trPr>
        <w:tc>
          <w:tcPr>
            <w:tcW w:w="2195" w:type="dxa"/>
            <w:tcBorders>
              <w:top w:val="nil"/>
              <w:left w:val="nil"/>
              <w:bottom w:val="nil"/>
              <w:right w:val="nil"/>
            </w:tcBorders>
          </w:tcPr>
          <w:p>
            <w:pPr>
              <w:pStyle w:val="TableParagraph"/>
              <w:spacing w:before="10"/>
              <w:rPr>
                <w:sz w:val="7"/>
              </w:rPr>
            </w:pPr>
          </w:p>
          <w:p>
            <w:pPr>
              <w:pStyle w:val="TableParagraph"/>
              <w:spacing w:before="1"/>
              <w:ind w:left="86"/>
              <w:rPr>
                <w:sz w:val="10"/>
              </w:rPr>
            </w:pPr>
            <w:r>
              <w:rPr>
                <w:sz w:val="10"/>
              </w:rPr>
              <w:t>Miristoleico, C14:1</w:t>
            </w:r>
          </w:p>
        </w:tc>
        <w:tc>
          <w:tcPr>
            <w:tcW w:w="1635" w:type="dxa"/>
            <w:tcBorders>
              <w:top w:val="nil"/>
              <w:left w:val="nil"/>
              <w:bottom w:val="nil"/>
              <w:right w:val="nil"/>
            </w:tcBorders>
          </w:tcPr>
          <w:p>
            <w:pPr>
              <w:pStyle w:val="TableParagraph"/>
              <w:spacing w:before="10"/>
              <w:rPr>
                <w:sz w:val="7"/>
              </w:rPr>
            </w:pPr>
          </w:p>
          <w:p>
            <w:pPr>
              <w:pStyle w:val="TableParagraph"/>
              <w:spacing w:before="1"/>
              <w:ind w:right="439"/>
              <w:jc w:val="right"/>
              <w:rPr>
                <w:sz w:val="10"/>
              </w:rPr>
            </w:pPr>
            <w:r>
              <w:rPr>
                <w:sz w:val="10"/>
              </w:rPr>
              <w:t>0.35</w:t>
            </w:r>
          </w:p>
        </w:tc>
        <w:tc>
          <w:tcPr>
            <w:tcW w:w="1032" w:type="dxa"/>
            <w:tcBorders>
              <w:top w:val="nil"/>
              <w:left w:val="nil"/>
              <w:bottom w:val="nil"/>
              <w:right w:val="nil"/>
            </w:tcBorders>
          </w:tcPr>
          <w:p>
            <w:pPr>
              <w:pStyle w:val="TableParagraph"/>
              <w:spacing w:before="10"/>
              <w:rPr>
                <w:sz w:val="7"/>
              </w:rPr>
            </w:pPr>
          </w:p>
          <w:p>
            <w:pPr>
              <w:pStyle w:val="TableParagraph"/>
              <w:spacing w:before="1"/>
              <w:ind w:left="375" w:right="330"/>
              <w:jc w:val="center"/>
              <w:rPr>
                <w:sz w:val="10"/>
              </w:rPr>
            </w:pPr>
            <w:r>
              <w:rPr>
                <w:sz w:val="10"/>
              </w:rPr>
              <w:t>0.26</w:t>
            </w:r>
          </w:p>
        </w:tc>
        <w:tc>
          <w:tcPr>
            <w:tcW w:w="952" w:type="dxa"/>
            <w:tcBorders>
              <w:top w:val="nil"/>
              <w:left w:val="nil"/>
              <w:bottom w:val="nil"/>
              <w:right w:val="nil"/>
            </w:tcBorders>
          </w:tcPr>
          <w:p>
            <w:pPr>
              <w:pStyle w:val="TableParagraph"/>
              <w:spacing w:before="10"/>
              <w:rPr>
                <w:sz w:val="7"/>
              </w:rPr>
            </w:pPr>
          </w:p>
          <w:p>
            <w:pPr>
              <w:pStyle w:val="TableParagraph"/>
              <w:spacing w:before="1"/>
              <w:ind w:right="373"/>
              <w:jc w:val="right"/>
              <w:rPr>
                <w:sz w:val="10"/>
              </w:rPr>
            </w:pPr>
            <w:r>
              <w:rPr>
                <w:sz w:val="10"/>
              </w:rPr>
              <w:t>0.04</w:t>
            </w:r>
          </w:p>
        </w:tc>
        <w:tc>
          <w:tcPr>
            <w:tcW w:w="981" w:type="dxa"/>
            <w:tcBorders>
              <w:top w:val="nil"/>
              <w:left w:val="nil"/>
              <w:bottom w:val="nil"/>
              <w:right w:val="nil"/>
            </w:tcBorders>
          </w:tcPr>
          <w:p>
            <w:pPr>
              <w:pStyle w:val="TableParagraph"/>
              <w:spacing w:before="10"/>
              <w:rPr>
                <w:sz w:val="7"/>
              </w:rPr>
            </w:pPr>
          </w:p>
          <w:p>
            <w:pPr>
              <w:pStyle w:val="TableParagraph"/>
              <w:spacing w:before="1"/>
              <w:ind w:left="45" w:right="37"/>
              <w:jc w:val="center"/>
              <w:rPr>
                <w:sz w:val="10"/>
              </w:rPr>
            </w:pPr>
            <w:r>
              <w:rPr>
                <w:sz w:val="10"/>
              </w:rPr>
              <w:t>0.29</w:t>
            </w:r>
          </w:p>
        </w:tc>
        <w:tc>
          <w:tcPr>
            <w:tcW w:w="1230" w:type="dxa"/>
            <w:tcBorders>
              <w:top w:val="nil"/>
              <w:left w:val="nil"/>
              <w:bottom w:val="nil"/>
              <w:right w:val="nil"/>
            </w:tcBorders>
          </w:tcPr>
          <w:p>
            <w:pPr>
              <w:pStyle w:val="TableParagraph"/>
              <w:spacing w:before="10"/>
              <w:rPr>
                <w:sz w:val="7"/>
              </w:rPr>
            </w:pPr>
          </w:p>
          <w:p>
            <w:pPr>
              <w:pStyle w:val="TableParagraph"/>
              <w:spacing w:before="1"/>
              <w:ind w:left="383"/>
              <w:rPr>
                <w:sz w:val="10"/>
              </w:rPr>
            </w:pPr>
            <w:r>
              <w:rPr>
                <w:sz w:val="10"/>
              </w:rPr>
              <w:t>0.28</w:t>
            </w:r>
          </w:p>
        </w:tc>
        <w:tc>
          <w:tcPr>
            <w:tcW w:w="700" w:type="dxa"/>
            <w:tcBorders>
              <w:top w:val="nil"/>
              <w:left w:val="nil"/>
              <w:bottom w:val="nil"/>
              <w:right w:val="nil"/>
            </w:tcBorders>
          </w:tcPr>
          <w:p>
            <w:pPr>
              <w:pStyle w:val="TableParagraph"/>
              <w:spacing w:before="10"/>
              <w:rPr>
                <w:sz w:val="7"/>
              </w:rPr>
            </w:pPr>
          </w:p>
          <w:p>
            <w:pPr>
              <w:pStyle w:val="TableParagraph"/>
              <w:spacing w:before="1"/>
              <w:ind w:left="60" w:right="311"/>
              <w:jc w:val="center"/>
              <w:rPr>
                <w:sz w:val="10"/>
              </w:rPr>
            </w:pPr>
            <w:r>
              <w:rPr>
                <w:sz w:val="10"/>
              </w:rPr>
              <w:t>0.33</w:t>
            </w:r>
          </w:p>
        </w:tc>
        <w:tc>
          <w:tcPr>
            <w:tcW w:w="967" w:type="dxa"/>
            <w:tcBorders>
              <w:top w:val="nil"/>
              <w:left w:val="nil"/>
              <w:bottom w:val="nil"/>
              <w:right w:val="nil"/>
            </w:tcBorders>
          </w:tcPr>
          <w:p>
            <w:pPr>
              <w:pStyle w:val="TableParagraph"/>
              <w:spacing w:before="10"/>
              <w:rPr>
                <w:sz w:val="7"/>
              </w:rPr>
            </w:pPr>
          </w:p>
          <w:p>
            <w:pPr>
              <w:pStyle w:val="TableParagraph"/>
              <w:spacing w:before="1"/>
              <w:ind w:left="313" w:right="294"/>
              <w:jc w:val="center"/>
              <w:rPr>
                <w:sz w:val="10"/>
              </w:rPr>
            </w:pPr>
            <w:r>
              <w:rPr>
                <w:sz w:val="10"/>
              </w:rPr>
              <w:t>0.32</w:t>
            </w:r>
          </w:p>
        </w:tc>
        <w:tc>
          <w:tcPr>
            <w:tcW w:w="898" w:type="dxa"/>
            <w:tcBorders>
              <w:top w:val="nil"/>
              <w:left w:val="nil"/>
              <w:bottom w:val="nil"/>
              <w:right w:val="nil"/>
            </w:tcBorders>
          </w:tcPr>
          <w:p>
            <w:pPr>
              <w:pStyle w:val="TableParagraph"/>
              <w:spacing w:before="10"/>
              <w:rPr>
                <w:sz w:val="7"/>
              </w:rPr>
            </w:pPr>
          </w:p>
          <w:p>
            <w:pPr>
              <w:pStyle w:val="TableParagraph"/>
              <w:spacing w:before="1"/>
              <w:ind w:left="314"/>
              <w:rPr>
                <w:sz w:val="10"/>
              </w:rPr>
            </w:pPr>
            <w:r>
              <w:rPr>
                <w:sz w:val="10"/>
              </w:rPr>
              <w:t>0.06</w:t>
            </w:r>
          </w:p>
        </w:tc>
        <w:tc>
          <w:tcPr>
            <w:tcW w:w="1007" w:type="dxa"/>
            <w:tcBorders>
              <w:top w:val="nil"/>
              <w:left w:val="nil"/>
              <w:bottom w:val="nil"/>
              <w:right w:val="nil"/>
            </w:tcBorders>
          </w:tcPr>
          <w:p>
            <w:pPr>
              <w:pStyle w:val="TableParagraph"/>
              <w:spacing w:before="10"/>
              <w:rPr>
                <w:sz w:val="7"/>
              </w:rPr>
            </w:pPr>
          </w:p>
          <w:p>
            <w:pPr>
              <w:pStyle w:val="TableParagraph"/>
              <w:spacing w:before="1"/>
              <w:ind w:left="267" w:right="310"/>
              <w:jc w:val="center"/>
              <w:rPr>
                <w:sz w:val="10"/>
              </w:rPr>
            </w:pPr>
            <w:r>
              <w:rPr>
                <w:sz w:val="10"/>
              </w:rPr>
              <w:t>0.19</w:t>
            </w:r>
          </w:p>
        </w:tc>
        <w:tc>
          <w:tcPr>
            <w:tcW w:w="1002" w:type="dxa"/>
            <w:tcBorders>
              <w:top w:val="nil"/>
              <w:left w:val="nil"/>
              <w:bottom w:val="nil"/>
              <w:right w:val="nil"/>
            </w:tcBorders>
          </w:tcPr>
          <w:p>
            <w:pPr>
              <w:pStyle w:val="TableParagraph"/>
              <w:spacing w:before="10"/>
              <w:rPr>
                <w:sz w:val="7"/>
              </w:rPr>
            </w:pPr>
          </w:p>
          <w:p>
            <w:pPr>
              <w:pStyle w:val="TableParagraph"/>
              <w:spacing w:before="1"/>
              <w:ind w:left="310" w:right="271"/>
              <w:jc w:val="center"/>
              <w:rPr>
                <w:sz w:val="10"/>
              </w:rPr>
            </w:pPr>
            <w:r>
              <w:rPr>
                <w:sz w:val="10"/>
              </w:rPr>
              <w:t>0.91</w:t>
            </w:r>
          </w:p>
        </w:tc>
      </w:tr>
      <w:tr>
        <w:trPr>
          <w:trHeight w:val="300" w:hRule="exact"/>
        </w:trPr>
        <w:tc>
          <w:tcPr>
            <w:tcW w:w="2195" w:type="dxa"/>
            <w:tcBorders>
              <w:top w:val="nil"/>
              <w:left w:val="nil"/>
              <w:bottom w:val="nil"/>
              <w:right w:val="nil"/>
            </w:tcBorders>
          </w:tcPr>
          <w:p>
            <w:pPr>
              <w:pStyle w:val="TableParagraph"/>
              <w:rPr>
                <w:sz w:val="8"/>
              </w:rPr>
            </w:pPr>
          </w:p>
          <w:p>
            <w:pPr>
              <w:pStyle w:val="TableParagraph"/>
              <w:ind w:left="86"/>
              <w:rPr>
                <w:sz w:val="10"/>
              </w:rPr>
            </w:pPr>
            <w:r>
              <w:rPr>
                <w:sz w:val="10"/>
              </w:rPr>
              <w:t>Pentadecílico, C15:0</w:t>
            </w:r>
          </w:p>
        </w:tc>
        <w:tc>
          <w:tcPr>
            <w:tcW w:w="1635" w:type="dxa"/>
            <w:tcBorders>
              <w:top w:val="nil"/>
              <w:left w:val="nil"/>
              <w:bottom w:val="nil"/>
              <w:right w:val="nil"/>
            </w:tcBorders>
          </w:tcPr>
          <w:p>
            <w:pPr>
              <w:pStyle w:val="TableParagraph"/>
              <w:spacing w:before="9"/>
              <w:rPr>
                <w:sz w:val="7"/>
              </w:rPr>
            </w:pPr>
          </w:p>
          <w:p>
            <w:pPr>
              <w:pStyle w:val="TableParagraph"/>
              <w:ind w:right="422"/>
              <w:jc w:val="right"/>
              <w:rPr>
                <w:sz w:val="6"/>
              </w:rPr>
            </w:pPr>
            <w:r>
              <w:rPr>
                <w:sz w:val="10"/>
              </w:rPr>
              <w:t>1.30</w:t>
            </w:r>
            <w:r>
              <w:rPr>
                <w:position w:val="4"/>
                <w:sz w:val="6"/>
              </w:rPr>
              <w:t>a</w:t>
            </w:r>
          </w:p>
        </w:tc>
        <w:tc>
          <w:tcPr>
            <w:tcW w:w="1032" w:type="dxa"/>
            <w:tcBorders>
              <w:top w:val="nil"/>
              <w:left w:val="nil"/>
              <w:bottom w:val="nil"/>
              <w:right w:val="nil"/>
            </w:tcBorders>
          </w:tcPr>
          <w:p>
            <w:pPr>
              <w:pStyle w:val="TableParagraph"/>
              <w:spacing w:before="9"/>
              <w:rPr>
                <w:sz w:val="7"/>
              </w:rPr>
            </w:pPr>
          </w:p>
          <w:p>
            <w:pPr>
              <w:pStyle w:val="TableParagraph"/>
              <w:ind w:left="378" w:right="330"/>
              <w:jc w:val="center"/>
              <w:rPr>
                <w:sz w:val="6"/>
              </w:rPr>
            </w:pPr>
            <w:r>
              <w:rPr>
                <w:sz w:val="10"/>
              </w:rPr>
              <w:t>1.05</w:t>
            </w:r>
            <w:r>
              <w:rPr>
                <w:position w:val="4"/>
                <w:sz w:val="6"/>
              </w:rPr>
              <w:t>b</w:t>
            </w:r>
          </w:p>
        </w:tc>
        <w:tc>
          <w:tcPr>
            <w:tcW w:w="952" w:type="dxa"/>
            <w:tcBorders>
              <w:top w:val="nil"/>
              <w:left w:val="nil"/>
              <w:bottom w:val="nil"/>
              <w:right w:val="nil"/>
            </w:tcBorders>
          </w:tcPr>
          <w:p>
            <w:pPr>
              <w:pStyle w:val="TableParagraph"/>
              <w:rPr>
                <w:sz w:val="8"/>
              </w:rPr>
            </w:pPr>
          </w:p>
          <w:p>
            <w:pPr>
              <w:pStyle w:val="TableParagraph"/>
              <w:ind w:right="373"/>
              <w:jc w:val="right"/>
              <w:rPr>
                <w:sz w:val="10"/>
              </w:rPr>
            </w:pPr>
            <w:r>
              <w:rPr>
                <w:sz w:val="10"/>
              </w:rPr>
              <w:t>0.03</w:t>
            </w:r>
          </w:p>
        </w:tc>
        <w:tc>
          <w:tcPr>
            <w:tcW w:w="981" w:type="dxa"/>
            <w:tcBorders>
              <w:top w:val="nil"/>
              <w:left w:val="nil"/>
              <w:bottom w:val="nil"/>
              <w:right w:val="nil"/>
            </w:tcBorders>
          </w:tcPr>
          <w:p>
            <w:pPr>
              <w:pStyle w:val="TableParagraph"/>
              <w:spacing w:before="9"/>
              <w:rPr>
                <w:sz w:val="7"/>
              </w:rPr>
            </w:pPr>
          </w:p>
          <w:p>
            <w:pPr>
              <w:pStyle w:val="TableParagraph"/>
              <w:ind w:left="45" w:right="34"/>
              <w:jc w:val="center"/>
              <w:rPr>
                <w:sz w:val="6"/>
              </w:rPr>
            </w:pPr>
            <w:r>
              <w:rPr>
                <w:sz w:val="10"/>
              </w:rPr>
              <w:t>0.80</w:t>
            </w:r>
            <w:r>
              <w:rPr>
                <w:position w:val="4"/>
                <w:sz w:val="6"/>
              </w:rPr>
              <w:t>a</w:t>
            </w:r>
          </w:p>
        </w:tc>
        <w:tc>
          <w:tcPr>
            <w:tcW w:w="1230" w:type="dxa"/>
            <w:tcBorders>
              <w:top w:val="nil"/>
              <w:left w:val="nil"/>
              <w:bottom w:val="nil"/>
              <w:right w:val="nil"/>
            </w:tcBorders>
          </w:tcPr>
          <w:p>
            <w:pPr>
              <w:pStyle w:val="TableParagraph"/>
              <w:spacing w:before="9"/>
              <w:rPr>
                <w:sz w:val="7"/>
              </w:rPr>
            </w:pPr>
          </w:p>
          <w:p>
            <w:pPr>
              <w:pStyle w:val="TableParagraph"/>
              <w:ind w:left="369"/>
              <w:rPr>
                <w:sz w:val="6"/>
              </w:rPr>
            </w:pPr>
            <w:r>
              <w:rPr>
                <w:sz w:val="10"/>
              </w:rPr>
              <w:t>0.97</w:t>
            </w:r>
            <w:r>
              <w:rPr>
                <w:position w:val="4"/>
                <w:sz w:val="6"/>
              </w:rPr>
              <w:t>a</w:t>
            </w:r>
          </w:p>
        </w:tc>
        <w:tc>
          <w:tcPr>
            <w:tcW w:w="700" w:type="dxa"/>
            <w:tcBorders>
              <w:top w:val="nil"/>
              <w:left w:val="nil"/>
              <w:bottom w:val="nil"/>
              <w:right w:val="nil"/>
            </w:tcBorders>
          </w:tcPr>
          <w:p>
            <w:pPr>
              <w:pStyle w:val="TableParagraph"/>
              <w:spacing w:before="9"/>
              <w:rPr>
                <w:sz w:val="7"/>
              </w:rPr>
            </w:pPr>
          </w:p>
          <w:p>
            <w:pPr>
              <w:pStyle w:val="TableParagraph"/>
              <w:ind w:left="63" w:right="311"/>
              <w:jc w:val="center"/>
              <w:rPr>
                <w:sz w:val="6"/>
              </w:rPr>
            </w:pPr>
            <w:r>
              <w:rPr>
                <w:sz w:val="10"/>
              </w:rPr>
              <w:t>1.50</w:t>
            </w:r>
            <w:r>
              <w:rPr>
                <w:position w:val="4"/>
                <w:sz w:val="6"/>
              </w:rPr>
              <w:t>b</w:t>
            </w:r>
          </w:p>
        </w:tc>
        <w:tc>
          <w:tcPr>
            <w:tcW w:w="967" w:type="dxa"/>
            <w:tcBorders>
              <w:top w:val="nil"/>
              <w:left w:val="nil"/>
              <w:bottom w:val="nil"/>
              <w:right w:val="nil"/>
            </w:tcBorders>
          </w:tcPr>
          <w:p>
            <w:pPr>
              <w:pStyle w:val="TableParagraph"/>
              <w:spacing w:before="9"/>
              <w:rPr>
                <w:sz w:val="7"/>
              </w:rPr>
            </w:pPr>
          </w:p>
          <w:p>
            <w:pPr>
              <w:pStyle w:val="TableParagraph"/>
              <w:ind w:left="313" w:right="291"/>
              <w:jc w:val="center"/>
              <w:rPr>
                <w:sz w:val="6"/>
              </w:rPr>
            </w:pPr>
            <w:r>
              <w:rPr>
                <w:sz w:val="10"/>
              </w:rPr>
              <w:t>1.45</w:t>
            </w:r>
            <w:r>
              <w:rPr>
                <w:position w:val="4"/>
                <w:sz w:val="6"/>
              </w:rPr>
              <w:t>b</w:t>
            </w:r>
          </w:p>
        </w:tc>
        <w:tc>
          <w:tcPr>
            <w:tcW w:w="898" w:type="dxa"/>
            <w:tcBorders>
              <w:top w:val="nil"/>
              <w:left w:val="nil"/>
              <w:bottom w:val="nil"/>
              <w:right w:val="nil"/>
            </w:tcBorders>
          </w:tcPr>
          <w:p>
            <w:pPr>
              <w:pStyle w:val="TableParagraph"/>
              <w:rPr>
                <w:sz w:val="8"/>
              </w:rPr>
            </w:pPr>
          </w:p>
          <w:p>
            <w:pPr>
              <w:pStyle w:val="TableParagraph"/>
              <w:ind w:left="314"/>
              <w:rPr>
                <w:sz w:val="10"/>
              </w:rPr>
            </w:pPr>
            <w:r>
              <w:rPr>
                <w:sz w:val="10"/>
              </w:rPr>
              <w:t>0.05</w:t>
            </w:r>
          </w:p>
        </w:tc>
        <w:tc>
          <w:tcPr>
            <w:tcW w:w="1007" w:type="dxa"/>
            <w:tcBorders>
              <w:top w:val="nil"/>
              <w:left w:val="nil"/>
              <w:bottom w:val="nil"/>
              <w:right w:val="nil"/>
            </w:tcBorders>
          </w:tcPr>
          <w:p>
            <w:pPr>
              <w:pStyle w:val="TableParagraph"/>
              <w:rPr>
                <w:sz w:val="8"/>
              </w:rPr>
            </w:pPr>
          </w:p>
          <w:p>
            <w:pPr>
              <w:pStyle w:val="TableParagraph"/>
              <w:ind w:left="267" w:right="310"/>
              <w:jc w:val="center"/>
              <w:rPr>
                <w:sz w:val="10"/>
              </w:rPr>
            </w:pPr>
            <w:r>
              <w:rPr>
                <w:sz w:val="10"/>
              </w:rPr>
              <w:t>0.01</w:t>
            </w:r>
          </w:p>
        </w:tc>
        <w:tc>
          <w:tcPr>
            <w:tcW w:w="1002" w:type="dxa"/>
            <w:tcBorders>
              <w:top w:val="nil"/>
              <w:left w:val="nil"/>
              <w:bottom w:val="nil"/>
              <w:right w:val="nil"/>
            </w:tcBorders>
          </w:tcPr>
          <w:p>
            <w:pPr>
              <w:pStyle w:val="TableParagraph"/>
              <w:rPr>
                <w:sz w:val="8"/>
              </w:rPr>
            </w:pPr>
          </w:p>
          <w:p>
            <w:pPr>
              <w:pStyle w:val="TableParagraph"/>
              <w:ind w:left="310" w:right="271"/>
              <w:jc w:val="center"/>
              <w:rPr>
                <w:sz w:val="10"/>
              </w:rPr>
            </w:pPr>
            <w:r>
              <w:rPr>
                <w:sz w:val="10"/>
              </w:rPr>
              <w:t>0.01</w:t>
            </w:r>
          </w:p>
        </w:tc>
      </w:tr>
      <w:tr>
        <w:trPr>
          <w:trHeight w:val="300" w:hRule="exact"/>
        </w:trPr>
        <w:tc>
          <w:tcPr>
            <w:tcW w:w="2195" w:type="dxa"/>
            <w:tcBorders>
              <w:top w:val="nil"/>
              <w:left w:val="nil"/>
              <w:bottom w:val="nil"/>
              <w:right w:val="nil"/>
            </w:tcBorders>
          </w:tcPr>
          <w:p>
            <w:pPr>
              <w:pStyle w:val="TableParagraph"/>
              <w:spacing w:before="2"/>
              <w:rPr>
                <w:sz w:val="8"/>
              </w:rPr>
            </w:pPr>
          </w:p>
          <w:p>
            <w:pPr>
              <w:pStyle w:val="TableParagraph"/>
              <w:spacing w:before="1"/>
              <w:ind w:left="86"/>
              <w:rPr>
                <w:sz w:val="10"/>
              </w:rPr>
            </w:pPr>
            <w:r>
              <w:rPr>
                <w:sz w:val="10"/>
              </w:rPr>
              <w:t>Pentadecenoico, C15:1</w:t>
            </w:r>
          </w:p>
        </w:tc>
        <w:tc>
          <w:tcPr>
            <w:tcW w:w="1635" w:type="dxa"/>
            <w:tcBorders>
              <w:top w:val="nil"/>
              <w:left w:val="nil"/>
              <w:bottom w:val="nil"/>
              <w:right w:val="nil"/>
            </w:tcBorders>
          </w:tcPr>
          <w:p>
            <w:pPr>
              <w:pStyle w:val="TableParagraph"/>
              <w:rPr>
                <w:sz w:val="8"/>
              </w:rPr>
            </w:pPr>
          </w:p>
          <w:p>
            <w:pPr>
              <w:pStyle w:val="TableParagraph"/>
              <w:ind w:right="422"/>
              <w:jc w:val="right"/>
              <w:rPr>
                <w:sz w:val="6"/>
              </w:rPr>
            </w:pPr>
            <w:r>
              <w:rPr>
                <w:sz w:val="10"/>
              </w:rPr>
              <w:t>1.01</w:t>
            </w:r>
            <w:r>
              <w:rPr>
                <w:position w:val="4"/>
                <w:sz w:val="6"/>
              </w:rPr>
              <w:t>a</w:t>
            </w:r>
          </w:p>
        </w:tc>
        <w:tc>
          <w:tcPr>
            <w:tcW w:w="1032" w:type="dxa"/>
            <w:tcBorders>
              <w:top w:val="nil"/>
              <w:left w:val="nil"/>
              <w:bottom w:val="nil"/>
              <w:right w:val="nil"/>
            </w:tcBorders>
          </w:tcPr>
          <w:p>
            <w:pPr>
              <w:pStyle w:val="TableParagraph"/>
              <w:rPr>
                <w:sz w:val="8"/>
              </w:rPr>
            </w:pPr>
          </w:p>
          <w:p>
            <w:pPr>
              <w:pStyle w:val="TableParagraph"/>
              <w:ind w:left="378" w:right="330"/>
              <w:jc w:val="center"/>
              <w:rPr>
                <w:sz w:val="6"/>
              </w:rPr>
            </w:pPr>
            <w:r>
              <w:rPr>
                <w:sz w:val="10"/>
              </w:rPr>
              <w:t>0.82</w:t>
            </w:r>
            <w:r>
              <w:rPr>
                <w:position w:val="4"/>
                <w:sz w:val="6"/>
              </w:rPr>
              <w:t>b</w:t>
            </w:r>
          </w:p>
        </w:tc>
        <w:tc>
          <w:tcPr>
            <w:tcW w:w="952" w:type="dxa"/>
            <w:tcBorders>
              <w:top w:val="nil"/>
              <w:left w:val="nil"/>
              <w:bottom w:val="nil"/>
              <w:right w:val="nil"/>
            </w:tcBorders>
          </w:tcPr>
          <w:p>
            <w:pPr>
              <w:pStyle w:val="TableParagraph"/>
              <w:spacing w:before="2"/>
              <w:rPr>
                <w:sz w:val="8"/>
              </w:rPr>
            </w:pPr>
          </w:p>
          <w:p>
            <w:pPr>
              <w:pStyle w:val="TableParagraph"/>
              <w:spacing w:before="1"/>
              <w:ind w:right="373"/>
              <w:jc w:val="right"/>
              <w:rPr>
                <w:sz w:val="10"/>
              </w:rPr>
            </w:pPr>
            <w:r>
              <w:rPr>
                <w:sz w:val="10"/>
              </w:rPr>
              <w:t>0.05</w:t>
            </w:r>
          </w:p>
        </w:tc>
        <w:tc>
          <w:tcPr>
            <w:tcW w:w="981" w:type="dxa"/>
            <w:tcBorders>
              <w:top w:val="nil"/>
              <w:left w:val="nil"/>
              <w:bottom w:val="nil"/>
              <w:right w:val="nil"/>
            </w:tcBorders>
          </w:tcPr>
          <w:p>
            <w:pPr>
              <w:pStyle w:val="TableParagraph"/>
              <w:rPr>
                <w:sz w:val="8"/>
              </w:rPr>
            </w:pPr>
          </w:p>
          <w:p>
            <w:pPr>
              <w:pStyle w:val="TableParagraph"/>
              <w:ind w:left="45" w:right="34"/>
              <w:jc w:val="center"/>
              <w:rPr>
                <w:sz w:val="6"/>
              </w:rPr>
            </w:pPr>
            <w:r>
              <w:rPr>
                <w:sz w:val="10"/>
              </w:rPr>
              <w:t>0.60</w:t>
            </w:r>
            <w:r>
              <w:rPr>
                <w:position w:val="4"/>
                <w:sz w:val="6"/>
              </w:rPr>
              <w:t>a</w:t>
            </w:r>
          </w:p>
        </w:tc>
        <w:tc>
          <w:tcPr>
            <w:tcW w:w="1230" w:type="dxa"/>
            <w:tcBorders>
              <w:top w:val="nil"/>
              <w:left w:val="nil"/>
              <w:bottom w:val="nil"/>
              <w:right w:val="nil"/>
            </w:tcBorders>
          </w:tcPr>
          <w:p>
            <w:pPr>
              <w:pStyle w:val="TableParagraph"/>
              <w:rPr>
                <w:sz w:val="8"/>
              </w:rPr>
            </w:pPr>
          </w:p>
          <w:p>
            <w:pPr>
              <w:pStyle w:val="TableParagraph"/>
              <w:ind w:left="369"/>
              <w:rPr>
                <w:sz w:val="6"/>
              </w:rPr>
            </w:pPr>
            <w:r>
              <w:rPr>
                <w:sz w:val="10"/>
              </w:rPr>
              <w:t>0.66</w:t>
            </w:r>
            <w:r>
              <w:rPr>
                <w:position w:val="4"/>
                <w:sz w:val="6"/>
              </w:rPr>
              <w:t>a</w:t>
            </w:r>
          </w:p>
        </w:tc>
        <w:tc>
          <w:tcPr>
            <w:tcW w:w="700" w:type="dxa"/>
            <w:tcBorders>
              <w:top w:val="nil"/>
              <w:left w:val="nil"/>
              <w:bottom w:val="nil"/>
              <w:right w:val="nil"/>
            </w:tcBorders>
          </w:tcPr>
          <w:p>
            <w:pPr>
              <w:pStyle w:val="TableParagraph"/>
              <w:rPr>
                <w:sz w:val="8"/>
              </w:rPr>
            </w:pPr>
          </w:p>
          <w:p>
            <w:pPr>
              <w:pStyle w:val="TableParagraph"/>
              <w:ind w:left="63" w:right="311"/>
              <w:jc w:val="center"/>
              <w:rPr>
                <w:sz w:val="6"/>
              </w:rPr>
            </w:pPr>
            <w:r>
              <w:rPr>
                <w:sz w:val="10"/>
              </w:rPr>
              <w:t>1.19</w:t>
            </w:r>
            <w:r>
              <w:rPr>
                <w:position w:val="4"/>
                <w:sz w:val="6"/>
              </w:rPr>
              <w:t>b</w:t>
            </w:r>
          </w:p>
        </w:tc>
        <w:tc>
          <w:tcPr>
            <w:tcW w:w="967" w:type="dxa"/>
            <w:tcBorders>
              <w:top w:val="nil"/>
              <w:left w:val="nil"/>
              <w:bottom w:val="nil"/>
              <w:right w:val="nil"/>
            </w:tcBorders>
          </w:tcPr>
          <w:p>
            <w:pPr>
              <w:pStyle w:val="TableParagraph"/>
              <w:rPr>
                <w:sz w:val="8"/>
              </w:rPr>
            </w:pPr>
          </w:p>
          <w:p>
            <w:pPr>
              <w:pStyle w:val="TableParagraph"/>
              <w:ind w:left="313" w:right="296"/>
              <w:jc w:val="center"/>
              <w:rPr>
                <w:sz w:val="6"/>
              </w:rPr>
            </w:pPr>
            <w:r>
              <w:rPr>
                <w:sz w:val="10"/>
              </w:rPr>
              <w:t>1.2</w:t>
            </w:r>
            <w:r>
              <w:rPr>
                <w:position w:val="4"/>
                <w:sz w:val="6"/>
              </w:rPr>
              <w:t>b</w:t>
            </w:r>
          </w:p>
        </w:tc>
        <w:tc>
          <w:tcPr>
            <w:tcW w:w="898" w:type="dxa"/>
            <w:tcBorders>
              <w:top w:val="nil"/>
              <w:left w:val="nil"/>
              <w:bottom w:val="nil"/>
              <w:right w:val="nil"/>
            </w:tcBorders>
          </w:tcPr>
          <w:p>
            <w:pPr>
              <w:pStyle w:val="TableParagraph"/>
              <w:spacing w:before="2"/>
              <w:rPr>
                <w:sz w:val="8"/>
              </w:rPr>
            </w:pPr>
          </w:p>
          <w:p>
            <w:pPr>
              <w:pStyle w:val="TableParagraph"/>
              <w:spacing w:before="1"/>
              <w:ind w:left="314"/>
              <w:rPr>
                <w:sz w:val="10"/>
              </w:rPr>
            </w:pPr>
            <w:r>
              <w:rPr>
                <w:sz w:val="10"/>
              </w:rPr>
              <w:t>0.06</w:t>
            </w:r>
          </w:p>
        </w:tc>
        <w:tc>
          <w:tcPr>
            <w:tcW w:w="1007" w:type="dxa"/>
            <w:tcBorders>
              <w:top w:val="nil"/>
              <w:left w:val="nil"/>
              <w:bottom w:val="nil"/>
              <w:right w:val="nil"/>
            </w:tcBorders>
          </w:tcPr>
          <w:p>
            <w:pPr>
              <w:pStyle w:val="TableParagraph"/>
              <w:spacing w:before="2"/>
              <w:rPr>
                <w:sz w:val="8"/>
              </w:rPr>
            </w:pPr>
          </w:p>
          <w:p>
            <w:pPr>
              <w:pStyle w:val="TableParagraph"/>
              <w:spacing w:before="1"/>
              <w:ind w:left="267" w:right="310"/>
              <w:jc w:val="center"/>
              <w:rPr>
                <w:sz w:val="10"/>
              </w:rPr>
            </w:pPr>
            <w:r>
              <w:rPr>
                <w:sz w:val="10"/>
              </w:rPr>
              <w:t>0.01</w:t>
            </w:r>
          </w:p>
        </w:tc>
        <w:tc>
          <w:tcPr>
            <w:tcW w:w="1002" w:type="dxa"/>
            <w:tcBorders>
              <w:top w:val="nil"/>
              <w:left w:val="nil"/>
              <w:bottom w:val="nil"/>
              <w:right w:val="nil"/>
            </w:tcBorders>
          </w:tcPr>
          <w:p>
            <w:pPr>
              <w:pStyle w:val="TableParagraph"/>
              <w:spacing w:before="2"/>
              <w:rPr>
                <w:sz w:val="8"/>
              </w:rPr>
            </w:pPr>
          </w:p>
          <w:p>
            <w:pPr>
              <w:pStyle w:val="TableParagraph"/>
              <w:spacing w:before="1"/>
              <w:ind w:left="310" w:right="271"/>
              <w:jc w:val="center"/>
              <w:rPr>
                <w:sz w:val="10"/>
              </w:rPr>
            </w:pPr>
            <w:r>
              <w:rPr>
                <w:sz w:val="10"/>
              </w:rPr>
              <w:t>0.01</w:t>
            </w:r>
          </w:p>
        </w:tc>
      </w:tr>
      <w:tr>
        <w:trPr>
          <w:trHeight w:val="300" w:hRule="exact"/>
        </w:trPr>
        <w:tc>
          <w:tcPr>
            <w:tcW w:w="2195" w:type="dxa"/>
            <w:tcBorders>
              <w:top w:val="nil"/>
              <w:left w:val="nil"/>
              <w:bottom w:val="nil"/>
              <w:right w:val="nil"/>
            </w:tcBorders>
          </w:tcPr>
          <w:p>
            <w:pPr>
              <w:pStyle w:val="TableParagraph"/>
              <w:rPr>
                <w:sz w:val="8"/>
              </w:rPr>
            </w:pPr>
          </w:p>
          <w:p>
            <w:pPr>
              <w:pStyle w:val="TableParagraph"/>
              <w:ind w:left="86"/>
              <w:rPr>
                <w:sz w:val="10"/>
              </w:rPr>
            </w:pPr>
            <w:r>
              <w:rPr>
                <w:sz w:val="10"/>
              </w:rPr>
              <w:t>Palmitico, C16:0</w:t>
            </w:r>
          </w:p>
        </w:tc>
        <w:tc>
          <w:tcPr>
            <w:tcW w:w="1635" w:type="dxa"/>
            <w:tcBorders>
              <w:top w:val="nil"/>
              <w:left w:val="nil"/>
              <w:bottom w:val="nil"/>
              <w:right w:val="nil"/>
            </w:tcBorders>
          </w:tcPr>
          <w:p>
            <w:pPr>
              <w:pStyle w:val="TableParagraph"/>
              <w:rPr>
                <w:sz w:val="8"/>
              </w:rPr>
            </w:pPr>
          </w:p>
          <w:p>
            <w:pPr>
              <w:pStyle w:val="TableParagraph"/>
              <w:ind w:right="415"/>
              <w:jc w:val="right"/>
              <w:rPr>
                <w:sz w:val="10"/>
              </w:rPr>
            </w:pPr>
            <w:r>
              <w:rPr>
                <w:sz w:val="10"/>
              </w:rPr>
              <w:t>30.69</w:t>
            </w:r>
          </w:p>
        </w:tc>
        <w:tc>
          <w:tcPr>
            <w:tcW w:w="1032" w:type="dxa"/>
            <w:tcBorders>
              <w:top w:val="nil"/>
              <w:left w:val="nil"/>
              <w:bottom w:val="nil"/>
              <w:right w:val="nil"/>
            </w:tcBorders>
          </w:tcPr>
          <w:p>
            <w:pPr>
              <w:pStyle w:val="TableParagraph"/>
              <w:rPr>
                <w:sz w:val="8"/>
              </w:rPr>
            </w:pPr>
          </w:p>
          <w:p>
            <w:pPr>
              <w:pStyle w:val="TableParagraph"/>
              <w:ind w:left="370" w:right="330"/>
              <w:jc w:val="center"/>
              <w:rPr>
                <w:sz w:val="10"/>
              </w:rPr>
            </w:pPr>
            <w:r>
              <w:rPr>
                <w:sz w:val="10"/>
              </w:rPr>
              <w:t>31.06</w:t>
            </w:r>
          </w:p>
        </w:tc>
        <w:tc>
          <w:tcPr>
            <w:tcW w:w="952" w:type="dxa"/>
            <w:tcBorders>
              <w:top w:val="nil"/>
              <w:left w:val="nil"/>
              <w:bottom w:val="nil"/>
              <w:right w:val="nil"/>
            </w:tcBorders>
          </w:tcPr>
          <w:p>
            <w:pPr>
              <w:pStyle w:val="TableParagraph"/>
              <w:rPr>
                <w:sz w:val="8"/>
              </w:rPr>
            </w:pPr>
          </w:p>
          <w:p>
            <w:pPr>
              <w:pStyle w:val="TableParagraph"/>
              <w:ind w:right="373"/>
              <w:jc w:val="right"/>
              <w:rPr>
                <w:sz w:val="10"/>
              </w:rPr>
            </w:pPr>
            <w:r>
              <w:rPr>
                <w:sz w:val="10"/>
              </w:rPr>
              <w:t>0.21</w:t>
            </w:r>
          </w:p>
        </w:tc>
        <w:tc>
          <w:tcPr>
            <w:tcW w:w="981" w:type="dxa"/>
            <w:tcBorders>
              <w:top w:val="nil"/>
              <w:left w:val="nil"/>
              <w:bottom w:val="nil"/>
              <w:right w:val="nil"/>
            </w:tcBorders>
          </w:tcPr>
          <w:p>
            <w:pPr>
              <w:pStyle w:val="TableParagraph"/>
              <w:spacing w:before="9"/>
              <w:rPr>
                <w:sz w:val="7"/>
              </w:rPr>
            </w:pPr>
          </w:p>
          <w:p>
            <w:pPr>
              <w:pStyle w:val="TableParagraph"/>
              <w:ind w:left="45" w:right="34"/>
              <w:jc w:val="center"/>
              <w:rPr>
                <w:sz w:val="6"/>
              </w:rPr>
            </w:pPr>
            <w:r>
              <w:rPr>
                <w:sz w:val="10"/>
              </w:rPr>
              <w:t>32.44</w:t>
            </w:r>
            <w:r>
              <w:rPr>
                <w:position w:val="4"/>
                <w:sz w:val="6"/>
              </w:rPr>
              <w:t>a</w:t>
            </w:r>
          </w:p>
        </w:tc>
        <w:tc>
          <w:tcPr>
            <w:tcW w:w="1230" w:type="dxa"/>
            <w:tcBorders>
              <w:top w:val="nil"/>
              <w:left w:val="nil"/>
              <w:bottom w:val="nil"/>
              <w:right w:val="nil"/>
            </w:tcBorders>
          </w:tcPr>
          <w:p>
            <w:pPr>
              <w:pStyle w:val="TableParagraph"/>
              <w:spacing w:before="9"/>
              <w:rPr>
                <w:sz w:val="7"/>
              </w:rPr>
            </w:pPr>
          </w:p>
          <w:p>
            <w:pPr>
              <w:pStyle w:val="TableParagraph"/>
              <w:ind w:left="340"/>
              <w:rPr>
                <w:sz w:val="6"/>
              </w:rPr>
            </w:pPr>
            <w:r>
              <w:rPr>
                <w:sz w:val="10"/>
              </w:rPr>
              <w:t>30.89</w:t>
            </w:r>
            <w:r>
              <w:rPr>
                <w:position w:val="4"/>
                <w:sz w:val="6"/>
              </w:rPr>
              <w:t>b</w:t>
            </w:r>
          </w:p>
        </w:tc>
        <w:tc>
          <w:tcPr>
            <w:tcW w:w="700" w:type="dxa"/>
            <w:tcBorders>
              <w:top w:val="nil"/>
              <w:left w:val="nil"/>
              <w:bottom w:val="nil"/>
              <w:right w:val="nil"/>
            </w:tcBorders>
          </w:tcPr>
          <w:p>
            <w:pPr>
              <w:pStyle w:val="TableParagraph"/>
              <w:spacing w:before="9"/>
              <w:rPr>
                <w:sz w:val="7"/>
              </w:rPr>
            </w:pPr>
          </w:p>
          <w:p>
            <w:pPr>
              <w:pStyle w:val="TableParagraph"/>
              <w:ind w:left="63" w:right="311"/>
              <w:jc w:val="center"/>
              <w:rPr>
                <w:sz w:val="6"/>
              </w:rPr>
            </w:pPr>
            <w:r>
              <w:rPr>
                <w:sz w:val="10"/>
              </w:rPr>
              <w:t>30.13</w:t>
            </w:r>
            <w:r>
              <w:rPr>
                <w:position w:val="4"/>
                <w:sz w:val="6"/>
              </w:rPr>
              <w:t>b</w:t>
            </w:r>
          </w:p>
        </w:tc>
        <w:tc>
          <w:tcPr>
            <w:tcW w:w="967" w:type="dxa"/>
            <w:tcBorders>
              <w:top w:val="nil"/>
              <w:left w:val="nil"/>
              <w:bottom w:val="nil"/>
              <w:right w:val="nil"/>
            </w:tcBorders>
          </w:tcPr>
          <w:p>
            <w:pPr>
              <w:pStyle w:val="TableParagraph"/>
              <w:spacing w:before="9"/>
              <w:rPr>
                <w:sz w:val="7"/>
              </w:rPr>
            </w:pPr>
          </w:p>
          <w:p>
            <w:pPr>
              <w:pStyle w:val="TableParagraph"/>
              <w:ind w:left="313" w:right="291"/>
              <w:jc w:val="center"/>
              <w:rPr>
                <w:sz w:val="6"/>
              </w:rPr>
            </w:pPr>
            <w:r>
              <w:rPr>
                <w:sz w:val="10"/>
              </w:rPr>
              <w:t>30.05</w:t>
            </w:r>
            <w:r>
              <w:rPr>
                <w:position w:val="4"/>
                <w:sz w:val="6"/>
              </w:rPr>
              <w:t>b</w:t>
            </w:r>
          </w:p>
        </w:tc>
        <w:tc>
          <w:tcPr>
            <w:tcW w:w="898" w:type="dxa"/>
            <w:tcBorders>
              <w:top w:val="nil"/>
              <w:left w:val="nil"/>
              <w:bottom w:val="nil"/>
              <w:right w:val="nil"/>
            </w:tcBorders>
          </w:tcPr>
          <w:p>
            <w:pPr>
              <w:pStyle w:val="TableParagraph"/>
              <w:rPr>
                <w:sz w:val="8"/>
              </w:rPr>
            </w:pPr>
          </w:p>
          <w:p>
            <w:pPr>
              <w:pStyle w:val="TableParagraph"/>
              <w:ind w:left="314"/>
              <w:rPr>
                <w:sz w:val="10"/>
              </w:rPr>
            </w:pPr>
            <w:r>
              <w:rPr>
                <w:sz w:val="10"/>
              </w:rPr>
              <w:t>0.29</w:t>
            </w:r>
          </w:p>
        </w:tc>
        <w:tc>
          <w:tcPr>
            <w:tcW w:w="1007" w:type="dxa"/>
            <w:tcBorders>
              <w:top w:val="nil"/>
              <w:left w:val="nil"/>
              <w:bottom w:val="nil"/>
              <w:right w:val="nil"/>
            </w:tcBorders>
          </w:tcPr>
          <w:p>
            <w:pPr>
              <w:pStyle w:val="TableParagraph"/>
              <w:rPr>
                <w:sz w:val="8"/>
              </w:rPr>
            </w:pPr>
          </w:p>
          <w:p>
            <w:pPr>
              <w:pStyle w:val="TableParagraph"/>
              <w:ind w:left="267" w:right="310"/>
              <w:jc w:val="center"/>
              <w:rPr>
                <w:sz w:val="10"/>
              </w:rPr>
            </w:pPr>
            <w:r>
              <w:rPr>
                <w:sz w:val="10"/>
              </w:rPr>
              <w:t>0.22</w:t>
            </w:r>
          </w:p>
        </w:tc>
        <w:tc>
          <w:tcPr>
            <w:tcW w:w="1002" w:type="dxa"/>
            <w:tcBorders>
              <w:top w:val="nil"/>
              <w:left w:val="nil"/>
              <w:bottom w:val="nil"/>
              <w:right w:val="nil"/>
            </w:tcBorders>
          </w:tcPr>
          <w:p>
            <w:pPr>
              <w:pStyle w:val="TableParagraph"/>
              <w:rPr>
                <w:sz w:val="8"/>
              </w:rPr>
            </w:pPr>
          </w:p>
          <w:p>
            <w:pPr>
              <w:pStyle w:val="TableParagraph"/>
              <w:ind w:left="310" w:right="271"/>
              <w:jc w:val="center"/>
              <w:rPr>
                <w:sz w:val="10"/>
              </w:rPr>
            </w:pPr>
            <w:r>
              <w:rPr>
                <w:sz w:val="10"/>
              </w:rPr>
              <w:t>0.01</w:t>
            </w:r>
          </w:p>
        </w:tc>
      </w:tr>
      <w:tr>
        <w:trPr>
          <w:trHeight w:val="300" w:hRule="exact"/>
        </w:trPr>
        <w:tc>
          <w:tcPr>
            <w:tcW w:w="2195" w:type="dxa"/>
            <w:tcBorders>
              <w:top w:val="nil"/>
              <w:left w:val="nil"/>
              <w:bottom w:val="nil"/>
              <w:right w:val="nil"/>
            </w:tcBorders>
          </w:tcPr>
          <w:p>
            <w:pPr>
              <w:pStyle w:val="TableParagraph"/>
              <w:spacing w:before="3"/>
              <w:rPr>
                <w:sz w:val="8"/>
              </w:rPr>
            </w:pPr>
          </w:p>
          <w:p>
            <w:pPr>
              <w:pStyle w:val="TableParagraph"/>
              <w:ind w:left="86"/>
              <w:rPr>
                <w:sz w:val="10"/>
              </w:rPr>
            </w:pPr>
            <w:r>
              <w:rPr>
                <w:sz w:val="10"/>
              </w:rPr>
              <w:t>Palmitoleico, C16:1</w:t>
            </w:r>
          </w:p>
        </w:tc>
        <w:tc>
          <w:tcPr>
            <w:tcW w:w="1635" w:type="dxa"/>
            <w:tcBorders>
              <w:top w:val="nil"/>
              <w:left w:val="nil"/>
              <w:bottom w:val="nil"/>
              <w:right w:val="nil"/>
            </w:tcBorders>
          </w:tcPr>
          <w:p>
            <w:pPr>
              <w:pStyle w:val="TableParagraph"/>
              <w:spacing w:before="3"/>
              <w:rPr>
                <w:sz w:val="8"/>
              </w:rPr>
            </w:pPr>
          </w:p>
          <w:p>
            <w:pPr>
              <w:pStyle w:val="TableParagraph"/>
              <w:ind w:right="439"/>
              <w:jc w:val="right"/>
              <w:rPr>
                <w:sz w:val="10"/>
              </w:rPr>
            </w:pPr>
            <w:r>
              <w:rPr>
                <w:sz w:val="10"/>
              </w:rPr>
              <w:t>1.92</w:t>
            </w:r>
          </w:p>
        </w:tc>
        <w:tc>
          <w:tcPr>
            <w:tcW w:w="1032" w:type="dxa"/>
            <w:tcBorders>
              <w:top w:val="nil"/>
              <w:left w:val="nil"/>
              <w:bottom w:val="nil"/>
              <w:right w:val="nil"/>
            </w:tcBorders>
          </w:tcPr>
          <w:p>
            <w:pPr>
              <w:pStyle w:val="TableParagraph"/>
              <w:spacing w:before="3"/>
              <w:rPr>
                <w:sz w:val="8"/>
              </w:rPr>
            </w:pPr>
          </w:p>
          <w:p>
            <w:pPr>
              <w:pStyle w:val="TableParagraph"/>
              <w:ind w:left="375" w:right="330"/>
              <w:jc w:val="center"/>
              <w:rPr>
                <w:sz w:val="10"/>
              </w:rPr>
            </w:pPr>
            <w:r>
              <w:rPr>
                <w:sz w:val="10"/>
              </w:rPr>
              <w:t>1.73</w:t>
            </w:r>
          </w:p>
        </w:tc>
        <w:tc>
          <w:tcPr>
            <w:tcW w:w="952" w:type="dxa"/>
            <w:tcBorders>
              <w:top w:val="nil"/>
              <w:left w:val="nil"/>
              <w:bottom w:val="nil"/>
              <w:right w:val="nil"/>
            </w:tcBorders>
          </w:tcPr>
          <w:p>
            <w:pPr>
              <w:pStyle w:val="TableParagraph"/>
              <w:spacing w:before="3"/>
              <w:rPr>
                <w:sz w:val="8"/>
              </w:rPr>
            </w:pPr>
          </w:p>
          <w:p>
            <w:pPr>
              <w:pStyle w:val="TableParagraph"/>
              <w:ind w:right="373"/>
              <w:jc w:val="right"/>
              <w:rPr>
                <w:sz w:val="10"/>
              </w:rPr>
            </w:pPr>
            <w:r>
              <w:rPr>
                <w:sz w:val="10"/>
              </w:rPr>
              <w:t>0.06</w:t>
            </w:r>
          </w:p>
        </w:tc>
        <w:tc>
          <w:tcPr>
            <w:tcW w:w="981" w:type="dxa"/>
            <w:tcBorders>
              <w:top w:val="nil"/>
              <w:left w:val="nil"/>
              <w:bottom w:val="nil"/>
              <w:right w:val="nil"/>
            </w:tcBorders>
          </w:tcPr>
          <w:p>
            <w:pPr>
              <w:pStyle w:val="TableParagraph"/>
              <w:rPr>
                <w:sz w:val="8"/>
              </w:rPr>
            </w:pPr>
          </w:p>
          <w:p>
            <w:pPr>
              <w:pStyle w:val="TableParagraph"/>
              <w:ind w:left="45" w:right="34"/>
              <w:jc w:val="center"/>
              <w:rPr>
                <w:sz w:val="6"/>
              </w:rPr>
            </w:pPr>
            <w:r>
              <w:rPr>
                <w:sz w:val="10"/>
              </w:rPr>
              <w:t>1.21</w:t>
            </w:r>
            <w:r>
              <w:rPr>
                <w:position w:val="4"/>
                <w:sz w:val="6"/>
              </w:rPr>
              <w:t>a</w:t>
            </w:r>
          </w:p>
        </w:tc>
        <w:tc>
          <w:tcPr>
            <w:tcW w:w="1230" w:type="dxa"/>
            <w:tcBorders>
              <w:top w:val="nil"/>
              <w:left w:val="nil"/>
              <w:bottom w:val="nil"/>
              <w:right w:val="nil"/>
            </w:tcBorders>
          </w:tcPr>
          <w:p>
            <w:pPr>
              <w:pStyle w:val="TableParagraph"/>
              <w:rPr>
                <w:sz w:val="8"/>
              </w:rPr>
            </w:pPr>
          </w:p>
          <w:p>
            <w:pPr>
              <w:pStyle w:val="TableParagraph"/>
              <w:ind w:left="369"/>
              <w:rPr>
                <w:sz w:val="6"/>
              </w:rPr>
            </w:pPr>
            <w:r>
              <w:rPr>
                <w:sz w:val="10"/>
              </w:rPr>
              <w:t>1.71</w:t>
            </w:r>
            <w:r>
              <w:rPr>
                <w:position w:val="4"/>
                <w:sz w:val="6"/>
              </w:rPr>
              <w:t>b</w:t>
            </w:r>
          </w:p>
        </w:tc>
        <w:tc>
          <w:tcPr>
            <w:tcW w:w="700" w:type="dxa"/>
            <w:tcBorders>
              <w:top w:val="nil"/>
              <w:left w:val="nil"/>
              <w:bottom w:val="nil"/>
              <w:right w:val="nil"/>
            </w:tcBorders>
          </w:tcPr>
          <w:p>
            <w:pPr>
              <w:pStyle w:val="TableParagraph"/>
              <w:rPr>
                <w:sz w:val="8"/>
              </w:rPr>
            </w:pPr>
          </w:p>
          <w:p>
            <w:pPr>
              <w:pStyle w:val="TableParagraph"/>
              <w:ind w:left="59" w:right="311"/>
              <w:jc w:val="center"/>
              <w:rPr>
                <w:sz w:val="6"/>
              </w:rPr>
            </w:pPr>
            <w:r>
              <w:rPr>
                <w:sz w:val="10"/>
              </w:rPr>
              <w:t>2.12</w:t>
            </w:r>
            <w:r>
              <w:rPr>
                <w:position w:val="4"/>
                <w:sz w:val="6"/>
              </w:rPr>
              <w:t>c</w:t>
            </w:r>
          </w:p>
        </w:tc>
        <w:tc>
          <w:tcPr>
            <w:tcW w:w="967" w:type="dxa"/>
            <w:tcBorders>
              <w:top w:val="nil"/>
              <w:left w:val="nil"/>
              <w:bottom w:val="nil"/>
              <w:right w:val="nil"/>
            </w:tcBorders>
          </w:tcPr>
          <w:p>
            <w:pPr>
              <w:pStyle w:val="TableParagraph"/>
              <w:rPr>
                <w:sz w:val="8"/>
              </w:rPr>
            </w:pPr>
          </w:p>
          <w:p>
            <w:pPr>
              <w:pStyle w:val="TableParagraph"/>
              <w:ind w:left="313" w:right="294"/>
              <w:jc w:val="center"/>
              <w:rPr>
                <w:sz w:val="6"/>
              </w:rPr>
            </w:pPr>
            <w:r>
              <w:rPr>
                <w:sz w:val="10"/>
              </w:rPr>
              <w:t>2.26</w:t>
            </w:r>
            <w:r>
              <w:rPr>
                <w:position w:val="4"/>
                <w:sz w:val="6"/>
              </w:rPr>
              <w:t>c</w:t>
            </w:r>
          </w:p>
        </w:tc>
        <w:tc>
          <w:tcPr>
            <w:tcW w:w="898" w:type="dxa"/>
            <w:tcBorders>
              <w:top w:val="nil"/>
              <w:left w:val="nil"/>
              <w:bottom w:val="nil"/>
              <w:right w:val="nil"/>
            </w:tcBorders>
          </w:tcPr>
          <w:p>
            <w:pPr>
              <w:pStyle w:val="TableParagraph"/>
              <w:spacing w:before="3"/>
              <w:rPr>
                <w:sz w:val="8"/>
              </w:rPr>
            </w:pPr>
          </w:p>
          <w:p>
            <w:pPr>
              <w:pStyle w:val="TableParagraph"/>
              <w:ind w:left="314"/>
              <w:rPr>
                <w:sz w:val="10"/>
              </w:rPr>
            </w:pPr>
            <w:r>
              <w:rPr>
                <w:sz w:val="10"/>
              </w:rPr>
              <w:t>0.09</w:t>
            </w:r>
          </w:p>
        </w:tc>
        <w:tc>
          <w:tcPr>
            <w:tcW w:w="1007" w:type="dxa"/>
            <w:tcBorders>
              <w:top w:val="nil"/>
              <w:left w:val="nil"/>
              <w:bottom w:val="nil"/>
              <w:right w:val="nil"/>
            </w:tcBorders>
          </w:tcPr>
          <w:p>
            <w:pPr>
              <w:pStyle w:val="TableParagraph"/>
              <w:spacing w:before="3"/>
              <w:rPr>
                <w:sz w:val="8"/>
              </w:rPr>
            </w:pPr>
          </w:p>
          <w:p>
            <w:pPr>
              <w:pStyle w:val="TableParagraph"/>
              <w:ind w:left="267" w:right="310"/>
              <w:jc w:val="center"/>
              <w:rPr>
                <w:sz w:val="10"/>
              </w:rPr>
            </w:pPr>
            <w:r>
              <w:rPr>
                <w:sz w:val="10"/>
              </w:rPr>
              <w:t>0.06</w:t>
            </w:r>
          </w:p>
        </w:tc>
        <w:tc>
          <w:tcPr>
            <w:tcW w:w="1002" w:type="dxa"/>
            <w:tcBorders>
              <w:top w:val="nil"/>
              <w:left w:val="nil"/>
              <w:bottom w:val="nil"/>
              <w:right w:val="nil"/>
            </w:tcBorders>
          </w:tcPr>
          <w:p>
            <w:pPr>
              <w:pStyle w:val="TableParagraph"/>
              <w:spacing w:before="3"/>
              <w:rPr>
                <w:sz w:val="8"/>
              </w:rPr>
            </w:pPr>
          </w:p>
          <w:p>
            <w:pPr>
              <w:pStyle w:val="TableParagraph"/>
              <w:ind w:left="310" w:right="271"/>
              <w:jc w:val="center"/>
              <w:rPr>
                <w:sz w:val="10"/>
              </w:rPr>
            </w:pPr>
            <w:r>
              <w:rPr>
                <w:sz w:val="10"/>
              </w:rPr>
              <w:t>0.01</w:t>
            </w:r>
          </w:p>
        </w:tc>
      </w:tr>
      <w:tr>
        <w:trPr>
          <w:trHeight w:val="300" w:hRule="exact"/>
        </w:trPr>
        <w:tc>
          <w:tcPr>
            <w:tcW w:w="2195" w:type="dxa"/>
            <w:tcBorders>
              <w:top w:val="nil"/>
              <w:left w:val="nil"/>
              <w:bottom w:val="nil"/>
              <w:right w:val="nil"/>
            </w:tcBorders>
          </w:tcPr>
          <w:p>
            <w:pPr>
              <w:pStyle w:val="TableParagraph"/>
              <w:rPr>
                <w:sz w:val="8"/>
              </w:rPr>
            </w:pPr>
          </w:p>
          <w:p>
            <w:pPr>
              <w:pStyle w:val="TableParagraph"/>
              <w:ind w:left="86"/>
              <w:rPr>
                <w:sz w:val="10"/>
              </w:rPr>
            </w:pPr>
            <w:r>
              <w:rPr>
                <w:sz w:val="10"/>
              </w:rPr>
              <w:t>Margárico, C17:0</w:t>
            </w:r>
          </w:p>
        </w:tc>
        <w:tc>
          <w:tcPr>
            <w:tcW w:w="1635" w:type="dxa"/>
            <w:tcBorders>
              <w:top w:val="nil"/>
              <w:left w:val="nil"/>
              <w:bottom w:val="nil"/>
              <w:right w:val="nil"/>
            </w:tcBorders>
          </w:tcPr>
          <w:p>
            <w:pPr>
              <w:pStyle w:val="TableParagraph"/>
              <w:spacing w:before="9"/>
              <w:rPr>
                <w:sz w:val="7"/>
              </w:rPr>
            </w:pPr>
          </w:p>
          <w:p>
            <w:pPr>
              <w:pStyle w:val="TableParagraph"/>
              <w:ind w:right="422"/>
              <w:jc w:val="right"/>
              <w:rPr>
                <w:sz w:val="6"/>
              </w:rPr>
            </w:pPr>
            <w:r>
              <w:rPr>
                <w:sz w:val="10"/>
              </w:rPr>
              <w:t>0.94</w:t>
            </w:r>
            <w:r>
              <w:rPr>
                <w:position w:val="4"/>
                <w:sz w:val="6"/>
              </w:rPr>
              <w:t>a</w:t>
            </w:r>
          </w:p>
        </w:tc>
        <w:tc>
          <w:tcPr>
            <w:tcW w:w="1032" w:type="dxa"/>
            <w:tcBorders>
              <w:top w:val="nil"/>
              <w:left w:val="nil"/>
              <w:bottom w:val="nil"/>
              <w:right w:val="nil"/>
            </w:tcBorders>
          </w:tcPr>
          <w:p>
            <w:pPr>
              <w:pStyle w:val="TableParagraph"/>
              <w:spacing w:before="9"/>
              <w:rPr>
                <w:sz w:val="7"/>
              </w:rPr>
            </w:pPr>
          </w:p>
          <w:p>
            <w:pPr>
              <w:pStyle w:val="TableParagraph"/>
              <w:ind w:left="378" w:right="330"/>
              <w:jc w:val="center"/>
              <w:rPr>
                <w:sz w:val="6"/>
              </w:rPr>
            </w:pPr>
            <w:r>
              <w:rPr>
                <w:sz w:val="10"/>
              </w:rPr>
              <w:t>0.87</w:t>
            </w:r>
            <w:r>
              <w:rPr>
                <w:position w:val="4"/>
                <w:sz w:val="6"/>
              </w:rPr>
              <w:t>b</w:t>
            </w:r>
          </w:p>
        </w:tc>
        <w:tc>
          <w:tcPr>
            <w:tcW w:w="952" w:type="dxa"/>
            <w:tcBorders>
              <w:top w:val="nil"/>
              <w:left w:val="nil"/>
              <w:bottom w:val="nil"/>
              <w:right w:val="nil"/>
            </w:tcBorders>
          </w:tcPr>
          <w:p>
            <w:pPr>
              <w:pStyle w:val="TableParagraph"/>
              <w:rPr>
                <w:sz w:val="8"/>
              </w:rPr>
            </w:pPr>
          </w:p>
          <w:p>
            <w:pPr>
              <w:pStyle w:val="TableParagraph"/>
              <w:ind w:right="373"/>
              <w:jc w:val="right"/>
              <w:rPr>
                <w:sz w:val="10"/>
              </w:rPr>
            </w:pPr>
            <w:r>
              <w:rPr>
                <w:sz w:val="10"/>
              </w:rPr>
              <w:t>0.02</w:t>
            </w:r>
          </w:p>
        </w:tc>
        <w:tc>
          <w:tcPr>
            <w:tcW w:w="981" w:type="dxa"/>
            <w:tcBorders>
              <w:top w:val="nil"/>
              <w:left w:val="nil"/>
              <w:bottom w:val="nil"/>
              <w:right w:val="nil"/>
            </w:tcBorders>
          </w:tcPr>
          <w:p>
            <w:pPr>
              <w:pStyle w:val="TableParagraph"/>
              <w:spacing w:before="9"/>
              <w:rPr>
                <w:sz w:val="7"/>
              </w:rPr>
            </w:pPr>
          </w:p>
          <w:p>
            <w:pPr>
              <w:pStyle w:val="TableParagraph"/>
              <w:ind w:left="45" w:right="34"/>
              <w:jc w:val="center"/>
              <w:rPr>
                <w:sz w:val="6"/>
              </w:rPr>
            </w:pPr>
            <w:r>
              <w:rPr>
                <w:sz w:val="10"/>
              </w:rPr>
              <w:t>0.72</w:t>
            </w:r>
            <w:r>
              <w:rPr>
                <w:position w:val="4"/>
                <w:sz w:val="6"/>
              </w:rPr>
              <w:t>a</w:t>
            </w:r>
          </w:p>
        </w:tc>
        <w:tc>
          <w:tcPr>
            <w:tcW w:w="1230" w:type="dxa"/>
            <w:tcBorders>
              <w:top w:val="nil"/>
              <w:left w:val="nil"/>
              <w:bottom w:val="nil"/>
              <w:right w:val="nil"/>
            </w:tcBorders>
          </w:tcPr>
          <w:p>
            <w:pPr>
              <w:pStyle w:val="TableParagraph"/>
              <w:spacing w:before="9"/>
              <w:rPr>
                <w:sz w:val="7"/>
              </w:rPr>
            </w:pPr>
          </w:p>
          <w:p>
            <w:pPr>
              <w:pStyle w:val="TableParagraph"/>
              <w:ind w:left="369"/>
              <w:rPr>
                <w:sz w:val="6"/>
              </w:rPr>
            </w:pPr>
            <w:r>
              <w:rPr>
                <w:sz w:val="10"/>
              </w:rPr>
              <w:t>0.82</w:t>
            </w:r>
            <w:r>
              <w:rPr>
                <w:position w:val="4"/>
                <w:sz w:val="6"/>
              </w:rPr>
              <w:t>a</w:t>
            </w:r>
          </w:p>
        </w:tc>
        <w:tc>
          <w:tcPr>
            <w:tcW w:w="700" w:type="dxa"/>
            <w:tcBorders>
              <w:top w:val="nil"/>
              <w:left w:val="nil"/>
              <w:bottom w:val="nil"/>
              <w:right w:val="nil"/>
            </w:tcBorders>
          </w:tcPr>
          <w:p>
            <w:pPr>
              <w:pStyle w:val="TableParagraph"/>
              <w:spacing w:before="9"/>
              <w:rPr>
                <w:sz w:val="7"/>
              </w:rPr>
            </w:pPr>
          </w:p>
          <w:p>
            <w:pPr>
              <w:pStyle w:val="TableParagraph"/>
              <w:ind w:left="63" w:right="311"/>
              <w:jc w:val="center"/>
              <w:rPr>
                <w:sz w:val="6"/>
              </w:rPr>
            </w:pPr>
            <w:r>
              <w:rPr>
                <w:sz w:val="10"/>
              </w:rPr>
              <w:t>1.01</w:t>
            </w:r>
            <w:r>
              <w:rPr>
                <w:position w:val="4"/>
                <w:sz w:val="6"/>
              </w:rPr>
              <w:t>b</w:t>
            </w:r>
          </w:p>
        </w:tc>
        <w:tc>
          <w:tcPr>
            <w:tcW w:w="967" w:type="dxa"/>
            <w:tcBorders>
              <w:top w:val="nil"/>
              <w:left w:val="nil"/>
              <w:bottom w:val="nil"/>
              <w:right w:val="nil"/>
            </w:tcBorders>
          </w:tcPr>
          <w:p>
            <w:pPr>
              <w:pStyle w:val="TableParagraph"/>
              <w:spacing w:before="9"/>
              <w:rPr>
                <w:sz w:val="7"/>
              </w:rPr>
            </w:pPr>
          </w:p>
          <w:p>
            <w:pPr>
              <w:pStyle w:val="TableParagraph"/>
              <w:ind w:left="313" w:right="291"/>
              <w:jc w:val="center"/>
              <w:rPr>
                <w:sz w:val="6"/>
              </w:rPr>
            </w:pPr>
            <w:r>
              <w:rPr>
                <w:sz w:val="10"/>
              </w:rPr>
              <w:t>1.08</w:t>
            </w:r>
            <w:r>
              <w:rPr>
                <w:position w:val="4"/>
                <w:sz w:val="6"/>
              </w:rPr>
              <w:t>b</w:t>
            </w:r>
          </w:p>
        </w:tc>
        <w:tc>
          <w:tcPr>
            <w:tcW w:w="898" w:type="dxa"/>
            <w:tcBorders>
              <w:top w:val="nil"/>
              <w:left w:val="nil"/>
              <w:bottom w:val="nil"/>
              <w:right w:val="nil"/>
            </w:tcBorders>
          </w:tcPr>
          <w:p>
            <w:pPr>
              <w:pStyle w:val="TableParagraph"/>
              <w:rPr>
                <w:sz w:val="8"/>
              </w:rPr>
            </w:pPr>
          </w:p>
          <w:p>
            <w:pPr>
              <w:pStyle w:val="TableParagraph"/>
              <w:ind w:left="314"/>
              <w:rPr>
                <w:sz w:val="10"/>
              </w:rPr>
            </w:pPr>
            <w:r>
              <w:rPr>
                <w:sz w:val="10"/>
              </w:rPr>
              <w:t>0.04</w:t>
            </w:r>
          </w:p>
        </w:tc>
        <w:tc>
          <w:tcPr>
            <w:tcW w:w="1007" w:type="dxa"/>
            <w:tcBorders>
              <w:top w:val="nil"/>
              <w:left w:val="nil"/>
              <w:bottom w:val="nil"/>
              <w:right w:val="nil"/>
            </w:tcBorders>
          </w:tcPr>
          <w:p>
            <w:pPr>
              <w:pStyle w:val="TableParagraph"/>
              <w:rPr>
                <w:sz w:val="8"/>
              </w:rPr>
            </w:pPr>
          </w:p>
          <w:p>
            <w:pPr>
              <w:pStyle w:val="TableParagraph"/>
              <w:ind w:left="267" w:right="310"/>
              <w:jc w:val="center"/>
              <w:rPr>
                <w:sz w:val="10"/>
              </w:rPr>
            </w:pPr>
            <w:r>
              <w:rPr>
                <w:sz w:val="10"/>
              </w:rPr>
              <w:t>0.03</w:t>
            </w:r>
          </w:p>
        </w:tc>
        <w:tc>
          <w:tcPr>
            <w:tcW w:w="1002" w:type="dxa"/>
            <w:tcBorders>
              <w:top w:val="nil"/>
              <w:left w:val="nil"/>
              <w:bottom w:val="nil"/>
              <w:right w:val="nil"/>
            </w:tcBorders>
          </w:tcPr>
          <w:p>
            <w:pPr>
              <w:pStyle w:val="TableParagraph"/>
              <w:rPr>
                <w:sz w:val="8"/>
              </w:rPr>
            </w:pPr>
          </w:p>
          <w:p>
            <w:pPr>
              <w:pStyle w:val="TableParagraph"/>
              <w:ind w:left="310" w:right="271"/>
              <w:jc w:val="center"/>
              <w:rPr>
                <w:sz w:val="10"/>
              </w:rPr>
            </w:pPr>
            <w:r>
              <w:rPr>
                <w:sz w:val="10"/>
              </w:rPr>
              <w:t>0.01</w:t>
            </w:r>
          </w:p>
        </w:tc>
      </w:tr>
      <w:tr>
        <w:trPr>
          <w:trHeight w:val="300" w:hRule="exact"/>
        </w:trPr>
        <w:tc>
          <w:tcPr>
            <w:tcW w:w="2195" w:type="dxa"/>
            <w:tcBorders>
              <w:top w:val="nil"/>
              <w:left w:val="nil"/>
              <w:bottom w:val="nil"/>
              <w:right w:val="nil"/>
            </w:tcBorders>
          </w:tcPr>
          <w:p>
            <w:pPr>
              <w:pStyle w:val="TableParagraph"/>
              <w:spacing w:before="2"/>
              <w:rPr>
                <w:sz w:val="8"/>
              </w:rPr>
            </w:pPr>
          </w:p>
          <w:p>
            <w:pPr>
              <w:pStyle w:val="TableParagraph"/>
              <w:spacing w:before="1"/>
              <w:ind w:left="86"/>
              <w:rPr>
                <w:sz w:val="10"/>
              </w:rPr>
            </w:pPr>
            <w:r>
              <w:rPr>
                <w:sz w:val="10"/>
              </w:rPr>
              <w:t>Heptadecenoico, C17:1</w:t>
            </w:r>
          </w:p>
        </w:tc>
        <w:tc>
          <w:tcPr>
            <w:tcW w:w="1635" w:type="dxa"/>
            <w:tcBorders>
              <w:top w:val="nil"/>
              <w:left w:val="nil"/>
              <w:bottom w:val="nil"/>
              <w:right w:val="nil"/>
            </w:tcBorders>
          </w:tcPr>
          <w:p>
            <w:pPr>
              <w:pStyle w:val="TableParagraph"/>
              <w:rPr>
                <w:sz w:val="8"/>
              </w:rPr>
            </w:pPr>
          </w:p>
          <w:p>
            <w:pPr>
              <w:pStyle w:val="TableParagraph"/>
              <w:ind w:right="422"/>
              <w:jc w:val="right"/>
              <w:rPr>
                <w:sz w:val="6"/>
              </w:rPr>
            </w:pPr>
            <w:r>
              <w:rPr>
                <w:sz w:val="10"/>
              </w:rPr>
              <w:t>0.52</w:t>
            </w:r>
            <w:r>
              <w:rPr>
                <w:position w:val="4"/>
                <w:sz w:val="6"/>
              </w:rPr>
              <w:t>a</w:t>
            </w:r>
          </w:p>
        </w:tc>
        <w:tc>
          <w:tcPr>
            <w:tcW w:w="1032" w:type="dxa"/>
            <w:tcBorders>
              <w:top w:val="nil"/>
              <w:left w:val="nil"/>
              <w:bottom w:val="nil"/>
              <w:right w:val="nil"/>
            </w:tcBorders>
          </w:tcPr>
          <w:p>
            <w:pPr>
              <w:pStyle w:val="TableParagraph"/>
              <w:rPr>
                <w:sz w:val="8"/>
              </w:rPr>
            </w:pPr>
          </w:p>
          <w:p>
            <w:pPr>
              <w:pStyle w:val="TableParagraph"/>
              <w:ind w:left="378" w:right="330"/>
              <w:jc w:val="center"/>
              <w:rPr>
                <w:sz w:val="6"/>
              </w:rPr>
            </w:pPr>
            <w:r>
              <w:rPr>
                <w:sz w:val="10"/>
              </w:rPr>
              <w:t>0.30</w:t>
            </w:r>
            <w:r>
              <w:rPr>
                <w:position w:val="4"/>
                <w:sz w:val="6"/>
              </w:rPr>
              <w:t>b</w:t>
            </w:r>
          </w:p>
        </w:tc>
        <w:tc>
          <w:tcPr>
            <w:tcW w:w="952" w:type="dxa"/>
            <w:tcBorders>
              <w:top w:val="nil"/>
              <w:left w:val="nil"/>
              <w:bottom w:val="nil"/>
              <w:right w:val="nil"/>
            </w:tcBorders>
          </w:tcPr>
          <w:p>
            <w:pPr>
              <w:pStyle w:val="TableParagraph"/>
              <w:spacing w:before="2"/>
              <w:rPr>
                <w:sz w:val="8"/>
              </w:rPr>
            </w:pPr>
          </w:p>
          <w:p>
            <w:pPr>
              <w:pStyle w:val="TableParagraph"/>
              <w:spacing w:before="1"/>
              <w:ind w:right="373"/>
              <w:jc w:val="right"/>
              <w:rPr>
                <w:sz w:val="10"/>
              </w:rPr>
            </w:pPr>
            <w:r>
              <w:rPr>
                <w:sz w:val="10"/>
              </w:rPr>
              <w:t>0.03</w:t>
            </w:r>
          </w:p>
        </w:tc>
        <w:tc>
          <w:tcPr>
            <w:tcW w:w="981" w:type="dxa"/>
            <w:tcBorders>
              <w:top w:val="nil"/>
              <w:left w:val="nil"/>
              <w:bottom w:val="nil"/>
              <w:right w:val="nil"/>
            </w:tcBorders>
          </w:tcPr>
          <w:p>
            <w:pPr>
              <w:pStyle w:val="TableParagraph"/>
              <w:rPr>
                <w:sz w:val="8"/>
              </w:rPr>
            </w:pPr>
          </w:p>
          <w:p>
            <w:pPr>
              <w:pStyle w:val="TableParagraph"/>
              <w:ind w:left="45" w:right="34"/>
              <w:jc w:val="center"/>
              <w:rPr>
                <w:sz w:val="6"/>
              </w:rPr>
            </w:pPr>
            <w:r>
              <w:rPr>
                <w:sz w:val="10"/>
              </w:rPr>
              <w:t>0.42</w:t>
            </w:r>
            <w:r>
              <w:rPr>
                <w:position w:val="4"/>
                <w:sz w:val="6"/>
              </w:rPr>
              <w:t>a</w:t>
            </w:r>
          </w:p>
        </w:tc>
        <w:tc>
          <w:tcPr>
            <w:tcW w:w="1230" w:type="dxa"/>
            <w:tcBorders>
              <w:top w:val="nil"/>
              <w:left w:val="nil"/>
              <w:bottom w:val="nil"/>
              <w:right w:val="nil"/>
            </w:tcBorders>
          </w:tcPr>
          <w:p>
            <w:pPr>
              <w:pStyle w:val="TableParagraph"/>
              <w:rPr>
                <w:sz w:val="8"/>
              </w:rPr>
            </w:pPr>
          </w:p>
          <w:p>
            <w:pPr>
              <w:pStyle w:val="TableParagraph"/>
              <w:ind w:left="369"/>
              <w:rPr>
                <w:sz w:val="6"/>
              </w:rPr>
            </w:pPr>
            <w:r>
              <w:rPr>
                <w:sz w:val="10"/>
              </w:rPr>
              <w:t>0.34</w:t>
            </w:r>
            <w:r>
              <w:rPr>
                <w:position w:val="4"/>
                <w:sz w:val="6"/>
              </w:rPr>
              <w:t>a</w:t>
            </w:r>
          </w:p>
        </w:tc>
        <w:tc>
          <w:tcPr>
            <w:tcW w:w="700" w:type="dxa"/>
            <w:tcBorders>
              <w:top w:val="nil"/>
              <w:left w:val="nil"/>
              <w:bottom w:val="nil"/>
              <w:right w:val="nil"/>
            </w:tcBorders>
          </w:tcPr>
          <w:p>
            <w:pPr>
              <w:pStyle w:val="TableParagraph"/>
              <w:rPr>
                <w:sz w:val="8"/>
              </w:rPr>
            </w:pPr>
          </w:p>
          <w:p>
            <w:pPr>
              <w:pStyle w:val="TableParagraph"/>
              <w:ind w:left="57" w:right="311"/>
              <w:jc w:val="center"/>
              <w:rPr>
                <w:sz w:val="6"/>
              </w:rPr>
            </w:pPr>
            <w:r>
              <w:rPr>
                <w:sz w:val="10"/>
              </w:rPr>
              <w:t>0.55</w:t>
            </w:r>
            <w:r>
              <w:rPr>
                <w:position w:val="4"/>
                <w:sz w:val="6"/>
              </w:rPr>
              <w:t>ab</w:t>
            </w:r>
          </w:p>
        </w:tc>
        <w:tc>
          <w:tcPr>
            <w:tcW w:w="967" w:type="dxa"/>
            <w:tcBorders>
              <w:top w:val="nil"/>
              <w:left w:val="nil"/>
              <w:bottom w:val="nil"/>
              <w:right w:val="nil"/>
            </w:tcBorders>
          </w:tcPr>
          <w:p>
            <w:pPr>
              <w:pStyle w:val="TableParagraph"/>
              <w:rPr>
                <w:sz w:val="8"/>
              </w:rPr>
            </w:pPr>
          </w:p>
          <w:p>
            <w:pPr>
              <w:pStyle w:val="TableParagraph"/>
              <w:ind w:left="310" w:right="297"/>
              <w:jc w:val="center"/>
              <w:rPr>
                <w:sz w:val="6"/>
              </w:rPr>
            </w:pPr>
            <w:r>
              <w:rPr>
                <w:sz w:val="10"/>
              </w:rPr>
              <w:t>0.31</w:t>
            </w:r>
            <w:r>
              <w:rPr>
                <w:position w:val="4"/>
                <w:sz w:val="6"/>
              </w:rPr>
              <w:t>ac</w:t>
            </w:r>
          </w:p>
        </w:tc>
        <w:tc>
          <w:tcPr>
            <w:tcW w:w="898" w:type="dxa"/>
            <w:tcBorders>
              <w:top w:val="nil"/>
              <w:left w:val="nil"/>
              <w:bottom w:val="nil"/>
              <w:right w:val="nil"/>
            </w:tcBorders>
          </w:tcPr>
          <w:p>
            <w:pPr>
              <w:pStyle w:val="TableParagraph"/>
              <w:spacing w:before="2"/>
              <w:rPr>
                <w:sz w:val="8"/>
              </w:rPr>
            </w:pPr>
          </w:p>
          <w:p>
            <w:pPr>
              <w:pStyle w:val="TableParagraph"/>
              <w:spacing w:before="1"/>
              <w:ind w:left="314"/>
              <w:rPr>
                <w:sz w:val="10"/>
              </w:rPr>
            </w:pPr>
            <w:r>
              <w:rPr>
                <w:sz w:val="10"/>
              </w:rPr>
              <w:t>0.04</w:t>
            </w:r>
          </w:p>
        </w:tc>
        <w:tc>
          <w:tcPr>
            <w:tcW w:w="1007" w:type="dxa"/>
            <w:tcBorders>
              <w:top w:val="nil"/>
              <w:left w:val="nil"/>
              <w:bottom w:val="nil"/>
              <w:right w:val="nil"/>
            </w:tcBorders>
          </w:tcPr>
          <w:p>
            <w:pPr>
              <w:pStyle w:val="TableParagraph"/>
              <w:spacing w:before="2"/>
              <w:rPr>
                <w:sz w:val="8"/>
              </w:rPr>
            </w:pPr>
          </w:p>
          <w:p>
            <w:pPr>
              <w:pStyle w:val="TableParagraph"/>
              <w:spacing w:before="1"/>
              <w:ind w:left="267" w:right="310"/>
              <w:jc w:val="center"/>
              <w:rPr>
                <w:sz w:val="10"/>
              </w:rPr>
            </w:pPr>
            <w:r>
              <w:rPr>
                <w:sz w:val="10"/>
              </w:rPr>
              <w:t>0.01</w:t>
            </w:r>
          </w:p>
        </w:tc>
        <w:tc>
          <w:tcPr>
            <w:tcW w:w="1002" w:type="dxa"/>
            <w:tcBorders>
              <w:top w:val="nil"/>
              <w:left w:val="nil"/>
              <w:bottom w:val="nil"/>
              <w:right w:val="nil"/>
            </w:tcBorders>
          </w:tcPr>
          <w:p>
            <w:pPr>
              <w:pStyle w:val="TableParagraph"/>
              <w:spacing w:before="2"/>
              <w:rPr>
                <w:sz w:val="8"/>
              </w:rPr>
            </w:pPr>
          </w:p>
          <w:p>
            <w:pPr>
              <w:pStyle w:val="TableParagraph"/>
              <w:spacing w:before="1"/>
              <w:ind w:left="310" w:right="271"/>
              <w:jc w:val="center"/>
              <w:rPr>
                <w:sz w:val="10"/>
              </w:rPr>
            </w:pPr>
            <w:r>
              <w:rPr>
                <w:sz w:val="10"/>
              </w:rPr>
              <w:t>0.01</w:t>
            </w:r>
          </w:p>
        </w:tc>
      </w:tr>
      <w:tr>
        <w:trPr>
          <w:trHeight w:val="304" w:hRule="exact"/>
        </w:trPr>
        <w:tc>
          <w:tcPr>
            <w:tcW w:w="2195" w:type="dxa"/>
            <w:tcBorders>
              <w:top w:val="nil"/>
              <w:left w:val="nil"/>
              <w:bottom w:val="nil"/>
              <w:right w:val="nil"/>
            </w:tcBorders>
          </w:tcPr>
          <w:p>
            <w:pPr>
              <w:pStyle w:val="TableParagraph"/>
              <w:rPr>
                <w:sz w:val="8"/>
              </w:rPr>
            </w:pPr>
          </w:p>
          <w:p>
            <w:pPr>
              <w:pStyle w:val="TableParagraph"/>
              <w:ind w:left="86"/>
              <w:rPr>
                <w:sz w:val="10"/>
              </w:rPr>
            </w:pPr>
            <w:r>
              <w:rPr>
                <w:sz w:val="10"/>
              </w:rPr>
              <w:t>Esteárico, C18:0</w:t>
            </w:r>
          </w:p>
        </w:tc>
        <w:tc>
          <w:tcPr>
            <w:tcW w:w="1635" w:type="dxa"/>
            <w:tcBorders>
              <w:top w:val="nil"/>
              <w:left w:val="nil"/>
              <w:bottom w:val="nil"/>
              <w:right w:val="nil"/>
            </w:tcBorders>
          </w:tcPr>
          <w:p>
            <w:pPr>
              <w:pStyle w:val="TableParagraph"/>
              <w:spacing w:before="9"/>
              <w:rPr>
                <w:sz w:val="7"/>
              </w:rPr>
            </w:pPr>
          </w:p>
          <w:p>
            <w:pPr>
              <w:pStyle w:val="TableParagraph"/>
              <w:ind w:right="393"/>
              <w:jc w:val="right"/>
              <w:rPr>
                <w:sz w:val="6"/>
              </w:rPr>
            </w:pPr>
            <w:r>
              <w:rPr>
                <w:sz w:val="10"/>
              </w:rPr>
              <w:t>11.27</w:t>
            </w:r>
            <w:r>
              <w:rPr>
                <w:position w:val="4"/>
                <w:sz w:val="6"/>
              </w:rPr>
              <w:t>a</w:t>
            </w:r>
          </w:p>
        </w:tc>
        <w:tc>
          <w:tcPr>
            <w:tcW w:w="1032" w:type="dxa"/>
            <w:tcBorders>
              <w:top w:val="nil"/>
              <w:left w:val="nil"/>
              <w:bottom w:val="nil"/>
              <w:right w:val="nil"/>
            </w:tcBorders>
          </w:tcPr>
          <w:p>
            <w:pPr>
              <w:pStyle w:val="TableParagraph"/>
              <w:spacing w:before="9"/>
              <w:rPr>
                <w:sz w:val="7"/>
              </w:rPr>
            </w:pPr>
          </w:p>
          <w:p>
            <w:pPr>
              <w:pStyle w:val="TableParagraph"/>
              <w:ind w:left="378" w:right="330"/>
              <w:jc w:val="center"/>
              <w:rPr>
                <w:sz w:val="6"/>
              </w:rPr>
            </w:pPr>
            <w:r>
              <w:rPr>
                <w:sz w:val="10"/>
              </w:rPr>
              <w:t>12.73</w:t>
            </w:r>
            <w:r>
              <w:rPr>
                <w:position w:val="4"/>
                <w:sz w:val="6"/>
              </w:rPr>
              <w:t>b</w:t>
            </w:r>
          </w:p>
        </w:tc>
        <w:tc>
          <w:tcPr>
            <w:tcW w:w="952" w:type="dxa"/>
            <w:tcBorders>
              <w:top w:val="nil"/>
              <w:left w:val="nil"/>
              <w:bottom w:val="nil"/>
              <w:right w:val="nil"/>
            </w:tcBorders>
          </w:tcPr>
          <w:p>
            <w:pPr>
              <w:pStyle w:val="TableParagraph"/>
              <w:rPr>
                <w:sz w:val="8"/>
              </w:rPr>
            </w:pPr>
          </w:p>
          <w:p>
            <w:pPr>
              <w:pStyle w:val="TableParagraph"/>
              <w:ind w:right="373"/>
              <w:jc w:val="right"/>
              <w:rPr>
                <w:sz w:val="10"/>
              </w:rPr>
            </w:pPr>
            <w:r>
              <w:rPr>
                <w:sz w:val="10"/>
              </w:rPr>
              <w:t>0.15</w:t>
            </w:r>
          </w:p>
        </w:tc>
        <w:tc>
          <w:tcPr>
            <w:tcW w:w="981" w:type="dxa"/>
            <w:tcBorders>
              <w:top w:val="nil"/>
              <w:left w:val="nil"/>
              <w:bottom w:val="nil"/>
              <w:right w:val="nil"/>
            </w:tcBorders>
          </w:tcPr>
          <w:p>
            <w:pPr>
              <w:pStyle w:val="TableParagraph"/>
              <w:spacing w:before="9"/>
              <w:rPr>
                <w:sz w:val="7"/>
              </w:rPr>
            </w:pPr>
          </w:p>
          <w:p>
            <w:pPr>
              <w:pStyle w:val="TableParagraph"/>
              <w:ind w:left="45" w:right="34"/>
              <w:jc w:val="center"/>
              <w:rPr>
                <w:sz w:val="6"/>
              </w:rPr>
            </w:pPr>
            <w:r>
              <w:rPr>
                <w:sz w:val="10"/>
              </w:rPr>
              <w:t>12.93</w:t>
            </w:r>
            <w:r>
              <w:rPr>
                <w:position w:val="4"/>
                <w:sz w:val="6"/>
              </w:rPr>
              <w:t>a</w:t>
            </w:r>
          </w:p>
        </w:tc>
        <w:tc>
          <w:tcPr>
            <w:tcW w:w="1230" w:type="dxa"/>
            <w:tcBorders>
              <w:top w:val="nil"/>
              <w:left w:val="nil"/>
              <w:bottom w:val="nil"/>
              <w:right w:val="nil"/>
            </w:tcBorders>
          </w:tcPr>
          <w:p>
            <w:pPr>
              <w:pStyle w:val="TableParagraph"/>
              <w:spacing w:before="9"/>
              <w:rPr>
                <w:sz w:val="7"/>
              </w:rPr>
            </w:pPr>
          </w:p>
          <w:p>
            <w:pPr>
              <w:pStyle w:val="TableParagraph"/>
              <w:ind w:left="369"/>
              <w:rPr>
                <w:sz w:val="6"/>
              </w:rPr>
            </w:pPr>
            <w:r>
              <w:rPr>
                <w:sz w:val="10"/>
              </w:rPr>
              <w:t>12.4</w:t>
            </w:r>
            <w:r>
              <w:rPr>
                <w:position w:val="4"/>
                <w:sz w:val="6"/>
              </w:rPr>
              <w:t>a</w:t>
            </w:r>
          </w:p>
        </w:tc>
        <w:tc>
          <w:tcPr>
            <w:tcW w:w="700" w:type="dxa"/>
            <w:tcBorders>
              <w:top w:val="nil"/>
              <w:left w:val="nil"/>
              <w:bottom w:val="nil"/>
              <w:right w:val="nil"/>
            </w:tcBorders>
          </w:tcPr>
          <w:p>
            <w:pPr>
              <w:pStyle w:val="TableParagraph"/>
              <w:spacing w:before="9"/>
              <w:rPr>
                <w:sz w:val="7"/>
              </w:rPr>
            </w:pPr>
          </w:p>
          <w:p>
            <w:pPr>
              <w:pStyle w:val="TableParagraph"/>
              <w:ind w:left="63" w:right="311"/>
              <w:jc w:val="center"/>
              <w:rPr>
                <w:sz w:val="6"/>
              </w:rPr>
            </w:pPr>
            <w:r>
              <w:rPr>
                <w:sz w:val="10"/>
              </w:rPr>
              <w:t>11.01</w:t>
            </w:r>
            <w:r>
              <w:rPr>
                <w:position w:val="4"/>
                <w:sz w:val="6"/>
              </w:rPr>
              <w:t>b</w:t>
            </w:r>
          </w:p>
        </w:tc>
        <w:tc>
          <w:tcPr>
            <w:tcW w:w="967" w:type="dxa"/>
            <w:tcBorders>
              <w:top w:val="nil"/>
              <w:left w:val="nil"/>
              <w:bottom w:val="nil"/>
              <w:right w:val="nil"/>
            </w:tcBorders>
          </w:tcPr>
          <w:p>
            <w:pPr>
              <w:pStyle w:val="TableParagraph"/>
              <w:spacing w:before="9"/>
              <w:rPr>
                <w:sz w:val="7"/>
              </w:rPr>
            </w:pPr>
          </w:p>
          <w:p>
            <w:pPr>
              <w:pStyle w:val="TableParagraph"/>
              <w:ind w:left="313" w:right="297"/>
              <w:jc w:val="center"/>
              <w:rPr>
                <w:sz w:val="6"/>
              </w:rPr>
            </w:pPr>
            <w:r>
              <w:rPr>
                <w:sz w:val="10"/>
              </w:rPr>
              <w:t>11.66</w:t>
            </w:r>
            <w:r>
              <w:rPr>
                <w:position w:val="4"/>
                <w:sz w:val="6"/>
              </w:rPr>
              <w:t>ab</w:t>
            </w:r>
          </w:p>
        </w:tc>
        <w:tc>
          <w:tcPr>
            <w:tcW w:w="898" w:type="dxa"/>
            <w:tcBorders>
              <w:top w:val="nil"/>
              <w:left w:val="nil"/>
              <w:bottom w:val="nil"/>
              <w:right w:val="nil"/>
            </w:tcBorders>
          </w:tcPr>
          <w:p>
            <w:pPr>
              <w:pStyle w:val="TableParagraph"/>
              <w:rPr>
                <w:sz w:val="8"/>
              </w:rPr>
            </w:pPr>
          </w:p>
          <w:p>
            <w:pPr>
              <w:pStyle w:val="TableParagraph"/>
              <w:ind w:left="314"/>
              <w:rPr>
                <w:sz w:val="10"/>
              </w:rPr>
            </w:pPr>
            <w:r>
              <w:rPr>
                <w:sz w:val="10"/>
              </w:rPr>
              <w:t>0.22</w:t>
            </w:r>
          </w:p>
        </w:tc>
        <w:tc>
          <w:tcPr>
            <w:tcW w:w="1007" w:type="dxa"/>
            <w:tcBorders>
              <w:top w:val="nil"/>
              <w:left w:val="nil"/>
              <w:bottom w:val="nil"/>
              <w:right w:val="nil"/>
            </w:tcBorders>
          </w:tcPr>
          <w:p>
            <w:pPr>
              <w:pStyle w:val="TableParagraph"/>
              <w:rPr>
                <w:sz w:val="8"/>
              </w:rPr>
            </w:pPr>
          </w:p>
          <w:p>
            <w:pPr>
              <w:pStyle w:val="TableParagraph"/>
              <w:ind w:left="267" w:right="310"/>
              <w:jc w:val="center"/>
              <w:rPr>
                <w:sz w:val="10"/>
              </w:rPr>
            </w:pPr>
            <w:r>
              <w:rPr>
                <w:sz w:val="10"/>
              </w:rPr>
              <w:t>0.01</w:t>
            </w:r>
          </w:p>
        </w:tc>
        <w:tc>
          <w:tcPr>
            <w:tcW w:w="1002" w:type="dxa"/>
            <w:tcBorders>
              <w:top w:val="nil"/>
              <w:left w:val="nil"/>
              <w:bottom w:val="nil"/>
              <w:right w:val="nil"/>
            </w:tcBorders>
          </w:tcPr>
          <w:p>
            <w:pPr>
              <w:pStyle w:val="TableParagraph"/>
              <w:rPr>
                <w:sz w:val="8"/>
              </w:rPr>
            </w:pPr>
          </w:p>
          <w:p>
            <w:pPr>
              <w:pStyle w:val="TableParagraph"/>
              <w:ind w:left="310" w:right="271"/>
              <w:jc w:val="center"/>
              <w:rPr>
                <w:sz w:val="10"/>
              </w:rPr>
            </w:pPr>
            <w:r>
              <w:rPr>
                <w:sz w:val="10"/>
              </w:rPr>
              <w:t>0.01</w:t>
            </w:r>
          </w:p>
        </w:tc>
      </w:tr>
      <w:tr>
        <w:trPr>
          <w:trHeight w:val="297" w:hRule="exact"/>
        </w:trPr>
        <w:tc>
          <w:tcPr>
            <w:tcW w:w="2195" w:type="dxa"/>
            <w:tcBorders>
              <w:top w:val="nil"/>
              <w:left w:val="nil"/>
              <w:bottom w:val="nil"/>
              <w:right w:val="nil"/>
            </w:tcBorders>
          </w:tcPr>
          <w:p>
            <w:pPr>
              <w:pStyle w:val="TableParagraph"/>
              <w:spacing w:before="11"/>
              <w:rPr>
                <w:sz w:val="7"/>
              </w:rPr>
            </w:pPr>
          </w:p>
          <w:p>
            <w:pPr>
              <w:pStyle w:val="TableParagraph"/>
              <w:ind w:left="86"/>
              <w:rPr>
                <w:sz w:val="10"/>
              </w:rPr>
            </w:pPr>
            <w:r>
              <w:rPr>
                <w:sz w:val="10"/>
              </w:rPr>
              <w:t>Oleico, C18:1</w:t>
            </w:r>
          </w:p>
        </w:tc>
        <w:tc>
          <w:tcPr>
            <w:tcW w:w="1635" w:type="dxa"/>
            <w:tcBorders>
              <w:top w:val="nil"/>
              <w:left w:val="nil"/>
              <w:bottom w:val="nil"/>
              <w:right w:val="nil"/>
            </w:tcBorders>
          </w:tcPr>
          <w:p>
            <w:pPr>
              <w:pStyle w:val="TableParagraph"/>
              <w:spacing w:before="11"/>
              <w:rPr>
                <w:sz w:val="7"/>
              </w:rPr>
            </w:pPr>
          </w:p>
          <w:p>
            <w:pPr>
              <w:pStyle w:val="TableParagraph"/>
              <w:ind w:right="415"/>
              <w:jc w:val="right"/>
              <w:rPr>
                <w:sz w:val="10"/>
              </w:rPr>
            </w:pPr>
            <w:r>
              <w:rPr>
                <w:sz w:val="10"/>
              </w:rPr>
              <w:t>32.17</w:t>
            </w:r>
          </w:p>
        </w:tc>
        <w:tc>
          <w:tcPr>
            <w:tcW w:w="1032" w:type="dxa"/>
            <w:tcBorders>
              <w:top w:val="nil"/>
              <w:left w:val="nil"/>
              <w:bottom w:val="nil"/>
              <w:right w:val="nil"/>
            </w:tcBorders>
          </w:tcPr>
          <w:p>
            <w:pPr>
              <w:pStyle w:val="TableParagraph"/>
              <w:spacing w:before="11"/>
              <w:rPr>
                <w:sz w:val="7"/>
              </w:rPr>
            </w:pPr>
          </w:p>
          <w:p>
            <w:pPr>
              <w:pStyle w:val="TableParagraph"/>
              <w:ind w:left="370" w:right="330"/>
              <w:jc w:val="center"/>
              <w:rPr>
                <w:sz w:val="10"/>
              </w:rPr>
            </w:pPr>
            <w:r>
              <w:rPr>
                <w:sz w:val="10"/>
              </w:rPr>
              <w:t>32.08</w:t>
            </w:r>
          </w:p>
        </w:tc>
        <w:tc>
          <w:tcPr>
            <w:tcW w:w="952" w:type="dxa"/>
            <w:tcBorders>
              <w:top w:val="nil"/>
              <w:left w:val="nil"/>
              <w:bottom w:val="nil"/>
              <w:right w:val="nil"/>
            </w:tcBorders>
          </w:tcPr>
          <w:p>
            <w:pPr>
              <w:pStyle w:val="TableParagraph"/>
              <w:spacing w:before="11"/>
              <w:rPr>
                <w:sz w:val="7"/>
              </w:rPr>
            </w:pPr>
          </w:p>
          <w:p>
            <w:pPr>
              <w:pStyle w:val="TableParagraph"/>
              <w:ind w:right="373"/>
              <w:jc w:val="right"/>
              <w:rPr>
                <w:sz w:val="10"/>
              </w:rPr>
            </w:pPr>
            <w:r>
              <w:rPr>
                <w:sz w:val="10"/>
              </w:rPr>
              <w:t>0.35</w:t>
            </w:r>
          </w:p>
        </w:tc>
        <w:tc>
          <w:tcPr>
            <w:tcW w:w="981" w:type="dxa"/>
            <w:tcBorders>
              <w:top w:val="nil"/>
              <w:left w:val="nil"/>
              <w:bottom w:val="nil"/>
              <w:right w:val="nil"/>
            </w:tcBorders>
          </w:tcPr>
          <w:p>
            <w:pPr>
              <w:pStyle w:val="TableParagraph"/>
              <w:spacing w:before="11"/>
              <w:rPr>
                <w:sz w:val="7"/>
              </w:rPr>
            </w:pPr>
          </w:p>
          <w:p>
            <w:pPr>
              <w:pStyle w:val="TableParagraph"/>
              <w:ind w:left="45" w:right="42"/>
              <w:jc w:val="center"/>
              <w:rPr>
                <w:sz w:val="10"/>
              </w:rPr>
            </w:pPr>
            <w:r>
              <w:rPr>
                <w:sz w:val="10"/>
              </w:rPr>
              <w:t>32.32</w:t>
            </w:r>
          </w:p>
        </w:tc>
        <w:tc>
          <w:tcPr>
            <w:tcW w:w="1230" w:type="dxa"/>
            <w:tcBorders>
              <w:top w:val="nil"/>
              <w:left w:val="nil"/>
              <w:bottom w:val="nil"/>
              <w:right w:val="nil"/>
            </w:tcBorders>
          </w:tcPr>
          <w:p>
            <w:pPr>
              <w:pStyle w:val="TableParagraph"/>
              <w:spacing w:before="11"/>
              <w:rPr>
                <w:sz w:val="7"/>
              </w:rPr>
            </w:pPr>
          </w:p>
          <w:p>
            <w:pPr>
              <w:pStyle w:val="TableParagraph"/>
              <w:ind w:left="354"/>
              <w:rPr>
                <w:sz w:val="10"/>
              </w:rPr>
            </w:pPr>
            <w:r>
              <w:rPr>
                <w:sz w:val="10"/>
              </w:rPr>
              <w:t>32.47</w:t>
            </w:r>
          </w:p>
        </w:tc>
        <w:tc>
          <w:tcPr>
            <w:tcW w:w="700" w:type="dxa"/>
            <w:tcBorders>
              <w:top w:val="nil"/>
              <w:left w:val="nil"/>
              <w:bottom w:val="nil"/>
              <w:right w:val="nil"/>
            </w:tcBorders>
          </w:tcPr>
          <w:p>
            <w:pPr>
              <w:pStyle w:val="TableParagraph"/>
              <w:spacing w:before="11"/>
              <w:rPr>
                <w:sz w:val="7"/>
              </w:rPr>
            </w:pPr>
          </w:p>
          <w:p>
            <w:pPr>
              <w:pStyle w:val="TableParagraph"/>
              <w:ind w:left="55" w:right="311"/>
              <w:jc w:val="center"/>
              <w:rPr>
                <w:sz w:val="10"/>
              </w:rPr>
            </w:pPr>
            <w:r>
              <w:rPr>
                <w:sz w:val="10"/>
              </w:rPr>
              <w:t>30.91</w:t>
            </w:r>
          </w:p>
        </w:tc>
        <w:tc>
          <w:tcPr>
            <w:tcW w:w="967" w:type="dxa"/>
            <w:tcBorders>
              <w:top w:val="nil"/>
              <w:left w:val="nil"/>
              <w:bottom w:val="nil"/>
              <w:right w:val="nil"/>
            </w:tcBorders>
          </w:tcPr>
          <w:p>
            <w:pPr>
              <w:pStyle w:val="TableParagraph"/>
              <w:spacing w:before="11"/>
              <w:rPr>
                <w:sz w:val="7"/>
              </w:rPr>
            </w:pPr>
          </w:p>
          <w:p>
            <w:pPr>
              <w:pStyle w:val="TableParagraph"/>
              <w:ind w:left="313" w:right="294"/>
              <w:jc w:val="center"/>
              <w:rPr>
                <w:sz w:val="10"/>
              </w:rPr>
            </w:pPr>
            <w:r>
              <w:rPr>
                <w:sz w:val="10"/>
              </w:rPr>
              <w:t>32.8</w:t>
            </w:r>
          </w:p>
        </w:tc>
        <w:tc>
          <w:tcPr>
            <w:tcW w:w="898" w:type="dxa"/>
            <w:tcBorders>
              <w:top w:val="nil"/>
              <w:left w:val="nil"/>
              <w:bottom w:val="nil"/>
              <w:right w:val="nil"/>
            </w:tcBorders>
          </w:tcPr>
          <w:p>
            <w:pPr>
              <w:pStyle w:val="TableParagraph"/>
              <w:spacing w:before="11"/>
              <w:rPr>
                <w:sz w:val="7"/>
              </w:rPr>
            </w:pPr>
          </w:p>
          <w:p>
            <w:pPr>
              <w:pStyle w:val="TableParagraph"/>
              <w:ind w:left="314"/>
              <w:rPr>
                <w:sz w:val="10"/>
              </w:rPr>
            </w:pPr>
            <w:r>
              <w:rPr>
                <w:sz w:val="10"/>
              </w:rPr>
              <w:t>0.49</w:t>
            </w:r>
          </w:p>
        </w:tc>
        <w:tc>
          <w:tcPr>
            <w:tcW w:w="1007" w:type="dxa"/>
            <w:tcBorders>
              <w:top w:val="nil"/>
              <w:left w:val="nil"/>
              <w:bottom w:val="nil"/>
              <w:right w:val="nil"/>
            </w:tcBorders>
          </w:tcPr>
          <w:p>
            <w:pPr>
              <w:pStyle w:val="TableParagraph"/>
              <w:spacing w:before="11"/>
              <w:rPr>
                <w:sz w:val="7"/>
              </w:rPr>
            </w:pPr>
          </w:p>
          <w:p>
            <w:pPr>
              <w:pStyle w:val="TableParagraph"/>
              <w:ind w:left="267" w:right="310"/>
              <w:jc w:val="center"/>
              <w:rPr>
                <w:sz w:val="10"/>
              </w:rPr>
            </w:pPr>
            <w:r>
              <w:rPr>
                <w:sz w:val="10"/>
              </w:rPr>
              <w:t>0.86</w:t>
            </w:r>
          </w:p>
        </w:tc>
        <w:tc>
          <w:tcPr>
            <w:tcW w:w="1002" w:type="dxa"/>
            <w:tcBorders>
              <w:top w:val="nil"/>
              <w:left w:val="nil"/>
              <w:bottom w:val="nil"/>
              <w:right w:val="nil"/>
            </w:tcBorders>
          </w:tcPr>
          <w:p>
            <w:pPr>
              <w:pStyle w:val="TableParagraph"/>
              <w:spacing w:before="11"/>
              <w:rPr>
                <w:sz w:val="7"/>
              </w:rPr>
            </w:pPr>
          </w:p>
          <w:p>
            <w:pPr>
              <w:pStyle w:val="TableParagraph"/>
              <w:ind w:left="310" w:right="271"/>
              <w:jc w:val="center"/>
              <w:rPr>
                <w:sz w:val="10"/>
              </w:rPr>
            </w:pPr>
            <w:r>
              <w:rPr>
                <w:sz w:val="10"/>
              </w:rPr>
              <w:t>0.06</w:t>
            </w:r>
          </w:p>
        </w:tc>
      </w:tr>
      <w:tr>
        <w:trPr>
          <w:trHeight w:val="304" w:hRule="exact"/>
        </w:trPr>
        <w:tc>
          <w:tcPr>
            <w:tcW w:w="2195" w:type="dxa"/>
            <w:tcBorders>
              <w:top w:val="nil"/>
              <w:left w:val="nil"/>
              <w:bottom w:val="nil"/>
              <w:right w:val="nil"/>
            </w:tcBorders>
          </w:tcPr>
          <w:p>
            <w:pPr>
              <w:pStyle w:val="TableParagraph"/>
              <w:rPr>
                <w:sz w:val="8"/>
              </w:rPr>
            </w:pPr>
          </w:p>
          <w:p>
            <w:pPr>
              <w:pStyle w:val="TableParagraph"/>
              <w:ind w:left="86"/>
              <w:rPr>
                <w:sz w:val="10"/>
              </w:rPr>
            </w:pPr>
            <w:r>
              <w:rPr>
                <w:sz w:val="10"/>
              </w:rPr>
              <w:t>Alfa linoleico, C18:2n3</w:t>
            </w:r>
          </w:p>
        </w:tc>
        <w:tc>
          <w:tcPr>
            <w:tcW w:w="1635" w:type="dxa"/>
            <w:tcBorders>
              <w:top w:val="nil"/>
              <w:left w:val="nil"/>
              <w:bottom w:val="nil"/>
              <w:right w:val="nil"/>
            </w:tcBorders>
          </w:tcPr>
          <w:p>
            <w:pPr>
              <w:pStyle w:val="TableParagraph"/>
              <w:spacing w:before="9"/>
              <w:rPr>
                <w:sz w:val="7"/>
              </w:rPr>
            </w:pPr>
          </w:p>
          <w:p>
            <w:pPr>
              <w:pStyle w:val="TableParagraph"/>
              <w:ind w:right="422"/>
              <w:jc w:val="right"/>
              <w:rPr>
                <w:sz w:val="6"/>
              </w:rPr>
            </w:pPr>
            <w:r>
              <w:rPr>
                <w:sz w:val="10"/>
              </w:rPr>
              <w:t>1.06</w:t>
            </w:r>
            <w:r>
              <w:rPr>
                <w:position w:val="4"/>
                <w:sz w:val="6"/>
              </w:rPr>
              <w:t>a</w:t>
            </w:r>
          </w:p>
        </w:tc>
        <w:tc>
          <w:tcPr>
            <w:tcW w:w="1032" w:type="dxa"/>
            <w:tcBorders>
              <w:top w:val="nil"/>
              <w:left w:val="nil"/>
              <w:bottom w:val="nil"/>
              <w:right w:val="nil"/>
            </w:tcBorders>
          </w:tcPr>
          <w:p>
            <w:pPr>
              <w:pStyle w:val="TableParagraph"/>
              <w:spacing w:before="9"/>
              <w:rPr>
                <w:sz w:val="7"/>
              </w:rPr>
            </w:pPr>
          </w:p>
          <w:p>
            <w:pPr>
              <w:pStyle w:val="TableParagraph"/>
              <w:ind w:left="378" w:right="330"/>
              <w:jc w:val="center"/>
              <w:rPr>
                <w:sz w:val="6"/>
              </w:rPr>
            </w:pPr>
            <w:r>
              <w:rPr>
                <w:sz w:val="10"/>
              </w:rPr>
              <w:t>1.51</w:t>
            </w:r>
            <w:r>
              <w:rPr>
                <w:position w:val="4"/>
                <w:sz w:val="6"/>
              </w:rPr>
              <w:t>b</w:t>
            </w:r>
          </w:p>
        </w:tc>
        <w:tc>
          <w:tcPr>
            <w:tcW w:w="952" w:type="dxa"/>
            <w:tcBorders>
              <w:top w:val="nil"/>
              <w:left w:val="nil"/>
              <w:bottom w:val="nil"/>
              <w:right w:val="nil"/>
            </w:tcBorders>
          </w:tcPr>
          <w:p>
            <w:pPr>
              <w:pStyle w:val="TableParagraph"/>
              <w:rPr>
                <w:sz w:val="8"/>
              </w:rPr>
            </w:pPr>
          </w:p>
          <w:p>
            <w:pPr>
              <w:pStyle w:val="TableParagraph"/>
              <w:ind w:right="373"/>
              <w:jc w:val="right"/>
              <w:rPr>
                <w:sz w:val="10"/>
              </w:rPr>
            </w:pPr>
            <w:r>
              <w:rPr>
                <w:sz w:val="10"/>
              </w:rPr>
              <w:t>0.12</w:t>
            </w:r>
          </w:p>
        </w:tc>
        <w:tc>
          <w:tcPr>
            <w:tcW w:w="981" w:type="dxa"/>
            <w:tcBorders>
              <w:top w:val="nil"/>
              <w:left w:val="nil"/>
              <w:bottom w:val="nil"/>
              <w:right w:val="nil"/>
            </w:tcBorders>
          </w:tcPr>
          <w:p>
            <w:pPr>
              <w:pStyle w:val="TableParagraph"/>
              <w:spacing w:before="9"/>
              <w:rPr>
                <w:sz w:val="7"/>
              </w:rPr>
            </w:pPr>
          </w:p>
          <w:p>
            <w:pPr>
              <w:pStyle w:val="TableParagraph"/>
              <w:ind w:left="45" w:right="34"/>
              <w:jc w:val="center"/>
              <w:rPr>
                <w:sz w:val="6"/>
              </w:rPr>
            </w:pPr>
            <w:r>
              <w:rPr>
                <w:sz w:val="10"/>
              </w:rPr>
              <w:t>0.67</w:t>
            </w:r>
            <w:r>
              <w:rPr>
                <w:position w:val="4"/>
                <w:sz w:val="6"/>
              </w:rPr>
              <w:t>a</w:t>
            </w:r>
          </w:p>
        </w:tc>
        <w:tc>
          <w:tcPr>
            <w:tcW w:w="1230" w:type="dxa"/>
            <w:tcBorders>
              <w:top w:val="nil"/>
              <w:left w:val="nil"/>
              <w:bottom w:val="nil"/>
              <w:right w:val="nil"/>
            </w:tcBorders>
          </w:tcPr>
          <w:p>
            <w:pPr>
              <w:pStyle w:val="TableParagraph"/>
              <w:spacing w:before="9"/>
              <w:rPr>
                <w:sz w:val="7"/>
              </w:rPr>
            </w:pPr>
          </w:p>
          <w:p>
            <w:pPr>
              <w:pStyle w:val="TableParagraph"/>
              <w:ind w:left="369"/>
              <w:rPr>
                <w:sz w:val="6"/>
              </w:rPr>
            </w:pPr>
            <w:r>
              <w:rPr>
                <w:sz w:val="10"/>
              </w:rPr>
              <w:t>1.03</w:t>
            </w:r>
            <w:r>
              <w:rPr>
                <w:position w:val="4"/>
                <w:sz w:val="6"/>
              </w:rPr>
              <w:t>a</w:t>
            </w:r>
          </w:p>
        </w:tc>
        <w:tc>
          <w:tcPr>
            <w:tcW w:w="700" w:type="dxa"/>
            <w:tcBorders>
              <w:top w:val="nil"/>
              <w:left w:val="nil"/>
              <w:bottom w:val="nil"/>
              <w:right w:val="nil"/>
            </w:tcBorders>
          </w:tcPr>
          <w:p>
            <w:pPr>
              <w:pStyle w:val="TableParagraph"/>
              <w:spacing w:before="9"/>
              <w:rPr>
                <w:sz w:val="7"/>
              </w:rPr>
            </w:pPr>
          </w:p>
          <w:p>
            <w:pPr>
              <w:pStyle w:val="TableParagraph"/>
              <w:ind w:left="63" w:right="311"/>
              <w:jc w:val="center"/>
              <w:rPr>
                <w:sz w:val="6"/>
              </w:rPr>
            </w:pPr>
            <w:r>
              <w:rPr>
                <w:sz w:val="10"/>
              </w:rPr>
              <w:t>1.53</w:t>
            </w:r>
            <w:r>
              <w:rPr>
                <w:position w:val="4"/>
                <w:sz w:val="6"/>
              </w:rPr>
              <w:t>b</w:t>
            </w:r>
          </w:p>
        </w:tc>
        <w:tc>
          <w:tcPr>
            <w:tcW w:w="967" w:type="dxa"/>
            <w:tcBorders>
              <w:top w:val="nil"/>
              <w:left w:val="nil"/>
              <w:bottom w:val="nil"/>
              <w:right w:val="nil"/>
            </w:tcBorders>
          </w:tcPr>
          <w:p>
            <w:pPr>
              <w:pStyle w:val="TableParagraph"/>
              <w:spacing w:before="9"/>
              <w:rPr>
                <w:sz w:val="7"/>
              </w:rPr>
            </w:pPr>
          </w:p>
          <w:p>
            <w:pPr>
              <w:pStyle w:val="TableParagraph"/>
              <w:ind w:left="313" w:right="291"/>
              <w:jc w:val="center"/>
              <w:rPr>
                <w:sz w:val="6"/>
              </w:rPr>
            </w:pPr>
            <w:r>
              <w:rPr>
                <w:sz w:val="10"/>
              </w:rPr>
              <w:t>1.91</w:t>
            </w:r>
            <w:r>
              <w:rPr>
                <w:position w:val="4"/>
                <w:sz w:val="6"/>
              </w:rPr>
              <w:t>b</w:t>
            </w:r>
          </w:p>
        </w:tc>
        <w:tc>
          <w:tcPr>
            <w:tcW w:w="898" w:type="dxa"/>
            <w:tcBorders>
              <w:top w:val="nil"/>
              <w:left w:val="nil"/>
              <w:bottom w:val="nil"/>
              <w:right w:val="nil"/>
            </w:tcBorders>
          </w:tcPr>
          <w:p>
            <w:pPr>
              <w:pStyle w:val="TableParagraph"/>
              <w:rPr>
                <w:sz w:val="8"/>
              </w:rPr>
            </w:pPr>
          </w:p>
          <w:p>
            <w:pPr>
              <w:pStyle w:val="TableParagraph"/>
              <w:ind w:left="314"/>
              <w:rPr>
                <w:sz w:val="10"/>
              </w:rPr>
            </w:pPr>
            <w:r>
              <w:rPr>
                <w:sz w:val="10"/>
              </w:rPr>
              <w:t>0.17</w:t>
            </w:r>
          </w:p>
        </w:tc>
        <w:tc>
          <w:tcPr>
            <w:tcW w:w="1007" w:type="dxa"/>
            <w:tcBorders>
              <w:top w:val="nil"/>
              <w:left w:val="nil"/>
              <w:bottom w:val="nil"/>
              <w:right w:val="nil"/>
            </w:tcBorders>
          </w:tcPr>
          <w:p>
            <w:pPr>
              <w:pStyle w:val="TableParagraph"/>
              <w:rPr>
                <w:sz w:val="8"/>
              </w:rPr>
            </w:pPr>
          </w:p>
          <w:p>
            <w:pPr>
              <w:pStyle w:val="TableParagraph"/>
              <w:ind w:left="267" w:right="310"/>
              <w:jc w:val="center"/>
              <w:rPr>
                <w:sz w:val="10"/>
              </w:rPr>
            </w:pPr>
            <w:r>
              <w:rPr>
                <w:sz w:val="10"/>
              </w:rPr>
              <w:t>0.01</w:t>
            </w:r>
          </w:p>
        </w:tc>
        <w:tc>
          <w:tcPr>
            <w:tcW w:w="1002" w:type="dxa"/>
            <w:tcBorders>
              <w:top w:val="nil"/>
              <w:left w:val="nil"/>
              <w:bottom w:val="nil"/>
              <w:right w:val="nil"/>
            </w:tcBorders>
          </w:tcPr>
          <w:p>
            <w:pPr>
              <w:pStyle w:val="TableParagraph"/>
              <w:rPr>
                <w:sz w:val="8"/>
              </w:rPr>
            </w:pPr>
          </w:p>
          <w:p>
            <w:pPr>
              <w:pStyle w:val="TableParagraph"/>
              <w:ind w:left="310" w:right="271"/>
              <w:jc w:val="center"/>
              <w:rPr>
                <w:sz w:val="10"/>
              </w:rPr>
            </w:pPr>
            <w:r>
              <w:rPr>
                <w:sz w:val="10"/>
              </w:rPr>
              <w:t>0.01</w:t>
            </w:r>
          </w:p>
        </w:tc>
      </w:tr>
      <w:tr>
        <w:trPr>
          <w:trHeight w:val="296" w:hRule="exact"/>
        </w:trPr>
        <w:tc>
          <w:tcPr>
            <w:tcW w:w="2195" w:type="dxa"/>
            <w:tcBorders>
              <w:top w:val="nil"/>
              <w:left w:val="nil"/>
              <w:bottom w:val="nil"/>
              <w:right w:val="nil"/>
            </w:tcBorders>
          </w:tcPr>
          <w:p>
            <w:pPr>
              <w:pStyle w:val="TableParagraph"/>
              <w:spacing w:before="10"/>
              <w:rPr>
                <w:sz w:val="7"/>
              </w:rPr>
            </w:pPr>
          </w:p>
          <w:p>
            <w:pPr>
              <w:pStyle w:val="TableParagraph"/>
              <w:ind w:left="86"/>
              <w:rPr>
                <w:sz w:val="10"/>
              </w:rPr>
            </w:pPr>
            <w:r>
              <w:rPr>
                <w:sz w:val="10"/>
              </w:rPr>
              <w:t>Linoleico, C18:2n6</w:t>
            </w:r>
          </w:p>
        </w:tc>
        <w:tc>
          <w:tcPr>
            <w:tcW w:w="1635" w:type="dxa"/>
            <w:tcBorders>
              <w:top w:val="nil"/>
              <w:left w:val="nil"/>
              <w:bottom w:val="nil"/>
              <w:right w:val="nil"/>
            </w:tcBorders>
          </w:tcPr>
          <w:p>
            <w:pPr>
              <w:pStyle w:val="TableParagraph"/>
              <w:spacing w:before="10"/>
              <w:rPr>
                <w:sz w:val="7"/>
              </w:rPr>
            </w:pPr>
          </w:p>
          <w:p>
            <w:pPr>
              <w:pStyle w:val="TableParagraph"/>
              <w:ind w:right="439"/>
              <w:jc w:val="right"/>
              <w:rPr>
                <w:sz w:val="10"/>
              </w:rPr>
            </w:pPr>
            <w:r>
              <w:rPr>
                <w:sz w:val="10"/>
              </w:rPr>
              <w:t>1.09</w:t>
            </w:r>
          </w:p>
        </w:tc>
        <w:tc>
          <w:tcPr>
            <w:tcW w:w="1032" w:type="dxa"/>
            <w:tcBorders>
              <w:top w:val="nil"/>
              <w:left w:val="nil"/>
              <w:bottom w:val="nil"/>
              <w:right w:val="nil"/>
            </w:tcBorders>
          </w:tcPr>
          <w:p>
            <w:pPr>
              <w:pStyle w:val="TableParagraph"/>
              <w:spacing w:before="10"/>
              <w:rPr>
                <w:sz w:val="7"/>
              </w:rPr>
            </w:pPr>
          </w:p>
          <w:p>
            <w:pPr>
              <w:pStyle w:val="TableParagraph"/>
              <w:ind w:left="375" w:right="330"/>
              <w:jc w:val="center"/>
              <w:rPr>
                <w:sz w:val="10"/>
              </w:rPr>
            </w:pPr>
            <w:r>
              <w:rPr>
                <w:sz w:val="10"/>
              </w:rPr>
              <w:t>0.89</w:t>
            </w:r>
          </w:p>
        </w:tc>
        <w:tc>
          <w:tcPr>
            <w:tcW w:w="952" w:type="dxa"/>
            <w:tcBorders>
              <w:top w:val="nil"/>
              <w:left w:val="nil"/>
              <w:bottom w:val="nil"/>
              <w:right w:val="nil"/>
            </w:tcBorders>
          </w:tcPr>
          <w:p>
            <w:pPr>
              <w:pStyle w:val="TableParagraph"/>
              <w:spacing w:before="10"/>
              <w:rPr>
                <w:sz w:val="7"/>
              </w:rPr>
            </w:pPr>
          </w:p>
          <w:p>
            <w:pPr>
              <w:pStyle w:val="TableParagraph"/>
              <w:ind w:right="373"/>
              <w:jc w:val="right"/>
              <w:rPr>
                <w:sz w:val="10"/>
              </w:rPr>
            </w:pPr>
            <w:r>
              <w:rPr>
                <w:sz w:val="10"/>
              </w:rPr>
              <w:t>0.11</w:t>
            </w:r>
          </w:p>
        </w:tc>
        <w:tc>
          <w:tcPr>
            <w:tcW w:w="981" w:type="dxa"/>
            <w:tcBorders>
              <w:top w:val="nil"/>
              <w:left w:val="nil"/>
              <w:bottom w:val="nil"/>
              <w:right w:val="nil"/>
            </w:tcBorders>
          </w:tcPr>
          <w:p>
            <w:pPr>
              <w:pStyle w:val="TableParagraph"/>
              <w:spacing w:before="10"/>
              <w:rPr>
                <w:sz w:val="7"/>
              </w:rPr>
            </w:pPr>
          </w:p>
          <w:p>
            <w:pPr>
              <w:pStyle w:val="TableParagraph"/>
              <w:ind w:left="45" w:right="37"/>
              <w:jc w:val="center"/>
              <w:rPr>
                <w:sz w:val="10"/>
              </w:rPr>
            </w:pPr>
            <w:r>
              <w:rPr>
                <w:sz w:val="10"/>
              </w:rPr>
              <w:t>0.83</w:t>
            </w:r>
          </w:p>
        </w:tc>
        <w:tc>
          <w:tcPr>
            <w:tcW w:w="1230" w:type="dxa"/>
            <w:tcBorders>
              <w:top w:val="nil"/>
              <w:left w:val="nil"/>
              <w:bottom w:val="nil"/>
              <w:right w:val="nil"/>
            </w:tcBorders>
          </w:tcPr>
          <w:p>
            <w:pPr>
              <w:pStyle w:val="TableParagraph"/>
              <w:spacing w:before="10"/>
              <w:rPr>
                <w:sz w:val="7"/>
              </w:rPr>
            </w:pPr>
          </w:p>
          <w:p>
            <w:pPr>
              <w:pStyle w:val="TableParagraph"/>
              <w:ind w:left="412"/>
              <w:rPr>
                <w:sz w:val="10"/>
              </w:rPr>
            </w:pPr>
            <w:r>
              <w:rPr>
                <w:sz w:val="10"/>
              </w:rPr>
              <w:t>1.1</w:t>
            </w:r>
          </w:p>
        </w:tc>
        <w:tc>
          <w:tcPr>
            <w:tcW w:w="700" w:type="dxa"/>
            <w:tcBorders>
              <w:top w:val="nil"/>
              <w:left w:val="nil"/>
              <w:bottom w:val="nil"/>
              <w:right w:val="nil"/>
            </w:tcBorders>
          </w:tcPr>
          <w:p>
            <w:pPr>
              <w:pStyle w:val="TableParagraph"/>
              <w:spacing w:before="10"/>
              <w:rPr>
                <w:sz w:val="7"/>
              </w:rPr>
            </w:pPr>
          </w:p>
          <w:p>
            <w:pPr>
              <w:pStyle w:val="TableParagraph"/>
              <w:ind w:left="60" w:right="311"/>
              <w:jc w:val="center"/>
              <w:rPr>
                <w:sz w:val="10"/>
              </w:rPr>
            </w:pPr>
            <w:r>
              <w:rPr>
                <w:sz w:val="10"/>
              </w:rPr>
              <w:t>1.11</w:t>
            </w:r>
          </w:p>
        </w:tc>
        <w:tc>
          <w:tcPr>
            <w:tcW w:w="967" w:type="dxa"/>
            <w:tcBorders>
              <w:top w:val="nil"/>
              <w:left w:val="nil"/>
              <w:bottom w:val="nil"/>
              <w:right w:val="nil"/>
            </w:tcBorders>
          </w:tcPr>
          <w:p>
            <w:pPr>
              <w:pStyle w:val="TableParagraph"/>
              <w:spacing w:before="10"/>
              <w:rPr>
                <w:sz w:val="7"/>
              </w:rPr>
            </w:pPr>
          </w:p>
          <w:p>
            <w:pPr>
              <w:pStyle w:val="TableParagraph"/>
              <w:ind w:left="313" w:right="294"/>
              <w:jc w:val="center"/>
              <w:rPr>
                <w:sz w:val="10"/>
              </w:rPr>
            </w:pPr>
            <w:r>
              <w:rPr>
                <w:sz w:val="10"/>
              </w:rPr>
              <w:t>0.91</w:t>
            </w:r>
          </w:p>
        </w:tc>
        <w:tc>
          <w:tcPr>
            <w:tcW w:w="898" w:type="dxa"/>
            <w:tcBorders>
              <w:top w:val="nil"/>
              <w:left w:val="nil"/>
              <w:bottom w:val="nil"/>
              <w:right w:val="nil"/>
            </w:tcBorders>
          </w:tcPr>
          <w:p>
            <w:pPr>
              <w:pStyle w:val="TableParagraph"/>
              <w:spacing w:before="10"/>
              <w:rPr>
                <w:sz w:val="7"/>
              </w:rPr>
            </w:pPr>
          </w:p>
          <w:p>
            <w:pPr>
              <w:pStyle w:val="TableParagraph"/>
              <w:ind w:left="314"/>
              <w:rPr>
                <w:sz w:val="10"/>
              </w:rPr>
            </w:pPr>
            <w:r>
              <w:rPr>
                <w:sz w:val="10"/>
              </w:rPr>
              <w:t>0.15</w:t>
            </w:r>
          </w:p>
        </w:tc>
        <w:tc>
          <w:tcPr>
            <w:tcW w:w="1007" w:type="dxa"/>
            <w:tcBorders>
              <w:top w:val="nil"/>
              <w:left w:val="nil"/>
              <w:bottom w:val="nil"/>
              <w:right w:val="nil"/>
            </w:tcBorders>
          </w:tcPr>
          <w:p>
            <w:pPr>
              <w:pStyle w:val="TableParagraph"/>
              <w:spacing w:before="10"/>
              <w:rPr>
                <w:sz w:val="7"/>
              </w:rPr>
            </w:pPr>
          </w:p>
          <w:p>
            <w:pPr>
              <w:pStyle w:val="TableParagraph"/>
              <w:ind w:left="267" w:right="310"/>
              <w:jc w:val="center"/>
              <w:rPr>
                <w:sz w:val="10"/>
              </w:rPr>
            </w:pPr>
            <w:r>
              <w:rPr>
                <w:sz w:val="10"/>
              </w:rPr>
              <w:t>0.20</w:t>
            </w:r>
          </w:p>
        </w:tc>
        <w:tc>
          <w:tcPr>
            <w:tcW w:w="1002" w:type="dxa"/>
            <w:tcBorders>
              <w:top w:val="nil"/>
              <w:left w:val="nil"/>
              <w:bottom w:val="nil"/>
              <w:right w:val="nil"/>
            </w:tcBorders>
          </w:tcPr>
          <w:p>
            <w:pPr>
              <w:pStyle w:val="TableParagraph"/>
              <w:spacing w:before="10"/>
              <w:rPr>
                <w:sz w:val="7"/>
              </w:rPr>
            </w:pPr>
          </w:p>
          <w:p>
            <w:pPr>
              <w:pStyle w:val="TableParagraph"/>
              <w:ind w:left="310" w:right="271"/>
              <w:jc w:val="center"/>
              <w:rPr>
                <w:sz w:val="10"/>
              </w:rPr>
            </w:pPr>
            <w:r>
              <w:rPr>
                <w:sz w:val="10"/>
              </w:rPr>
              <w:t>0.49</w:t>
            </w:r>
          </w:p>
        </w:tc>
      </w:tr>
      <w:tr>
        <w:trPr>
          <w:trHeight w:val="300" w:hRule="exact"/>
        </w:trPr>
        <w:tc>
          <w:tcPr>
            <w:tcW w:w="2195" w:type="dxa"/>
            <w:tcBorders>
              <w:top w:val="nil"/>
              <w:left w:val="nil"/>
              <w:bottom w:val="nil"/>
              <w:right w:val="nil"/>
            </w:tcBorders>
          </w:tcPr>
          <w:p>
            <w:pPr>
              <w:pStyle w:val="TableParagraph"/>
              <w:rPr>
                <w:sz w:val="8"/>
              </w:rPr>
            </w:pPr>
          </w:p>
          <w:p>
            <w:pPr>
              <w:pStyle w:val="TableParagraph"/>
              <w:spacing w:before="1"/>
              <w:ind w:left="86"/>
              <w:rPr>
                <w:sz w:val="10"/>
              </w:rPr>
            </w:pPr>
            <w:r>
              <w:rPr>
                <w:sz w:val="10"/>
              </w:rPr>
              <w:t>Alfa linolénico, C18:3n3</w:t>
            </w:r>
          </w:p>
        </w:tc>
        <w:tc>
          <w:tcPr>
            <w:tcW w:w="1635" w:type="dxa"/>
            <w:tcBorders>
              <w:top w:val="nil"/>
              <w:left w:val="nil"/>
              <w:bottom w:val="nil"/>
              <w:right w:val="nil"/>
            </w:tcBorders>
          </w:tcPr>
          <w:p>
            <w:pPr>
              <w:pStyle w:val="TableParagraph"/>
              <w:spacing w:before="9"/>
              <w:rPr>
                <w:sz w:val="7"/>
              </w:rPr>
            </w:pPr>
          </w:p>
          <w:p>
            <w:pPr>
              <w:pStyle w:val="TableParagraph"/>
              <w:spacing w:before="1"/>
              <w:ind w:right="422"/>
              <w:jc w:val="right"/>
              <w:rPr>
                <w:sz w:val="6"/>
              </w:rPr>
            </w:pPr>
            <w:r>
              <w:rPr>
                <w:sz w:val="10"/>
              </w:rPr>
              <w:t>0.01</w:t>
            </w:r>
            <w:r>
              <w:rPr>
                <w:position w:val="4"/>
                <w:sz w:val="6"/>
              </w:rPr>
              <w:t>a</w:t>
            </w:r>
          </w:p>
        </w:tc>
        <w:tc>
          <w:tcPr>
            <w:tcW w:w="1032" w:type="dxa"/>
            <w:tcBorders>
              <w:top w:val="nil"/>
              <w:left w:val="nil"/>
              <w:bottom w:val="nil"/>
              <w:right w:val="nil"/>
            </w:tcBorders>
          </w:tcPr>
          <w:p>
            <w:pPr>
              <w:pStyle w:val="TableParagraph"/>
              <w:spacing w:before="9"/>
              <w:rPr>
                <w:sz w:val="7"/>
              </w:rPr>
            </w:pPr>
          </w:p>
          <w:p>
            <w:pPr>
              <w:pStyle w:val="TableParagraph"/>
              <w:spacing w:before="1"/>
              <w:ind w:left="378" w:right="330"/>
              <w:jc w:val="center"/>
              <w:rPr>
                <w:sz w:val="6"/>
              </w:rPr>
            </w:pPr>
            <w:r>
              <w:rPr>
                <w:sz w:val="10"/>
              </w:rPr>
              <w:t>0.18</w:t>
            </w:r>
            <w:r>
              <w:rPr>
                <w:position w:val="4"/>
                <w:sz w:val="6"/>
              </w:rPr>
              <w:t>b</w:t>
            </w:r>
          </w:p>
        </w:tc>
        <w:tc>
          <w:tcPr>
            <w:tcW w:w="952" w:type="dxa"/>
            <w:tcBorders>
              <w:top w:val="nil"/>
              <w:left w:val="nil"/>
              <w:bottom w:val="nil"/>
              <w:right w:val="nil"/>
            </w:tcBorders>
          </w:tcPr>
          <w:p>
            <w:pPr>
              <w:pStyle w:val="TableParagraph"/>
              <w:rPr>
                <w:sz w:val="8"/>
              </w:rPr>
            </w:pPr>
          </w:p>
          <w:p>
            <w:pPr>
              <w:pStyle w:val="TableParagraph"/>
              <w:spacing w:before="1"/>
              <w:ind w:right="373"/>
              <w:jc w:val="right"/>
              <w:rPr>
                <w:sz w:val="10"/>
              </w:rPr>
            </w:pPr>
            <w:r>
              <w:rPr>
                <w:sz w:val="10"/>
              </w:rPr>
              <w:t>0.05</w:t>
            </w:r>
          </w:p>
        </w:tc>
        <w:tc>
          <w:tcPr>
            <w:tcW w:w="981" w:type="dxa"/>
            <w:tcBorders>
              <w:top w:val="nil"/>
              <w:left w:val="nil"/>
              <w:bottom w:val="nil"/>
              <w:right w:val="nil"/>
            </w:tcBorders>
          </w:tcPr>
          <w:p>
            <w:pPr>
              <w:pStyle w:val="TableParagraph"/>
              <w:spacing w:before="9"/>
              <w:rPr>
                <w:sz w:val="7"/>
              </w:rPr>
            </w:pPr>
          </w:p>
          <w:p>
            <w:pPr>
              <w:pStyle w:val="TableParagraph"/>
              <w:spacing w:before="1"/>
              <w:ind w:left="45" w:right="34"/>
              <w:jc w:val="center"/>
              <w:rPr>
                <w:sz w:val="6"/>
              </w:rPr>
            </w:pPr>
            <w:r>
              <w:rPr>
                <w:sz w:val="10"/>
              </w:rPr>
              <w:t>0.04</w:t>
            </w:r>
            <w:r>
              <w:rPr>
                <w:position w:val="4"/>
                <w:sz w:val="6"/>
              </w:rPr>
              <w:t>a</w:t>
            </w:r>
          </w:p>
        </w:tc>
        <w:tc>
          <w:tcPr>
            <w:tcW w:w="1230" w:type="dxa"/>
            <w:tcBorders>
              <w:top w:val="nil"/>
              <w:left w:val="nil"/>
              <w:bottom w:val="nil"/>
              <w:right w:val="nil"/>
            </w:tcBorders>
          </w:tcPr>
          <w:p>
            <w:pPr>
              <w:pStyle w:val="TableParagraph"/>
              <w:spacing w:before="9"/>
              <w:rPr>
                <w:sz w:val="7"/>
              </w:rPr>
            </w:pPr>
          </w:p>
          <w:p>
            <w:pPr>
              <w:pStyle w:val="TableParagraph"/>
              <w:spacing w:before="1"/>
              <w:ind w:left="369"/>
              <w:rPr>
                <w:sz w:val="6"/>
              </w:rPr>
            </w:pPr>
            <w:r>
              <w:rPr>
                <w:sz w:val="10"/>
              </w:rPr>
              <w:t>0.35</w:t>
            </w:r>
            <w:r>
              <w:rPr>
                <w:position w:val="4"/>
                <w:sz w:val="6"/>
              </w:rPr>
              <w:t>b</w:t>
            </w:r>
          </w:p>
        </w:tc>
        <w:tc>
          <w:tcPr>
            <w:tcW w:w="700" w:type="dxa"/>
            <w:tcBorders>
              <w:top w:val="nil"/>
              <w:left w:val="nil"/>
              <w:bottom w:val="nil"/>
              <w:right w:val="nil"/>
            </w:tcBorders>
          </w:tcPr>
          <w:p>
            <w:pPr>
              <w:pStyle w:val="TableParagraph"/>
              <w:spacing w:before="9"/>
              <w:rPr>
                <w:sz w:val="7"/>
              </w:rPr>
            </w:pPr>
          </w:p>
          <w:p>
            <w:pPr>
              <w:pStyle w:val="TableParagraph"/>
              <w:spacing w:before="1"/>
              <w:ind w:left="58" w:right="311"/>
              <w:jc w:val="center"/>
              <w:rPr>
                <w:sz w:val="6"/>
              </w:rPr>
            </w:pPr>
            <w:r>
              <w:rPr>
                <w:sz w:val="10"/>
              </w:rPr>
              <w:t>0.0</w:t>
            </w:r>
            <w:r>
              <w:rPr>
                <w:position w:val="4"/>
                <w:sz w:val="6"/>
              </w:rPr>
              <w:t>a</w:t>
            </w:r>
          </w:p>
        </w:tc>
        <w:tc>
          <w:tcPr>
            <w:tcW w:w="967" w:type="dxa"/>
            <w:tcBorders>
              <w:top w:val="nil"/>
              <w:left w:val="nil"/>
              <w:bottom w:val="nil"/>
              <w:right w:val="nil"/>
            </w:tcBorders>
          </w:tcPr>
          <w:p>
            <w:pPr>
              <w:pStyle w:val="TableParagraph"/>
              <w:spacing w:before="9"/>
              <w:rPr>
                <w:sz w:val="7"/>
              </w:rPr>
            </w:pPr>
          </w:p>
          <w:p>
            <w:pPr>
              <w:pStyle w:val="TableParagraph"/>
              <w:spacing w:before="1"/>
              <w:ind w:left="313" w:right="296"/>
              <w:jc w:val="center"/>
              <w:rPr>
                <w:sz w:val="6"/>
              </w:rPr>
            </w:pPr>
            <w:r>
              <w:rPr>
                <w:sz w:val="10"/>
              </w:rPr>
              <w:t>0.0</w:t>
            </w:r>
            <w:r>
              <w:rPr>
                <w:position w:val="4"/>
                <w:sz w:val="6"/>
              </w:rPr>
              <w:t>a</w:t>
            </w:r>
          </w:p>
        </w:tc>
        <w:tc>
          <w:tcPr>
            <w:tcW w:w="898" w:type="dxa"/>
            <w:tcBorders>
              <w:top w:val="nil"/>
              <w:left w:val="nil"/>
              <w:bottom w:val="nil"/>
              <w:right w:val="nil"/>
            </w:tcBorders>
          </w:tcPr>
          <w:p>
            <w:pPr>
              <w:pStyle w:val="TableParagraph"/>
              <w:rPr>
                <w:sz w:val="8"/>
              </w:rPr>
            </w:pPr>
          </w:p>
          <w:p>
            <w:pPr>
              <w:pStyle w:val="TableParagraph"/>
              <w:spacing w:before="1"/>
              <w:ind w:left="314"/>
              <w:rPr>
                <w:sz w:val="10"/>
              </w:rPr>
            </w:pPr>
            <w:r>
              <w:rPr>
                <w:sz w:val="10"/>
              </w:rPr>
              <w:t>0.07</w:t>
            </w:r>
          </w:p>
        </w:tc>
        <w:tc>
          <w:tcPr>
            <w:tcW w:w="1007" w:type="dxa"/>
            <w:tcBorders>
              <w:top w:val="nil"/>
              <w:left w:val="nil"/>
              <w:bottom w:val="nil"/>
              <w:right w:val="nil"/>
            </w:tcBorders>
          </w:tcPr>
          <w:p>
            <w:pPr>
              <w:pStyle w:val="TableParagraph"/>
              <w:rPr>
                <w:sz w:val="8"/>
              </w:rPr>
            </w:pPr>
          </w:p>
          <w:p>
            <w:pPr>
              <w:pStyle w:val="TableParagraph"/>
              <w:spacing w:before="1"/>
              <w:ind w:left="267" w:right="310"/>
              <w:jc w:val="center"/>
              <w:rPr>
                <w:sz w:val="10"/>
              </w:rPr>
            </w:pPr>
            <w:r>
              <w:rPr>
                <w:sz w:val="10"/>
              </w:rPr>
              <w:t>0.03</w:t>
            </w:r>
          </w:p>
        </w:tc>
        <w:tc>
          <w:tcPr>
            <w:tcW w:w="1002" w:type="dxa"/>
            <w:tcBorders>
              <w:top w:val="nil"/>
              <w:left w:val="nil"/>
              <w:bottom w:val="nil"/>
              <w:right w:val="nil"/>
            </w:tcBorders>
          </w:tcPr>
          <w:p>
            <w:pPr>
              <w:pStyle w:val="TableParagraph"/>
              <w:rPr>
                <w:sz w:val="8"/>
              </w:rPr>
            </w:pPr>
          </w:p>
          <w:p>
            <w:pPr>
              <w:pStyle w:val="TableParagraph"/>
              <w:spacing w:before="1"/>
              <w:ind w:left="310" w:right="271"/>
              <w:jc w:val="center"/>
              <w:rPr>
                <w:sz w:val="10"/>
              </w:rPr>
            </w:pPr>
            <w:r>
              <w:rPr>
                <w:sz w:val="10"/>
              </w:rPr>
              <w:t>0.01</w:t>
            </w:r>
          </w:p>
        </w:tc>
      </w:tr>
      <w:tr>
        <w:trPr>
          <w:trHeight w:val="300" w:hRule="exact"/>
        </w:trPr>
        <w:tc>
          <w:tcPr>
            <w:tcW w:w="2195" w:type="dxa"/>
            <w:tcBorders>
              <w:top w:val="nil"/>
              <w:left w:val="nil"/>
              <w:bottom w:val="nil"/>
              <w:right w:val="nil"/>
            </w:tcBorders>
          </w:tcPr>
          <w:p>
            <w:pPr>
              <w:pStyle w:val="TableParagraph"/>
              <w:spacing w:before="2"/>
              <w:rPr>
                <w:sz w:val="8"/>
              </w:rPr>
            </w:pPr>
          </w:p>
          <w:p>
            <w:pPr>
              <w:pStyle w:val="TableParagraph"/>
              <w:spacing w:before="1"/>
              <w:ind w:left="86"/>
              <w:rPr>
                <w:sz w:val="10"/>
              </w:rPr>
            </w:pPr>
            <w:r>
              <w:rPr>
                <w:sz w:val="10"/>
              </w:rPr>
              <w:t>Gama-linolénico, C18:3n6</w:t>
            </w:r>
          </w:p>
        </w:tc>
        <w:tc>
          <w:tcPr>
            <w:tcW w:w="1635" w:type="dxa"/>
            <w:tcBorders>
              <w:top w:val="nil"/>
              <w:left w:val="nil"/>
              <w:bottom w:val="nil"/>
              <w:right w:val="nil"/>
            </w:tcBorders>
          </w:tcPr>
          <w:p>
            <w:pPr>
              <w:pStyle w:val="TableParagraph"/>
              <w:rPr>
                <w:sz w:val="8"/>
              </w:rPr>
            </w:pPr>
          </w:p>
          <w:p>
            <w:pPr>
              <w:pStyle w:val="TableParagraph"/>
              <w:ind w:right="422"/>
              <w:jc w:val="right"/>
              <w:rPr>
                <w:sz w:val="6"/>
              </w:rPr>
            </w:pPr>
            <w:r>
              <w:rPr>
                <w:sz w:val="10"/>
              </w:rPr>
              <w:t>0.68</w:t>
            </w:r>
            <w:r>
              <w:rPr>
                <w:position w:val="4"/>
                <w:sz w:val="6"/>
              </w:rPr>
              <w:t>a</w:t>
            </w:r>
          </w:p>
        </w:tc>
        <w:tc>
          <w:tcPr>
            <w:tcW w:w="1032" w:type="dxa"/>
            <w:tcBorders>
              <w:top w:val="nil"/>
              <w:left w:val="nil"/>
              <w:bottom w:val="nil"/>
              <w:right w:val="nil"/>
            </w:tcBorders>
          </w:tcPr>
          <w:p>
            <w:pPr>
              <w:pStyle w:val="TableParagraph"/>
              <w:rPr>
                <w:sz w:val="8"/>
              </w:rPr>
            </w:pPr>
          </w:p>
          <w:p>
            <w:pPr>
              <w:pStyle w:val="TableParagraph"/>
              <w:ind w:left="378" w:right="330"/>
              <w:jc w:val="center"/>
              <w:rPr>
                <w:sz w:val="6"/>
              </w:rPr>
            </w:pPr>
            <w:r>
              <w:rPr>
                <w:sz w:val="10"/>
              </w:rPr>
              <w:t>0.47</w:t>
            </w:r>
            <w:r>
              <w:rPr>
                <w:position w:val="4"/>
                <w:sz w:val="6"/>
              </w:rPr>
              <w:t>b</w:t>
            </w:r>
          </w:p>
        </w:tc>
        <w:tc>
          <w:tcPr>
            <w:tcW w:w="952" w:type="dxa"/>
            <w:tcBorders>
              <w:top w:val="nil"/>
              <w:left w:val="nil"/>
              <w:bottom w:val="nil"/>
              <w:right w:val="nil"/>
            </w:tcBorders>
          </w:tcPr>
          <w:p>
            <w:pPr>
              <w:pStyle w:val="TableParagraph"/>
              <w:spacing w:before="2"/>
              <w:rPr>
                <w:sz w:val="8"/>
              </w:rPr>
            </w:pPr>
          </w:p>
          <w:p>
            <w:pPr>
              <w:pStyle w:val="TableParagraph"/>
              <w:spacing w:before="1"/>
              <w:ind w:right="373"/>
              <w:jc w:val="right"/>
              <w:rPr>
                <w:sz w:val="10"/>
              </w:rPr>
            </w:pPr>
            <w:r>
              <w:rPr>
                <w:sz w:val="10"/>
              </w:rPr>
              <w:t>0.06</w:t>
            </w:r>
          </w:p>
        </w:tc>
        <w:tc>
          <w:tcPr>
            <w:tcW w:w="981" w:type="dxa"/>
            <w:tcBorders>
              <w:top w:val="nil"/>
              <w:left w:val="nil"/>
              <w:bottom w:val="nil"/>
              <w:right w:val="nil"/>
            </w:tcBorders>
          </w:tcPr>
          <w:p>
            <w:pPr>
              <w:pStyle w:val="TableParagraph"/>
              <w:spacing w:before="2"/>
              <w:rPr>
                <w:sz w:val="8"/>
              </w:rPr>
            </w:pPr>
          </w:p>
          <w:p>
            <w:pPr>
              <w:pStyle w:val="TableParagraph"/>
              <w:spacing w:before="1"/>
              <w:ind w:left="45" w:right="37"/>
              <w:jc w:val="center"/>
              <w:rPr>
                <w:sz w:val="10"/>
              </w:rPr>
            </w:pPr>
            <w:r>
              <w:rPr>
                <w:sz w:val="10"/>
              </w:rPr>
              <w:t>0.74</w:t>
            </w:r>
          </w:p>
        </w:tc>
        <w:tc>
          <w:tcPr>
            <w:tcW w:w="1230" w:type="dxa"/>
            <w:tcBorders>
              <w:top w:val="nil"/>
              <w:left w:val="nil"/>
              <w:bottom w:val="nil"/>
              <w:right w:val="nil"/>
            </w:tcBorders>
          </w:tcPr>
          <w:p>
            <w:pPr>
              <w:pStyle w:val="TableParagraph"/>
              <w:spacing w:before="2"/>
              <w:rPr>
                <w:sz w:val="8"/>
              </w:rPr>
            </w:pPr>
          </w:p>
          <w:p>
            <w:pPr>
              <w:pStyle w:val="TableParagraph"/>
              <w:spacing w:before="1"/>
              <w:ind w:left="383"/>
              <w:rPr>
                <w:sz w:val="10"/>
              </w:rPr>
            </w:pPr>
            <w:r>
              <w:rPr>
                <w:sz w:val="10"/>
              </w:rPr>
              <w:t>0.53</w:t>
            </w:r>
          </w:p>
        </w:tc>
        <w:tc>
          <w:tcPr>
            <w:tcW w:w="700" w:type="dxa"/>
            <w:tcBorders>
              <w:top w:val="nil"/>
              <w:left w:val="nil"/>
              <w:bottom w:val="nil"/>
              <w:right w:val="nil"/>
            </w:tcBorders>
          </w:tcPr>
          <w:p>
            <w:pPr>
              <w:pStyle w:val="TableParagraph"/>
              <w:spacing w:before="2"/>
              <w:rPr>
                <w:sz w:val="8"/>
              </w:rPr>
            </w:pPr>
          </w:p>
          <w:p>
            <w:pPr>
              <w:pStyle w:val="TableParagraph"/>
              <w:spacing w:before="1"/>
              <w:ind w:left="60" w:right="311"/>
              <w:jc w:val="center"/>
              <w:rPr>
                <w:sz w:val="10"/>
              </w:rPr>
            </w:pPr>
            <w:r>
              <w:rPr>
                <w:sz w:val="10"/>
              </w:rPr>
              <w:t>0.64</w:t>
            </w:r>
          </w:p>
        </w:tc>
        <w:tc>
          <w:tcPr>
            <w:tcW w:w="967" w:type="dxa"/>
            <w:tcBorders>
              <w:top w:val="nil"/>
              <w:left w:val="nil"/>
              <w:bottom w:val="nil"/>
              <w:right w:val="nil"/>
            </w:tcBorders>
          </w:tcPr>
          <w:p>
            <w:pPr>
              <w:pStyle w:val="TableParagraph"/>
              <w:spacing w:before="2"/>
              <w:rPr>
                <w:sz w:val="8"/>
              </w:rPr>
            </w:pPr>
          </w:p>
          <w:p>
            <w:pPr>
              <w:pStyle w:val="TableParagraph"/>
              <w:spacing w:before="1"/>
              <w:ind w:left="313" w:right="294"/>
              <w:jc w:val="center"/>
              <w:rPr>
                <w:sz w:val="10"/>
              </w:rPr>
            </w:pPr>
            <w:r>
              <w:rPr>
                <w:sz w:val="10"/>
              </w:rPr>
              <w:t>0.39</w:t>
            </w:r>
          </w:p>
        </w:tc>
        <w:tc>
          <w:tcPr>
            <w:tcW w:w="898" w:type="dxa"/>
            <w:tcBorders>
              <w:top w:val="nil"/>
              <w:left w:val="nil"/>
              <w:bottom w:val="nil"/>
              <w:right w:val="nil"/>
            </w:tcBorders>
          </w:tcPr>
          <w:p>
            <w:pPr>
              <w:pStyle w:val="TableParagraph"/>
              <w:spacing w:before="2"/>
              <w:rPr>
                <w:sz w:val="8"/>
              </w:rPr>
            </w:pPr>
          </w:p>
          <w:p>
            <w:pPr>
              <w:pStyle w:val="TableParagraph"/>
              <w:spacing w:before="1"/>
              <w:ind w:left="314"/>
              <w:rPr>
                <w:sz w:val="10"/>
              </w:rPr>
            </w:pPr>
            <w:r>
              <w:rPr>
                <w:sz w:val="10"/>
              </w:rPr>
              <w:t>0.09</w:t>
            </w:r>
          </w:p>
        </w:tc>
        <w:tc>
          <w:tcPr>
            <w:tcW w:w="1007" w:type="dxa"/>
            <w:tcBorders>
              <w:top w:val="nil"/>
              <w:left w:val="nil"/>
              <w:bottom w:val="nil"/>
              <w:right w:val="nil"/>
            </w:tcBorders>
          </w:tcPr>
          <w:p>
            <w:pPr>
              <w:pStyle w:val="TableParagraph"/>
              <w:spacing w:before="2"/>
              <w:rPr>
                <w:sz w:val="8"/>
              </w:rPr>
            </w:pPr>
          </w:p>
          <w:p>
            <w:pPr>
              <w:pStyle w:val="TableParagraph"/>
              <w:spacing w:before="1"/>
              <w:ind w:left="267" w:right="310"/>
              <w:jc w:val="center"/>
              <w:rPr>
                <w:sz w:val="10"/>
              </w:rPr>
            </w:pPr>
            <w:r>
              <w:rPr>
                <w:sz w:val="10"/>
              </w:rPr>
              <w:t>0.04</w:t>
            </w:r>
          </w:p>
        </w:tc>
        <w:tc>
          <w:tcPr>
            <w:tcW w:w="1002" w:type="dxa"/>
            <w:tcBorders>
              <w:top w:val="nil"/>
              <w:left w:val="nil"/>
              <w:bottom w:val="nil"/>
              <w:right w:val="nil"/>
            </w:tcBorders>
          </w:tcPr>
          <w:p>
            <w:pPr>
              <w:pStyle w:val="TableParagraph"/>
              <w:spacing w:before="2"/>
              <w:rPr>
                <w:sz w:val="8"/>
              </w:rPr>
            </w:pPr>
          </w:p>
          <w:p>
            <w:pPr>
              <w:pStyle w:val="TableParagraph"/>
              <w:spacing w:before="1"/>
              <w:ind w:left="310" w:right="271"/>
              <w:jc w:val="center"/>
              <w:rPr>
                <w:sz w:val="10"/>
              </w:rPr>
            </w:pPr>
            <w:r>
              <w:rPr>
                <w:sz w:val="10"/>
              </w:rPr>
              <w:t>0.08</w:t>
            </w:r>
          </w:p>
        </w:tc>
      </w:tr>
      <w:tr>
        <w:trPr>
          <w:trHeight w:val="302" w:hRule="exact"/>
        </w:trPr>
        <w:tc>
          <w:tcPr>
            <w:tcW w:w="2195" w:type="dxa"/>
            <w:tcBorders>
              <w:top w:val="nil"/>
              <w:left w:val="nil"/>
              <w:bottom w:val="nil"/>
              <w:right w:val="nil"/>
            </w:tcBorders>
          </w:tcPr>
          <w:p>
            <w:pPr>
              <w:pStyle w:val="TableParagraph"/>
              <w:rPr>
                <w:sz w:val="8"/>
              </w:rPr>
            </w:pPr>
          </w:p>
          <w:p>
            <w:pPr>
              <w:pStyle w:val="TableParagraph"/>
              <w:ind w:left="86"/>
              <w:rPr>
                <w:sz w:val="10"/>
              </w:rPr>
            </w:pPr>
            <w:r>
              <w:rPr>
                <w:sz w:val="10"/>
              </w:rPr>
              <w:t>Araquídico, C20:0</w:t>
            </w:r>
          </w:p>
        </w:tc>
        <w:tc>
          <w:tcPr>
            <w:tcW w:w="1635" w:type="dxa"/>
            <w:tcBorders>
              <w:top w:val="nil"/>
              <w:left w:val="nil"/>
              <w:bottom w:val="nil"/>
              <w:right w:val="nil"/>
            </w:tcBorders>
          </w:tcPr>
          <w:p>
            <w:pPr>
              <w:pStyle w:val="TableParagraph"/>
              <w:rPr>
                <w:sz w:val="8"/>
              </w:rPr>
            </w:pPr>
          </w:p>
          <w:p>
            <w:pPr>
              <w:pStyle w:val="TableParagraph"/>
              <w:ind w:right="439"/>
              <w:jc w:val="right"/>
              <w:rPr>
                <w:sz w:val="10"/>
              </w:rPr>
            </w:pPr>
            <w:r>
              <w:rPr>
                <w:sz w:val="10"/>
              </w:rPr>
              <w:t>0.31</w:t>
            </w:r>
          </w:p>
        </w:tc>
        <w:tc>
          <w:tcPr>
            <w:tcW w:w="1032" w:type="dxa"/>
            <w:tcBorders>
              <w:top w:val="nil"/>
              <w:left w:val="nil"/>
              <w:bottom w:val="nil"/>
              <w:right w:val="nil"/>
            </w:tcBorders>
          </w:tcPr>
          <w:p>
            <w:pPr>
              <w:pStyle w:val="TableParagraph"/>
              <w:rPr>
                <w:sz w:val="8"/>
              </w:rPr>
            </w:pPr>
          </w:p>
          <w:p>
            <w:pPr>
              <w:pStyle w:val="TableParagraph"/>
              <w:ind w:left="375" w:right="330"/>
              <w:jc w:val="center"/>
              <w:rPr>
                <w:sz w:val="10"/>
              </w:rPr>
            </w:pPr>
            <w:r>
              <w:rPr>
                <w:sz w:val="10"/>
              </w:rPr>
              <w:t>0.32</w:t>
            </w:r>
          </w:p>
        </w:tc>
        <w:tc>
          <w:tcPr>
            <w:tcW w:w="952" w:type="dxa"/>
            <w:tcBorders>
              <w:top w:val="nil"/>
              <w:left w:val="nil"/>
              <w:bottom w:val="nil"/>
              <w:right w:val="nil"/>
            </w:tcBorders>
          </w:tcPr>
          <w:p>
            <w:pPr>
              <w:pStyle w:val="TableParagraph"/>
              <w:rPr>
                <w:sz w:val="8"/>
              </w:rPr>
            </w:pPr>
          </w:p>
          <w:p>
            <w:pPr>
              <w:pStyle w:val="TableParagraph"/>
              <w:ind w:right="402"/>
              <w:jc w:val="right"/>
              <w:rPr>
                <w:sz w:val="10"/>
              </w:rPr>
            </w:pPr>
            <w:r>
              <w:rPr>
                <w:sz w:val="10"/>
              </w:rPr>
              <w:t>0.1</w:t>
            </w:r>
          </w:p>
        </w:tc>
        <w:tc>
          <w:tcPr>
            <w:tcW w:w="981" w:type="dxa"/>
            <w:tcBorders>
              <w:top w:val="nil"/>
              <w:left w:val="nil"/>
              <w:bottom w:val="nil"/>
              <w:right w:val="nil"/>
            </w:tcBorders>
          </w:tcPr>
          <w:p>
            <w:pPr>
              <w:pStyle w:val="TableParagraph"/>
              <w:spacing w:before="9"/>
              <w:rPr>
                <w:sz w:val="7"/>
              </w:rPr>
            </w:pPr>
          </w:p>
          <w:p>
            <w:pPr>
              <w:pStyle w:val="TableParagraph"/>
              <w:ind w:left="45" w:right="34"/>
              <w:jc w:val="center"/>
              <w:rPr>
                <w:sz w:val="6"/>
              </w:rPr>
            </w:pPr>
            <w:r>
              <w:rPr>
                <w:sz w:val="10"/>
              </w:rPr>
              <w:t>0.29</w:t>
            </w:r>
            <w:r>
              <w:rPr>
                <w:position w:val="4"/>
                <w:sz w:val="6"/>
              </w:rPr>
              <w:t>a</w:t>
            </w:r>
          </w:p>
        </w:tc>
        <w:tc>
          <w:tcPr>
            <w:tcW w:w="1230" w:type="dxa"/>
            <w:tcBorders>
              <w:top w:val="nil"/>
              <w:left w:val="nil"/>
              <w:bottom w:val="nil"/>
              <w:right w:val="nil"/>
            </w:tcBorders>
          </w:tcPr>
          <w:p>
            <w:pPr>
              <w:pStyle w:val="TableParagraph"/>
              <w:spacing w:before="9"/>
              <w:rPr>
                <w:sz w:val="7"/>
              </w:rPr>
            </w:pPr>
          </w:p>
          <w:p>
            <w:pPr>
              <w:pStyle w:val="TableParagraph"/>
              <w:ind w:left="369"/>
              <w:rPr>
                <w:sz w:val="6"/>
              </w:rPr>
            </w:pPr>
            <w:r>
              <w:rPr>
                <w:sz w:val="10"/>
              </w:rPr>
              <w:t>0.66</w:t>
            </w:r>
            <w:r>
              <w:rPr>
                <w:position w:val="4"/>
                <w:sz w:val="6"/>
              </w:rPr>
              <w:t>b</w:t>
            </w:r>
          </w:p>
        </w:tc>
        <w:tc>
          <w:tcPr>
            <w:tcW w:w="700" w:type="dxa"/>
            <w:tcBorders>
              <w:top w:val="nil"/>
              <w:left w:val="nil"/>
              <w:bottom w:val="nil"/>
              <w:right w:val="nil"/>
            </w:tcBorders>
          </w:tcPr>
          <w:p>
            <w:pPr>
              <w:pStyle w:val="TableParagraph"/>
              <w:spacing w:before="9"/>
              <w:rPr>
                <w:sz w:val="7"/>
              </w:rPr>
            </w:pPr>
          </w:p>
          <w:p>
            <w:pPr>
              <w:pStyle w:val="TableParagraph"/>
              <w:ind w:left="63" w:right="311"/>
              <w:jc w:val="center"/>
              <w:rPr>
                <w:sz w:val="6"/>
              </w:rPr>
            </w:pPr>
            <w:r>
              <w:rPr>
                <w:sz w:val="10"/>
              </w:rPr>
              <w:t>0.21</w:t>
            </w:r>
            <w:r>
              <w:rPr>
                <w:position w:val="4"/>
                <w:sz w:val="6"/>
              </w:rPr>
              <w:t>a</w:t>
            </w:r>
          </w:p>
        </w:tc>
        <w:tc>
          <w:tcPr>
            <w:tcW w:w="967" w:type="dxa"/>
            <w:tcBorders>
              <w:top w:val="nil"/>
              <w:left w:val="nil"/>
              <w:bottom w:val="nil"/>
              <w:right w:val="nil"/>
            </w:tcBorders>
          </w:tcPr>
          <w:p>
            <w:pPr>
              <w:pStyle w:val="TableParagraph"/>
              <w:spacing w:before="9"/>
              <w:rPr>
                <w:sz w:val="7"/>
              </w:rPr>
            </w:pPr>
          </w:p>
          <w:p>
            <w:pPr>
              <w:pStyle w:val="TableParagraph"/>
              <w:ind w:left="313" w:right="296"/>
              <w:jc w:val="center"/>
              <w:rPr>
                <w:sz w:val="6"/>
              </w:rPr>
            </w:pPr>
            <w:r>
              <w:rPr>
                <w:sz w:val="10"/>
              </w:rPr>
              <w:t>0.1</w:t>
            </w:r>
            <w:r>
              <w:rPr>
                <w:position w:val="4"/>
                <w:sz w:val="6"/>
              </w:rPr>
              <w:t>a</w:t>
            </w:r>
          </w:p>
        </w:tc>
        <w:tc>
          <w:tcPr>
            <w:tcW w:w="898" w:type="dxa"/>
            <w:tcBorders>
              <w:top w:val="nil"/>
              <w:left w:val="nil"/>
              <w:bottom w:val="nil"/>
              <w:right w:val="nil"/>
            </w:tcBorders>
          </w:tcPr>
          <w:p>
            <w:pPr>
              <w:pStyle w:val="TableParagraph"/>
              <w:rPr>
                <w:sz w:val="8"/>
              </w:rPr>
            </w:pPr>
          </w:p>
          <w:p>
            <w:pPr>
              <w:pStyle w:val="TableParagraph"/>
              <w:ind w:left="343"/>
              <w:rPr>
                <w:sz w:val="10"/>
              </w:rPr>
            </w:pPr>
            <w:r>
              <w:rPr>
                <w:sz w:val="10"/>
              </w:rPr>
              <w:t>0.1</w:t>
            </w:r>
          </w:p>
        </w:tc>
        <w:tc>
          <w:tcPr>
            <w:tcW w:w="1007" w:type="dxa"/>
            <w:tcBorders>
              <w:top w:val="nil"/>
              <w:left w:val="nil"/>
              <w:bottom w:val="nil"/>
              <w:right w:val="nil"/>
            </w:tcBorders>
          </w:tcPr>
          <w:p>
            <w:pPr>
              <w:pStyle w:val="TableParagraph"/>
              <w:rPr>
                <w:sz w:val="8"/>
              </w:rPr>
            </w:pPr>
          </w:p>
          <w:p>
            <w:pPr>
              <w:pStyle w:val="TableParagraph"/>
              <w:ind w:left="267" w:right="310"/>
              <w:jc w:val="center"/>
              <w:rPr>
                <w:sz w:val="10"/>
              </w:rPr>
            </w:pPr>
            <w:r>
              <w:rPr>
                <w:sz w:val="10"/>
              </w:rPr>
              <w:t>0.91</w:t>
            </w:r>
          </w:p>
        </w:tc>
        <w:tc>
          <w:tcPr>
            <w:tcW w:w="1002" w:type="dxa"/>
            <w:tcBorders>
              <w:top w:val="nil"/>
              <w:left w:val="nil"/>
              <w:bottom w:val="nil"/>
              <w:right w:val="nil"/>
            </w:tcBorders>
          </w:tcPr>
          <w:p>
            <w:pPr>
              <w:pStyle w:val="TableParagraph"/>
              <w:rPr>
                <w:sz w:val="8"/>
              </w:rPr>
            </w:pPr>
          </w:p>
          <w:p>
            <w:pPr>
              <w:pStyle w:val="TableParagraph"/>
              <w:ind w:left="310" w:right="271"/>
              <w:jc w:val="center"/>
              <w:rPr>
                <w:sz w:val="10"/>
              </w:rPr>
            </w:pPr>
            <w:r>
              <w:rPr>
                <w:sz w:val="10"/>
              </w:rPr>
              <w:t>0.01</w:t>
            </w:r>
          </w:p>
        </w:tc>
      </w:tr>
      <w:tr>
        <w:trPr>
          <w:trHeight w:val="352" w:hRule="exact"/>
        </w:trPr>
        <w:tc>
          <w:tcPr>
            <w:tcW w:w="2195" w:type="dxa"/>
            <w:tcBorders>
              <w:top w:val="nil"/>
              <w:left w:val="nil"/>
              <w:right w:val="nil"/>
            </w:tcBorders>
          </w:tcPr>
          <w:p>
            <w:pPr>
              <w:pStyle w:val="TableParagraph"/>
              <w:spacing w:before="5"/>
              <w:rPr>
                <w:sz w:val="8"/>
              </w:rPr>
            </w:pPr>
          </w:p>
          <w:p>
            <w:pPr>
              <w:pStyle w:val="TableParagraph"/>
              <w:ind w:left="86"/>
              <w:rPr>
                <w:sz w:val="10"/>
              </w:rPr>
            </w:pPr>
            <w:r>
              <w:rPr>
                <w:sz w:val="10"/>
              </w:rPr>
              <w:t>Gadoleico, C20:1</w:t>
            </w:r>
          </w:p>
        </w:tc>
        <w:tc>
          <w:tcPr>
            <w:tcW w:w="1635" w:type="dxa"/>
            <w:tcBorders>
              <w:top w:val="nil"/>
              <w:left w:val="nil"/>
              <w:right w:val="nil"/>
            </w:tcBorders>
          </w:tcPr>
          <w:p>
            <w:pPr>
              <w:pStyle w:val="TableParagraph"/>
              <w:spacing w:before="2"/>
              <w:rPr>
                <w:sz w:val="8"/>
              </w:rPr>
            </w:pPr>
          </w:p>
          <w:p>
            <w:pPr>
              <w:pStyle w:val="TableParagraph"/>
              <w:spacing w:before="1"/>
              <w:ind w:right="422"/>
              <w:jc w:val="right"/>
              <w:rPr>
                <w:sz w:val="6"/>
              </w:rPr>
            </w:pPr>
            <w:r>
              <w:rPr>
                <w:sz w:val="10"/>
              </w:rPr>
              <w:t>0.42</w:t>
            </w:r>
            <w:r>
              <w:rPr>
                <w:position w:val="4"/>
                <w:sz w:val="6"/>
              </w:rPr>
              <w:t>a</w:t>
            </w:r>
          </w:p>
        </w:tc>
        <w:tc>
          <w:tcPr>
            <w:tcW w:w="1032" w:type="dxa"/>
            <w:tcBorders>
              <w:top w:val="nil"/>
              <w:left w:val="nil"/>
              <w:right w:val="nil"/>
            </w:tcBorders>
          </w:tcPr>
          <w:p>
            <w:pPr>
              <w:pStyle w:val="TableParagraph"/>
              <w:spacing w:before="2"/>
              <w:rPr>
                <w:sz w:val="8"/>
              </w:rPr>
            </w:pPr>
          </w:p>
          <w:p>
            <w:pPr>
              <w:pStyle w:val="TableParagraph"/>
              <w:spacing w:before="1"/>
              <w:ind w:left="378" w:right="330"/>
              <w:jc w:val="center"/>
              <w:rPr>
                <w:sz w:val="6"/>
              </w:rPr>
            </w:pPr>
            <w:r>
              <w:rPr>
                <w:sz w:val="10"/>
              </w:rPr>
              <w:t>0.88</w:t>
            </w:r>
            <w:r>
              <w:rPr>
                <w:position w:val="4"/>
                <w:sz w:val="6"/>
              </w:rPr>
              <w:t>b</w:t>
            </w:r>
          </w:p>
        </w:tc>
        <w:tc>
          <w:tcPr>
            <w:tcW w:w="952" w:type="dxa"/>
            <w:tcBorders>
              <w:top w:val="nil"/>
              <w:left w:val="nil"/>
              <w:right w:val="nil"/>
            </w:tcBorders>
          </w:tcPr>
          <w:p>
            <w:pPr>
              <w:pStyle w:val="TableParagraph"/>
              <w:spacing w:before="5"/>
              <w:rPr>
                <w:sz w:val="8"/>
              </w:rPr>
            </w:pPr>
          </w:p>
          <w:p>
            <w:pPr>
              <w:pStyle w:val="TableParagraph"/>
              <w:ind w:right="6"/>
              <w:jc w:val="center"/>
              <w:rPr>
                <w:sz w:val="10"/>
              </w:rPr>
            </w:pPr>
            <w:r>
              <w:rPr>
                <w:w w:val="100"/>
                <w:sz w:val="10"/>
              </w:rPr>
              <w:t>0</w:t>
            </w:r>
          </w:p>
        </w:tc>
        <w:tc>
          <w:tcPr>
            <w:tcW w:w="981" w:type="dxa"/>
            <w:tcBorders>
              <w:top w:val="nil"/>
              <w:left w:val="nil"/>
              <w:right w:val="nil"/>
            </w:tcBorders>
          </w:tcPr>
          <w:p>
            <w:pPr>
              <w:pStyle w:val="TableParagraph"/>
              <w:spacing w:before="2"/>
              <w:rPr>
                <w:sz w:val="8"/>
              </w:rPr>
            </w:pPr>
          </w:p>
          <w:p>
            <w:pPr>
              <w:pStyle w:val="TableParagraph"/>
              <w:spacing w:before="1"/>
              <w:ind w:left="45" w:right="34"/>
              <w:jc w:val="center"/>
              <w:rPr>
                <w:sz w:val="6"/>
              </w:rPr>
            </w:pPr>
            <w:r>
              <w:rPr>
                <w:sz w:val="10"/>
              </w:rPr>
              <w:t>0.53</w:t>
            </w:r>
            <w:r>
              <w:rPr>
                <w:position w:val="4"/>
                <w:sz w:val="6"/>
              </w:rPr>
              <w:t>a</w:t>
            </w:r>
          </w:p>
        </w:tc>
        <w:tc>
          <w:tcPr>
            <w:tcW w:w="1230" w:type="dxa"/>
            <w:tcBorders>
              <w:top w:val="nil"/>
              <w:left w:val="nil"/>
              <w:right w:val="nil"/>
            </w:tcBorders>
          </w:tcPr>
          <w:p>
            <w:pPr>
              <w:pStyle w:val="TableParagraph"/>
              <w:spacing w:before="2"/>
              <w:rPr>
                <w:sz w:val="8"/>
              </w:rPr>
            </w:pPr>
          </w:p>
          <w:p>
            <w:pPr>
              <w:pStyle w:val="TableParagraph"/>
              <w:spacing w:before="1"/>
              <w:ind w:left="349"/>
              <w:rPr>
                <w:sz w:val="6"/>
              </w:rPr>
            </w:pPr>
            <w:r>
              <w:rPr>
                <w:sz w:val="10"/>
              </w:rPr>
              <w:t>0.50</w:t>
            </w:r>
            <w:r>
              <w:rPr>
                <w:position w:val="4"/>
                <w:sz w:val="6"/>
              </w:rPr>
              <w:t>ab</w:t>
            </w:r>
          </w:p>
        </w:tc>
        <w:tc>
          <w:tcPr>
            <w:tcW w:w="700" w:type="dxa"/>
            <w:tcBorders>
              <w:top w:val="nil"/>
              <w:left w:val="nil"/>
              <w:right w:val="nil"/>
            </w:tcBorders>
          </w:tcPr>
          <w:p>
            <w:pPr>
              <w:pStyle w:val="TableParagraph"/>
              <w:spacing w:before="2"/>
              <w:rPr>
                <w:sz w:val="8"/>
              </w:rPr>
            </w:pPr>
          </w:p>
          <w:p>
            <w:pPr>
              <w:pStyle w:val="TableParagraph"/>
              <w:spacing w:before="1"/>
              <w:ind w:left="63" w:right="311"/>
              <w:jc w:val="center"/>
              <w:rPr>
                <w:sz w:val="6"/>
              </w:rPr>
            </w:pPr>
            <w:r>
              <w:rPr>
                <w:sz w:val="10"/>
              </w:rPr>
              <w:t>0.52</w:t>
            </w:r>
            <w:r>
              <w:rPr>
                <w:position w:val="4"/>
                <w:sz w:val="6"/>
              </w:rPr>
              <w:t>a</w:t>
            </w:r>
          </w:p>
        </w:tc>
        <w:tc>
          <w:tcPr>
            <w:tcW w:w="967" w:type="dxa"/>
            <w:tcBorders>
              <w:top w:val="nil"/>
              <w:left w:val="nil"/>
              <w:right w:val="nil"/>
            </w:tcBorders>
          </w:tcPr>
          <w:p>
            <w:pPr>
              <w:pStyle w:val="TableParagraph"/>
              <w:spacing w:before="2"/>
              <w:rPr>
                <w:sz w:val="8"/>
              </w:rPr>
            </w:pPr>
          </w:p>
          <w:p>
            <w:pPr>
              <w:pStyle w:val="TableParagraph"/>
              <w:spacing w:before="1"/>
              <w:ind w:left="310" w:right="297"/>
              <w:jc w:val="center"/>
              <w:rPr>
                <w:sz w:val="6"/>
              </w:rPr>
            </w:pPr>
            <w:r>
              <w:rPr>
                <w:sz w:val="10"/>
              </w:rPr>
              <w:t>1.04</w:t>
            </w:r>
            <w:r>
              <w:rPr>
                <w:position w:val="4"/>
                <w:sz w:val="6"/>
              </w:rPr>
              <w:t>ac</w:t>
            </w:r>
          </w:p>
        </w:tc>
        <w:tc>
          <w:tcPr>
            <w:tcW w:w="898" w:type="dxa"/>
            <w:tcBorders>
              <w:top w:val="nil"/>
              <w:left w:val="nil"/>
              <w:right w:val="nil"/>
            </w:tcBorders>
          </w:tcPr>
          <w:p>
            <w:pPr>
              <w:pStyle w:val="TableParagraph"/>
              <w:spacing w:before="5"/>
              <w:rPr>
                <w:sz w:val="8"/>
              </w:rPr>
            </w:pPr>
          </w:p>
          <w:p>
            <w:pPr>
              <w:pStyle w:val="TableParagraph"/>
              <w:ind w:left="314"/>
              <w:rPr>
                <w:sz w:val="10"/>
              </w:rPr>
            </w:pPr>
            <w:r>
              <w:rPr>
                <w:sz w:val="10"/>
              </w:rPr>
              <w:t>0.14</w:t>
            </w:r>
          </w:p>
        </w:tc>
        <w:tc>
          <w:tcPr>
            <w:tcW w:w="1007" w:type="dxa"/>
            <w:tcBorders>
              <w:top w:val="nil"/>
              <w:left w:val="nil"/>
              <w:right w:val="nil"/>
            </w:tcBorders>
          </w:tcPr>
          <w:p>
            <w:pPr>
              <w:pStyle w:val="TableParagraph"/>
              <w:spacing w:before="5"/>
              <w:rPr>
                <w:sz w:val="8"/>
              </w:rPr>
            </w:pPr>
          </w:p>
          <w:p>
            <w:pPr>
              <w:pStyle w:val="TableParagraph"/>
              <w:ind w:left="267" w:right="310"/>
              <w:jc w:val="center"/>
              <w:rPr>
                <w:sz w:val="10"/>
              </w:rPr>
            </w:pPr>
            <w:r>
              <w:rPr>
                <w:sz w:val="10"/>
              </w:rPr>
              <w:t>0.01</w:t>
            </w:r>
          </w:p>
        </w:tc>
        <w:tc>
          <w:tcPr>
            <w:tcW w:w="1002" w:type="dxa"/>
            <w:tcBorders>
              <w:top w:val="nil"/>
              <w:left w:val="nil"/>
              <w:right w:val="nil"/>
            </w:tcBorders>
          </w:tcPr>
          <w:p>
            <w:pPr>
              <w:pStyle w:val="TableParagraph"/>
              <w:spacing w:before="5"/>
              <w:rPr>
                <w:sz w:val="8"/>
              </w:rPr>
            </w:pPr>
          </w:p>
          <w:p>
            <w:pPr>
              <w:pStyle w:val="TableParagraph"/>
              <w:ind w:left="310" w:right="271"/>
              <w:jc w:val="center"/>
              <w:rPr>
                <w:sz w:val="10"/>
              </w:rPr>
            </w:pPr>
            <w:r>
              <w:rPr>
                <w:sz w:val="10"/>
              </w:rPr>
              <w:t>0.03</w:t>
            </w:r>
          </w:p>
        </w:tc>
      </w:tr>
    </w:tbl>
    <w:p>
      <w:pPr>
        <w:spacing w:line="110" w:lineRule="exact" w:before="0"/>
        <w:ind w:left="192" w:right="0" w:firstLine="0"/>
        <w:jc w:val="left"/>
        <w:rPr>
          <w:sz w:val="10"/>
        </w:rPr>
      </w:pPr>
      <w:r>
        <w:rPr>
          <w:position w:val="4"/>
          <w:sz w:val="6"/>
        </w:rPr>
        <w:t>a,b,c </w:t>
      </w:r>
      <w:r>
        <w:rPr>
          <w:sz w:val="10"/>
        </w:rPr>
        <w:t>Medias con literales diferentes entre columnas difieren significativamente; ST= Sistema Tradicional; SSPi=Sistema Silvopastor il intensivo; eem= Error estándar de la media; Periodo=(P1=10, P2=45, P3=80 y P4=165 días)</w:t>
      </w:r>
    </w:p>
    <w:p>
      <w:pPr>
        <w:spacing w:after="0" w:line="110" w:lineRule="exact"/>
        <w:jc w:val="left"/>
        <w:rPr>
          <w:sz w:val="10"/>
        </w:rPr>
        <w:sectPr>
          <w:footerReference w:type="default" r:id="rId22"/>
          <w:pgSz w:w="15840" w:h="12240" w:orient="landscape"/>
          <w:pgMar w:footer="1386" w:header="0" w:top="1140" w:bottom="1580" w:left="1680" w:right="1340"/>
          <w:pgNumType w:start="48"/>
        </w:sectPr>
      </w:pPr>
    </w:p>
    <w:p>
      <w:pPr>
        <w:pStyle w:val="BodyText"/>
        <w:jc w:val="left"/>
        <w:rPr>
          <w:sz w:val="20"/>
        </w:rPr>
      </w:pPr>
    </w:p>
    <w:p>
      <w:pPr>
        <w:pStyle w:val="BodyText"/>
        <w:jc w:val="left"/>
        <w:rPr>
          <w:sz w:val="20"/>
        </w:rPr>
      </w:pPr>
    </w:p>
    <w:p>
      <w:pPr>
        <w:pStyle w:val="BodyText"/>
        <w:spacing w:line="360" w:lineRule="auto" w:before="211" w:after="7"/>
        <w:ind w:left="192"/>
        <w:jc w:val="left"/>
      </w:pPr>
      <w:r>
        <w:rPr/>
        <w:t>Tabla 2. Contenido promedio de ácidos grasos de cadena corta, media y larga del queso artesanal Tepeque (g/100g de ácidos grasos) por sistema de alimentación y período de maduración.</w:t>
      </w: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64"/>
        <w:gridCol w:w="837"/>
        <w:gridCol w:w="776"/>
        <w:gridCol w:w="689"/>
        <w:gridCol w:w="720"/>
        <w:gridCol w:w="881"/>
        <w:gridCol w:w="1083"/>
        <w:gridCol w:w="1040"/>
        <w:gridCol w:w="892"/>
        <w:gridCol w:w="981"/>
        <w:gridCol w:w="1057"/>
        <w:gridCol w:w="1021"/>
      </w:tblGrid>
      <w:tr>
        <w:trPr>
          <w:trHeight w:val="712" w:hRule="exact"/>
        </w:trPr>
        <w:tc>
          <w:tcPr>
            <w:tcW w:w="1364" w:type="dxa"/>
            <w:tcBorders>
              <w:left w:val="nil"/>
              <w:bottom w:val="nil"/>
              <w:right w:val="nil"/>
            </w:tcBorders>
          </w:tcPr>
          <w:p>
            <w:pPr>
              <w:pStyle w:val="TableParagraph"/>
              <w:spacing w:line="364" w:lineRule="auto"/>
              <w:ind w:left="115" w:right="153" w:firstLine="72"/>
              <w:rPr>
                <w:b/>
                <w:sz w:val="22"/>
              </w:rPr>
            </w:pPr>
            <w:r>
              <w:rPr>
                <w:b/>
                <w:sz w:val="22"/>
              </w:rPr>
              <w:t>Longitud de cadena</w:t>
            </w:r>
          </w:p>
        </w:tc>
        <w:tc>
          <w:tcPr>
            <w:tcW w:w="1613" w:type="dxa"/>
            <w:gridSpan w:val="2"/>
            <w:tcBorders>
              <w:left w:val="nil"/>
              <w:bottom w:val="nil"/>
              <w:right w:val="nil"/>
            </w:tcBorders>
          </w:tcPr>
          <w:p>
            <w:pPr>
              <w:pStyle w:val="TableParagraph"/>
              <w:spacing w:before="187"/>
              <w:ind w:left="325"/>
              <w:rPr>
                <w:b/>
                <w:sz w:val="22"/>
              </w:rPr>
            </w:pPr>
            <w:r>
              <w:rPr>
                <w:b/>
                <w:sz w:val="22"/>
              </w:rPr>
              <w:t>Sistema</w:t>
            </w:r>
          </w:p>
        </w:tc>
        <w:tc>
          <w:tcPr>
            <w:tcW w:w="689" w:type="dxa"/>
            <w:tcBorders>
              <w:left w:val="nil"/>
              <w:bottom w:val="nil"/>
              <w:right w:val="nil"/>
            </w:tcBorders>
          </w:tcPr>
          <w:p>
            <w:pPr>
              <w:pStyle w:val="TableParagraph"/>
              <w:spacing w:before="187"/>
              <w:ind w:left="114"/>
              <w:rPr>
                <w:b/>
                <w:sz w:val="22"/>
              </w:rPr>
            </w:pPr>
            <w:r>
              <w:rPr>
                <w:b/>
                <w:sz w:val="22"/>
              </w:rPr>
              <w:t>eem</w:t>
            </w:r>
          </w:p>
        </w:tc>
        <w:tc>
          <w:tcPr>
            <w:tcW w:w="720" w:type="dxa"/>
            <w:tcBorders>
              <w:left w:val="nil"/>
              <w:bottom w:val="nil"/>
              <w:right w:val="nil"/>
            </w:tcBorders>
          </w:tcPr>
          <w:p>
            <w:pPr/>
          </w:p>
        </w:tc>
        <w:tc>
          <w:tcPr>
            <w:tcW w:w="1964" w:type="dxa"/>
            <w:gridSpan w:val="2"/>
            <w:tcBorders>
              <w:left w:val="nil"/>
              <w:bottom w:val="nil"/>
              <w:right w:val="nil"/>
            </w:tcBorders>
          </w:tcPr>
          <w:p>
            <w:pPr>
              <w:pStyle w:val="TableParagraph"/>
              <w:spacing w:before="187"/>
              <w:ind w:left="693"/>
              <w:rPr>
                <w:b/>
                <w:sz w:val="22"/>
              </w:rPr>
            </w:pPr>
            <w:r>
              <w:rPr>
                <w:b/>
                <w:sz w:val="22"/>
              </w:rPr>
              <w:t>Periodo</w:t>
            </w:r>
          </w:p>
        </w:tc>
        <w:tc>
          <w:tcPr>
            <w:tcW w:w="1040" w:type="dxa"/>
            <w:tcBorders>
              <w:left w:val="nil"/>
              <w:bottom w:val="nil"/>
              <w:right w:val="nil"/>
            </w:tcBorders>
          </w:tcPr>
          <w:p>
            <w:pPr/>
          </w:p>
        </w:tc>
        <w:tc>
          <w:tcPr>
            <w:tcW w:w="892" w:type="dxa"/>
            <w:tcBorders>
              <w:left w:val="nil"/>
              <w:bottom w:val="nil"/>
              <w:right w:val="nil"/>
            </w:tcBorders>
          </w:tcPr>
          <w:p>
            <w:pPr>
              <w:pStyle w:val="TableParagraph"/>
              <w:spacing w:before="187"/>
              <w:ind w:left="172"/>
              <w:rPr>
                <w:b/>
                <w:sz w:val="22"/>
              </w:rPr>
            </w:pPr>
            <w:r>
              <w:rPr>
                <w:b/>
                <w:sz w:val="22"/>
              </w:rPr>
              <w:t>eem</w:t>
            </w:r>
          </w:p>
        </w:tc>
        <w:tc>
          <w:tcPr>
            <w:tcW w:w="981" w:type="dxa"/>
            <w:tcBorders>
              <w:left w:val="nil"/>
              <w:bottom w:val="nil"/>
              <w:right w:val="nil"/>
            </w:tcBorders>
          </w:tcPr>
          <w:p>
            <w:pPr/>
          </w:p>
        </w:tc>
        <w:tc>
          <w:tcPr>
            <w:tcW w:w="1057" w:type="dxa"/>
            <w:tcBorders>
              <w:left w:val="nil"/>
              <w:bottom w:val="nil"/>
              <w:right w:val="nil"/>
            </w:tcBorders>
          </w:tcPr>
          <w:p>
            <w:pPr>
              <w:pStyle w:val="TableParagraph"/>
              <w:spacing w:before="187"/>
              <w:ind w:left="3" w:right="-25"/>
              <w:jc w:val="center"/>
              <w:rPr>
                <w:b/>
                <w:sz w:val="22"/>
              </w:rPr>
            </w:pPr>
            <w:r>
              <w:rPr>
                <w:b/>
                <w:sz w:val="22"/>
              </w:rPr>
              <w:t>Valor de</w:t>
            </w:r>
            <w:r>
              <w:rPr>
                <w:b/>
                <w:spacing w:val="-1"/>
                <w:sz w:val="22"/>
              </w:rPr>
              <w:t> </w:t>
            </w:r>
            <w:r>
              <w:rPr>
                <w:b/>
                <w:sz w:val="22"/>
              </w:rPr>
              <w:t>P</w:t>
            </w:r>
          </w:p>
        </w:tc>
        <w:tc>
          <w:tcPr>
            <w:tcW w:w="1021" w:type="dxa"/>
            <w:tcBorders>
              <w:left w:val="nil"/>
              <w:bottom w:val="nil"/>
              <w:right w:val="nil"/>
            </w:tcBorders>
          </w:tcPr>
          <w:p>
            <w:pPr/>
          </w:p>
        </w:tc>
      </w:tr>
      <w:tr>
        <w:trPr>
          <w:trHeight w:val="441" w:hRule="exact"/>
        </w:trPr>
        <w:tc>
          <w:tcPr>
            <w:tcW w:w="1364" w:type="dxa"/>
            <w:tcBorders>
              <w:top w:val="nil"/>
              <w:left w:val="nil"/>
              <w:right w:val="nil"/>
            </w:tcBorders>
          </w:tcPr>
          <w:p>
            <w:pPr/>
          </w:p>
        </w:tc>
        <w:tc>
          <w:tcPr>
            <w:tcW w:w="837" w:type="dxa"/>
            <w:tcBorders>
              <w:top w:val="nil"/>
              <w:left w:val="nil"/>
              <w:right w:val="nil"/>
            </w:tcBorders>
          </w:tcPr>
          <w:p>
            <w:pPr>
              <w:pStyle w:val="TableParagraph"/>
              <w:spacing w:before="51"/>
              <w:ind w:left="146" w:right="133"/>
              <w:jc w:val="center"/>
              <w:rPr>
                <w:b/>
                <w:sz w:val="22"/>
              </w:rPr>
            </w:pPr>
            <w:r>
              <w:rPr>
                <w:b/>
                <w:sz w:val="22"/>
              </w:rPr>
              <w:t>ST</w:t>
            </w:r>
          </w:p>
        </w:tc>
        <w:tc>
          <w:tcPr>
            <w:tcW w:w="776" w:type="dxa"/>
            <w:tcBorders>
              <w:top w:val="nil"/>
              <w:left w:val="nil"/>
              <w:right w:val="nil"/>
            </w:tcBorders>
          </w:tcPr>
          <w:p>
            <w:pPr>
              <w:pStyle w:val="TableParagraph"/>
              <w:spacing w:before="51"/>
              <w:ind w:left="133" w:right="92"/>
              <w:jc w:val="center"/>
              <w:rPr>
                <w:b/>
                <w:sz w:val="22"/>
              </w:rPr>
            </w:pPr>
            <w:r>
              <w:rPr>
                <w:b/>
                <w:sz w:val="22"/>
              </w:rPr>
              <w:t>SSP</w:t>
            </w:r>
          </w:p>
        </w:tc>
        <w:tc>
          <w:tcPr>
            <w:tcW w:w="689" w:type="dxa"/>
            <w:tcBorders>
              <w:top w:val="nil"/>
              <w:left w:val="nil"/>
              <w:right w:val="nil"/>
            </w:tcBorders>
          </w:tcPr>
          <w:p>
            <w:pPr/>
          </w:p>
        </w:tc>
        <w:tc>
          <w:tcPr>
            <w:tcW w:w="720" w:type="dxa"/>
            <w:tcBorders>
              <w:top w:val="nil"/>
              <w:left w:val="nil"/>
              <w:right w:val="nil"/>
            </w:tcBorders>
          </w:tcPr>
          <w:p>
            <w:pPr>
              <w:pStyle w:val="TableParagraph"/>
              <w:spacing w:before="51"/>
              <w:ind w:left="39"/>
              <w:jc w:val="center"/>
              <w:rPr>
                <w:b/>
                <w:sz w:val="22"/>
              </w:rPr>
            </w:pPr>
            <w:r>
              <w:rPr>
                <w:b/>
                <w:w w:val="100"/>
                <w:sz w:val="22"/>
              </w:rPr>
              <w:t>1</w:t>
            </w:r>
          </w:p>
        </w:tc>
        <w:tc>
          <w:tcPr>
            <w:tcW w:w="881" w:type="dxa"/>
            <w:tcBorders>
              <w:top w:val="nil"/>
              <w:left w:val="nil"/>
              <w:right w:val="nil"/>
            </w:tcBorders>
          </w:tcPr>
          <w:p>
            <w:pPr>
              <w:pStyle w:val="TableParagraph"/>
              <w:spacing w:before="51"/>
              <w:ind w:left="275"/>
              <w:rPr>
                <w:b/>
                <w:sz w:val="22"/>
              </w:rPr>
            </w:pPr>
            <w:r>
              <w:rPr>
                <w:b/>
                <w:w w:val="100"/>
                <w:sz w:val="22"/>
              </w:rPr>
              <w:t>2</w:t>
            </w:r>
          </w:p>
        </w:tc>
        <w:tc>
          <w:tcPr>
            <w:tcW w:w="1083" w:type="dxa"/>
            <w:tcBorders>
              <w:top w:val="nil"/>
              <w:left w:val="nil"/>
              <w:right w:val="nil"/>
            </w:tcBorders>
          </w:tcPr>
          <w:p>
            <w:pPr>
              <w:pStyle w:val="TableParagraph"/>
              <w:spacing w:before="51"/>
              <w:jc w:val="center"/>
              <w:rPr>
                <w:b/>
                <w:sz w:val="22"/>
              </w:rPr>
            </w:pPr>
            <w:r>
              <w:rPr>
                <w:b/>
                <w:w w:val="100"/>
                <w:sz w:val="22"/>
              </w:rPr>
              <w:t>3</w:t>
            </w:r>
          </w:p>
        </w:tc>
        <w:tc>
          <w:tcPr>
            <w:tcW w:w="1040" w:type="dxa"/>
            <w:tcBorders>
              <w:top w:val="nil"/>
              <w:left w:val="nil"/>
              <w:right w:val="nil"/>
            </w:tcBorders>
          </w:tcPr>
          <w:p>
            <w:pPr>
              <w:pStyle w:val="TableParagraph"/>
              <w:spacing w:before="51"/>
              <w:ind w:left="104"/>
              <w:jc w:val="center"/>
              <w:rPr>
                <w:b/>
                <w:sz w:val="22"/>
              </w:rPr>
            </w:pPr>
            <w:r>
              <w:rPr>
                <w:b/>
                <w:w w:val="100"/>
                <w:sz w:val="22"/>
              </w:rPr>
              <w:t>4</w:t>
            </w:r>
          </w:p>
        </w:tc>
        <w:tc>
          <w:tcPr>
            <w:tcW w:w="892" w:type="dxa"/>
            <w:tcBorders>
              <w:top w:val="nil"/>
              <w:left w:val="nil"/>
              <w:right w:val="nil"/>
            </w:tcBorders>
          </w:tcPr>
          <w:p>
            <w:pPr/>
          </w:p>
        </w:tc>
        <w:tc>
          <w:tcPr>
            <w:tcW w:w="981" w:type="dxa"/>
            <w:tcBorders>
              <w:top w:val="nil"/>
              <w:left w:val="nil"/>
              <w:right w:val="nil"/>
            </w:tcBorders>
          </w:tcPr>
          <w:p>
            <w:pPr>
              <w:pStyle w:val="TableParagraph"/>
              <w:spacing w:before="51"/>
              <w:ind w:left="45" w:right="51"/>
              <w:jc w:val="center"/>
              <w:rPr>
                <w:b/>
                <w:sz w:val="22"/>
              </w:rPr>
            </w:pPr>
            <w:r>
              <w:rPr>
                <w:b/>
                <w:sz w:val="22"/>
              </w:rPr>
              <w:t>Sistema</w:t>
            </w:r>
          </w:p>
        </w:tc>
        <w:tc>
          <w:tcPr>
            <w:tcW w:w="1057" w:type="dxa"/>
            <w:tcBorders>
              <w:top w:val="nil"/>
              <w:left w:val="nil"/>
              <w:right w:val="nil"/>
            </w:tcBorders>
          </w:tcPr>
          <w:p>
            <w:pPr>
              <w:pStyle w:val="TableParagraph"/>
              <w:spacing w:before="51"/>
              <w:ind w:left="3" w:right="85"/>
              <w:jc w:val="center"/>
              <w:rPr>
                <w:b/>
                <w:sz w:val="22"/>
              </w:rPr>
            </w:pPr>
            <w:r>
              <w:rPr>
                <w:b/>
                <w:sz w:val="22"/>
              </w:rPr>
              <w:t>Periodo</w:t>
            </w:r>
          </w:p>
        </w:tc>
        <w:tc>
          <w:tcPr>
            <w:tcW w:w="1021" w:type="dxa"/>
            <w:tcBorders>
              <w:top w:val="nil"/>
              <w:left w:val="nil"/>
              <w:right w:val="nil"/>
            </w:tcBorders>
          </w:tcPr>
          <w:p>
            <w:pPr>
              <w:pStyle w:val="TableParagraph"/>
              <w:spacing w:before="51"/>
              <w:ind w:right="317"/>
              <w:jc w:val="right"/>
              <w:rPr>
                <w:b/>
                <w:sz w:val="22"/>
              </w:rPr>
            </w:pPr>
            <w:r>
              <w:rPr>
                <w:b/>
                <w:sz w:val="22"/>
              </w:rPr>
              <w:t>S x P</w:t>
            </w:r>
          </w:p>
        </w:tc>
      </w:tr>
      <w:tr>
        <w:trPr>
          <w:trHeight w:val="325" w:hRule="exact"/>
        </w:trPr>
        <w:tc>
          <w:tcPr>
            <w:tcW w:w="1364" w:type="dxa"/>
            <w:tcBorders>
              <w:left w:val="nil"/>
              <w:bottom w:val="nil"/>
              <w:right w:val="nil"/>
            </w:tcBorders>
          </w:tcPr>
          <w:p>
            <w:pPr>
              <w:pStyle w:val="TableParagraph"/>
              <w:ind w:left="86" w:right="153"/>
              <w:rPr>
                <w:sz w:val="22"/>
              </w:rPr>
            </w:pPr>
            <w:r>
              <w:rPr>
                <w:sz w:val="22"/>
              </w:rPr>
              <w:t>Corta</w:t>
            </w:r>
          </w:p>
        </w:tc>
        <w:tc>
          <w:tcPr>
            <w:tcW w:w="837" w:type="dxa"/>
            <w:tcBorders>
              <w:left w:val="nil"/>
              <w:bottom w:val="nil"/>
              <w:right w:val="nil"/>
            </w:tcBorders>
          </w:tcPr>
          <w:p>
            <w:pPr>
              <w:pStyle w:val="TableParagraph"/>
              <w:spacing w:line="253" w:lineRule="exact"/>
              <w:ind w:left="153" w:right="132"/>
              <w:jc w:val="center"/>
              <w:rPr>
                <w:sz w:val="14"/>
              </w:rPr>
            </w:pPr>
            <w:r>
              <w:rPr>
                <w:sz w:val="22"/>
              </w:rPr>
              <w:t>3.9</w:t>
            </w:r>
            <w:r>
              <w:rPr>
                <w:position w:val="8"/>
                <w:sz w:val="14"/>
              </w:rPr>
              <w:t>a</w:t>
            </w:r>
          </w:p>
        </w:tc>
        <w:tc>
          <w:tcPr>
            <w:tcW w:w="776" w:type="dxa"/>
            <w:tcBorders>
              <w:left w:val="nil"/>
              <w:bottom w:val="nil"/>
              <w:right w:val="nil"/>
            </w:tcBorders>
          </w:tcPr>
          <w:p>
            <w:pPr>
              <w:pStyle w:val="TableParagraph"/>
              <w:spacing w:line="253" w:lineRule="exact"/>
              <w:ind w:left="133" w:right="92"/>
              <w:jc w:val="center"/>
              <w:rPr>
                <w:sz w:val="14"/>
              </w:rPr>
            </w:pPr>
            <w:r>
              <w:rPr>
                <w:sz w:val="22"/>
              </w:rPr>
              <w:t>3.2</w:t>
            </w:r>
            <w:r>
              <w:rPr>
                <w:position w:val="8"/>
                <w:sz w:val="14"/>
              </w:rPr>
              <w:t>b</w:t>
            </w:r>
          </w:p>
        </w:tc>
        <w:tc>
          <w:tcPr>
            <w:tcW w:w="689" w:type="dxa"/>
            <w:tcBorders>
              <w:left w:val="nil"/>
              <w:bottom w:val="nil"/>
              <w:right w:val="nil"/>
            </w:tcBorders>
          </w:tcPr>
          <w:p>
            <w:pPr>
              <w:pStyle w:val="TableParagraph"/>
              <w:ind w:left="182"/>
              <w:rPr>
                <w:sz w:val="22"/>
              </w:rPr>
            </w:pPr>
            <w:r>
              <w:rPr>
                <w:sz w:val="22"/>
              </w:rPr>
              <w:t>0.2</w:t>
            </w:r>
          </w:p>
        </w:tc>
        <w:tc>
          <w:tcPr>
            <w:tcW w:w="720" w:type="dxa"/>
            <w:tcBorders>
              <w:left w:val="nil"/>
              <w:bottom w:val="nil"/>
              <w:right w:val="nil"/>
            </w:tcBorders>
          </w:tcPr>
          <w:p>
            <w:pPr>
              <w:pStyle w:val="TableParagraph"/>
              <w:spacing w:line="253" w:lineRule="exact"/>
              <w:ind w:left="108" w:right="61"/>
              <w:jc w:val="center"/>
              <w:rPr>
                <w:sz w:val="14"/>
              </w:rPr>
            </w:pPr>
            <w:r>
              <w:rPr>
                <w:sz w:val="22"/>
              </w:rPr>
              <w:t>3.0</w:t>
            </w:r>
            <w:r>
              <w:rPr>
                <w:position w:val="8"/>
                <w:sz w:val="14"/>
              </w:rPr>
              <w:t>a</w:t>
            </w:r>
          </w:p>
        </w:tc>
        <w:tc>
          <w:tcPr>
            <w:tcW w:w="881" w:type="dxa"/>
            <w:tcBorders>
              <w:left w:val="nil"/>
              <w:bottom w:val="nil"/>
              <w:right w:val="nil"/>
            </w:tcBorders>
          </w:tcPr>
          <w:p>
            <w:pPr>
              <w:pStyle w:val="TableParagraph"/>
              <w:spacing w:line="253" w:lineRule="exact"/>
              <w:ind w:left="146"/>
              <w:rPr>
                <w:sz w:val="14"/>
              </w:rPr>
            </w:pPr>
            <w:r>
              <w:rPr>
                <w:sz w:val="22"/>
              </w:rPr>
              <w:t>3.5</w:t>
            </w:r>
            <w:r>
              <w:rPr>
                <w:position w:val="8"/>
                <w:sz w:val="14"/>
              </w:rPr>
              <w:t>a</w:t>
            </w:r>
          </w:p>
        </w:tc>
        <w:tc>
          <w:tcPr>
            <w:tcW w:w="1083" w:type="dxa"/>
            <w:tcBorders>
              <w:left w:val="nil"/>
              <w:bottom w:val="nil"/>
              <w:right w:val="nil"/>
            </w:tcBorders>
          </w:tcPr>
          <w:p>
            <w:pPr>
              <w:pStyle w:val="TableParagraph"/>
              <w:spacing w:line="253" w:lineRule="exact"/>
              <w:ind w:left="267" w:right="267"/>
              <w:jc w:val="center"/>
              <w:rPr>
                <w:sz w:val="14"/>
              </w:rPr>
            </w:pPr>
            <w:r>
              <w:rPr>
                <w:sz w:val="22"/>
              </w:rPr>
              <w:t>4.7</w:t>
            </w:r>
            <w:r>
              <w:rPr>
                <w:position w:val="8"/>
                <w:sz w:val="14"/>
              </w:rPr>
              <w:t>b</w:t>
            </w:r>
          </w:p>
        </w:tc>
        <w:tc>
          <w:tcPr>
            <w:tcW w:w="1040" w:type="dxa"/>
            <w:tcBorders>
              <w:left w:val="nil"/>
              <w:bottom w:val="nil"/>
              <w:right w:val="nil"/>
            </w:tcBorders>
          </w:tcPr>
          <w:p>
            <w:pPr>
              <w:pStyle w:val="TableParagraph"/>
              <w:spacing w:line="253" w:lineRule="exact"/>
              <w:ind w:left="265" w:right="154"/>
              <w:jc w:val="center"/>
              <w:rPr>
                <w:sz w:val="14"/>
              </w:rPr>
            </w:pPr>
            <w:r>
              <w:rPr>
                <w:sz w:val="22"/>
              </w:rPr>
              <w:t>3.1</w:t>
            </w:r>
            <w:r>
              <w:rPr>
                <w:position w:val="8"/>
                <w:sz w:val="14"/>
              </w:rPr>
              <w:t>b</w:t>
            </w:r>
          </w:p>
        </w:tc>
        <w:tc>
          <w:tcPr>
            <w:tcW w:w="892" w:type="dxa"/>
            <w:tcBorders>
              <w:left w:val="nil"/>
              <w:bottom w:val="nil"/>
              <w:right w:val="nil"/>
            </w:tcBorders>
          </w:tcPr>
          <w:p>
            <w:pPr>
              <w:pStyle w:val="TableParagraph"/>
              <w:ind w:left="176"/>
              <w:rPr>
                <w:sz w:val="22"/>
              </w:rPr>
            </w:pPr>
            <w:r>
              <w:rPr>
                <w:sz w:val="22"/>
              </w:rPr>
              <w:t>0.29</w:t>
            </w:r>
          </w:p>
        </w:tc>
        <w:tc>
          <w:tcPr>
            <w:tcW w:w="981" w:type="dxa"/>
            <w:tcBorders>
              <w:left w:val="nil"/>
              <w:bottom w:val="nil"/>
              <w:right w:val="nil"/>
            </w:tcBorders>
          </w:tcPr>
          <w:p>
            <w:pPr>
              <w:pStyle w:val="TableParagraph"/>
              <w:ind w:left="45" w:right="46"/>
              <w:jc w:val="center"/>
              <w:rPr>
                <w:sz w:val="22"/>
              </w:rPr>
            </w:pPr>
            <w:r>
              <w:rPr>
                <w:sz w:val="22"/>
              </w:rPr>
              <w:t>0.02</w:t>
            </w:r>
          </w:p>
        </w:tc>
        <w:tc>
          <w:tcPr>
            <w:tcW w:w="1057" w:type="dxa"/>
            <w:tcBorders>
              <w:left w:val="nil"/>
              <w:bottom w:val="nil"/>
              <w:right w:val="nil"/>
            </w:tcBorders>
          </w:tcPr>
          <w:p>
            <w:pPr>
              <w:pStyle w:val="TableParagraph"/>
              <w:ind w:left="3" w:right="83"/>
              <w:jc w:val="center"/>
              <w:rPr>
                <w:sz w:val="22"/>
              </w:rPr>
            </w:pPr>
            <w:r>
              <w:rPr>
                <w:sz w:val="22"/>
              </w:rPr>
              <w:t>0.01</w:t>
            </w:r>
          </w:p>
        </w:tc>
        <w:tc>
          <w:tcPr>
            <w:tcW w:w="1021" w:type="dxa"/>
            <w:tcBorders>
              <w:left w:val="nil"/>
              <w:bottom w:val="nil"/>
              <w:right w:val="nil"/>
            </w:tcBorders>
          </w:tcPr>
          <w:p>
            <w:pPr>
              <w:pStyle w:val="TableParagraph"/>
              <w:ind w:right="341"/>
              <w:jc w:val="right"/>
              <w:rPr>
                <w:sz w:val="22"/>
              </w:rPr>
            </w:pPr>
            <w:r>
              <w:rPr>
                <w:sz w:val="22"/>
              </w:rPr>
              <w:t>0.01</w:t>
            </w:r>
          </w:p>
        </w:tc>
      </w:tr>
      <w:tr>
        <w:trPr>
          <w:trHeight w:val="380" w:hRule="exact"/>
        </w:trPr>
        <w:tc>
          <w:tcPr>
            <w:tcW w:w="1364" w:type="dxa"/>
            <w:tcBorders>
              <w:top w:val="nil"/>
              <w:left w:val="nil"/>
              <w:bottom w:val="nil"/>
              <w:right w:val="nil"/>
            </w:tcBorders>
          </w:tcPr>
          <w:p>
            <w:pPr>
              <w:pStyle w:val="TableParagraph"/>
              <w:spacing w:before="59"/>
              <w:ind w:left="86" w:right="153"/>
              <w:rPr>
                <w:sz w:val="22"/>
              </w:rPr>
            </w:pPr>
            <w:r>
              <w:rPr>
                <w:sz w:val="22"/>
              </w:rPr>
              <w:t>Media</w:t>
            </w:r>
          </w:p>
        </w:tc>
        <w:tc>
          <w:tcPr>
            <w:tcW w:w="837" w:type="dxa"/>
            <w:tcBorders>
              <w:top w:val="nil"/>
              <w:left w:val="nil"/>
              <w:bottom w:val="nil"/>
              <w:right w:val="nil"/>
            </w:tcBorders>
          </w:tcPr>
          <w:p>
            <w:pPr>
              <w:pStyle w:val="TableParagraph"/>
              <w:spacing w:before="59"/>
              <w:ind w:left="153" w:right="133"/>
              <w:jc w:val="center"/>
              <w:rPr>
                <w:sz w:val="22"/>
              </w:rPr>
            </w:pPr>
            <w:r>
              <w:rPr>
                <w:sz w:val="22"/>
              </w:rPr>
              <w:t>12.6ª</w:t>
            </w:r>
          </w:p>
        </w:tc>
        <w:tc>
          <w:tcPr>
            <w:tcW w:w="776" w:type="dxa"/>
            <w:tcBorders>
              <w:top w:val="nil"/>
              <w:left w:val="nil"/>
              <w:bottom w:val="nil"/>
              <w:right w:val="nil"/>
            </w:tcBorders>
          </w:tcPr>
          <w:p>
            <w:pPr>
              <w:pStyle w:val="TableParagraph"/>
              <w:spacing w:before="55"/>
              <w:ind w:left="133" w:right="97"/>
              <w:jc w:val="center"/>
              <w:rPr>
                <w:sz w:val="14"/>
              </w:rPr>
            </w:pPr>
            <w:r>
              <w:rPr>
                <w:sz w:val="22"/>
              </w:rPr>
              <w:t>11.9</w:t>
            </w:r>
            <w:r>
              <w:rPr>
                <w:position w:val="8"/>
                <w:sz w:val="14"/>
              </w:rPr>
              <w:t>b</w:t>
            </w:r>
          </w:p>
        </w:tc>
        <w:tc>
          <w:tcPr>
            <w:tcW w:w="689" w:type="dxa"/>
            <w:tcBorders>
              <w:top w:val="nil"/>
              <w:left w:val="nil"/>
              <w:bottom w:val="nil"/>
              <w:right w:val="nil"/>
            </w:tcBorders>
          </w:tcPr>
          <w:p>
            <w:pPr>
              <w:pStyle w:val="TableParagraph"/>
              <w:spacing w:before="59"/>
              <w:ind w:left="119"/>
              <w:rPr>
                <w:sz w:val="22"/>
              </w:rPr>
            </w:pPr>
            <w:r>
              <w:rPr>
                <w:sz w:val="22"/>
              </w:rPr>
              <w:t>0.19</w:t>
            </w:r>
          </w:p>
        </w:tc>
        <w:tc>
          <w:tcPr>
            <w:tcW w:w="720" w:type="dxa"/>
            <w:tcBorders>
              <w:top w:val="nil"/>
              <w:left w:val="nil"/>
              <w:bottom w:val="nil"/>
              <w:right w:val="nil"/>
            </w:tcBorders>
          </w:tcPr>
          <w:p>
            <w:pPr>
              <w:pStyle w:val="TableParagraph"/>
              <w:spacing w:before="55"/>
              <w:ind w:left="108" w:right="66"/>
              <w:jc w:val="center"/>
              <w:rPr>
                <w:sz w:val="14"/>
              </w:rPr>
            </w:pPr>
            <w:r>
              <w:rPr>
                <w:sz w:val="22"/>
              </w:rPr>
              <w:t>12.4</w:t>
            </w:r>
            <w:r>
              <w:rPr>
                <w:position w:val="8"/>
                <w:sz w:val="14"/>
              </w:rPr>
              <w:t>a</w:t>
            </w:r>
          </w:p>
        </w:tc>
        <w:tc>
          <w:tcPr>
            <w:tcW w:w="881" w:type="dxa"/>
            <w:tcBorders>
              <w:top w:val="nil"/>
              <w:left w:val="nil"/>
              <w:bottom w:val="nil"/>
              <w:right w:val="nil"/>
            </w:tcBorders>
          </w:tcPr>
          <w:p>
            <w:pPr>
              <w:pStyle w:val="TableParagraph"/>
              <w:spacing w:before="55"/>
              <w:ind w:left="83"/>
              <w:rPr>
                <w:sz w:val="14"/>
              </w:rPr>
            </w:pPr>
            <w:r>
              <w:rPr>
                <w:sz w:val="22"/>
              </w:rPr>
              <w:t>12.1</w:t>
            </w:r>
            <w:r>
              <w:rPr>
                <w:position w:val="8"/>
                <w:sz w:val="14"/>
              </w:rPr>
              <w:t>a</w:t>
            </w:r>
          </w:p>
        </w:tc>
        <w:tc>
          <w:tcPr>
            <w:tcW w:w="1083" w:type="dxa"/>
            <w:tcBorders>
              <w:top w:val="nil"/>
              <w:left w:val="nil"/>
              <w:bottom w:val="nil"/>
              <w:right w:val="nil"/>
            </w:tcBorders>
          </w:tcPr>
          <w:p>
            <w:pPr>
              <w:pStyle w:val="TableParagraph"/>
              <w:spacing w:before="55"/>
              <w:ind w:left="264" w:right="267"/>
              <w:jc w:val="center"/>
              <w:rPr>
                <w:sz w:val="14"/>
              </w:rPr>
            </w:pPr>
            <w:r>
              <w:rPr>
                <w:sz w:val="22"/>
              </w:rPr>
              <w:t>12.8</w:t>
            </w:r>
            <w:r>
              <w:rPr>
                <w:position w:val="8"/>
                <w:sz w:val="14"/>
              </w:rPr>
              <w:t>c</w:t>
            </w:r>
          </w:p>
        </w:tc>
        <w:tc>
          <w:tcPr>
            <w:tcW w:w="1040" w:type="dxa"/>
            <w:tcBorders>
              <w:top w:val="nil"/>
              <w:left w:val="nil"/>
              <w:bottom w:val="nil"/>
              <w:right w:val="nil"/>
            </w:tcBorders>
          </w:tcPr>
          <w:p>
            <w:pPr>
              <w:pStyle w:val="TableParagraph"/>
              <w:spacing w:before="55"/>
              <w:ind w:left="264" w:right="157"/>
              <w:jc w:val="center"/>
              <w:rPr>
                <w:sz w:val="14"/>
              </w:rPr>
            </w:pPr>
            <w:r>
              <w:rPr>
                <w:sz w:val="22"/>
              </w:rPr>
              <w:t>11.7</w:t>
            </w:r>
            <w:r>
              <w:rPr>
                <w:position w:val="8"/>
                <w:sz w:val="14"/>
              </w:rPr>
              <w:t>a</w:t>
            </w:r>
          </w:p>
        </w:tc>
        <w:tc>
          <w:tcPr>
            <w:tcW w:w="892" w:type="dxa"/>
            <w:tcBorders>
              <w:top w:val="nil"/>
              <w:left w:val="nil"/>
              <w:bottom w:val="nil"/>
              <w:right w:val="nil"/>
            </w:tcBorders>
          </w:tcPr>
          <w:p>
            <w:pPr>
              <w:pStyle w:val="TableParagraph"/>
              <w:spacing w:before="59"/>
              <w:ind w:left="176"/>
              <w:rPr>
                <w:sz w:val="22"/>
              </w:rPr>
            </w:pPr>
            <w:r>
              <w:rPr>
                <w:sz w:val="22"/>
              </w:rPr>
              <w:t>0.27</w:t>
            </w:r>
          </w:p>
        </w:tc>
        <w:tc>
          <w:tcPr>
            <w:tcW w:w="981" w:type="dxa"/>
            <w:tcBorders>
              <w:top w:val="nil"/>
              <w:left w:val="nil"/>
              <w:bottom w:val="nil"/>
              <w:right w:val="nil"/>
            </w:tcBorders>
          </w:tcPr>
          <w:p>
            <w:pPr>
              <w:pStyle w:val="TableParagraph"/>
              <w:spacing w:before="59"/>
              <w:ind w:left="45" w:right="46"/>
              <w:jc w:val="center"/>
              <w:rPr>
                <w:sz w:val="22"/>
              </w:rPr>
            </w:pPr>
            <w:r>
              <w:rPr>
                <w:sz w:val="22"/>
              </w:rPr>
              <w:t>0.01</w:t>
            </w:r>
          </w:p>
        </w:tc>
        <w:tc>
          <w:tcPr>
            <w:tcW w:w="1057" w:type="dxa"/>
            <w:tcBorders>
              <w:top w:val="nil"/>
              <w:left w:val="nil"/>
              <w:bottom w:val="nil"/>
              <w:right w:val="nil"/>
            </w:tcBorders>
          </w:tcPr>
          <w:p>
            <w:pPr>
              <w:pStyle w:val="TableParagraph"/>
              <w:spacing w:before="59"/>
              <w:ind w:left="3" w:right="83"/>
              <w:jc w:val="center"/>
              <w:rPr>
                <w:sz w:val="22"/>
              </w:rPr>
            </w:pPr>
            <w:r>
              <w:rPr>
                <w:sz w:val="22"/>
              </w:rPr>
              <w:t>0.04</w:t>
            </w:r>
          </w:p>
        </w:tc>
        <w:tc>
          <w:tcPr>
            <w:tcW w:w="1021" w:type="dxa"/>
            <w:tcBorders>
              <w:top w:val="nil"/>
              <w:left w:val="nil"/>
              <w:bottom w:val="nil"/>
              <w:right w:val="nil"/>
            </w:tcBorders>
          </w:tcPr>
          <w:p>
            <w:pPr>
              <w:pStyle w:val="TableParagraph"/>
              <w:spacing w:before="59"/>
              <w:ind w:right="341"/>
              <w:jc w:val="right"/>
              <w:rPr>
                <w:sz w:val="22"/>
              </w:rPr>
            </w:pPr>
            <w:r>
              <w:rPr>
                <w:sz w:val="22"/>
              </w:rPr>
              <w:t>0.08</w:t>
            </w:r>
          </w:p>
        </w:tc>
      </w:tr>
      <w:tr>
        <w:trPr>
          <w:trHeight w:val="443" w:hRule="exact"/>
        </w:trPr>
        <w:tc>
          <w:tcPr>
            <w:tcW w:w="1364" w:type="dxa"/>
            <w:tcBorders>
              <w:top w:val="nil"/>
              <w:left w:val="nil"/>
              <w:right w:val="nil"/>
            </w:tcBorders>
          </w:tcPr>
          <w:p>
            <w:pPr>
              <w:pStyle w:val="TableParagraph"/>
              <w:spacing w:before="59"/>
              <w:ind w:left="86" w:right="153"/>
              <w:rPr>
                <w:sz w:val="22"/>
              </w:rPr>
            </w:pPr>
            <w:r>
              <w:rPr>
                <w:sz w:val="22"/>
              </w:rPr>
              <w:t>Larga</w:t>
            </w:r>
          </w:p>
        </w:tc>
        <w:tc>
          <w:tcPr>
            <w:tcW w:w="837" w:type="dxa"/>
            <w:tcBorders>
              <w:top w:val="nil"/>
              <w:left w:val="nil"/>
              <w:right w:val="nil"/>
            </w:tcBorders>
          </w:tcPr>
          <w:p>
            <w:pPr>
              <w:pStyle w:val="TableParagraph"/>
              <w:spacing w:before="54"/>
              <w:ind w:left="150" w:right="133"/>
              <w:jc w:val="center"/>
              <w:rPr>
                <w:sz w:val="14"/>
              </w:rPr>
            </w:pPr>
            <w:r>
              <w:rPr>
                <w:sz w:val="22"/>
              </w:rPr>
              <w:t>83.5</w:t>
            </w:r>
            <w:r>
              <w:rPr>
                <w:position w:val="8"/>
                <w:sz w:val="14"/>
              </w:rPr>
              <w:t>a</w:t>
            </w:r>
          </w:p>
        </w:tc>
        <w:tc>
          <w:tcPr>
            <w:tcW w:w="776" w:type="dxa"/>
            <w:tcBorders>
              <w:top w:val="nil"/>
              <w:left w:val="nil"/>
              <w:right w:val="nil"/>
            </w:tcBorders>
          </w:tcPr>
          <w:p>
            <w:pPr>
              <w:pStyle w:val="TableParagraph"/>
              <w:spacing w:before="54"/>
              <w:ind w:left="133" w:right="97"/>
              <w:jc w:val="center"/>
              <w:rPr>
                <w:sz w:val="14"/>
              </w:rPr>
            </w:pPr>
            <w:r>
              <w:rPr>
                <w:sz w:val="22"/>
              </w:rPr>
              <w:t>84.9</w:t>
            </w:r>
            <w:r>
              <w:rPr>
                <w:position w:val="8"/>
                <w:sz w:val="14"/>
              </w:rPr>
              <w:t>b</w:t>
            </w:r>
          </w:p>
        </w:tc>
        <w:tc>
          <w:tcPr>
            <w:tcW w:w="689" w:type="dxa"/>
            <w:tcBorders>
              <w:top w:val="nil"/>
              <w:left w:val="nil"/>
              <w:right w:val="nil"/>
            </w:tcBorders>
          </w:tcPr>
          <w:p>
            <w:pPr>
              <w:pStyle w:val="TableParagraph"/>
              <w:spacing w:before="59"/>
              <w:ind w:left="119"/>
              <w:rPr>
                <w:sz w:val="22"/>
              </w:rPr>
            </w:pPr>
            <w:r>
              <w:rPr>
                <w:sz w:val="22"/>
              </w:rPr>
              <w:t>0.38</w:t>
            </w:r>
          </w:p>
        </w:tc>
        <w:tc>
          <w:tcPr>
            <w:tcW w:w="720" w:type="dxa"/>
            <w:tcBorders>
              <w:top w:val="nil"/>
              <w:left w:val="nil"/>
              <w:right w:val="nil"/>
            </w:tcBorders>
          </w:tcPr>
          <w:p>
            <w:pPr>
              <w:pStyle w:val="TableParagraph"/>
              <w:spacing w:before="54"/>
              <w:ind w:left="108" w:right="66"/>
              <w:jc w:val="center"/>
              <w:rPr>
                <w:sz w:val="14"/>
              </w:rPr>
            </w:pPr>
            <w:r>
              <w:rPr>
                <w:sz w:val="22"/>
              </w:rPr>
              <w:t>84.6</w:t>
            </w:r>
            <w:r>
              <w:rPr>
                <w:position w:val="8"/>
                <w:sz w:val="14"/>
              </w:rPr>
              <w:t>a</w:t>
            </w:r>
          </w:p>
        </w:tc>
        <w:tc>
          <w:tcPr>
            <w:tcW w:w="881" w:type="dxa"/>
            <w:tcBorders>
              <w:top w:val="nil"/>
              <w:left w:val="nil"/>
              <w:right w:val="nil"/>
            </w:tcBorders>
          </w:tcPr>
          <w:p>
            <w:pPr>
              <w:pStyle w:val="TableParagraph"/>
              <w:spacing w:before="54"/>
              <w:ind w:left="83"/>
              <w:rPr>
                <w:sz w:val="14"/>
              </w:rPr>
            </w:pPr>
            <w:r>
              <w:rPr>
                <w:sz w:val="22"/>
              </w:rPr>
              <w:t>84.4</w:t>
            </w:r>
            <w:r>
              <w:rPr>
                <w:position w:val="8"/>
                <w:sz w:val="14"/>
              </w:rPr>
              <w:t>a</w:t>
            </w:r>
          </w:p>
        </w:tc>
        <w:tc>
          <w:tcPr>
            <w:tcW w:w="1083" w:type="dxa"/>
            <w:tcBorders>
              <w:top w:val="nil"/>
              <w:left w:val="nil"/>
              <w:right w:val="nil"/>
            </w:tcBorders>
          </w:tcPr>
          <w:p>
            <w:pPr>
              <w:pStyle w:val="TableParagraph"/>
              <w:spacing w:before="54"/>
              <w:ind w:left="269" w:right="267"/>
              <w:jc w:val="center"/>
              <w:rPr>
                <w:sz w:val="14"/>
              </w:rPr>
            </w:pPr>
            <w:r>
              <w:rPr>
                <w:sz w:val="22"/>
              </w:rPr>
              <w:t>82.5</w:t>
            </w:r>
            <w:r>
              <w:rPr>
                <w:position w:val="8"/>
                <w:sz w:val="14"/>
              </w:rPr>
              <w:t>b</w:t>
            </w:r>
          </w:p>
        </w:tc>
        <w:tc>
          <w:tcPr>
            <w:tcW w:w="1040" w:type="dxa"/>
            <w:tcBorders>
              <w:top w:val="nil"/>
              <w:left w:val="nil"/>
              <w:right w:val="nil"/>
            </w:tcBorders>
          </w:tcPr>
          <w:p>
            <w:pPr>
              <w:pStyle w:val="TableParagraph"/>
              <w:spacing w:before="54"/>
              <w:ind w:left="265" w:right="157"/>
              <w:jc w:val="center"/>
              <w:rPr>
                <w:sz w:val="14"/>
              </w:rPr>
            </w:pPr>
            <w:r>
              <w:rPr>
                <w:sz w:val="22"/>
              </w:rPr>
              <w:t>85.2</w:t>
            </w:r>
            <w:r>
              <w:rPr>
                <w:position w:val="8"/>
                <w:sz w:val="14"/>
              </w:rPr>
              <w:t>ac</w:t>
            </w:r>
          </w:p>
        </w:tc>
        <w:tc>
          <w:tcPr>
            <w:tcW w:w="892" w:type="dxa"/>
            <w:tcBorders>
              <w:top w:val="nil"/>
              <w:left w:val="nil"/>
              <w:right w:val="nil"/>
            </w:tcBorders>
          </w:tcPr>
          <w:p>
            <w:pPr>
              <w:pStyle w:val="TableParagraph"/>
              <w:spacing w:before="59"/>
              <w:ind w:left="176"/>
              <w:rPr>
                <w:sz w:val="22"/>
              </w:rPr>
            </w:pPr>
            <w:r>
              <w:rPr>
                <w:sz w:val="22"/>
              </w:rPr>
              <w:t>0.54</w:t>
            </w:r>
          </w:p>
        </w:tc>
        <w:tc>
          <w:tcPr>
            <w:tcW w:w="981" w:type="dxa"/>
            <w:tcBorders>
              <w:top w:val="nil"/>
              <w:left w:val="nil"/>
              <w:right w:val="nil"/>
            </w:tcBorders>
          </w:tcPr>
          <w:p>
            <w:pPr>
              <w:pStyle w:val="TableParagraph"/>
              <w:spacing w:before="59"/>
              <w:ind w:left="45" w:right="46"/>
              <w:jc w:val="center"/>
              <w:rPr>
                <w:sz w:val="22"/>
              </w:rPr>
            </w:pPr>
            <w:r>
              <w:rPr>
                <w:sz w:val="22"/>
              </w:rPr>
              <w:t>0.01</w:t>
            </w:r>
          </w:p>
        </w:tc>
        <w:tc>
          <w:tcPr>
            <w:tcW w:w="1057" w:type="dxa"/>
            <w:tcBorders>
              <w:top w:val="nil"/>
              <w:left w:val="nil"/>
              <w:right w:val="nil"/>
            </w:tcBorders>
          </w:tcPr>
          <w:p>
            <w:pPr>
              <w:pStyle w:val="TableParagraph"/>
              <w:spacing w:before="59"/>
              <w:ind w:left="3" w:right="83"/>
              <w:jc w:val="center"/>
              <w:rPr>
                <w:sz w:val="22"/>
              </w:rPr>
            </w:pPr>
            <w:r>
              <w:rPr>
                <w:sz w:val="22"/>
              </w:rPr>
              <w:t>0.01</w:t>
            </w:r>
          </w:p>
        </w:tc>
        <w:tc>
          <w:tcPr>
            <w:tcW w:w="1021" w:type="dxa"/>
            <w:tcBorders>
              <w:top w:val="nil"/>
              <w:left w:val="nil"/>
              <w:right w:val="nil"/>
            </w:tcBorders>
          </w:tcPr>
          <w:p>
            <w:pPr>
              <w:pStyle w:val="TableParagraph"/>
              <w:spacing w:before="59"/>
              <w:ind w:right="341"/>
              <w:jc w:val="right"/>
              <w:rPr>
                <w:sz w:val="22"/>
              </w:rPr>
            </w:pPr>
            <w:r>
              <w:rPr>
                <w:sz w:val="22"/>
              </w:rPr>
              <w:t>0.01</w:t>
            </w:r>
          </w:p>
        </w:tc>
      </w:tr>
    </w:tbl>
    <w:p>
      <w:pPr>
        <w:spacing w:line="360" w:lineRule="auto" w:before="0"/>
        <w:ind w:left="903" w:right="134" w:hanging="711"/>
        <w:jc w:val="both"/>
        <w:rPr>
          <w:sz w:val="22"/>
        </w:rPr>
      </w:pPr>
      <w:r>
        <w:rPr>
          <w:position w:val="8"/>
          <w:sz w:val="14"/>
        </w:rPr>
        <w:t>a,b,c </w:t>
      </w:r>
      <w:r>
        <w:rPr>
          <w:sz w:val="22"/>
        </w:rPr>
        <w:t>Medias con literales diferentes entre columnas difieren significativamente; ST=Sistema Tradicional; SSPi=Sistema Silvopastoril intensivo; eem=Error estándar de la media; Periodo= (P1=10, P2=45, P3=80 y P4=165 días); S x P= Sistema por periodo</w:t>
      </w:r>
    </w:p>
    <w:p>
      <w:pPr>
        <w:spacing w:after="0" w:line="360" w:lineRule="auto"/>
        <w:jc w:val="both"/>
        <w:rPr>
          <w:sz w:val="22"/>
        </w:rPr>
        <w:sectPr>
          <w:pgSz w:w="15840" w:h="12240" w:orient="landscape"/>
          <w:pgMar w:header="0" w:footer="1386" w:top="1140" w:bottom="1580" w:left="1680" w:right="1400"/>
        </w:sectPr>
      </w:pPr>
    </w:p>
    <w:p>
      <w:pPr>
        <w:pStyle w:val="BodyText"/>
        <w:spacing w:before="6"/>
        <w:jc w:val="left"/>
        <w:rPr>
          <w:sz w:val="20"/>
        </w:rPr>
      </w:pPr>
    </w:p>
    <w:p>
      <w:pPr>
        <w:pStyle w:val="Heading1"/>
        <w:numPr>
          <w:ilvl w:val="0"/>
          <w:numId w:val="8"/>
        </w:numPr>
        <w:tabs>
          <w:tab w:pos="422" w:val="left" w:leader="none"/>
        </w:tabs>
        <w:spacing w:line="240" w:lineRule="auto" w:before="69" w:after="0"/>
        <w:ind w:left="421" w:right="0" w:hanging="269"/>
        <w:jc w:val="both"/>
      </w:pPr>
      <w:bookmarkStart w:name="_bookmark30" w:id="58"/>
      <w:bookmarkEnd w:id="58"/>
      <w:r>
        <w:rPr>
          <w:b w:val="0"/>
        </w:rPr>
      </w:r>
      <w:bookmarkStart w:name="_bookmark30" w:id="59"/>
      <w:bookmarkEnd w:id="59"/>
      <w:r>
        <w:rPr/>
        <w:t>D</w:t>
      </w:r>
      <w:r>
        <w:rPr/>
        <w:t>ISCUSIÓN</w:t>
      </w:r>
      <w:r>
        <w:rPr>
          <w:spacing w:val="-15"/>
        </w:rPr>
        <w:t> </w:t>
      </w:r>
      <w:r>
        <w:rPr/>
        <w:t>GENERAL</w:t>
      </w:r>
    </w:p>
    <w:p>
      <w:pPr>
        <w:pStyle w:val="BodyText"/>
        <w:spacing w:line="360" w:lineRule="auto" w:before="141"/>
        <w:ind w:left="152" w:right="118"/>
      </w:pPr>
      <w:r>
        <w:rPr/>
        <w:t>El perfil de ácidos grasos en leche y quesos de leche bovina, ovina y caprina ha sido reportado extensamente, siendo así que autores como (Parkash y Jenness, 1968; Olmedo y Coll-Hellin, 1976), demostraron altas concentraciones de ácidos palmítico y oleico, concentraciones intermedias para los ácidos mirístico y esteárico, y concentraciones bajas para el caproico y caprílico, estas investigaciones coinciden con los resultados obtenidos en el presente trabajo teniendo así los valores de 30.6 g/100grs y 32.1 g/100grs para el    C16:0 y C18:1;</w:t>
      </w:r>
    </w:p>
    <w:p>
      <w:pPr>
        <w:pStyle w:val="BodyText"/>
        <w:spacing w:line="360" w:lineRule="auto" w:before="2"/>
        <w:ind w:left="152" w:right="116"/>
      </w:pPr>
      <w:r>
        <w:rPr/>
        <w:t>9.7 g/100 grs y 11.2 g/100grs para C14:0 y C18:0, y finalmente 1.03 g/100grs y 1.6 g/100grs para C6:0 y C8:0. Estos resultados además concuerdan con el hecho de que las lipasas (ya sea en </w:t>
      </w:r>
      <w:r>
        <w:rPr>
          <w:spacing w:val="-3"/>
        </w:rPr>
        <w:t>forma </w:t>
      </w:r>
      <w:r>
        <w:rPr/>
        <w:t>de leche, </w:t>
      </w:r>
      <w:r>
        <w:rPr>
          <w:spacing w:val="-3"/>
        </w:rPr>
        <w:t>cuajo </w:t>
      </w:r>
      <w:r>
        <w:rPr/>
        <w:t>o microbianas) que participan en  la maduración del Queso Tepeque poseen una mayor selectividad hacia la hidrólisis de residuos de ácidos grasos de cadena corta y media, que hacia los de cadena</w:t>
      </w:r>
      <w:r>
        <w:rPr>
          <w:spacing w:val="-4"/>
        </w:rPr>
        <w:t> </w:t>
      </w:r>
      <w:r>
        <w:rPr/>
        <w:t>larga.</w:t>
      </w:r>
    </w:p>
    <w:p>
      <w:pPr>
        <w:pStyle w:val="BodyText"/>
        <w:spacing w:line="360" w:lineRule="auto" w:before="3"/>
        <w:ind w:left="152" w:right="117"/>
      </w:pPr>
      <w:r>
        <w:rPr/>
        <w:t>Por otro lado, la mayor concentración de ácidos grasos de cadena larga en particular el alfa linolénico y el alfa linoleico en los quesos del SSPi se puede explicar por el mayor consumo de forrajes frescos y de buena calidad por el ganado en este sistema. Dentro de un SSPi se encuentran integrados los sistemas de producción de especies de árboles asociados con pastos para ganado, en el mismo espacio de suelo, de una manera secuencial o simultánea, siendo así que la alimentación de los animales a base de pasto y forrajes de buena calidad ha demostrado dar lugar a un mayor contenido de compuestos saludables en la leche que otros sistemas de alimentación (Monrand-Fehr, 2007), como ocurrió en el presente estudio donde la concentración del ácido C18:3n3, el cual </w:t>
      </w:r>
      <w:r>
        <w:rPr>
          <w:spacing w:val="6"/>
        </w:rPr>
        <w:t>es </w:t>
      </w:r>
      <w:r>
        <w:rPr/>
        <w:t>un ácido graso esencial, fue varias veces </w:t>
      </w:r>
      <w:r>
        <w:rPr>
          <w:spacing w:val="-3"/>
        </w:rPr>
        <w:t>más </w:t>
      </w:r>
      <w:r>
        <w:rPr/>
        <w:t>alta en los quesos del SSPi que en el ST. Autores como (Monrand-Fehr, 2007 y Elgersma </w:t>
      </w:r>
      <w:r>
        <w:rPr>
          <w:i/>
        </w:rPr>
        <w:t>et al</w:t>
      </w:r>
      <w:r>
        <w:rPr/>
        <w:t>., 2006) son algunos investigadores que han realizado estudios sobre el efecto que tiene  la alimentación del ganado en la leche y la calidad del queso, demostrando las ventajas que tiene alimentar a los mismos con pasto. Una dieta basada en</w:t>
      </w:r>
      <w:r>
        <w:rPr>
          <w:spacing w:val="3"/>
        </w:rPr>
        <w:t> </w:t>
      </w:r>
      <w:r>
        <w:rPr/>
        <w:t>forrajes</w:t>
      </w:r>
    </w:p>
    <w:p>
      <w:pPr>
        <w:spacing w:after="0" w:line="360" w:lineRule="auto"/>
        <w:sectPr>
          <w:footerReference w:type="default" r:id="rId23"/>
          <w:pgSz w:w="12240" w:h="15840"/>
          <w:pgMar w:footer="1386" w:header="0" w:top="1500" w:bottom="1580" w:left="1720" w:right="1400"/>
          <w:pgNumType w:start="50"/>
        </w:sectPr>
      </w:pPr>
    </w:p>
    <w:p>
      <w:pPr>
        <w:pStyle w:val="BodyText"/>
        <w:spacing w:before="11"/>
        <w:jc w:val="left"/>
        <w:rPr>
          <w:sz w:val="20"/>
        </w:rPr>
      </w:pPr>
    </w:p>
    <w:p>
      <w:pPr>
        <w:pStyle w:val="BodyText"/>
        <w:spacing w:line="360" w:lineRule="auto" w:before="69"/>
        <w:ind w:left="152" w:right="121"/>
      </w:pPr>
      <w:r>
        <w:rPr/>
        <w:t>frescos puede modificar el perfil de ácidos grasos de la leche y el queso, por ejemplo, incrementa la concentración del ácido octadecadienoico (C18:2) </w:t>
      </w:r>
      <w:r>
        <w:rPr>
          <w:i/>
        </w:rPr>
        <w:t>cis-9, </w:t>
      </w:r>
      <w:r>
        <w:rPr>
          <w:i/>
        </w:rPr>
        <w:t>trans-11 </w:t>
      </w:r>
      <w:r>
        <w:rPr/>
        <w:t>el cual da a la leche y sus productos un importante valor hipocolesterolémico (Elgersma </w:t>
      </w:r>
      <w:r>
        <w:rPr>
          <w:i/>
        </w:rPr>
        <w:t>et al</w:t>
      </w:r>
      <w:r>
        <w:rPr/>
        <w:t>., 2006), así como otro importante ácido poliinsaturado como el C18:1 que es significativamente influenciado por la alimentación. En trabajos anteriores se ha analizado la influencia de  la alimentación sobre la concentración de proteínas y la grasa de la leche (Coulon y Remond, 1991) que son importantes para el rendimiento quesero además de otras características. Confirmando así la información otorgada por algunos investigadores (Martínez </w:t>
      </w:r>
      <w:r>
        <w:rPr>
          <w:i/>
        </w:rPr>
        <w:t>et al</w:t>
      </w:r>
      <w:r>
        <w:rPr/>
        <w:t>., 2015) y queseros quienes afirman sobre las diferencias en las características sensoriales de los quesos en los SSPi.</w:t>
      </w:r>
    </w:p>
    <w:p>
      <w:pPr>
        <w:pStyle w:val="BodyText"/>
        <w:spacing w:line="360" w:lineRule="auto" w:before="7"/>
        <w:ind w:left="152" w:right="118"/>
      </w:pPr>
      <w:r>
        <w:rPr/>
        <w:t>Existen cinco importantes ácidos grasos en pastos, aproximadamente el 95% se compone de linolénico, linoleico y palmítico (Hawke, 1973). Es así que el forraje fresco contiene una alta proporción (0.50 a 0.75) del contenido total de ácidos grasos como ácido α-linolénico, coincidiendo esta explicación con los resultados arrojados en esta investigación, observando que la concentración del ácido linoleico (C18:2n6) perteneciente al grupo de los ácidos Omega 6 no se encuentra en una mayor concentración en los quesos producidos en un SSPi. En contraste, alfa linolénico (C18:3n3) fue significativamente mayor lo cual es un aspecto positivo pues éste ácido graso pertenecen al grupo de los Omega 3, los cuales  son esenciales para la nutrición humana ya que no son sintetizados por el cuerpo de las</w:t>
      </w:r>
      <w:r>
        <w:rPr>
          <w:spacing w:val="-4"/>
        </w:rPr>
        <w:t> </w:t>
      </w:r>
      <w:r>
        <w:rPr/>
        <w:t>personas.</w:t>
      </w:r>
    </w:p>
    <w:p>
      <w:pPr>
        <w:pStyle w:val="BodyText"/>
        <w:spacing w:line="360" w:lineRule="auto" w:before="3"/>
        <w:ind w:left="152" w:right="119"/>
      </w:pPr>
      <w:r>
        <w:rPr/>
        <w:t>Los ácidos grasos de cadena larga de la familia Omega 3 son llamados “esenciales” debido a su importancia en la preservación de la salud y en la prevención de enfermedades. El ácido alfa linolénico es considerado como un ácido graso principal o “padre” dentro de la familia de los Omega-3, cerca del 96% de este ácido parece ser absorbido en el intestino y ser metabolizado de diferentes formas entre las más destacadas es que puede fungir como substrato para la cetogénesis (proceso para crear cuerpos cetónicos), además de que puede ser</w:t>
      </w:r>
    </w:p>
    <w:p>
      <w:pPr>
        <w:spacing w:after="0" w:line="360" w:lineRule="auto"/>
        <w:sectPr>
          <w:pgSz w:w="12240" w:h="15840"/>
          <w:pgMar w:header="0" w:footer="1386" w:top="1500" w:bottom="1580" w:left="1720" w:right="1400"/>
        </w:sectPr>
      </w:pPr>
    </w:p>
    <w:p>
      <w:pPr>
        <w:pStyle w:val="BodyText"/>
        <w:spacing w:before="11"/>
        <w:jc w:val="left"/>
        <w:rPr>
          <w:sz w:val="20"/>
        </w:rPr>
      </w:pPr>
    </w:p>
    <w:p>
      <w:pPr>
        <w:pStyle w:val="BodyText"/>
        <w:spacing w:line="360" w:lineRule="auto" w:before="69"/>
        <w:ind w:left="152" w:right="131"/>
      </w:pPr>
      <w:r>
        <w:rPr/>
        <w:t>reciclado para producir otros ácidos grasos entre los cuales se encuentra al ácido Docosahexanoico (ADH), ácido Docosapentanoico (ADP) y el ácido Eicosapentanoico (AEP) esto a través de la desaturación y elongación del alfa linolénico.</w:t>
      </w:r>
    </w:p>
    <w:p>
      <w:pPr>
        <w:pStyle w:val="BodyText"/>
        <w:spacing w:line="360" w:lineRule="auto" w:before="2"/>
        <w:ind w:left="152" w:right="125"/>
      </w:pPr>
      <w:r>
        <w:rPr/>
        <w:t>El ácido alfa linolénico es precursor del AEP, el cual a su vez es un precursor de los eicosanoides los cuales controlan las reacciones inflamatorias. Esta es una de las principales razones por la cual se recomienda a las personas a consumir más ácidos grasos Omega 3. Siendo así que algunos estudios revelan que una ingesta de aproximadamente 2-3 g/día durante 6-12 meses por un adulto pudiese impartir efectos biológicos óptimos, que serían de larga duración (Whigham </w:t>
      </w:r>
      <w:r>
        <w:rPr>
          <w:i/>
        </w:rPr>
        <w:t>et al</w:t>
      </w:r>
      <w:r>
        <w:rPr/>
        <w:t>., 2007)</w:t>
      </w:r>
    </w:p>
    <w:p>
      <w:pPr>
        <w:spacing w:after="0" w:line="360" w:lineRule="auto"/>
        <w:sectPr>
          <w:pgSz w:w="12240" w:h="15840"/>
          <w:pgMar w:header="0" w:footer="1386" w:top="1500" w:bottom="1580" w:left="1720" w:right="1400"/>
        </w:sectPr>
      </w:pPr>
    </w:p>
    <w:p>
      <w:pPr>
        <w:pStyle w:val="BodyText"/>
        <w:spacing w:before="6"/>
        <w:jc w:val="left"/>
        <w:rPr>
          <w:sz w:val="20"/>
        </w:rPr>
      </w:pPr>
    </w:p>
    <w:p>
      <w:pPr>
        <w:pStyle w:val="Heading1"/>
        <w:numPr>
          <w:ilvl w:val="0"/>
          <w:numId w:val="8"/>
        </w:numPr>
        <w:tabs>
          <w:tab w:pos="422" w:val="left" w:leader="none"/>
        </w:tabs>
        <w:spacing w:line="240" w:lineRule="auto" w:before="69" w:after="0"/>
        <w:ind w:left="421" w:right="0" w:hanging="269"/>
        <w:jc w:val="both"/>
      </w:pPr>
      <w:bookmarkStart w:name="_bookmark31" w:id="60"/>
      <w:bookmarkEnd w:id="60"/>
      <w:r>
        <w:rPr>
          <w:b w:val="0"/>
        </w:rPr>
      </w:r>
      <w:bookmarkStart w:name="_bookmark31" w:id="61"/>
      <w:bookmarkEnd w:id="61"/>
      <w:r>
        <w:rPr/>
        <w:t>CON</w:t>
      </w:r>
      <w:r>
        <w:rPr/>
        <w:t>CLUSIÓN</w:t>
      </w:r>
      <w:r>
        <w:rPr>
          <w:spacing w:val="-16"/>
        </w:rPr>
        <w:t> </w:t>
      </w:r>
      <w:r>
        <w:rPr/>
        <w:t>GENERAL</w:t>
      </w:r>
    </w:p>
    <w:p>
      <w:pPr>
        <w:pStyle w:val="BodyText"/>
        <w:spacing w:line="360" w:lineRule="auto" w:before="141"/>
        <w:ind w:left="152" w:right="123"/>
      </w:pPr>
      <w:r>
        <w:rPr/>
        <w:t>Los resultados del presente estudio permiten concluir que el empleo de un  Sistema Silvopastoril intensivo genera un aumento del contenido de ácidos grasos de cadena larga en el queso artesanal Tepeque efecto debido a la </w:t>
      </w:r>
      <w:r>
        <w:rPr>
          <w:color w:val="202020"/>
        </w:rPr>
        <w:t>alimentación de los animales a base de pasto y forrajes de buena calidad demostrando dar lugar a un mayor contenido de compuestos saludables en la leche que otros sistemas de alimentación modificando así el perfil de ácidos grasos en la leche y el queso. Se concluye también que </w:t>
      </w:r>
      <w:r>
        <w:rPr/>
        <w:t>la concentración de los ácidos grasos en los períodos de maduración incrementa a medida que progresa la maduración de los</w:t>
      </w:r>
      <w:r>
        <w:rPr>
          <w:spacing w:val="-36"/>
        </w:rPr>
        <w:t> </w:t>
      </w:r>
      <w:r>
        <w:rPr/>
        <w:t>quesos.</w:t>
      </w:r>
    </w:p>
    <w:p>
      <w:pPr>
        <w:spacing w:after="0" w:line="360" w:lineRule="auto"/>
        <w:sectPr>
          <w:pgSz w:w="12240" w:h="15840"/>
          <w:pgMar w:header="0" w:footer="1386" w:top="1500" w:bottom="1580" w:left="1720" w:right="1400"/>
        </w:sectPr>
      </w:pPr>
    </w:p>
    <w:p>
      <w:pPr>
        <w:pStyle w:val="BodyText"/>
        <w:spacing w:before="6"/>
        <w:jc w:val="left"/>
        <w:rPr>
          <w:sz w:val="20"/>
        </w:rPr>
      </w:pPr>
    </w:p>
    <w:p>
      <w:pPr>
        <w:pStyle w:val="Heading1"/>
        <w:numPr>
          <w:ilvl w:val="0"/>
          <w:numId w:val="8"/>
        </w:numPr>
        <w:tabs>
          <w:tab w:pos="556" w:val="left" w:leader="none"/>
        </w:tabs>
        <w:spacing w:line="240" w:lineRule="auto" w:before="69" w:after="0"/>
        <w:ind w:left="555" w:right="0" w:hanging="403"/>
        <w:jc w:val="left"/>
      </w:pPr>
      <w:bookmarkStart w:name="_bookmark32" w:id="62"/>
      <w:bookmarkEnd w:id="62"/>
      <w:r>
        <w:rPr>
          <w:b w:val="0"/>
        </w:rPr>
      </w:r>
      <w:bookmarkStart w:name="_bookmark32" w:id="63"/>
      <w:bookmarkEnd w:id="63"/>
      <w:r>
        <w:rPr/>
        <w:t>R</w:t>
      </w:r>
      <w:r>
        <w:rPr/>
        <w:t>EFERENCIAS</w:t>
      </w:r>
      <w:r>
        <w:rPr>
          <w:spacing w:val="-19"/>
        </w:rPr>
        <w:t> </w:t>
      </w:r>
      <w:r>
        <w:rPr/>
        <w:t>BIBLIOGRÁFICAS</w:t>
      </w:r>
    </w:p>
    <w:p>
      <w:pPr>
        <w:pStyle w:val="BodyText"/>
        <w:spacing w:line="362" w:lineRule="auto" w:before="141"/>
        <w:ind w:left="863" w:right="123" w:hanging="711"/>
      </w:pPr>
      <w:r>
        <w:rPr/>
        <w:t>AbuGhazaleh, A.A y Holmes, L.D. 2007. Diet Supplementation with fish oil and sunflower oil to increase Conjugated Linoleic Acid levels in Milk Fat of Partially Grazing Dairy Cows. Journal of Dairy Science. (90): 2897-2904.</w:t>
      </w:r>
    </w:p>
    <w:p>
      <w:pPr>
        <w:pStyle w:val="BodyText"/>
        <w:spacing w:line="360" w:lineRule="auto"/>
        <w:ind w:left="863" w:right="117" w:hanging="711"/>
      </w:pPr>
      <w:r>
        <w:rPr/>
        <w:t>Arriaga, J.C.M., Flores, G.F.J., Peña, C.G., Albarrán, P.B., García, M.A., Espinoza, O.A., González, E.C.E., Castelán, O.O.A. 2001. Participatory on-farm evaluation of the response to concentrate supplementation by cows in early lactation in smallholder peasant (campesino) dairy production systems in the highlands of central Mexico. Journal of Agricultural Science, Cambridge, 137:</w:t>
      </w:r>
      <w:r>
        <w:rPr>
          <w:spacing w:val="-3"/>
        </w:rPr>
        <w:t> </w:t>
      </w:r>
      <w:r>
        <w:rPr/>
        <w:t>97–103.</w:t>
      </w:r>
    </w:p>
    <w:p>
      <w:pPr>
        <w:pStyle w:val="BodyText"/>
        <w:spacing w:line="360" w:lineRule="auto" w:before="3"/>
        <w:ind w:left="863" w:right="116" w:hanging="711"/>
      </w:pPr>
      <w:r>
        <w:rPr/>
        <w:t>Arriaga, J.C.M., Albarrán, P.B., Espinoza, O.A., García, M.A., Castelán, O.O.A. 2002. On-farm comparison of feeding strategies based on forages for small- scale dairy production systems in the highlands of central Mexico. Experimental Agriculture. 38: 375-388.</w:t>
      </w:r>
    </w:p>
    <w:p>
      <w:pPr>
        <w:pStyle w:val="BodyText"/>
        <w:spacing w:line="360" w:lineRule="auto" w:before="3"/>
        <w:ind w:left="863" w:right="127" w:hanging="711"/>
      </w:pPr>
      <w:r>
        <w:rPr/>
        <w:t>ASOPROVAC. 2007. Asociación Española de Productores de Ganado de Carne. Guías de prácticas correctas de higiene: vacuno de cebo. 2da ed. Dirección General de Ganadería. Ministerio de Agricultura, Pesca y Alimentación. Madrid, España. 47. Disponible en Línea en: </w:t>
      </w:r>
      <w:hyperlink r:id="rId24">
        <w:r>
          <w:rPr/>
          <w:t>http://www.mapa.es/ganaderia/pags/practicas/ASOPROVAC.pdf</w:t>
        </w:r>
      </w:hyperlink>
    </w:p>
    <w:p>
      <w:pPr>
        <w:pStyle w:val="BodyText"/>
        <w:spacing w:line="360" w:lineRule="auto" w:before="7"/>
        <w:ind w:left="863" w:right="138" w:hanging="711"/>
      </w:pPr>
      <w:r>
        <w:rPr/>
        <w:t>Avendaño, R.S. y Acosta, R.I. 2000. Plantas utilizadas como cercas vivas en el estado de Veracruz. Maderas y Bosques. (6): 56-71.</w:t>
      </w:r>
    </w:p>
    <w:p>
      <w:pPr>
        <w:pStyle w:val="BodyText"/>
        <w:spacing w:line="360" w:lineRule="auto" w:before="2"/>
        <w:ind w:left="863" w:right="132" w:hanging="711"/>
      </w:pPr>
      <w:r>
        <w:rPr/>
        <w:t>Bauman, D.E., Baumgard, L.H., Corl, B.A. y Griinari, J.M. 1999. Biosynthesis of conjugated linoleic acid in ruminants. Proceedings of the American Society of Animal</w:t>
      </w:r>
      <w:r>
        <w:rPr>
          <w:spacing w:val="-5"/>
        </w:rPr>
        <w:t> </w:t>
      </w:r>
      <w:r>
        <w:rPr/>
        <w:t>Science.</w:t>
      </w:r>
    </w:p>
    <w:p>
      <w:pPr>
        <w:pStyle w:val="BodyText"/>
        <w:spacing w:line="360" w:lineRule="auto" w:before="7"/>
        <w:ind w:left="863" w:right="120" w:hanging="711"/>
      </w:pPr>
      <w:r>
        <w:rPr/>
        <w:t>Bauman, D.E., Corl, B.A., Baumgard, L.H., Griinari, J.M. 2001. Conjugated linoleic acid (CLA) and the dairy cow. Pages 221-250 in Recent Advances in Animal Nutrition-2001, P. C. Garnsworthy and J. Wiseman, eds. Nottingham University Press, Nottingham, UK.</w:t>
      </w:r>
    </w:p>
    <w:p>
      <w:pPr>
        <w:spacing w:after="0" w:line="360" w:lineRule="auto"/>
        <w:sectPr>
          <w:pgSz w:w="12240" w:h="15840"/>
          <w:pgMar w:header="0" w:footer="1386" w:top="1500" w:bottom="1580" w:left="1720" w:right="1400"/>
        </w:sectPr>
      </w:pPr>
    </w:p>
    <w:p>
      <w:pPr>
        <w:pStyle w:val="BodyText"/>
        <w:spacing w:before="11"/>
        <w:jc w:val="left"/>
        <w:rPr>
          <w:sz w:val="20"/>
        </w:rPr>
      </w:pPr>
    </w:p>
    <w:p>
      <w:pPr>
        <w:pStyle w:val="BodyText"/>
        <w:spacing w:line="360" w:lineRule="auto" w:before="69"/>
        <w:ind w:left="863" w:right="121" w:hanging="711"/>
      </w:pPr>
      <w:r>
        <w:rPr/>
        <w:t>Bauman, D.E., Mather, I.H., Wall, R.J., Lock, L.A. 2006. Major Advances Associated with the Biosynthesis of Milk. Journal of Dairy Science. 89: 1235- 1243.</w:t>
      </w:r>
    </w:p>
    <w:p>
      <w:pPr>
        <w:pStyle w:val="BodyText"/>
        <w:spacing w:line="360" w:lineRule="auto" w:before="7"/>
        <w:ind w:left="863" w:right="129" w:hanging="711"/>
      </w:pPr>
      <w:r>
        <w:rPr/>
        <w:t>Bacab, P.M. y Solorio, S.F. 2011. Oferta y consumo de forraje y producción de leche en Ganado de doble propósito manejado en Sistemas Silvopastoriles en Tepalcatepec, Michoacán. Tropical and Subtropical Agroecosystems. 13(3): 271- 278.</w:t>
      </w:r>
    </w:p>
    <w:p>
      <w:pPr>
        <w:pStyle w:val="BodyText"/>
        <w:spacing w:line="360" w:lineRule="auto" w:before="7"/>
        <w:ind w:left="863" w:right="135" w:hanging="711"/>
      </w:pPr>
      <w:r>
        <w:rPr/>
        <w:t>Belury, M.A. 1995. Conjugated dienoic linoleate: a polyunsaturated fatty acids with unique chemical properties. Nutrition Review. (53): 83–89.</w:t>
      </w:r>
    </w:p>
    <w:p>
      <w:pPr>
        <w:pStyle w:val="BodyText"/>
        <w:spacing w:line="362" w:lineRule="auto" w:before="2"/>
        <w:ind w:left="863" w:right="123" w:hanging="711"/>
      </w:pPr>
      <w:r>
        <w:rPr/>
        <w:t>Bergamo, P., Fedele, E., Iannibelli, L y Marzillo, G. 2003. Fat-soluble vitamin contents and fatty acid composition in organic and conventional Italian dairy products. Food Chemistry. (82): 625-631.</w:t>
      </w:r>
    </w:p>
    <w:p>
      <w:pPr>
        <w:pStyle w:val="BodyText"/>
        <w:spacing w:line="360" w:lineRule="auto"/>
        <w:ind w:left="863" w:right="122" w:hanging="711"/>
      </w:pPr>
      <w:r>
        <w:rPr/>
        <w:t>Camacho, H.Y. 1992. Mediciones del componente arbóreo: Cercas vivas y rompevientos. Notas de clase. Mimeo</w:t>
      </w:r>
    </w:p>
    <w:p>
      <w:pPr>
        <w:pStyle w:val="BodyText"/>
        <w:spacing w:line="360" w:lineRule="auto" w:before="3"/>
        <w:ind w:left="863" w:right="120" w:hanging="711"/>
      </w:pPr>
      <w:r>
        <w:rPr/>
        <w:t>Casermeiro, J.R., Spahn, E., De Petre, A., Valenti, R., Butus, M., Díaz, E., Duarte, O., Chajud, A., Rosales, E., Montiel, J. 2008. Producción lechera en un sistema Silvopastoril mejorado. Ciencia, Docencia y Tecnología. 36(XIX): 215-255.</w:t>
      </w:r>
    </w:p>
    <w:p>
      <w:pPr>
        <w:pStyle w:val="BodyText"/>
        <w:spacing w:line="360" w:lineRule="auto" w:before="3"/>
        <w:ind w:left="863" w:right="127" w:hanging="711"/>
      </w:pPr>
      <w:r>
        <w:rPr/>
        <w:t>Castelán, O.O.A., Solís, M.A.D., Martínez, L.R., Solorio, S.J. 2012. Carta técnica y de Identidad del Queso Tepeque. Producido en Sistemas Silvopastoriles intensivos. Valle de Tepalcatepec, Michoacán, México.</w:t>
      </w:r>
    </w:p>
    <w:p>
      <w:pPr>
        <w:pStyle w:val="BodyText"/>
        <w:spacing w:line="360" w:lineRule="auto" w:before="2"/>
        <w:ind w:left="863" w:right="122" w:hanging="711"/>
      </w:pPr>
      <w:r>
        <w:rPr/>
        <w:t>CATIE 1993. Centro Agronómico Tropical de Investigación y Enseñanza. La mujer rural, su papel en los agrosistemas de la región semi-seca de Centroamérica. Costa Rica. p 206.</w:t>
      </w:r>
    </w:p>
    <w:p>
      <w:pPr>
        <w:pStyle w:val="BodyText"/>
        <w:spacing w:line="360" w:lineRule="auto" w:before="7"/>
        <w:ind w:left="863" w:right="123" w:hanging="711"/>
      </w:pPr>
      <w:r>
        <w:rPr/>
        <w:t>Chin, S.F., Liu, W., Storkson, J.M., Ha, Y.L., Pariza, M.W. 1992. Dietary sources of conjugated dienoic isomers of linoleic acid, a newly recognized class of anticarcinogens. Journal of Food Composition and Analysis. (5): 185-197.</w:t>
      </w:r>
    </w:p>
    <w:p>
      <w:pPr>
        <w:spacing w:after="0" w:line="360" w:lineRule="auto"/>
        <w:sectPr>
          <w:pgSz w:w="12240" w:h="15840"/>
          <w:pgMar w:header="0" w:footer="1386" w:top="1500" w:bottom="1580" w:left="1720" w:right="1400"/>
        </w:sectPr>
      </w:pPr>
    </w:p>
    <w:p>
      <w:pPr>
        <w:pStyle w:val="BodyText"/>
        <w:spacing w:before="11"/>
        <w:jc w:val="left"/>
        <w:rPr>
          <w:sz w:val="20"/>
        </w:rPr>
      </w:pPr>
    </w:p>
    <w:p>
      <w:pPr>
        <w:pStyle w:val="BodyText"/>
        <w:spacing w:line="360" w:lineRule="auto" w:before="69"/>
        <w:ind w:left="863" w:right="128" w:hanging="711"/>
      </w:pPr>
      <w:r>
        <w:rPr/>
        <w:t>Chilliard, Y., Ferlay, A., Doreau, M. 2001. Effect of different types of  forages, animal fat or marine oils in cow’s diet on milk fat secretion and composition, especially conjugated linoleic acid (CLA) and polyunsaturated fatty acids. Livestock Production Science. (70): 31–48.</w:t>
      </w:r>
    </w:p>
    <w:p>
      <w:pPr>
        <w:pStyle w:val="BodyText"/>
        <w:spacing w:line="360" w:lineRule="auto" w:before="2"/>
        <w:ind w:left="863" w:right="129" w:hanging="711"/>
      </w:pPr>
      <w:r>
        <w:rPr/>
        <w:t>Chilliard, Y., Glasser, F., Ferlay, A., Bernard, L., Rouel, J., Doreau, M. 2007. Diet, rumen biohydrogenation and nutritional quality of cow and goat milk fat. European Journal of Lipid Science and Technology. (109): 828-855.</w:t>
      </w:r>
    </w:p>
    <w:p>
      <w:pPr>
        <w:pStyle w:val="BodyText"/>
        <w:spacing w:line="360" w:lineRule="auto" w:before="7"/>
        <w:ind w:left="863" w:right="129" w:hanging="711"/>
      </w:pPr>
      <w:r>
        <w:rPr/>
        <w:t>Chong, E.W.T., Sinclair, A.J., Guymer, R.H. 2006. Facts on fats. Clinical and Experimental Ophthalmology. (34): 464–471.</w:t>
      </w:r>
    </w:p>
    <w:p>
      <w:pPr>
        <w:pStyle w:val="BodyText"/>
        <w:spacing w:line="362" w:lineRule="auto" w:before="2"/>
        <w:ind w:left="863" w:right="124" w:hanging="711"/>
      </w:pPr>
      <w:r>
        <w:rPr/>
        <w:t>Cook, M.E., Miller, C.C., Park, Y., Pariza, M. 1993. Immune modulation by altered nutrient metabolism: nutritional control of immune-induced growth depression. Poultry Science. (72): 1301–1305.</w:t>
      </w:r>
    </w:p>
    <w:p>
      <w:pPr>
        <w:pStyle w:val="BodyText"/>
        <w:spacing w:line="360" w:lineRule="auto"/>
        <w:ind w:left="863" w:right="122" w:hanging="711"/>
      </w:pPr>
      <w:r>
        <w:rPr/>
        <w:t>Coulon, J.B. y Remond, B. 1991. Variations in milk output and milk protein content in response to the level of energy supply in the dairy cow. A review. Livestock Production Science. (29): 31-47.</w:t>
      </w:r>
    </w:p>
    <w:p>
      <w:pPr>
        <w:pStyle w:val="BodyText"/>
        <w:spacing w:line="360" w:lineRule="auto" w:before="7"/>
        <w:ind w:left="863" w:right="136" w:hanging="711"/>
      </w:pPr>
      <w:r>
        <w:rPr/>
        <w:t>Elgersma, A., Tamminga, S., y Ellen, G. 2006. Modifying milk composition through forage. Animal Feed Science and Technology. (131): 207-225</w:t>
      </w:r>
    </w:p>
    <w:p>
      <w:pPr>
        <w:pStyle w:val="BodyText"/>
        <w:spacing w:line="360" w:lineRule="auto" w:before="2"/>
        <w:ind w:left="863" w:right="124" w:hanging="711"/>
      </w:pPr>
      <w:r>
        <w:rPr/>
        <w:t>Escobosa, L.A. y Avila, T.S. 2010. Alimentación. En: Producción de leche con ganado bovino. Manual moderno. México D.F. (9): 245-276.</w:t>
      </w:r>
    </w:p>
    <w:p>
      <w:pPr>
        <w:pStyle w:val="BodyText"/>
        <w:spacing w:line="360" w:lineRule="auto" w:before="7"/>
        <w:ind w:left="863" w:right="124" w:hanging="711"/>
      </w:pPr>
      <w:r>
        <w:rPr/>
        <w:t>Espinel, R., Valencia, L.M., Uribe, F., Molina, C.H., Molina, E.J., Murgueitio, E., Galindo, </w:t>
      </w:r>
      <w:r>
        <w:rPr>
          <w:spacing w:val="2"/>
        </w:rPr>
        <w:t>W., </w:t>
      </w:r>
      <w:r>
        <w:rPr/>
        <w:t>Mejía, C.E., Zapata, A., Molina, J.P., Giraldo, J. 2004.  Sistemas Silvopastoriles. Establecimiento y manejo. (E. Murgueitio, Ed.). Proyecto “Enfoques Silvopastoriles integrados para el </w:t>
      </w:r>
      <w:r>
        <w:rPr>
          <w:spacing w:val="-3"/>
        </w:rPr>
        <w:t>manejo </w:t>
      </w:r>
      <w:r>
        <w:rPr/>
        <w:t>de ecosistemas”.  GEF-  BANCO  MUNDIAL  -  CIPAV  -  CVC</w:t>
      </w:r>
      <w:r>
        <w:rPr>
          <w:spacing w:val="44"/>
        </w:rPr>
        <w:t> </w:t>
      </w:r>
      <w:r>
        <w:rPr/>
        <w:t>COLCIENCIAS.</w:t>
      </w:r>
    </w:p>
    <w:p>
      <w:pPr>
        <w:pStyle w:val="BodyText"/>
        <w:spacing w:before="7"/>
        <w:ind w:left="863" w:right="120"/>
        <w:jc w:val="left"/>
      </w:pPr>
      <w:r>
        <w:rPr/>
        <w:t>Cali, Colombia. P.168.</w:t>
      </w:r>
    </w:p>
    <w:p>
      <w:pPr>
        <w:pStyle w:val="BodyText"/>
        <w:spacing w:line="360" w:lineRule="auto" w:before="137"/>
        <w:ind w:left="863" w:right="127" w:hanging="711"/>
      </w:pPr>
      <w:r>
        <w:rPr/>
        <w:t>Elgersma, A., Tamminga, S., Ellen, G. 2006. Modifying milk composition through forage. Animal Feed Science and Technology. (131): 207–225.</w:t>
      </w:r>
    </w:p>
    <w:p>
      <w:pPr>
        <w:spacing w:after="0" w:line="360" w:lineRule="auto"/>
        <w:sectPr>
          <w:pgSz w:w="12240" w:h="15840"/>
          <w:pgMar w:header="0" w:footer="1386" w:top="1500" w:bottom="1580" w:left="1720" w:right="1400"/>
        </w:sectPr>
      </w:pPr>
    </w:p>
    <w:p>
      <w:pPr>
        <w:pStyle w:val="BodyText"/>
        <w:spacing w:before="11"/>
        <w:jc w:val="left"/>
        <w:rPr>
          <w:sz w:val="20"/>
        </w:rPr>
      </w:pPr>
    </w:p>
    <w:p>
      <w:pPr>
        <w:pStyle w:val="BodyText"/>
        <w:spacing w:line="360" w:lineRule="auto" w:before="69"/>
        <w:ind w:left="863" w:right="122" w:hanging="711"/>
      </w:pPr>
      <w:r>
        <w:rPr/>
        <w:t>FIL-IDF50B: 1985. Lait et produits Laitiers. Guide de L’echantillonage. Brussels, Belgium. (International Dairy Federation-Federation Internationale de Laiterie).</w:t>
      </w:r>
    </w:p>
    <w:p>
      <w:pPr>
        <w:pStyle w:val="BodyText"/>
        <w:spacing w:line="360" w:lineRule="auto" w:before="7"/>
        <w:ind w:left="863" w:right="127" w:hanging="711"/>
      </w:pPr>
      <w:r>
        <w:rPr/>
        <w:t>FIL-IDF5B:1986. International Dairy Federation-Federation Internationale de Laiterie</w:t>
      </w:r>
    </w:p>
    <w:p>
      <w:pPr>
        <w:pStyle w:val="BodyText"/>
        <w:spacing w:line="362" w:lineRule="auto" w:before="2"/>
        <w:ind w:left="863" w:right="127" w:hanging="711"/>
      </w:pPr>
      <w:r>
        <w:rPr/>
        <w:t>Griinari, J.M., Dwyer, D.A., McGuire, M.A., Bauman, D.E. 1996. Partially hydrogenated fatty acids and milk fat depression. Journal of Dairy Science. 79 (suppl. 1):177 (abs.).</w:t>
      </w:r>
    </w:p>
    <w:p>
      <w:pPr>
        <w:pStyle w:val="BodyText"/>
        <w:spacing w:line="360" w:lineRule="auto"/>
        <w:ind w:left="863" w:right="129" w:hanging="711"/>
      </w:pPr>
      <w:r>
        <w:rPr/>
        <w:t>Griinari, J.M., Chouinard, P.Y., Bauman, D.E. 1997a. Trans fatty acid hypothesis of milk fat depression revised. In: Proc. Cornell Nutr. Conf. Feed Manuf.  Cornell University, Ithaca, NY.</w:t>
      </w:r>
      <w:r>
        <w:rPr>
          <w:spacing w:val="-10"/>
        </w:rPr>
        <w:t> </w:t>
      </w:r>
      <w:r>
        <w:rPr/>
        <w:t>208–216.</w:t>
      </w:r>
    </w:p>
    <w:p>
      <w:pPr>
        <w:pStyle w:val="BodyText"/>
        <w:spacing w:line="360" w:lineRule="auto" w:before="7"/>
        <w:ind w:left="863" w:right="128" w:hanging="711"/>
      </w:pPr>
      <w:r>
        <w:rPr/>
        <w:t>Griinari, J.M., Nurmela, K.V.V., Corl, B.A., Chouinard, P.Y., Bauman, D.E. 1998b. The endogenous synthesis of milk fat conjugated linoleic acid (CLA) from absorbed vaccenic acid in dairy cows. AOCS 1998 Annual Meeting Abstracts: 21 (abs.).</w:t>
      </w:r>
    </w:p>
    <w:p>
      <w:pPr>
        <w:pStyle w:val="BodyText"/>
        <w:spacing w:line="360" w:lineRule="auto" w:before="7"/>
        <w:ind w:left="863" w:right="121" w:hanging="711"/>
      </w:pPr>
      <w:r>
        <w:rPr/>
        <w:t>Griinari, J.M., Bauman, D.E. 1999. Biosynthesis of conjugated linoleic acid and it´s incorporation into meat and milk in ruminants. In: Yuraweez M.P., Mossoba M.M., Kramer J.K.G., Pariza M.W., and Nelson G.J (Eds.). Advances in Conjugated Linoleic Acid Research, Vol. 1. AOAC Press, Champaign, IL.  pp.</w:t>
      </w:r>
      <w:r>
        <w:rPr>
          <w:spacing w:val="-3"/>
        </w:rPr>
        <w:t> </w:t>
      </w:r>
      <w:r>
        <w:rPr/>
        <w:t>120-200.</w:t>
      </w:r>
    </w:p>
    <w:p>
      <w:pPr>
        <w:pStyle w:val="BodyText"/>
        <w:spacing w:line="360" w:lineRule="auto" w:before="2"/>
        <w:ind w:left="863" w:right="129" w:hanging="711"/>
      </w:pPr>
      <w:r>
        <w:rPr/>
        <w:t>Grundy, S.M. y Vega, G.L. 1998. Plasma cholesterol responsiveness to saturated fatty acids. The American Journal of Clinical Nutrition. (47): 822-824.</w:t>
      </w:r>
    </w:p>
    <w:p>
      <w:pPr>
        <w:pStyle w:val="BodyText"/>
        <w:spacing w:line="360" w:lineRule="auto" w:before="3"/>
        <w:ind w:left="863" w:right="124" w:hanging="711"/>
      </w:pPr>
      <w:r>
        <w:rPr/>
        <w:t>Ha, Y.L., Grimm, N.K., Pariza, M.W. 1989. Newly recognized anticarcinogenic fatty acids: identiﬁcation and quantiﬁcation in natural and processed cheeses. Journal of Agriculture and Food Chemestry. (37): 75–81.</w:t>
      </w:r>
    </w:p>
    <w:p>
      <w:pPr>
        <w:pStyle w:val="BodyText"/>
        <w:spacing w:line="360" w:lineRule="auto" w:before="2"/>
        <w:ind w:left="863" w:right="117" w:hanging="711"/>
      </w:pPr>
      <w:r>
        <w:rPr/>
        <w:t>Ha Y.L., Storkson J., and Pariza M.W. 1990. Inhibition of benzo (a) pyrene-induced for stomach neoplasia by conjugated dienoic derivatives of linoleic acid. Cancer Research. (50): 1097-1101.</w:t>
      </w:r>
    </w:p>
    <w:p>
      <w:pPr>
        <w:spacing w:after="0" w:line="360" w:lineRule="auto"/>
        <w:sectPr>
          <w:pgSz w:w="12240" w:h="15840"/>
          <w:pgMar w:header="0" w:footer="1386" w:top="1500" w:bottom="1580" w:left="1720" w:right="1400"/>
        </w:sectPr>
      </w:pPr>
    </w:p>
    <w:p>
      <w:pPr>
        <w:pStyle w:val="BodyText"/>
        <w:spacing w:before="11"/>
        <w:jc w:val="left"/>
        <w:rPr>
          <w:sz w:val="20"/>
        </w:rPr>
      </w:pPr>
    </w:p>
    <w:p>
      <w:pPr>
        <w:pStyle w:val="BodyText"/>
        <w:spacing w:line="360" w:lineRule="auto" w:before="69"/>
        <w:ind w:left="863" w:right="131" w:hanging="711"/>
      </w:pPr>
      <w:r>
        <w:rPr/>
        <w:t>Harfoot, C.G. y Hazlewood, G.P. 1988. Lipid metabolism in the rumen. In: The Rumen Microbial Ecosystem (Hobson, P.N., ed.). Elsevier Science Publishers B.V., Amsterdam, The Netherlands. pp. 285–322.</w:t>
      </w:r>
    </w:p>
    <w:p>
      <w:pPr>
        <w:pStyle w:val="BodyText"/>
        <w:spacing w:line="360" w:lineRule="auto" w:before="7"/>
        <w:ind w:left="863" w:right="131" w:hanging="711"/>
      </w:pPr>
      <w:r>
        <w:rPr/>
        <w:t>Harfoot, C.G. y Hazlewood, G.P. 1997. Lipid metabolism in the rumen. In: The Rumen Microbial Ecosystem. Hobson P.N. London, UK, Elsevier: 382-426.</w:t>
      </w:r>
    </w:p>
    <w:p>
      <w:pPr>
        <w:pStyle w:val="BodyText"/>
        <w:spacing w:line="360" w:lineRule="auto" w:before="2"/>
        <w:ind w:left="863" w:right="132" w:hanging="711"/>
      </w:pPr>
      <w:r>
        <w:rPr/>
        <w:t>Hawke, J.C. 1973. Lipids In: Butler, G.W., Bailey, R.W. (eds). Chemistry and Biochemistry of Herbage. Academic Press, London, UK. 213-263.</w:t>
      </w:r>
    </w:p>
    <w:p>
      <w:pPr>
        <w:pStyle w:val="BodyText"/>
        <w:spacing w:line="360" w:lineRule="auto" w:before="7"/>
        <w:ind w:left="863" w:right="116" w:hanging="711"/>
      </w:pPr>
      <w:r>
        <w:rPr/>
        <w:t>Hermansen, J.E. 1995. Prediction of milk fatty acid profile in dairy cows fed dietary fat differing in fatty acid composition. Journal of Dairy Science. (78): 872- 879.</w:t>
      </w:r>
    </w:p>
    <w:p>
      <w:pPr>
        <w:pStyle w:val="BodyText"/>
        <w:spacing w:line="360" w:lineRule="auto" w:before="3"/>
        <w:ind w:left="863" w:right="128" w:hanging="711"/>
      </w:pPr>
      <w:r>
        <w:rPr/>
        <w:t>Henderson, C. 1975. The isolation and characterization of strains of lipolytic bacteria from the ovine rumen. Journal of Applied Bacteriology. No. (39): 101-109.</w:t>
      </w:r>
    </w:p>
    <w:p>
      <w:pPr>
        <w:pStyle w:val="BodyText"/>
        <w:spacing w:line="360" w:lineRule="auto" w:before="123"/>
        <w:ind w:left="863" w:right="133" w:hanging="711"/>
      </w:pPr>
      <w:r>
        <w:rPr/>
        <w:t>Houseknecht, K.L., Vanden, H.J.P., Moya, C.S.Y., Portocarrero, C.P., Peck, L.W., Nickel, K.P., Belury, M.A. 1998. Dietary conjugated linoleic acid normalizes impaired glucose tolerance in the Zucker diabetic fatty fa/fa rat. Biochemestry Biophysical Research Communications. (244): 678–682.</w:t>
      </w:r>
    </w:p>
    <w:p>
      <w:pPr>
        <w:pStyle w:val="BodyText"/>
        <w:spacing w:line="360" w:lineRule="auto" w:before="123"/>
        <w:ind w:left="863" w:right="120" w:hanging="711"/>
      </w:pPr>
      <w:r>
        <w:rPr/>
        <w:t>INEGI. 2009. Instituto Nacional de Estadística, Geografía e Informática. Prontuario de información geográfica municipal de los Estados Unidos Mexicanos, Tepalcatepec Michoacán de Ocampo. Disponible en línea en: </w:t>
      </w:r>
      <w:hyperlink r:id="rId21">
        <w:r>
          <w:rPr/>
          <w:t>http://www.inegi.gob.mx</w:t>
        </w:r>
      </w:hyperlink>
      <w:r>
        <w:rPr/>
        <w:t> Revisado el 20 de Mayo de 2013.</w:t>
      </w:r>
    </w:p>
    <w:p>
      <w:pPr>
        <w:pStyle w:val="BodyText"/>
        <w:spacing w:line="360" w:lineRule="auto" w:before="3"/>
        <w:ind w:left="863" w:right="121" w:hanging="711"/>
      </w:pPr>
      <w:r>
        <w:rPr/>
        <w:t>Innocente, N., Praturlon, D., Corradini, C. 2002. Fatty acid profile of cheese produced with milk from cows grazing on mountain pastures, Italy, Journal  of Food Science. (14):</w:t>
      </w:r>
      <w:r>
        <w:rPr>
          <w:spacing w:val="-9"/>
        </w:rPr>
        <w:t> </w:t>
      </w:r>
      <w:r>
        <w:rPr/>
        <w:t>217-224.</w:t>
      </w:r>
    </w:p>
    <w:p>
      <w:pPr>
        <w:pStyle w:val="BodyText"/>
        <w:spacing w:line="360" w:lineRule="auto" w:before="7"/>
        <w:ind w:left="863" w:right="126" w:hanging="711"/>
      </w:pPr>
      <w:r>
        <w:rPr/>
        <w:t>Ip, C., Chin, S.F., Scimeca, J.A., Pariza, M.W. 1991. Mammary cancer prevention by conjugated dienoic derivative of linoleic acid. Cancer Research. (51): 6118–6124.</w:t>
      </w:r>
    </w:p>
    <w:p>
      <w:pPr>
        <w:pStyle w:val="BodyText"/>
        <w:spacing w:line="362" w:lineRule="auto" w:before="2"/>
        <w:ind w:left="863" w:right="133" w:hanging="711"/>
      </w:pPr>
      <w:r>
        <w:rPr/>
        <w:t>Ip, C., Scimeca, J.A., Thompson, H.J. 1994. Conjugated linoleic acid: a powerful anticarcinogen from animal fat sources. Cáncer. (74): 1050–1054.</w:t>
      </w:r>
    </w:p>
    <w:p>
      <w:pPr>
        <w:spacing w:after="0" w:line="362" w:lineRule="auto"/>
        <w:sectPr>
          <w:pgSz w:w="12240" w:h="15840"/>
          <w:pgMar w:header="0" w:footer="1386" w:top="1500" w:bottom="1580" w:left="1720" w:right="1400"/>
        </w:sectPr>
      </w:pPr>
    </w:p>
    <w:p>
      <w:pPr>
        <w:pStyle w:val="BodyText"/>
        <w:spacing w:before="11"/>
        <w:jc w:val="left"/>
        <w:rPr>
          <w:sz w:val="20"/>
        </w:rPr>
      </w:pPr>
    </w:p>
    <w:p>
      <w:pPr>
        <w:pStyle w:val="BodyText"/>
        <w:spacing w:line="360" w:lineRule="auto" w:before="69"/>
        <w:ind w:left="863" w:right="115" w:hanging="711"/>
      </w:pPr>
      <w:r>
        <w:rPr/>
        <w:t>Ip, C., Banni, S., Angioni, E., Carta, G., McGinley, J., Thompson, H.J., Barbano,   D., Bauman, D.E. 1999. Conjugated linoleic acid-enriched butter fat alters mammary gland morphogenesis and reduces cancer risk in rats. Journal of Nutrition. (129):</w:t>
      </w:r>
      <w:r>
        <w:rPr>
          <w:spacing w:val="-10"/>
        </w:rPr>
        <w:t> </w:t>
      </w:r>
      <w:r>
        <w:rPr/>
        <w:t>2135-2142.</w:t>
      </w:r>
    </w:p>
    <w:p>
      <w:pPr>
        <w:pStyle w:val="BodyText"/>
        <w:spacing w:line="360" w:lineRule="auto" w:before="2"/>
        <w:ind w:left="863" w:right="131" w:hanging="711"/>
      </w:pPr>
      <w:r>
        <w:rPr/>
        <w:t>ISO 15885:2002 (IDF 184:2002) Milk fat determination of the fatty acid composition by gas liquid chromatography.</w:t>
      </w:r>
    </w:p>
    <w:p>
      <w:pPr>
        <w:pStyle w:val="BodyText"/>
        <w:spacing w:line="360" w:lineRule="auto" w:before="3"/>
        <w:ind w:left="863" w:right="121" w:hanging="711"/>
      </w:pPr>
      <w:r>
        <w:rPr/>
        <w:t>Jiménez, F. y Muschler, R. 2001. Introducción a la agroforestería. Funciones y aplicaciones de sistemas agroforestales. Módulos de Enseñanza Agroforestal CATIE/GTZ. Pp. 1-24.</w:t>
      </w:r>
    </w:p>
    <w:p>
      <w:pPr>
        <w:pStyle w:val="BodyText"/>
        <w:spacing w:line="360" w:lineRule="auto" w:before="2"/>
        <w:ind w:left="863" w:right="135" w:hanging="711"/>
      </w:pPr>
      <w:r>
        <w:rPr/>
        <w:t>Jenkins, T.C. 1993. Symposium: advances in ruminant lipid metabolism. Lipid Metabolism in the Rumen. Journal of Dairy Science. (76): 3851.</w:t>
      </w:r>
    </w:p>
    <w:p>
      <w:pPr>
        <w:pStyle w:val="BodyText"/>
        <w:spacing w:line="360" w:lineRule="auto" w:before="7"/>
        <w:ind w:left="863" w:right="119" w:hanging="711"/>
      </w:pPr>
      <w:r>
        <w:rPr/>
        <w:t>Jenkins, T.C. y McGuire, M.A. 2006. Major Advances in Nutrition: Impact on Milk Composition. Journal of Dairy Science. (89): 1302–1310.</w:t>
      </w:r>
    </w:p>
    <w:p>
      <w:pPr>
        <w:pStyle w:val="BodyText"/>
        <w:spacing w:line="360" w:lineRule="auto" w:before="2"/>
        <w:ind w:left="863" w:right="132" w:hanging="711"/>
      </w:pPr>
      <w:r>
        <w:rPr/>
        <w:t>Jensen R.G. 2000. The Composition of Bovine Milk Lipids: January 1995 to December 2000. Journal of Dairy Science 85: 295-350.</w:t>
      </w:r>
    </w:p>
    <w:p>
      <w:pPr>
        <w:pStyle w:val="BodyText"/>
        <w:spacing w:line="360" w:lineRule="auto" w:before="127"/>
        <w:ind w:left="863" w:right="122" w:hanging="711"/>
      </w:pPr>
      <w:r>
        <w:rPr/>
        <w:t>Jensen, R.G. 2002. The composition of bovine milk lipids: January 1995 to December 2000. Journal of Dairy Science. (5): 295-350.</w:t>
      </w:r>
    </w:p>
    <w:p>
      <w:pPr>
        <w:pStyle w:val="BodyText"/>
        <w:spacing w:line="360" w:lineRule="auto" w:before="3"/>
        <w:ind w:left="863" w:right="132" w:hanging="711"/>
      </w:pPr>
      <w:r>
        <w:rPr/>
        <w:t>Kelly, M.L., Bauman, D.E. 1996. Conjugated linoleic acid: a potent anticarcinogen found in milk fat. In: Proc. Cornell Nutr. Conf. Feed Manuf. Cornell University, Ithaca, NY. pp.</w:t>
      </w:r>
      <w:r>
        <w:rPr>
          <w:spacing w:val="-7"/>
        </w:rPr>
        <w:t> </w:t>
      </w:r>
      <w:r>
        <w:rPr/>
        <w:t>68–74.</w:t>
      </w:r>
    </w:p>
    <w:p>
      <w:pPr>
        <w:pStyle w:val="BodyText"/>
        <w:spacing w:line="360" w:lineRule="auto" w:before="2"/>
        <w:ind w:left="863" w:right="120" w:hanging="711"/>
      </w:pPr>
      <w:r>
        <w:rPr/>
        <w:t>Kelly, M.L., Berry, J.R., Dwyer, D.A., Griinari, J.M., Chouinard, P.Y., Van Amburgh, M.E., Bauman, D.E. 1998. Dietary fatty acid sources affect conjugated linoleic acid concentrations in milk from lactating dairy cows. Journal of Nutrition. (128): 881–885.</w:t>
      </w:r>
    </w:p>
    <w:p>
      <w:pPr>
        <w:pStyle w:val="BodyText"/>
        <w:spacing w:line="360" w:lineRule="auto" w:before="7"/>
        <w:ind w:left="863" w:right="115" w:hanging="711"/>
      </w:pPr>
      <w:r>
        <w:rPr/>
        <w:t>Kepler, C.R., Tucker, W.P., Tove, S.B. 1970. Biohydrogenation of unsaturated fatty acids. IV. Substrate specificity and inhibition of linoleate ^12-cis, ^11-trans isomerase from Butyrivibrio fibrisolvens. The Journal of Biological  Chemistry. (245):</w:t>
      </w:r>
      <w:r>
        <w:rPr>
          <w:spacing w:val="-7"/>
        </w:rPr>
        <w:t> </w:t>
      </w:r>
      <w:r>
        <w:rPr/>
        <w:t>3612.</w:t>
      </w:r>
    </w:p>
    <w:p>
      <w:pPr>
        <w:spacing w:after="0" w:line="360" w:lineRule="auto"/>
        <w:sectPr>
          <w:pgSz w:w="12240" w:h="15840"/>
          <w:pgMar w:header="0" w:footer="1386" w:top="1500" w:bottom="1580" w:left="1720" w:right="1400"/>
        </w:sectPr>
      </w:pPr>
    </w:p>
    <w:p>
      <w:pPr>
        <w:pStyle w:val="BodyText"/>
        <w:spacing w:before="11"/>
        <w:jc w:val="left"/>
        <w:rPr>
          <w:sz w:val="20"/>
        </w:rPr>
      </w:pPr>
    </w:p>
    <w:p>
      <w:pPr>
        <w:pStyle w:val="BodyText"/>
        <w:spacing w:line="360" w:lineRule="auto" w:before="69"/>
        <w:ind w:left="863" w:right="121" w:hanging="711"/>
      </w:pPr>
      <w:r>
        <w:rPr/>
        <w:t>Lindmark, M.H. 2001. Composition of Swedish dairy milk. Report Nr 7025-P (In Swedish), Swedish Dairy Association.</w:t>
      </w:r>
    </w:p>
    <w:p>
      <w:pPr>
        <w:pStyle w:val="BodyText"/>
        <w:spacing w:before="3"/>
        <w:ind w:left="152" w:right="120"/>
        <w:jc w:val="left"/>
      </w:pPr>
      <w:r>
        <w:rPr/>
        <w:t>Lindmark, M.H. 2008. Fatty acids in bovine milk fat. Food and Nutrition   Research.</w:t>
      </w:r>
    </w:p>
    <w:p>
      <w:pPr>
        <w:pStyle w:val="BodyText"/>
        <w:spacing w:before="141"/>
        <w:ind w:left="863" w:right="120"/>
        <w:jc w:val="left"/>
      </w:pPr>
      <w:r>
        <w:rPr/>
        <w:t>Report, Swedich Dairy Association, Lund, Sweeden Coaction Publishing.</w:t>
      </w:r>
    </w:p>
    <w:p>
      <w:pPr>
        <w:pStyle w:val="BodyText"/>
        <w:spacing w:line="360" w:lineRule="auto" w:before="137"/>
        <w:ind w:left="863" w:right="124" w:hanging="711"/>
      </w:pPr>
      <w:r>
        <w:rPr/>
        <w:t>Leakey, R. 1997. Reconsiderando la definición de agroforestería. Agroforestería  en las Américas. 4 (16):</w:t>
      </w:r>
      <w:r>
        <w:rPr>
          <w:spacing w:val="-5"/>
        </w:rPr>
        <w:t> </w:t>
      </w:r>
      <w:r>
        <w:rPr/>
        <w:t>23-24.</w:t>
      </w:r>
    </w:p>
    <w:p>
      <w:pPr>
        <w:pStyle w:val="BodyText"/>
        <w:spacing w:line="360" w:lineRule="auto" w:before="3"/>
        <w:ind w:left="863" w:right="123" w:hanging="711"/>
      </w:pPr>
      <w:r>
        <w:rPr/>
        <w:t>Lock, A.L y Garnsworthy, P.C. 2003. Seasonal variation in milk conjugated linoleic acid and Δ9-desaturase activity in dairy cows. Livestock Production Science. (79): 47-59.</w:t>
      </w:r>
    </w:p>
    <w:p>
      <w:pPr>
        <w:pStyle w:val="BodyText"/>
        <w:spacing w:line="360" w:lineRule="auto" w:before="2"/>
        <w:ind w:left="863" w:right="119" w:hanging="711"/>
      </w:pPr>
      <w:r>
        <w:rPr/>
        <w:t>Loor, J.J., A. Ferlay, A., A. Ollier, A., M. Doreau, M., Chilliard, Y. 2005.  Relationship among trans and conjugated fatty acids and bovine milk fat yield due to dietary concentrate and linseed oil. Journal of Dairy Science. (88):</w:t>
      </w:r>
      <w:r>
        <w:rPr>
          <w:spacing w:val="-4"/>
        </w:rPr>
        <w:t> </w:t>
      </w:r>
      <w:r>
        <w:rPr/>
        <w:t>726-740.</w:t>
      </w:r>
    </w:p>
    <w:p>
      <w:pPr>
        <w:pStyle w:val="BodyText"/>
        <w:spacing w:line="360" w:lineRule="auto" w:before="2"/>
        <w:ind w:left="863" w:right="124" w:hanging="711"/>
      </w:pPr>
      <w:r>
        <w:rPr/>
        <w:t>López, T.G. 2007. Sistemas agroforestales. SAGARPA. Subsecretaría de Desarrollo Rural. Colegio de Post-graduados. Puebla. 8.</w:t>
      </w:r>
    </w:p>
    <w:p>
      <w:pPr>
        <w:pStyle w:val="BodyText"/>
        <w:spacing w:line="360" w:lineRule="auto" w:before="7"/>
        <w:ind w:left="863" w:right="134" w:hanging="711"/>
      </w:pPr>
      <w:r>
        <w:rPr/>
        <w:t>Lunn, J. y Theobald, H.E. 2006. The health effects of dietary unsaturated fatty acids. British Nutrition Foundation Nutrition Bulletin. 31: 178-224.</w:t>
      </w:r>
    </w:p>
    <w:p>
      <w:pPr>
        <w:pStyle w:val="BodyText"/>
        <w:spacing w:line="362" w:lineRule="auto" w:before="2"/>
        <w:ind w:left="863" w:right="131" w:hanging="711"/>
      </w:pPr>
      <w:r>
        <w:rPr/>
        <w:t>MacGibbon, A.H.K. y Taylor, M.W. 2006. Composition and structure of bovine milk lipids. In: Fox PF, Mc Sweeney P.L.H., Eds. Advanced Dairy Chemistry.  New York: Springer.</w:t>
      </w:r>
      <w:r>
        <w:rPr>
          <w:spacing w:val="-7"/>
        </w:rPr>
        <w:t> </w:t>
      </w:r>
      <w:r>
        <w:rPr/>
        <w:t>1-42.</w:t>
      </w:r>
    </w:p>
    <w:p>
      <w:pPr>
        <w:pStyle w:val="BodyText"/>
        <w:spacing w:line="360" w:lineRule="auto"/>
        <w:ind w:left="863" w:right="125" w:hanging="711"/>
      </w:pPr>
      <w:r>
        <w:rPr/>
        <w:t>McGuire, M.A., McGuire, M.K., Guy, M.A., Sanchez, W.K., Shultz, T.D., Harrison, L.Y., Bauman, D.E., Griinari, J.M. 1996. Effect of dietary lipid concentration on content of conjugated linoleic acid (CLA) in milk from dairy cattle. Journal of Animal Science. No. 74 (suppl. 1): 266 (abs.).</w:t>
      </w:r>
    </w:p>
    <w:p>
      <w:pPr>
        <w:pStyle w:val="BodyText"/>
        <w:spacing w:line="360" w:lineRule="auto" w:before="7"/>
        <w:ind w:left="863" w:right="122" w:hanging="711"/>
      </w:pPr>
      <w:r>
        <w:rPr/>
        <w:t>Mahecha, L., Rosales, M., Molina, CH., Molina, E. 1999. Evaluación de un sistema Silvopastoril de pasto estrella, </w:t>
      </w:r>
      <w:r>
        <w:rPr>
          <w:i/>
        </w:rPr>
        <w:t>Leucaena </w:t>
      </w:r>
      <w:r>
        <w:rPr/>
        <w:t>y Algarrobo forrajero, a través del año, en el Valle del Cauca. En: Memorias VI Seminario Internacional sobre Sistemas Agropecuarios Sostenibles. 28-30 de Octubre. Realizado por la Fundación CIPAV y LA FAO. Cali, Colombia.</w:t>
      </w:r>
    </w:p>
    <w:p>
      <w:pPr>
        <w:spacing w:after="0" w:line="360" w:lineRule="auto"/>
        <w:sectPr>
          <w:pgSz w:w="12240" w:h="15840"/>
          <w:pgMar w:header="0" w:footer="1386" w:top="1500" w:bottom="1580" w:left="1720" w:right="1400"/>
        </w:sectPr>
      </w:pPr>
    </w:p>
    <w:p>
      <w:pPr>
        <w:pStyle w:val="BodyText"/>
        <w:spacing w:before="11"/>
        <w:jc w:val="left"/>
        <w:rPr>
          <w:sz w:val="20"/>
        </w:rPr>
      </w:pPr>
    </w:p>
    <w:p>
      <w:pPr>
        <w:pStyle w:val="BodyText"/>
        <w:spacing w:line="360" w:lineRule="auto" w:before="69"/>
        <w:ind w:left="863" w:right="130" w:hanging="711"/>
      </w:pPr>
      <w:r>
        <w:rPr/>
        <w:t>Mahecha, L. y Zoot, M.S. 2002. </w:t>
      </w:r>
      <w:r>
        <w:rPr>
          <w:spacing w:val="-4"/>
        </w:rPr>
        <w:t>El </w:t>
      </w:r>
      <w:r>
        <w:rPr/>
        <w:t>Silvopastoreo: una alternativa de producción que disminuye el impacto ambiental de la ganadería bovina. Revista Colombiana de Ciencias Pecuarias. 15 (2):</w:t>
      </w:r>
      <w:r>
        <w:rPr>
          <w:spacing w:val="-14"/>
        </w:rPr>
        <w:t> </w:t>
      </w:r>
      <w:r>
        <w:rPr/>
        <w:t>226-231.</w:t>
      </w:r>
    </w:p>
    <w:p>
      <w:pPr>
        <w:pStyle w:val="BodyText"/>
        <w:spacing w:line="360" w:lineRule="auto" w:before="7"/>
        <w:ind w:left="863" w:right="128" w:hanging="711"/>
      </w:pPr>
      <w:r>
        <w:rPr/>
        <w:t>Mantagnini, F. 1992. Sistemas Agroforestales: Principios y aplicaciones en los trópicos. Organización para estudios Tropicales. San José, C.R. p 622.</w:t>
      </w:r>
    </w:p>
    <w:p>
      <w:pPr>
        <w:pStyle w:val="BodyText"/>
        <w:spacing w:line="362" w:lineRule="auto" w:before="2"/>
        <w:ind w:left="863" w:right="126" w:hanging="711"/>
      </w:pPr>
      <w:r>
        <w:rPr/>
        <w:t>Martin, S.A., Jenkins, T.C. 2002. Factors affecting conjugated linoleic acid and trans-C18: 1 fatty acid production by mixed ruminal bacteria. Journal of Animal Science. (80): 3347–3352.</w:t>
      </w:r>
    </w:p>
    <w:p>
      <w:pPr>
        <w:pStyle w:val="BodyText"/>
        <w:spacing w:line="360" w:lineRule="auto"/>
        <w:ind w:left="863" w:right="116" w:hanging="711"/>
      </w:pPr>
      <w:r>
        <w:rPr/>
        <w:t>Martínez, L.P., Ayala, B.A., Solorio, S.J. y Castelán, O.O. 2015. Efecto de un Sistema silvopastoril intensive sobre el perfil de textura y composición fisico- química del queso artesanal Tepeque de México. Revista Científica, FCV- LUZ. XXV. (2): 153-158.</w:t>
      </w:r>
    </w:p>
    <w:p>
      <w:pPr>
        <w:pStyle w:val="BodyText"/>
        <w:spacing w:line="360" w:lineRule="auto" w:before="2"/>
        <w:ind w:left="863" w:right="118" w:hanging="711"/>
      </w:pPr>
      <w:r>
        <w:rPr/>
        <w:t>Morand-Fehr, P., Fedele, V., Decandia, M., y Le Frileux, Y. 2007. Influence of farming and feeding systems on composition and quality of goat and sheep milk. Small Ruminant Research. (68): 20-34.</w:t>
      </w:r>
    </w:p>
    <w:p>
      <w:pPr>
        <w:pStyle w:val="BodyText"/>
        <w:spacing w:line="360" w:lineRule="auto" w:before="7"/>
        <w:ind w:left="863" w:right="126" w:hanging="711"/>
      </w:pPr>
      <w:r>
        <w:rPr/>
        <w:t>Murgueitio, E. 2005. Silvopastoral systems in the neotropics. In: Silvopastoralism and sustainable land management. (M.R. Mosquera-Losada, J. McAdam   &amp;</w:t>
      </w:r>
    </w:p>
    <w:p>
      <w:pPr>
        <w:pStyle w:val="ListParagraph"/>
        <w:numPr>
          <w:ilvl w:val="1"/>
          <w:numId w:val="8"/>
        </w:numPr>
        <w:tabs>
          <w:tab w:pos="1156" w:val="left" w:leader="none"/>
        </w:tabs>
        <w:spacing w:line="360" w:lineRule="auto" w:before="2" w:after="0"/>
        <w:ind w:left="152" w:right="135" w:firstLine="711"/>
        <w:jc w:val="left"/>
        <w:rPr>
          <w:sz w:val="24"/>
        </w:rPr>
      </w:pPr>
      <w:r>
        <w:rPr>
          <w:sz w:val="24"/>
        </w:rPr>
        <w:t>Rigueiro-Rodríguez, Eds.). CABI Publishing. Wallingford, UK. p. 24 Murgueitio,</w:t>
      </w:r>
      <w:r>
        <w:rPr>
          <w:spacing w:val="46"/>
          <w:sz w:val="24"/>
        </w:rPr>
        <w:t> </w:t>
      </w:r>
      <w:r>
        <w:rPr>
          <w:sz w:val="24"/>
        </w:rPr>
        <w:t>E.,</w:t>
      </w:r>
      <w:r>
        <w:rPr>
          <w:spacing w:val="46"/>
          <w:sz w:val="24"/>
        </w:rPr>
        <w:t> </w:t>
      </w:r>
      <w:r>
        <w:rPr>
          <w:sz w:val="24"/>
        </w:rPr>
        <w:t>Cuellar,</w:t>
      </w:r>
      <w:r>
        <w:rPr>
          <w:spacing w:val="41"/>
          <w:sz w:val="24"/>
        </w:rPr>
        <w:t> </w:t>
      </w:r>
      <w:r>
        <w:rPr>
          <w:sz w:val="24"/>
        </w:rPr>
        <w:t>P.,</w:t>
      </w:r>
      <w:r>
        <w:rPr>
          <w:spacing w:val="46"/>
          <w:sz w:val="24"/>
        </w:rPr>
        <w:t> </w:t>
      </w:r>
      <w:r>
        <w:rPr>
          <w:sz w:val="24"/>
        </w:rPr>
        <w:t>Ibrahim,</w:t>
      </w:r>
      <w:r>
        <w:rPr>
          <w:spacing w:val="46"/>
          <w:sz w:val="24"/>
        </w:rPr>
        <w:t> </w:t>
      </w:r>
      <w:r>
        <w:rPr>
          <w:sz w:val="24"/>
        </w:rPr>
        <w:t>M.,</w:t>
      </w:r>
      <w:r>
        <w:rPr>
          <w:spacing w:val="46"/>
          <w:sz w:val="24"/>
        </w:rPr>
        <w:t> </w:t>
      </w:r>
      <w:r>
        <w:rPr>
          <w:sz w:val="24"/>
        </w:rPr>
        <w:t>Gobbi,</w:t>
      </w:r>
      <w:r>
        <w:rPr>
          <w:spacing w:val="46"/>
          <w:sz w:val="24"/>
        </w:rPr>
        <w:t> </w:t>
      </w:r>
      <w:r>
        <w:rPr>
          <w:sz w:val="24"/>
        </w:rPr>
        <w:t>J.,</w:t>
      </w:r>
      <w:r>
        <w:rPr>
          <w:spacing w:val="46"/>
          <w:sz w:val="24"/>
        </w:rPr>
        <w:t> </w:t>
      </w:r>
      <w:r>
        <w:rPr>
          <w:sz w:val="24"/>
        </w:rPr>
        <w:t>Cuartas,</w:t>
      </w:r>
      <w:r>
        <w:rPr>
          <w:spacing w:val="46"/>
          <w:sz w:val="24"/>
        </w:rPr>
        <w:t> </w:t>
      </w:r>
      <w:r>
        <w:rPr>
          <w:sz w:val="24"/>
        </w:rPr>
        <w:t>C.A.,</w:t>
      </w:r>
      <w:r>
        <w:rPr>
          <w:spacing w:val="46"/>
          <w:sz w:val="24"/>
        </w:rPr>
        <w:t> </w:t>
      </w:r>
      <w:r>
        <w:rPr>
          <w:sz w:val="24"/>
        </w:rPr>
        <w:t>Naranjo,</w:t>
      </w:r>
      <w:r>
        <w:rPr>
          <w:spacing w:val="46"/>
          <w:sz w:val="24"/>
        </w:rPr>
        <w:t> </w:t>
      </w:r>
      <w:r>
        <w:rPr>
          <w:sz w:val="24"/>
        </w:rPr>
        <w:t>J.F.,</w:t>
      </w:r>
    </w:p>
    <w:p>
      <w:pPr>
        <w:pStyle w:val="BodyText"/>
        <w:spacing w:line="360" w:lineRule="auto" w:before="7"/>
        <w:ind w:left="152" w:right="121" w:firstLine="710"/>
        <w:jc w:val="right"/>
      </w:pPr>
      <w:r>
        <w:rPr/>
        <w:t>Zapata,</w:t>
      </w:r>
      <w:r>
        <w:rPr>
          <w:spacing w:val="54"/>
        </w:rPr>
        <w:t> </w:t>
      </w:r>
      <w:r>
        <w:rPr/>
        <w:t>A.,</w:t>
      </w:r>
      <w:r>
        <w:rPr>
          <w:spacing w:val="54"/>
        </w:rPr>
        <w:t> </w:t>
      </w:r>
      <w:r>
        <w:rPr/>
        <w:t>Mejía,</w:t>
      </w:r>
      <w:r>
        <w:rPr>
          <w:spacing w:val="54"/>
        </w:rPr>
        <w:t> </w:t>
      </w:r>
      <w:r>
        <w:rPr/>
        <w:t>C.E.,</w:t>
      </w:r>
      <w:r>
        <w:rPr>
          <w:spacing w:val="54"/>
        </w:rPr>
        <w:t> </w:t>
      </w:r>
      <w:r>
        <w:rPr/>
        <w:t>Zuluaga,</w:t>
      </w:r>
      <w:r>
        <w:rPr>
          <w:spacing w:val="54"/>
        </w:rPr>
        <w:t> </w:t>
      </w:r>
      <w:r>
        <w:rPr/>
        <w:t>A.F.,</w:t>
      </w:r>
      <w:r>
        <w:rPr>
          <w:spacing w:val="54"/>
        </w:rPr>
        <w:t> </w:t>
      </w:r>
      <w:r>
        <w:rPr/>
        <w:t>Casasola,</w:t>
      </w:r>
      <w:r>
        <w:rPr>
          <w:spacing w:val="54"/>
        </w:rPr>
        <w:t> </w:t>
      </w:r>
      <w:r>
        <w:rPr/>
        <w:t>F.</w:t>
      </w:r>
      <w:r>
        <w:rPr>
          <w:spacing w:val="54"/>
        </w:rPr>
        <w:t> </w:t>
      </w:r>
      <w:r>
        <w:rPr/>
        <w:t>2006.</w:t>
      </w:r>
      <w:r>
        <w:rPr>
          <w:spacing w:val="54"/>
        </w:rPr>
        <w:t> </w:t>
      </w:r>
      <w:r>
        <w:rPr/>
        <w:t>Adopción</w:t>
      </w:r>
      <w:r>
        <w:rPr>
          <w:spacing w:val="54"/>
        </w:rPr>
        <w:t> </w:t>
      </w:r>
      <w:r>
        <w:rPr/>
        <w:t>de</w:t>
      </w:r>
      <w:r>
        <w:rPr>
          <w:w w:val="99"/>
        </w:rPr>
        <w:t> </w:t>
      </w:r>
      <w:r>
        <w:rPr/>
        <w:t>Sistemas Agroforestales Pecuarios Pastos y Forrajes. 29 (4): 365-381</w:t>
      </w:r>
      <w:r>
        <w:rPr>
          <w:w w:val="99"/>
        </w:rPr>
        <w:t> </w:t>
      </w:r>
      <w:r>
        <w:rPr/>
        <w:t>Estación Experimental de Pastos y Forrajes "Indio Hatuey" Matanzas, Cuba.</w:t>
      </w:r>
      <w:r>
        <w:rPr>
          <w:w w:val="100"/>
        </w:rPr>
        <w:t> </w:t>
      </w:r>
      <w:r>
        <w:rPr/>
        <w:t>Murgueitio, E., e Ibrahim, M. 2008. Ganadería y medio ambiente en</w:t>
      </w:r>
      <w:r>
        <w:rPr>
          <w:spacing w:val="60"/>
        </w:rPr>
        <w:t> </w:t>
      </w:r>
      <w:r>
        <w:rPr/>
        <w:t>América</w:t>
      </w:r>
      <w:r>
        <w:rPr>
          <w:w w:val="99"/>
        </w:rPr>
        <w:t> </w:t>
      </w:r>
      <w:r>
        <w:rPr/>
        <w:t>Latina. En Murgueitio, E., Cuartas, C., Najaro, J. (eds). Ganadería del</w:t>
      </w:r>
      <w:r>
        <w:rPr>
          <w:w w:val="99"/>
        </w:rPr>
        <w:t> </w:t>
      </w:r>
      <w:r>
        <w:rPr/>
        <w:t>futuro: Investigación para el desarrollo. Fundación CIPAV,     Cali-Colombia.</w:t>
      </w:r>
    </w:p>
    <w:p>
      <w:pPr>
        <w:pStyle w:val="BodyText"/>
        <w:spacing w:before="2"/>
        <w:ind w:left="863" w:right="120"/>
        <w:jc w:val="left"/>
      </w:pPr>
      <w:r>
        <w:rPr/>
        <w:t>Pp. 19-40.</w:t>
      </w:r>
    </w:p>
    <w:p>
      <w:pPr>
        <w:pStyle w:val="BodyText"/>
        <w:spacing w:line="360" w:lineRule="auto" w:before="137"/>
        <w:ind w:left="863" w:right="135" w:hanging="711"/>
      </w:pPr>
      <w:r>
        <w:rPr/>
        <w:t>Musálem, S.M.A. 2001. Sistemas agrosilvopastoriles. Universidad Autónoma de Chapingo. División de Ciencias Forestales. p120</w:t>
      </w:r>
    </w:p>
    <w:p>
      <w:pPr>
        <w:spacing w:after="0" w:line="360" w:lineRule="auto"/>
        <w:sectPr>
          <w:pgSz w:w="12240" w:h="15840"/>
          <w:pgMar w:header="0" w:footer="1386" w:top="1500" w:bottom="1580" w:left="1720" w:right="1400"/>
        </w:sectPr>
      </w:pPr>
    </w:p>
    <w:p>
      <w:pPr>
        <w:pStyle w:val="BodyText"/>
        <w:spacing w:before="11"/>
        <w:jc w:val="left"/>
        <w:rPr>
          <w:sz w:val="20"/>
        </w:rPr>
      </w:pPr>
    </w:p>
    <w:p>
      <w:pPr>
        <w:pStyle w:val="BodyText"/>
        <w:spacing w:line="360" w:lineRule="auto" w:before="69"/>
        <w:ind w:left="863" w:right="121" w:hanging="711"/>
      </w:pPr>
      <w:r>
        <w:rPr/>
        <w:t>Nash, D. 1976. Flora de Guatemala En: Fieldiana: Botany. 24 (XII): 323-325. Field Museum of Natural History.</w:t>
      </w:r>
    </w:p>
    <w:p>
      <w:pPr>
        <w:pStyle w:val="BodyText"/>
        <w:spacing w:line="360" w:lineRule="auto" w:before="3"/>
        <w:ind w:left="863" w:right="126" w:hanging="711"/>
      </w:pPr>
      <w:r>
        <w:rPr/>
        <w:t>NRC. 1981. National Research Council. Effect of environment on nutrient requirements of domestic animals. National Academy of Science, Washington, DC.</w:t>
      </w:r>
    </w:p>
    <w:p>
      <w:pPr>
        <w:pStyle w:val="BodyText"/>
        <w:spacing w:line="360" w:lineRule="auto" w:before="2"/>
        <w:ind w:left="863" w:right="120" w:hanging="711"/>
      </w:pPr>
      <w:r>
        <w:rPr/>
        <w:t>NRC. 1996. National Research Council. Carcinogens and Anticarcinogens in the Human Diet. National Academy of Science, Washington, DC.</w:t>
      </w:r>
    </w:p>
    <w:p>
      <w:pPr>
        <w:pStyle w:val="BodyText"/>
        <w:spacing w:line="360" w:lineRule="auto" w:before="7"/>
        <w:ind w:left="863" w:right="129" w:hanging="711"/>
      </w:pPr>
      <w:r>
        <w:rPr/>
        <w:t>Nicolosi, R.J., Rogers, E.J., Kritchevski, D., Scimeca, J.A., Huth, P.J. 1997. Dietary conjugated linoleic acid reduces plasma lipoproteins and early aortic atherogenesis in hypercholesterolemic hamsters. Artery. (22): 266–277.</w:t>
      </w:r>
    </w:p>
    <w:p>
      <w:pPr>
        <w:pStyle w:val="BodyText"/>
        <w:spacing w:line="362" w:lineRule="auto" w:before="3"/>
        <w:ind w:left="863" w:right="129" w:hanging="711"/>
      </w:pPr>
      <w:r>
        <w:rPr/>
        <w:t>Olmedo, G.R. y Coll-Hellin, L. 1976. Contribución al estudio de la grasa de leche de ovejas españolas. Analisis Bromatologicos. (38):</w:t>
      </w:r>
      <w:r>
        <w:rPr>
          <w:spacing w:val="-19"/>
        </w:rPr>
        <w:t> </w:t>
      </w:r>
      <w:r>
        <w:rPr/>
        <w:t>211-340.</w:t>
      </w:r>
    </w:p>
    <w:p>
      <w:pPr>
        <w:pStyle w:val="BodyText"/>
        <w:spacing w:line="360" w:lineRule="auto"/>
        <w:ind w:left="863" w:right="122" w:hanging="711"/>
      </w:pPr>
      <w:r>
        <w:rPr/>
        <w:t>Osborn, H.T. y Akoh, C.C. 2002. Structured Lipids-Novel Fats with Medical Nutraceutical and Food Applications. Comprehensive Reviews in Food Science and Food Safety. (3): 110-120.</w:t>
      </w:r>
    </w:p>
    <w:p>
      <w:pPr>
        <w:pStyle w:val="BodyText"/>
        <w:spacing w:line="360" w:lineRule="auto" w:before="7"/>
        <w:ind w:left="863" w:right="130" w:hanging="711"/>
      </w:pPr>
      <w:r>
        <w:rPr/>
        <w:t>Palma, J.M. 2005. Los árboles en la ganadería del Trópico seco. Avances en la Investigación Agropecuaria. Enero-Abril. (9): 001. Universidad de Colima.</w:t>
      </w:r>
    </w:p>
    <w:p>
      <w:pPr>
        <w:pStyle w:val="BodyText"/>
        <w:spacing w:line="360" w:lineRule="auto" w:before="2"/>
        <w:ind w:left="863" w:right="129" w:hanging="711"/>
      </w:pPr>
      <w:r>
        <w:rPr/>
        <w:t>Palmquist, D.L., Beaulieu, A.D., Barbano, D.M. 1993. Feed and animal factors influencing milk fat composition. Journal of Dairy Science. 76 (6): 1753-71.</w:t>
      </w:r>
    </w:p>
    <w:p>
      <w:pPr>
        <w:pStyle w:val="BodyText"/>
        <w:spacing w:line="360" w:lineRule="auto" w:before="7"/>
        <w:ind w:left="863" w:right="125" w:hanging="711"/>
      </w:pPr>
      <w:r>
        <w:rPr/>
        <w:t>Palmquist, D.L., Lock, A.L., Shingfield, K.J., Bauman, D.E. 2005. Biosynthesis of conjugated linoleic acid in ruminants and humans. In: Taylor, S.L. (Ed.), Advances on Food Nutrition Resume. Elsevier Academic Press, San Diego, CA. (50): 179–217.</w:t>
      </w:r>
    </w:p>
    <w:p>
      <w:pPr>
        <w:pStyle w:val="BodyText"/>
        <w:spacing w:line="362" w:lineRule="auto" w:before="2"/>
        <w:ind w:left="863" w:right="128" w:hanging="711"/>
      </w:pPr>
      <w:r>
        <w:rPr/>
        <w:t>Parkash, S., y Jenness, R. 1968. The composition and characteristics of goat´s milk: A review Dairy Science Abstr. (30): 67.</w:t>
      </w:r>
    </w:p>
    <w:p>
      <w:pPr>
        <w:pStyle w:val="BodyText"/>
        <w:spacing w:line="360" w:lineRule="auto"/>
        <w:ind w:left="863" w:right="134" w:hanging="711"/>
      </w:pPr>
      <w:r>
        <w:rPr/>
        <w:t>Parodi, P.W. 1977. Conjugated octadecadienoic acids of milk fat. Journal of Dairy Science. (60): 1550-1553.</w:t>
      </w:r>
    </w:p>
    <w:p>
      <w:pPr>
        <w:pStyle w:val="BodyText"/>
        <w:spacing w:line="362" w:lineRule="auto" w:before="2"/>
        <w:ind w:left="863" w:right="133" w:hanging="711"/>
      </w:pPr>
      <w:r>
        <w:rPr/>
        <w:t>Parodi, P.W. 1997. Cow’s milk fat components as potential anticarcinogenic agents. Journal of Nutrition. (127):</w:t>
      </w:r>
      <w:r>
        <w:rPr>
          <w:spacing w:val="-19"/>
        </w:rPr>
        <w:t> </w:t>
      </w:r>
      <w:r>
        <w:rPr/>
        <w:t>1055–1060.</w:t>
      </w:r>
    </w:p>
    <w:p>
      <w:pPr>
        <w:spacing w:after="0" w:line="362" w:lineRule="auto"/>
        <w:sectPr>
          <w:pgSz w:w="12240" w:h="15840"/>
          <w:pgMar w:header="0" w:footer="1386" w:top="1500" w:bottom="1580" w:left="1720" w:right="1400"/>
        </w:sectPr>
      </w:pPr>
    </w:p>
    <w:p>
      <w:pPr>
        <w:pStyle w:val="BodyText"/>
        <w:spacing w:before="11"/>
        <w:jc w:val="left"/>
        <w:rPr>
          <w:sz w:val="20"/>
        </w:rPr>
      </w:pPr>
    </w:p>
    <w:p>
      <w:pPr>
        <w:pStyle w:val="BodyText"/>
        <w:spacing w:line="360" w:lineRule="auto" w:before="69"/>
        <w:ind w:left="863" w:right="126" w:hanging="711"/>
      </w:pPr>
      <w:r>
        <w:rPr/>
        <w:t>Parodi, P. 2004. Milk fat in human nutrition. Australian Journal Dairy Technolgy. (59): 3-59.</w:t>
      </w:r>
    </w:p>
    <w:p>
      <w:pPr>
        <w:pStyle w:val="BodyText"/>
        <w:spacing w:line="360" w:lineRule="auto" w:before="3"/>
        <w:ind w:left="863" w:right="125" w:hanging="711"/>
      </w:pPr>
      <w:r>
        <w:rPr/>
        <w:t>Pérez, J.J. y Huerta, I. 2002. Agroforestería y ética ambiental en la gerencia de sistemas de producción. Revista Venezolana de Gerencia, Enero-Marzo, vol 7, número 017, Universidad del Zulia, Maracaibo Venezuela. Pp 64.74.</w:t>
      </w:r>
    </w:p>
    <w:p>
      <w:pPr>
        <w:pStyle w:val="BodyText"/>
        <w:spacing w:line="362" w:lineRule="auto" w:before="2"/>
        <w:ind w:left="863" w:right="128" w:hanging="711"/>
      </w:pPr>
      <w:r>
        <w:rPr/>
        <w:t>Pezo, D. e Ibrahim, M. 1998. Sistemas Silvopastoriles. Colección de Modelos de Enseñanza Agroforestal No. 2. Centro Agronómico Tropical de Investigación y Enseñanza CATIE, Turrialba, Costa Rica.</w:t>
      </w:r>
    </w:p>
    <w:p>
      <w:pPr>
        <w:pStyle w:val="BodyText"/>
        <w:spacing w:line="360" w:lineRule="auto"/>
        <w:ind w:left="863" w:right="121" w:hanging="711"/>
      </w:pPr>
      <w:r>
        <w:rPr/>
        <w:t>Prandini, A., Geromin, D., Conti, F., Masoero, F., Piva, A., y Piva, G. 2001. Survey on the level of conjugated linoleic acid in dairy products. Italian Journal of Food Science. (13): 243-253.</w:t>
      </w:r>
    </w:p>
    <w:p>
      <w:pPr>
        <w:pStyle w:val="BodyText"/>
        <w:spacing w:line="360" w:lineRule="auto" w:before="7"/>
        <w:ind w:left="863" w:right="118" w:hanging="711"/>
      </w:pPr>
      <w:r>
        <w:rPr/>
        <w:t>Prandini, A., Sigolo, S., Tansini, G., Brogna, N., y Piva, G. 2007. Different level of conjugated linoleic acid (CLA) in dairy products from Italy. Journal of Food Composition and Analysis (20): 472-479.</w:t>
      </w:r>
    </w:p>
    <w:p>
      <w:pPr>
        <w:pStyle w:val="BodyText"/>
        <w:spacing w:line="362" w:lineRule="auto" w:before="3"/>
        <w:ind w:left="863" w:right="130" w:hanging="711"/>
      </w:pPr>
      <w:r>
        <w:rPr/>
        <w:t>Reil, R.R. 1963. Physico-chemical characteristics of Canadian milk fat: unsaturated fatty acids. Journal of Dairy Science. (46): 102–106.</w:t>
      </w:r>
    </w:p>
    <w:p>
      <w:pPr>
        <w:pStyle w:val="BodyText"/>
        <w:spacing w:line="360" w:lineRule="auto"/>
        <w:ind w:left="863" w:right="130" w:hanging="711"/>
      </w:pPr>
      <w:r>
        <w:rPr/>
        <w:t>Ríos, C.I. 1997. Botón de oro Tithonia diversifolia (Hemls.) Gray en árboles y arbustos forrajeros utilizados en alimentación animal como fuente proteica. 2da edición. Colciencias-CIPAV. Cali, Colombia p115-126.</w:t>
      </w:r>
    </w:p>
    <w:p>
      <w:pPr>
        <w:pStyle w:val="BodyText"/>
        <w:spacing w:before="7"/>
        <w:ind w:left="152" w:right="120"/>
        <w:jc w:val="left"/>
      </w:pPr>
      <w:r>
        <w:rPr/>
        <w:t>Ruiz, A.V. 2009. Ácidos grasos trans. Recomendaciones para reducir su consumo.</w:t>
      </w:r>
    </w:p>
    <w:p>
      <w:pPr>
        <w:pStyle w:val="BodyText"/>
        <w:spacing w:before="137"/>
        <w:ind w:left="863" w:right="120"/>
        <w:jc w:val="left"/>
      </w:pPr>
      <w:r>
        <w:rPr/>
        <w:t>Revista Cubana Alimentación y Nutrición. 19 (2): 364-369.</w:t>
      </w:r>
    </w:p>
    <w:p>
      <w:pPr>
        <w:pStyle w:val="BodyText"/>
        <w:spacing w:line="360" w:lineRule="auto" w:before="137"/>
        <w:ind w:left="863" w:right="117" w:hanging="711"/>
      </w:pPr>
      <w:r>
        <w:rPr/>
        <w:t>SAGARPA. 1992. Secretaría de Agricultura, Ganadería, Desarrollo Rural Pesca y Alimentación. Subsecretaría de Desarrollo Rural, Dirección General de Apoyos para el Desarrollo Rural. Sistemas Agroforestales. Ficha técnica. Colegio de Postgraduados-Campus Puebla.</w:t>
      </w:r>
    </w:p>
    <w:p>
      <w:pPr>
        <w:pStyle w:val="BodyText"/>
        <w:spacing w:line="360" w:lineRule="auto" w:before="2"/>
        <w:ind w:left="863" w:right="118" w:hanging="711"/>
      </w:pPr>
      <w:r>
        <w:rPr/>
        <w:t>Scimeca, J.A., Thompson, H.J., Ip, C. 1994. Effect of conjugated linoleic acid on carcinogenesis. In: Diet and Breast Cancer. Amer. Inst. Breast Cancer, Plenum Press, New York, NY. pp. 59–65.</w:t>
      </w:r>
    </w:p>
    <w:p>
      <w:pPr>
        <w:spacing w:after="0" w:line="360" w:lineRule="auto"/>
        <w:sectPr>
          <w:pgSz w:w="12240" w:h="15840"/>
          <w:pgMar w:header="0" w:footer="1386" w:top="1500" w:bottom="1580" w:left="1720" w:right="1400"/>
        </w:sectPr>
      </w:pPr>
    </w:p>
    <w:p>
      <w:pPr>
        <w:pStyle w:val="BodyText"/>
        <w:spacing w:before="11"/>
        <w:jc w:val="left"/>
        <w:rPr>
          <w:sz w:val="20"/>
        </w:rPr>
      </w:pPr>
    </w:p>
    <w:p>
      <w:pPr>
        <w:pStyle w:val="BodyText"/>
        <w:spacing w:line="360" w:lineRule="auto" w:before="69"/>
        <w:ind w:left="863" w:right="125" w:hanging="711"/>
      </w:pPr>
      <w:r>
        <w:rPr/>
        <w:t>Shingfield, K.J., Reynolds, C.K., Hervas, G., Griinari, J.M., Grandison, A.S.,  Beever, D.E. 2006. Examination of the persistency of milk fatty acid composition responses to fish oil and sunflower oil in the diet of dairy cows. Journal of Dairy Science. (89):</w:t>
      </w:r>
      <w:r>
        <w:rPr>
          <w:spacing w:val="-10"/>
        </w:rPr>
        <w:t> </w:t>
      </w:r>
      <w:r>
        <w:rPr/>
        <w:t>714-732.</w:t>
      </w:r>
    </w:p>
    <w:p>
      <w:pPr>
        <w:pStyle w:val="BodyText"/>
        <w:spacing w:line="360" w:lineRule="auto" w:before="2"/>
        <w:ind w:left="863" w:right="133" w:hanging="711"/>
      </w:pPr>
      <w:r>
        <w:rPr/>
        <w:t>SINAIS. 2009. Sistema Nacional de Información de Salud. Disponible en línea en: </w:t>
      </w:r>
      <w:hyperlink r:id="rId25">
        <w:r>
          <w:rPr/>
          <w:t>http: //sinais.salud.gob.mx/mortalidad/</w:t>
        </w:r>
      </w:hyperlink>
    </w:p>
    <w:p>
      <w:pPr>
        <w:pStyle w:val="BodyText"/>
        <w:spacing w:before="3"/>
        <w:ind w:left="152" w:right="120"/>
        <w:jc w:val="left"/>
      </w:pPr>
      <w:r>
        <w:rPr/>
        <w:t>Solís,  M.A.,  Martínez, L.R.,  Solorio,  S.J.,  Estrada, F.J.,  Avilés,  N.F.,</w:t>
      </w:r>
      <w:r>
        <w:rPr>
          <w:spacing w:val="64"/>
        </w:rPr>
        <w:t> </w:t>
      </w:r>
      <w:r>
        <w:rPr/>
        <w:t>Gutiérrez,</w:t>
      </w:r>
    </w:p>
    <w:p>
      <w:pPr>
        <w:pStyle w:val="BodyText"/>
        <w:spacing w:line="360" w:lineRule="auto" w:before="141"/>
        <w:ind w:left="863" w:right="121"/>
      </w:pPr>
      <w:r>
        <w:rPr/>
        <w:t>I.A.T. y Castelán, O.O. 2013. Características del queso Tepeque  de  la Tierra Caliente de Michoacán: un queso producido en un sistema Silvopastoril intensivo. Tropical and Subtropical Agroecosystems. (16): 201- 214.</w:t>
      </w:r>
    </w:p>
    <w:p>
      <w:pPr>
        <w:pStyle w:val="BodyText"/>
        <w:spacing w:before="7"/>
        <w:ind w:left="152" w:right="120"/>
        <w:jc w:val="left"/>
      </w:pPr>
      <w:r>
        <w:rPr/>
        <w:t>Somarriba, E. 1990. ¿Qué es agroforestería?: El Chasqui. (24): 5-13.</w:t>
      </w:r>
    </w:p>
    <w:p>
      <w:pPr>
        <w:pStyle w:val="BodyText"/>
        <w:spacing w:line="360" w:lineRule="auto" w:before="137"/>
        <w:ind w:left="863" w:right="117" w:hanging="711"/>
      </w:pPr>
      <w:r>
        <w:rPr/>
        <w:t>Stanton, C., Murphy, J., McGrath, E., Devery, R. 2003. Animal feeding strategies for conjugated linoleic acid enrichment of milk. In: Sebedio, </w:t>
      </w:r>
      <w:r>
        <w:rPr>
          <w:spacing w:val="4"/>
        </w:rPr>
        <w:t>L., </w:t>
      </w:r>
      <w:r>
        <w:rPr/>
        <w:t>Christie, W.W., Adolf, R. (Eds.), Advances in Conjugated Linoleic Acid Research,</w:t>
      </w:r>
      <w:r>
        <w:rPr>
          <w:spacing w:val="2"/>
        </w:rPr>
        <w:t> </w:t>
      </w:r>
      <w:r>
        <w:rPr/>
        <w:t>vol.</w:t>
      </w:r>
    </w:p>
    <w:p>
      <w:pPr>
        <w:pStyle w:val="BodyText"/>
        <w:spacing w:before="7"/>
        <w:ind w:left="863"/>
      </w:pPr>
      <w:r>
        <w:rPr/>
        <w:t>2. AOCS Press, Champaing, IL, pp. 123-145.</w:t>
      </w:r>
    </w:p>
    <w:p>
      <w:pPr>
        <w:pStyle w:val="BodyText"/>
        <w:spacing w:line="360" w:lineRule="auto" w:before="137"/>
        <w:ind w:left="863" w:right="125" w:hanging="711"/>
      </w:pPr>
      <w:r>
        <w:rPr/>
        <w:t>Walstra, P., Geurts, T.J., Noomen, A., Jellema, A., van Boekel, M.A.JS. 1999.  Dairy technology: principles of milk properties and processes. New York: Marcel Dekker,</w:t>
      </w:r>
      <w:r>
        <w:rPr>
          <w:spacing w:val="-2"/>
        </w:rPr>
        <w:t> </w:t>
      </w:r>
      <w:r>
        <w:rPr/>
        <w:t>Inc.</w:t>
      </w:r>
    </w:p>
    <w:p>
      <w:pPr>
        <w:pStyle w:val="BodyText"/>
        <w:spacing w:line="360" w:lineRule="auto" w:before="7"/>
        <w:ind w:left="863" w:right="122" w:hanging="711"/>
      </w:pPr>
      <w:r>
        <w:rPr/>
        <w:t>Whigham, L.D., Wastras, A.C. y Schoeller, D.A. 2007. Efficacy of conjugated linoleic acid for reducing fat mass: a meta-analysis in humans. American Journal of Clinical Nutrition. (85): 1203-1211.</w:t>
      </w:r>
    </w:p>
    <w:p>
      <w:pPr>
        <w:pStyle w:val="BodyText"/>
        <w:spacing w:line="360" w:lineRule="auto" w:before="3"/>
        <w:ind w:left="863" w:right="119" w:hanging="711"/>
      </w:pPr>
      <w:r>
        <w:rPr/>
        <w:t>WHO-FAO. 1994. Fats and Oils in Human Nutrition. Report of a joint expert consultation, Rome. 57. Disponible en línea en: </w:t>
      </w:r>
      <w:hyperlink r:id="rId26">
        <w:r>
          <w:rPr/>
          <w:t>http://www.fao.org/docrep/V4700E/V4700E00.htm</w:t>
        </w:r>
      </w:hyperlink>
      <w:r>
        <w:rPr/>
        <w:t> Revisado el 18 de enero de 2013.</w:t>
      </w:r>
    </w:p>
    <w:p>
      <w:pPr>
        <w:pStyle w:val="BodyText"/>
        <w:spacing w:line="360" w:lineRule="auto" w:before="3"/>
        <w:ind w:left="863" w:right="118" w:hanging="711"/>
      </w:pPr>
      <w:r>
        <w:rPr/>
        <w:t>Yamamoto, W., Dewi, I.A., Ibrahim, M. 2007. Effects of silvopastoral áreas on milk production at dual-purpose cattle farms at the semi-humid old agricultural frontier in central Nicaragua. Agricultural Systems. (94): 368-375.</w:t>
      </w:r>
    </w:p>
    <w:p>
      <w:pPr>
        <w:spacing w:after="0" w:line="360" w:lineRule="auto"/>
        <w:sectPr>
          <w:pgSz w:w="12240" w:h="15840"/>
          <w:pgMar w:header="0" w:footer="1386" w:top="1500" w:bottom="1580" w:left="1720" w:right="1400"/>
        </w:sectPr>
      </w:pPr>
    </w:p>
    <w:p>
      <w:pPr>
        <w:pStyle w:val="BodyText"/>
        <w:spacing w:before="11"/>
        <w:jc w:val="left"/>
        <w:rPr>
          <w:sz w:val="20"/>
        </w:rPr>
      </w:pPr>
    </w:p>
    <w:p>
      <w:pPr>
        <w:spacing w:before="69"/>
        <w:ind w:left="152" w:right="120" w:firstLine="0"/>
        <w:jc w:val="left"/>
        <w:rPr>
          <w:sz w:val="24"/>
        </w:rPr>
      </w:pPr>
      <w:r>
        <w:rPr>
          <w:sz w:val="24"/>
        </w:rPr>
        <w:t>Zárate, S. 1987. </w:t>
      </w:r>
      <w:r>
        <w:rPr>
          <w:i/>
          <w:sz w:val="24"/>
        </w:rPr>
        <w:t>Leucaena leucocephala</w:t>
      </w:r>
      <w:r>
        <w:rPr>
          <w:sz w:val="24"/>
        </w:rPr>
        <w:t>. Phytología. 63 (4): 304-306.</w:t>
      </w:r>
    </w:p>
    <w:p>
      <w:pPr>
        <w:pStyle w:val="BodyText"/>
        <w:spacing w:before="137"/>
        <w:ind w:left="152" w:right="120"/>
        <w:jc w:val="left"/>
      </w:pPr>
      <w:r>
        <w:rPr/>
        <w:t>Zheng, H.C., Liu, J.X., Yao, J.H., Yuan, Q., Ye, H.W., Ye, J.A., Wu, Y.M. 2005.</w:t>
      </w:r>
    </w:p>
    <w:p>
      <w:pPr>
        <w:pStyle w:val="BodyText"/>
        <w:spacing w:line="360" w:lineRule="auto" w:before="137"/>
        <w:ind w:left="863" w:right="122"/>
      </w:pPr>
      <w:r>
        <w:rPr/>
        <w:t>Effects of dietary sources of vegetable oils on performance of high-yielding lactating cows and conjugated linoleic acids in milk. Journal of Dairy Science. (88):</w:t>
      </w:r>
      <w:r>
        <w:rPr>
          <w:spacing w:val="-10"/>
        </w:rPr>
        <w:t> </w:t>
      </w:r>
      <w:r>
        <w:rPr/>
        <w:t>2037-2042.</w:t>
      </w:r>
    </w:p>
    <w:p>
      <w:pPr>
        <w:pStyle w:val="BodyText"/>
        <w:spacing w:line="362" w:lineRule="auto" w:before="2"/>
        <w:ind w:left="863" w:right="123" w:hanging="711"/>
      </w:pPr>
      <w:r>
        <w:rPr/>
        <w:t>Zlatanos, S., Laskaridis, K., Feist, C., y Sagredos, A. 2002. CLA content and fatty acid composition of Greek feta and hard cheeses. Food Chemistry 2002; (78): 471-477.</w:t>
      </w:r>
    </w:p>
    <w:p>
      <w:pPr>
        <w:spacing w:after="0" w:line="362" w:lineRule="auto"/>
        <w:sectPr>
          <w:pgSz w:w="12240" w:h="15840"/>
          <w:pgMar w:header="0" w:footer="1386" w:top="1500" w:bottom="1580" w:left="1720" w:right="1400"/>
        </w:sectPr>
      </w:pPr>
    </w:p>
    <w:p>
      <w:pPr>
        <w:pStyle w:val="BodyText"/>
        <w:spacing w:before="6"/>
        <w:jc w:val="left"/>
        <w:rPr>
          <w:sz w:val="20"/>
        </w:rPr>
      </w:pPr>
    </w:p>
    <w:p>
      <w:pPr>
        <w:pStyle w:val="Heading1"/>
        <w:numPr>
          <w:ilvl w:val="0"/>
          <w:numId w:val="8"/>
        </w:numPr>
        <w:tabs>
          <w:tab w:pos="556" w:val="left" w:leader="none"/>
        </w:tabs>
        <w:spacing w:line="240" w:lineRule="auto" w:before="69" w:after="0"/>
        <w:ind w:left="555" w:right="0" w:hanging="403"/>
        <w:jc w:val="left"/>
      </w:pPr>
      <w:r>
        <w:rPr/>
        <w:t>ANEXOS</w:t>
      </w:r>
    </w:p>
    <w:p>
      <w:pPr>
        <w:pStyle w:val="BodyText"/>
        <w:spacing w:before="2"/>
        <w:jc w:val="left"/>
        <w:rPr>
          <w:b/>
          <w:sz w:val="9"/>
        </w:rPr>
      </w:pPr>
      <w:r>
        <w:rPr/>
        <w:drawing>
          <wp:anchor distT="0" distB="0" distL="0" distR="0" allowOverlap="1" layoutInCell="1" locked="0" behindDoc="0" simplePos="0" relativeHeight="1576">
            <wp:simplePos x="0" y="0"/>
            <wp:positionH relativeFrom="page">
              <wp:posOffset>1188719</wp:posOffset>
            </wp:positionH>
            <wp:positionV relativeFrom="paragraph">
              <wp:posOffset>92291</wp:posOffset>
            </wp:positionV>
            <wp:extent cx="5605780" cy="7287768"/>
            <wp:effectExtent l="0" t="0" r="0" b="0"/>
            <wp:wrapTopAndBottom/>
            <wp:docPr id="23" name="image11.jpeg" descr=""/>
            <wp:cNvGraphicFramePr>
              <a:graphicFrameLocks noChangeAspect="1"/>
            </wp:cNvGraphicFramePr>
            <a:graphic>
              <a:graphicData uri="http://schemas.openxmlformats.org/drawingml/2006/picture">
                <pic:pic>
                  <pic:nvPicPr>
                    <pic:cNvPr id="24" name="image11.jpeg"/>
                    <pic:cNvPicPr/>
                  </pic:nvPicPr>
                  <pic:blipFill>
                    <a:blip r:embed="rId27" cstate="print"/>
                    <a:stretch>
                      <a:fillRect/>
                    </a:stretch>
                  </pic:blipFill>
                  <pic:spPr>
                    <a:xfrm>
                      <a:off x="0" y="0"/>
                      <a:ext cx="5605780" cy="7287768"/>
                    </a:xfrm>
                    <a:prstGeom prst="rect">
                      <a:avLst/>
                    </a:prstGeom>
                  </pic:spPr>
                </pic:pic>
              </a:graphicData>
            </a:graphic>
          </wp:anchor>
        </w:drawing>
      </w:r>
    </w:p>
    <w:sectPr>
      <w:pgSz w:w="12240" w:h="15840"/>
      <w:pgMar w:header="0" w:footer="1386" w:top="1500" w:bottom="1580" w:left="1720" w:right="14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Cambria">
    <w:altName w:val="Cambr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type id="_x0000_t202" o:spt="202" coordsize="21600,21600" path="m,l,21600r21600,l21600,xe">
          <v:stroke joinstyle="miter"/>
          <v:path gradientshapeok="t" o:connecttype="rect"/>
        </v:shapetype>
        <v:shape style="position:absolute;margin-left:167.789993pt;margin-top:660.746216pt;width:346.75pt;height:14pt;mso-position-horizontal-relative:page;mso-position-vertical-relative:page;z-index:-63712" type="#_x0000_t202" filled="false" stroked="false">
          <v:textbox inset="0,0,0,0">
            <w:txbxContent>
              <w:p>
                <w:pPr>
                  <w:pStyle w:val="BodyText"/>
                  <w:spacing w:line="265" w:lineRule="exact"/>
                  <w:ind w:left="20" w:right="-2"/>
                  <w:jc w:val="left"/>
                </w:pPr>
                <w:r>
                  <w:rPr/>
                  <w:t>El Cerrillo Piedras Blancas, Toluca, Estado de México Julio 2015</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167.789993pt;margin-top:673.706238pt;width:346.75pt;height:14pt;mso-position-horizontal-relative:page;mso-position-vertical-relative:page;z-index:-63688" type="#_x0000_t202" filled="false" stroked="false">
          <v:textbox inset="0,0,0,0">
            <w:txbxContent>
              <w:p>
                <w:pPr>
                  <w:pStyle w:val="BodyText"/>
                  <w:spacing w:line="265" w:lineRule="exact"/>
                  <w:ind w:left="20" w:right="-2"/>
                  <w:jc w:val="left"/>
                </w:pPr>
                <w:r>
                  <w:rPr/>
                  <w:t>El Cerrillo Piedras Blancas, Toluca, Estado de México Julio 2015</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24.780029pt;margin-top:711.53241pt;width:13.1pt;height:13.05pt;mso-position-horizontal-relative:page;mso-position-vertical-relative:page;z-index:-63664" type="#_x0000_t202" filled="false" stroked="false">
          <v:textbox inset="0,0,0,0">
            <w:txbxContent>
              <w:p>
                <w:pPr>
                  <w:spacing w:line="245" w:lineRule="exact" w:before="0"/>
                  <w:ind w:left="40" w:right="0" w:firstLine="0"/>
                  <w:jc w:val="left"/>
                  <w:rPr>
                    <w:rFonts w:ascii="Times New Roman"/>
                    <w:sz w:val="22"/>
                  </w:rPr>
                </w:pPr>
                <w:r>
                  <w:rPr/>
                  <w:fldChar w:fldCharType="begin"/>
                </w:r>
                <w:r>
                  <w:rPr>
                    <w:rFonts w:ascii="Times New Roman"/>
                    <w:sz w:val="22"/>
                  </w:rPr>
                  <w:instrText> PAGE  \* roman </w:instrText>
                </w:r>
                <w:r>
                  <w:rPr/>
                  <w:fldChar w:fldCharType="separate"/>
                </w:r>
                <w:r>
                  <w:rPr/>
                  <w:t>iii</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25.26001pt;margin-top:711.53241pt;width:12.7pt;height:13.05pt;mso-position-horizontal-relative:page;mso-position-vertical-relative:page;z-index:-63640" type="#_x0000_t202" filled="false" stroked="false">
          <v:textbox inset="0,0,0,0">
            <w:txbxContent>
              <w:p>
                <w:pPr>
                  <w:spacing w:line="245" w:lineRule="exact" w:before="0"/>
                  <w:ind w:left="40" w:right="0" w:firstLine="0"/>
                  <w:jc w:val="left"/>
                  <w:rPr>
                    <w:rFonts w:ascii="Times New Roman"/>
                    <w:sz w:val="22"/>
                  </w:rPr>
                </w:pPr>
                <w:r>
                  <w:rPr/>
                  <w:fldChar w:fldCharType="begin"/>
                </w:r>
                <w:r>
                  <w:rPr>
                    <w:rFonts w:ascii="Times New Roman"/>
                    <w:sz w:val="22"/>
                  </w:rPr>
                  <w:instrText> PAGE  \* roman </w:instrText>
                </w:r>
                <w:r>
                  <w:rPr/>
                  <w:fldChar w:fldCharType="separate"/>
                </w:r>
                <w:r>
                  <w:rPr/>
                  <w:t>iv</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16"/>
      </w:rPr>
    </w:pPr>
    <w:r>
      <w:rPr/>
      <w:pict>
        <v:shape style="position:absolute;margin-left:522.859985pt;margin-top:711.53241pt;width:15.05pt;height:13.05pt;mso-position-horizontal-relative:page;mso-position-vertical-relative:page;z-index:-63616" type="#_x0000_t202" filled="false" stroked="false">
          <v:textbox inset="0,0,0,0">
            <w:txbxContent>
              <w:p>
                <w:pPr>
                  <w:spacing w:line="245" w:lineRule="exact" w:before="0"/>
                  <w:ind w:left="40" w:right="0" w:firstLine="0"/>
                  <w:jc w:val="left"/>
                  <w:rPr>
                    <w:rFonts w:ascii="Times New Roman"/>
                    <w:sz w:val="22"/>
                  </w:rPr>
                </w:pPr>
                <w:r>
                  <w:rPr/>
                  <w:fldChar w:fldCharType="begin"/>
                </w:r>
                <w:r>
                  <w:rPr>
                    <w:rFonts w:ascii="Times New Roman"/>
                    <w:sz w:val="22"/>
                  </w:rPr>
                  <w:instrText> PAGE </w:instrText>
                </w:r>
                <w:r>
                  <w:rPr/>
                  <w:fldChar w:fldCharType="separate"/>
                </w:r>
                <w:r>
                  <w:rPr/>
                  <w:t>31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701.630005pt;margin-top:531.710144pt;width:16.5pt;height:13.05pt;mso-position-horizontal-relative:page;mso-position-vertical-relative:page;z-index:-63592" type="#_x0000_t202" filled="false" stroked="false">
          <v:textbox inset="0,0,0,0">
            <w:txbxContent>
              <w:p>
                <w:pPr>
                  <w:spacing w:line="246" w:lineRule="exact" w:before="0"/>
                  <w:ind w:left="40" w:right="0" w:firstLine="0"/>
                  <w:jc w:val="left"/>
                  <w:rPr>
                    <w:sz w:val="22"/>
                  </w:rPr>
                </w:pPr>
                <w:r>
                  <w:rPr/>
                  <w:fldChar w:fldCharType="begin"/>
                </w:r>
                <w:r>
                  <w:rPr>
                    <w:sz w:val="22"/>
                  </w:rPr>
                  <w:instrText> PAGE </w:instrText>
                </w:r>
                <w:r>
                  <w:rPr/>
                  <w:fldChar w:fldCharType="separate"/>
                </w:r>
                <w:r>
                  <w:rPr/>
                  <w:t>48</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521.659973pt;margin-top:711.710144pt;width:16.5pt;height:13.05pt;mso-position-horizontal-relative:page;mso-position-vertical-relative:page;z-index:-63568" type="#_x0000_t202" filled="false" stroked="false">
          <v:textbox inset="0,0,0,0">
            <w:txbxContent>
              <w:p>
                <w:pPr>
                  <w:spacing w:line="246" w:lineRule="exact" w:before="0"/>
                  <w:ind w:left="40" w:right="0" w:firstLine="0"/>
                  <w:jc w:val="left"/>
                  <w:rPr>
                    <w:sz w:val="22"/>
                  </w:rPr>
                </w:pPr>
                <w:r>
                  <w:rPr/>
                  <w:fldChar w:fldCharType="begin"/>
                </w:r>
                <w:r>
                  <w:rPr>
                    <w:sz w:val="22"/>
                  </w:rPr>
                  <w:instrText> PAGE </w:instrText>
                </w:r>
                <w:r>
                  <w:rPr/>
                  <w:fldChar w:fldCharType="separate"/>
                </w:r>
                <w:r>
                  <w:rPr/>
                  <w:t>50</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7">
    <w:multiLevelType w:val="hybridMultilevel"/>
    <w:lvl w:ilvl="0">
      <w:start w:val="8"/>
      <w:numFmt w:val="decimal"/>
      <w:lvlText w:val="%1."/>
      <w:lvlJc w:val="left"/>
      <w:pPr>
        <w:ind w:left="421" w:hanging="269"/>
        <w:jc w:val="left"/>
      </w:pPr>
      <w:rPr>
        <w:rFonts w:hint="default" w:ascii="Arial" w:hAnsi="Arial" w:eastAsia="Arial" w:cs="Arial"/>
        <w:b/>
        <w:bCs/>
        <w:spacing w:val="-6"/>
        <w:w w:val="99"/>
        <w:sz w:val="24"/>
        <w:szCs w:val="24"/>
      </w:rPr>
    </w:lvl>
    <w:lvl w:ilvl="1">
      <w:start w:val="1"/>
      <w:numFmt w:val="upperLetter"/>
      <w:lvlText w:val="%2."/>
      <w:lvlJc w:val="left"/>
      <w:pPr>
        <w:ind w:left="152" w:hanging="293"/>
        <w:jc w:val="left"/>
      </w:pPr>
      <w:rPr>
        <w:rFonts w:hint="default" w:ascii="Arial" w:hAnsi="Arial" w:eastAsia="Arial" w:cs="Arial"/>
        <w:spacing w:val="-2"/>
        <w:w w:val="100"/>
        <w:sz w:val="24"/>
        <w:szCs w:val="24"/>
      </w:rPr>
    </w:lvl>
    <w:lvl w:ilvl="2">
      <w:start w:val="1"/>
      <w:numFmt w:val="bullet"/>
      <w:lvlText w:val="•"/>
      <w:lvlJc w:val="left"/>
      <w:pPr>
        <w:ind w:left="1386" w:hanging="293"/>
      </w:pPr>
      <w:rPr>
        <w:rFonts w:hint="default"/>
      </w:rPr>
    </w:lvl>
    <w:lvl w:ilvl="3">
      <w:start w:val="1"/>
      <w:numFmt w:val="bullet"/>
      <w:lvlText w:val="•"/>
      <w:lvlJc w:val="left"/>
      <w:pPr>
        <w:ind w:left="2353" w:hanging="293"/>
      </w:pPr>
      <w:rPr>
        <w:rFonts w:hint="default"/>
      </w:rPr>
    </w:lvl>
    <w:lvl w:ilvl="4">
      <w:start w:val="1"/>
      <w:numFmt w:val="bullet"/>
      <w:lvlText w:val="•"/>
      <w:lvlJc w:val="left"/>
      <w:pPr>
        <w:ind w:left="3320" w:hanging="293"/>
      </w:pPr>
      <w:rPr>
        <w:rFonts w:hint="default"/>
      </w:rPr>
    </w:lvl>
    <w:lvl w:ilvl="5">
      <w:start w:val="1"/>
      <w:numFmt w:val="bullet"/>
      <w:lvlText w:val="•"/>
      <w:lvlJc w:val="left"/>
      <w:pPr>
        <w:ind w:left="4286" w:hanging="293"/>
      </w:pPr>
      <w:rPr>
        <w:rFonts w:hint="default"/>
      </w:rPr>
    </w:lvl>
    <w:lvl w:ilvl="6">
      <w:start w:val="1"/>
      <w:numFmt w:val="bullet"/>
      <w:lvlText w:val="•"/>
      <w:lvlJc w:val="left"/>
      <w:pPr>
        <w:ind w:left="5253" w:hanging="293"/>
      </w:pPr>
      <w:rPr>
        <w:rFonts w:hint="default"/>
      </w:rPr>
    </w:lvl>
    <w:lvl w:ilvl="7">
      <w:start w:val="1"/>
      <w:numFmt w:val="bullet"/>
      <w:lvlText w:val="•"/>
      <w:lvlJc w:val="left"/>
      <w:pPr>
        <w:ind w:left="6220" w:hanging="293"/>
      </w:pPr>
      <w:rPr>
        <w:rFonts w:hint="default"/>
      </w:rPr>
    </w:lvl>
    <w:lvl w:ilvl="8">
      <w:start w:val="1"/>
      <w:numFmt w:val="bullet"/>
      <w:lvlText w:val="•"/>
      <w:lvlJc w:val="left"/>
      <w:pPr>
        <w:ind w:left="7186" w:hanging="293"/>
      </w:pPr>
      <w:rPr>
        <w:rFonts w:hint="default"/>
      </w:rPr>
    </w:lvl>
  </w:abstractNum>
  <w:abstractNum w:abstractNumId="6">
    <w:multiLevelType w:val="hybridMultilevel"/>
    <w:lvl w:ilvl="0">
      <w:start w:val="1"/>
      <w:numFmt w:val="decimal"/>
      <w:lvlText w:val="%1"/>
      <w:lvlJc w:val="left"/>
      <w:pPr>
        <w:ind w:left="152" w:hanging="633"/>
        <w:jc w:val="left"/>
      </w:pPr>
      <w:rPr>
        <w:rFonts w:hint="default"/>
      </w:rPr>
    </w:lvl>
    <w:lvl w:ilvl="1">
      <w:start w:val="3"/>
      <w:numFmt w:val="decimal"/>
      <w:lvlText w:val="%1.%2"/>
      <w:lvlJc w:val="left"/>
      <w:pPr>
        <w:ind w:left="152" w:hanging="633"/>
        <w:jc w:val="left"/>
      </w:pPr>
      <w:rPr>
        <w:rFonts w:hint="default" w:ascii="Arial" w:hAnsi="Arial" w:eastAsia="Arial" w:cs="Arial"/>
        <w:w w:val="99"/>
        <w:sz w:val="24"/>
        <w:szCs w:val="24"/>
      </w:rPr>
    </w:lvl>
    <w:lvl w:ilvl="2">
      <w:start w:val="1"/>
      <w:numFmt w:val="decimal"/>
      <w:lvlText w:val="%3."/>
      <w:lvlJc w:val="left"/>
      <w:pPr>
        <w:ind w:left="873" w:hanging="360"/>
        <w:jc w:val="left"/>
      </w:pPr>
      <w:rPr>
        <w:rFonts w:hint="default" w:ascii="Arial" w:hAnsi="Arial" w:eastAsia="Arial" w:cs="Arial"/>
        <w:spacing w:val="-34"/>
        <w:w w:val="99"/>
        <w:sz w:val="24"/>
        <w:szCs w:val="24"/>
      </w:rPr>
    </w:lvl>
    <w:lvl w:ilvl="3">
      <w:start w:val="1"/>
      <w:numFmt w:val="bullet"/>
      <w:lvlText w:val="•"/>
      <w:lvlJc w:val="left"/>
      <w:pPr>
        <w:ind w:left="2706" w:hanging="360"/>
      </w:pPr>
      <w:rPr>
        <w:rFonts w:hint="default"/>
      </w:rPr>
    </w:lvl>
    <w:lvl w:ilvl="4">
      <w:start w:val="1"/>
      <w:numFmt w:val="bullet"/>
      <w:lvlText w:val="•"/>
      <w:lvlJc w:val="left"/>
      <w:pPr>
        <w:ind w:left="3620" w:hanging="360"/>
      </w:pPr>
      <w:rPr>
        <w:rFonts w:hint="default"/>
      </w:rPr>
    </w:lvl>
    <w:lvl w:ilvl="5">
      <w:start w:val="1"/>
      <w:numFmt w:val="bullet"/>
      <w:lvlText w:val="•"/>
      <w:lvlJc w:val="left"/>
      <w:pPr>
        <w:ind w:left="4533" w:hanging="360"/>
      </w:pPr>
      <w:rPr>
        <w:rFonts w:hint="default"/>
      </w:rPr>
    </w:lvl>
    <w:lvl w:ilvl="6">
      <w:start w:val="1"/>
      <w:numFmt w:val="bullet"/>
      <w:lvlText w:val="•"/>
      <w:lvlJc w:val="left"/>
      <w:pPr>
        <w:ind w:left="5446" w:hanging="360"/>
      </w:pPr>
      <w:rPr>
        <w:rFonts w:hint="default"/>
      </w:rPr>
    </w:lvl>
    <w:lvl w:ilvl="7">
      <w:start w:val="1"/>
      <w:numFmt w:val="bullet"/>
      <w:lvlText w:val="•"/>
      <w:lvlJc w:val="left"/>
      <w:pPr>
        <w:ind w:left="6360" w:hanging="360"/>
      </w:pPr>
      <w:rPr>
        <w:rFonts w:hint="default"/>
      </w:rPr>
    </w:lvl>
    <w:lvl w:ilvl="8">
      <w:start w:val="1"/>
      <w:numFmt w:val="bullet"/>
      <w:lvlText w:val="•"/>
      <w:lvlJc w:val="left"/>
      <w:pPr>
        <w:ind w:left="7273" w:hanging="360"/>
      </w:pPr>
      <w:rPr>
        <w:rFonts w:hint="default"/>
      </w:rPr>
    </w:lvl>
  </w:abstractNum>
  <w:abstractNum w:abstractNumId="5">
    <w:multiLevelType w:val="hybridMultilevel"/>
    <w:lvl w:ilvl="0">
      <w:start w:val="6"/>
      <w:numFmt w:val="decimal"/>
      <w:lvlText w:val="%1"/>
      <w:lvlJc w:val="left"/>
      <w:pPr>
        <w:ind w:left="623" w:hanging="471"/>
        <w:jc w:val="left"/>
      </w:pPr>
      <w:rPr>
        <w:rFonts w:hint="default"/>
      </w:rPr>
    </w:lvl>
    <w:lvl w:ilvl="1">
      <w:start w:val="1"/>
      <w:numFmt w:val="decimal"/>
      <w:lvlText w:val="%1.%2."/>
      <w:lvlJc w:val="left"/>
      <w:pPr>
        <w:ind w:left="623" w:hanging="471"/>
        <w:jc w:val="left"/>
      </w:pPr>
      <w:rPr>
        <w:rFonts w:hint="default" w:ascii="Arial" w:hAnsi="Arial" w:eastAsia="Arial" w:cs="Arial"/>
        <w:b/>
        <w:bCs/>
        <w:w w:val="99"/>
        <w:sz w:val="24"/>
        <w:szCs w:val="24"/>
      </w:rPr>
    </w:lvl>
    <w:lvl w:ilvl="2">
      <w:start w:val="1"/>
      <w:numFmt w:val="bullet"/>
      <w:lvlText w:val="•"/>
      <w:lvlJc w:val="left"/>
      <w:pPr>
        <w:ind w:left="2316" w:hanging="471"/>
      </w:pPr>
      <w:rPr>
        <w:rFonts w:hint="default"/>
      </w:rPr>
    </w:lvl>
    <w:lvl w:ilvl="3">
      <w:start w:val="1"/>
      <w:numFmt w:val="bullet"/>
      <w:lvlText w:val="•"/>
      <w:lvlJc w:val="left"/>
      <w:pPr>
        <w:ind w:left="3164" w:hanging="471"/>
      </w:pPr>
      <w:rPr>
        <w:rFonts w:hint="default"/>
      </w:rPr>
    </w:lvl>
    <w:lvl w:ilvl="4">
      <w:start w:val="1"/>
      <w:numFmt w:val="bullet"/>
      <w:lvlText w:val="•"/>
      <w:lvlJc w:val="left"/>
      <w:pPr>
        <w:ind w:left="4012" w:hanging="471"/>
      </w:pPr>
      <w:rPr>
        <w:rFonts w:hint="default"/>
      </w:rPr>
    </w:lvl>
    <w:lvl w:ilvl="5">
      <w:start w:val="1"/>
      <w:numFmt w:val="bullet"/>
      <w:lvlText w:val="•"/>
      <w:lvlJc w:val="left"/>
      <w:pPr>
        <w:ind w:left="4860" w:hanging="471"/>
      </w:pPr>
      <w:rPr>
        <w:rFonts w:hint="default"/>
      </w:rPr>
    </w:lvl>
    <w:lvl w:ilvl="6">
      <w:start w:val="1"/>
      <w:numFmt w:val="bullet"/>
      <w:lvlText w:val="•"/>
      <w:lvlJc w:val="left"/>
      <w:pPr>
        <w:ind w:left="5708" w:hanging="471"/>
      </w:pPr>
      <w:rPr>
        <w:rFonts w:hint="default"/>
      </w:rPr>
    </w:lvl>
    <w:lvl w:ilvl="7">
      <w:start w:val="1"/>
      <w:numFmt w:val="bullet"/>
      <w:lvlText w:val="•"/>
      <w:lvlJc w:val="left"/>
      <w:pPr>
        <w:ind w:left="6556" w:hanging="471"/>
      </w:pPr>
      <w:rPr>
        <w:rFonts w:hint="default"/>
      </w:rPr>
    </w:lvl>
    <w:lvl w:ilvl="8">
      <w:start w:val="1"/>
      <w:numFmt w:val="bullet"/>
      <w:lvlText w:val="•"/>
      <w:lvlJc w:val="left"/>
      <w:pPr>
        <w:ind w:left="7404" w:hanging="471"/>
      </w:pPr>
      <w:rPr>
        <w:rFonts w:hint="default"/>
      </w:rPr>
    </w:lvl>
  </w:abstractNum>
  <w:abstractNum w:abstractNumId="4">
    <w:multiLevelType w:val="hybridMultilevel"/>
    <w:lvl w:ilvl="0">
      <w:start w:val="3"/>
      <w:numFmt w:val="decimal"/>
      <w:lvlText w:val="%1."/>
      <w:lvlJc w:val="left"/>
      <w:pPr>
        <w:ind w:left="421" w:hanging="269"/>
        <w:jc w:val="left"/>
      </w:pPr>
      <w:rPr>
        <w:rFonts w:hint="default" w:ascii="Arial" w:hAnsi="Arial" w:eastAsia="Arial" w:cs="Arial"/>
        <w:b/>
        <w:bCs/>
        <w:w w:val="99"/>
        <w:sz w:val="24"/>
        <w:szCs w:val="24"/>
      </w:rPr>
    </w:lvl>
    <w:lvl w:ilvl="1">
      <w:start w:val="1"/>
      <w:numFmt w:val="decimal"/>
      <w:lvlText w:val="%2."/>
      <w:lvlJc w:val="left"/>
      <w:pPr>
        <w:ind w:left="873" w:hanging="360"/>
        <w:jc w:val="left"/>
      </w:pPr>
      <w:rPr>
        <w:rFonts w:hint="default" w:ascii="Arial" w:hAnsi="Arial" w:eastAsia="Arial" w:cs="Arial"/>
        <w:spacing w:val="-25"/>
        <w:w w:val="99"/>
        <w:sz w:val="24"/>
        <w:szCs w:val="24"/>
      </w:rPr>
    </w:lvl>
    <w:lvl w:ilvl="2">
      <w:start w:val="1"/>
      <w:numFmt w:val="bullet"/>
      <w:lvlText w:val="•"/>
      <w:lvlJc w:val="left"/>
      <w:pPr>
        <w:ind w:left="1793" w:hanging="360"/>
      </w:pPr>
      <w:rPr>
        <w:rFonts w:hint="default"/>
      </w:rPr>
    </w:lvl>
    <w:lvl w:ilvl="3">
      <w:start w:val="1"/>
      <w:numFmt w:val="bullet"/>
      <w:lvlText w:val="•"/>
      <w:lvlJc w:val="left"/>
      <w:pPr>
        <w:ind w:left="2706" w:hanging="360"/>
      </w:pPr>
      <w:rPr>
        <w:rFonts w:hint="default"/>
      </w:rPr>
    </w:lvl>
    <w:lvl w:ilvl="4">
      <w:start w:val="1"/>
      <w:numFmt w:val="bullet"/>
      <w:lvlText w:val="•"/>
      <w:lvlJc w:val="left"/>
      <w:pPr>
        <w:ind w:left="3620" w:hanging="360"/>
      </w:pPr>
      <w:rPr>
        <w:rFonts w:hint="default"/>
      </w:rPr>
    </w:lvl>
    <w:lvl w:ilvl="5">
      <w:start w:val="1"/>
      <w:numFmt w:val="bullet"/>
      <w:lvlText w:val="•"/>
      <w:lvlJc w:val="left"/>
      <w:pPr>
        <w:ind w:left="4533" w:hanging="360"/>
      </w:pPr>
      <w:rPr>
        <w:rFonts w:hint="default"/>
      </w:rPr>
    </w:lvl>
    <w:lvl w:ilvl="6">
      <w:start w:val="1"/>
      <w:numFmt w:val="bullet"/>
      <w:lvlText w:val="•"/>
      <w:lvlJc w:val="left"/>
      <w:pPr>
        <w:ind w:left="5446" w:hanging="360"/>
      </w:pPr>
      <w:rPr>
        <w:rFonts w:hint="default"/>
      </w:rPr>
    </w:lvl>
    <w:lvl w:ilvl="7">
      <w:start w:val="1"/>
      <w:numFmt w:val="bullet"/>
      <w:lvlText w:val="•"/>
      <w:lvlJc w:val="left"/>
      <w:pPr>
        <w:ind w:left="6360" w:hanging="360"/>
      </w:pPr>
      <w:rPr>
        <w:rFonts w:hint="default"/>
      </w:rPr>
    </w:lvl>
    <w:lvl w:ilvl="8">
      <w:start w:val="1"/>
      <w:numFmt w:val="bullet"/>
      <w:lvlText w:val="•"/>
      <w:lvlJc w:val="left"/>
      <w:pPr>
        <w:ind w:left="7273" w:hanging="360"/>
      </w:pPr>
      <w:rPr>
        <w:rFonts w:hint="default"/>
      </w:rPr>
    </w:lvl>
  </w:abstractNum>
  <w:abstractNum w:abstractNumId="3">
    <w:multiLevelType w:val="hybridMultilevel"/>
    <w:lvl w:ilvl="0">
      <w:start w:val="1"/>
      <w:numFmt w:val="decimal"/>
      <w:lvlText w:val="%1."/>
      <w:lvlJc w:val="left"/>
      <w:pPr>
        <w:ind w:left="152" w:hanging="711"/>
        <w:jc w:val="left"/>
      </w:pPr>
      <w:rPr>
        <w:rFonts w:hint="default" w:ascii="Arial" w:hAnsi="Arial" w:eastAsia="Arial" w:cs="Arial"/>
        <w:spacing w:val="-33"/>
        <w:w w:val="99"/>
        <w:sz w:val="24"/>
        <w:szCs w:val="24"/>
      </w:rPr>
    </w:lvl>
    <w:lvl w:ilvl="1">
      <w:start w:val="1"/>
      <w:numFmt w:val="bullet"/>
      <w:lvlText w:val="•"/>
      <w:lvlJc w:val="left"/>
      <w:pPr>
        <w:ind w:left="1056" w:hanging="711"/>
      </w:pPr>
      <w:rPr>
        <w:rFonts w:hint="default"/>
      </w:rPr>
    </w:lvl>
    <w:lvl w:ilvl="2">
      <w:start w:val="1"/>
      <w:numFmt w:val="bullet"/>
      <w:lvlText w:val="•"/>
      <w:lvlJc w:val="left"/>
      <w:pPr>
        <w:ind w:left="1952" w:hanging="711"/>
      </w:pPr>
      <w:rPr>
        <w:rFonts w:hint="default"/>
      </w:rPr>
    </w:lvl>
    <w:lvl w:ilvl="3">
      <w:start w:val="1"/>
      <w:numFmt w:val="bullet"/>
      <w:lvlText w:val="•"/>
      <w:lvlJc w:val="left"/>
      <w:pPr>
        <w:ind w:left="2848" w:hanging="711"/>
      </w:pPr>
      <w:rPr>
        <w:rFonts w:hint="default"/>
      </w:rPr>
    </w:lvl>
    <w:lvl w:ilvl="4">
      <w:start w:val="1"/>
      <w:numFmt w:val="bullet"/>
      <w:lvlText w:val="•"/>
      <w:lvlJc w:val="left"/>
      <w:pPr>
        <w:ind w:left="3744" w:hanging="711"/>
      </w:pPr>
      <w:rPr>
        <w:rFonts w:hint="default"/>
      </w:rPr>
    </w:lvl>
    <w:lvl w:ilvl="5">
      <w:start w:val="1"/>
      <w:numFmt w:val="bullet"/>
      <w:lvlText w:val="•"/>
      <w:lvlJc w:val="left"/>
      <w:pPr>
        <w:ind w:left="4640" w:hanging="711"/>
      </w:pPr>
      <w:rPr>
        <w:rFonts w:hint="default"/>
      </w:rPr>
    </w:lvl>
    <w:lvl w:ilvl="6">
      <w:start w:val="1"/>
      <w:numFmt w:val="bullet"/>
      <w:lvlText w:val="•"/>
      <w:lvlJc w:val="left"/>
      <w:pPr>
        <w:ind w:left="5536" w:hanging="711"/>
      </w:pPr>
      <w:rPr>
        <w:rFonts w:hint="default"/>
      </w:rPr>
    </w:lvl>
    <w:lvl w:ilvl="7">
      <w:start w:val="1"/>
      <w:numFmt w:val="bullet"/>
      <w:lvlText w:val="•"/>
      <w:lvlJc w:val="left"/>
      <w:pPr>
        <w:ind w:left="6432" w:hanging="711"/>
      </w:pPr>
      <w:rPr>
        <w:rFonts w:hint="default"/>
      </w:rPr>
    </w:lvl>
    <w:lvl w:ilvl="8">
      <w:start w:val="1"/>
      <w:numFmt w:val="bullet"/>
      <w:lvlText w:val="•"/>
      <w:lvlJc w:val="left"/>
      <w:pPr>
        <w:ind w:left="7328" w:hanging="711"/>
      </w:pPr>
      <w:rPr>
        <w:rFonts w:hint="default"/>
      </w:rPr>
    </w:lvl>
  </w:abstractNum>
  <w:abstractNum w:abstractNumId="2">
    <w:multiLevelType w:val="hybridMultilevel"/>
    <w:lvl w:ilvl="0">
      <w:start w:val="3"/>
      <w:numFmt w:val="decimal"/>
      <w:lvlText w:val="%1)"/>
      <w:lvlJc w:val="left"/>
      <w:pPr>
        <w:ind w:left="152" w:hanging="345"/>
        <w:jc w:val="left"/>
      </w:pPr>
      <w:rPr>
        <w:rFonts w:hint="default" w:ascii="Arial" w:hAnsi="Arial" w:eastAsia="Arial" w:cs="Arial"/>
        <w:spacing w:val="-8"/>
        <w:w w:val="99"/>
        <w:sz w:val="24"/>
        <w:szCs w:val="24"/>
      </w:rPr>
    </w:lvl>
    <w:lvl w:ilvl="1">
      <w:start w:val="1"/>
      <w:numFmt w:val="decimal"/>
      <w:lvlText w:val="%2)"/>
      <w:lvlJc w:val="left"/>
      <w:pPr>
        <w:ind w:left="873" w:hanging="360"/>
        <w:jc w:val="left"/>
      </w:pPr>
      <w:rPr>
        <w:rFonts w:hint="default" w:ascii="Arial" w:hAnsi="Arial" w:eastAsia="Arial" w:cs="Arial"/>
        <w:i/>
        <w:w w:val="99"/>
        <w:sz w:val="24"/>
        <w:szCs w:val="24"/>
      </w:rPr>
    </w:lvl>
    <w:lvl w:ilvl="2">
      <w:start w:val="1"/>
      <w:numFmt w:val="lowerLetter"/>
      <w:lvlText w:val="%3)"/>
      <w:lvlJc w:val="left"/>
      <w:pPr>
        <w:ind w:left="1939" w:hanging="360"/>
        <w:jc w:val="left"/>
      </w:pPr>
      <w:rPr>
        <w:rFonts w:hint="default" w:ascii="Arial" w:hAnsi="Arial" w:eastAsia="Arial" w:cs="Arial"/>
        <w:w w:val="99"/>
        <w:sz w:val="24"/>
        <w:szCs w:val="24"/>
      </w:rPr>
    </w:lvl>
    <w:lvl w:ilvl="3">
      <w:start w:val="1"/>
      <w:numFmt w:val="bullet"/>
      <w:lvlText w:val="•"/>
      <w:lvlJc w:val="left"/>
      <w:pPr>
        <w:ind w:left="2912" w:hanging="360"/>
      </w:pPr>
      <w:rPr>
        <w:rFonts w:hint="default"/>
      </w:rPr>
    </w:lvl>
    <w:lvl w:ilvl="4">
      <w:start w:val="1"/>
      <w:numFmt w:val="bullet"/>
      <w:lvlText w:val="•"/>
      <w:lvlJc w:val="left"/>
      <w:pPr>
        <w:ind w:left="3885" w:hanging="360"/>
      </w:pPr>
      <w:rPr>
        <w:rFonts w:hint="default"/>
      </w:rPr>
    </w:lvl>
    <w:lvl w:ilvl="5">
      <w:start w:val="1"/>
      <w:numFmt w:val="bullet"/>
      <w:lvlText w:val="•"/>
      <w:lvlJc w:val="left"/>
      <w:pPr>
        <w:ind w:left="4857" w:hanging="360"/>
      </w:pPr>
      <w:rPr>
        <w:rFonts w:hint="default"/>
      </w:rPr>
    </w:lvl>
    <w:lvl w:ilvl="6">
      <w:start w:val="1"/>
      <w:numFmt w:val="bullet"/>
      <w:lvlText w:val="•"/>
      <w:lvlJc w:val="left"/>
      <w:pPr>
        <w:ind w:left="5830" w:hanging="360"/>
      </w:pPr>
      <w:rPr>
        <w:rFonts w:hint="default"/>
      </w:rPr>
    </w:lvl>
    <w:lvl w:ilvl="7">
      <w:start w:val="1"/>
      <w:numFmt w:val="bullet"/>
      <w:lvlText w:val="•"/>
      <w:lvlJc w:val="left"/>
      <w:pPr>
        <w:ind w:left="6802" w:hanging="360"/>
      </w:pPr>
      <w:rPr>
        <w:rFonts w:hint="default"/>
      </w:rPr>
    </w:lvl>
    <w:lvl w:ilvl="8">
      <w:start w:val="1"/>
      <w:numFmt w:val="bullet"/>
      <w:lvlText w:val="•"/>
      <w:lvlJc w:val="left"/>
      <w:pPr>
        <w:ind w:left="7775" w:hanging="360"/>
      </w:pPr>
      <w:rPr>
        <w:rFonts w:hint="default"/>
      </w:rPr>
    </w:lvl>
  </w:abstractNum>
  <w:abstractNum w:abstractNumId="1">
    <w:multiLevelType w:val="hybridMultilevel"/>
    <w:lvl w:ilvl="0">
      <w:start w:val="1"/>
      <w:numFmt w:val="decimal"/>
      <w:lvlText w:val="%1."/>
      <w:lvlJc w:val="left"/>
      <w:pPr>
        <w:ind w:left="421" w:hanging="269"/>
        <w:jc w:val="left"/>
      </w:pPr>
      <w:rPr>
        <w:rFonts w:hint="default" w:ascii="Arial" w:hAnsi="Arial" w:eastAsia="Arial" w:cs="Arial"/>
        <w:b/>
        <w:bCs/>
        <w:spacing w:val="-5"/>
        <w:w w:val="99"/>
        <w:sz w:val="24"/>
        <w:szCs w:val="24"/>
      </w:rPr>
    </w:lvl>
    <w:lvl w:ilvl="1">
      <w:start w:val="1"/>
      <w:numFmt w:val="decimal"/>
      <w:lvlText w:val="%1.%2."/>
      <w:lvlJc w:val="left"/>
      <w:pPr>
        <w:ind w:left="623" w:hanging="471"/>
        <w:jc w:val="left"/>
      </w:pPr>
      <w:rPr>
        <w:rFonts w:hint="default" w:ascii="Arial" w:hAnsi="Arial" w:eastAsia="Arial" w:cs="Arial"/>
        <w:b/>
        <w:bCs/>
        <w:w w:val="99"/>
        <w:sz w:val="24"/>
        <w:szCs w:val="24"/>
      </w:rPr>
    </w:lvl>
    <w:lvl w:ilvl="2">
      <w:start w:val="1"/>
      <w:numFmt w:val="decimal"/>
      <w:lvlText w:val="%1.%2.%3."/>
      <w:lvlJc w:val="left"/>
      <w:pPr>
        <w:ind w:left="152" w:hanging="672"/>
        <w:jc w:val="left"/>
      </w:pPr>
      <w:rPr>
        <w:rFonts w:hint="default" w:ascii="Arial" w:hAnsi="Arial" w:eastAsia="Arial" w:cs="Arial"/>
        <w:b/>
        <w:bCs/>
        <w:spacing w:val="-4"/>
        <w:w w:val="99"/>
        <w:sz w:val="24"/>
        <w:szCs w:val="24"/>
      </w:rPr>
    </w:lvl>
    <w:lvl w:ilvl="3">
      <w:start w:val="1"/>
      <w:numFmt w:val="decimal"/>
      <w:lvlText w:val="%4"/>
      <w:lvlJc w:val="left"/>
      <w:pPr>
        <w:ind w:left="1301" w:hanging="149"/>
        <w:jc w:val="left"/>
      </w:pPr>
      <w:rPr>
        <w:rFonts w:hint="default" w:ascii="Calibri" w:hAnsi="Calibri" w:eastAsia="Calibri" w:cs="Calibri"/>
        <w:w w:val="100"/>
        <w:sz w:val="20"/>
        <w:szCs w:val="20"/>
      </w:rPr>
    </w:lvl>
    <w:lvl w:ilvl="4">
      <w:start w:val="1"/>
      <w:numFmt w:val="bullet"/>
      <w:lvlText w:val="•"/>
      <w:lvlJc w:val="left"/>
      <w:pPr>
        <w:ind w:left="1300" w:hanging="149"/>
      </w:pPr>
      <w:rPr>
        <w:rFonts w:hint="default"/>
      </w:rPr>
    </w:lvl>
    <w:lvl w:ilvl="5">
      <w:start w:val="1"/>
      <w:numFmt w:val="bullet"/>
      <w:lvlText w:val="•"/>
      <w:lvlJc w:val="left"/>
      <w:pPr>
        <w:ind w:left="3760" w:hanging="149"/>
      </w:pPr>
      <w:rPr>
        <w:rFonts w:hint="default"/>
      </w:rPr>
    </w:lvl>
    <w:lvl w:ilvl="6">
      <w:start w:val="1"/>
      <w:numFmt w:val="bullet"/>
      <w:lvlText w:val="•"/>
      <w:lvlJc w:val="left"/>
      <w:pPr>
        <w:ind w:left="4440" w:hanging="149"/>
      </w:pPr>
      <w:rPr>
        <w:rFonts w:hint="default"/>
      </w:rPr>
    </w:lvl>
    <w:lvl w:ilvl="7">
      <w:start w:val="1"/>
      <w:numFmt w:val="bullet"/>
      <w:lvlText w:val="•"/>
      <w:lvlJc w:val="left"/>
      <w:pPr>
        <w:ind w:left="3953" w:hanging="149"/>
      </w:pPr>
      <w:rPr>
        <w:rFonts w:hint="default"/>
      </w:rPr>
    </w:lvl>
    <w:lvl w:ilvl="8">
      <w:start w:val="1"/>
      <w:numFmt w:val="bullet"/>
      <w:lvlText w:val="•"/>
      <w:lvlJc w:val="left"/>
      <w:pPr>
        <w:ind w:left="3467" w:hanging="149"/>
      </w:pPr>
      <w:rPr>
        <w:rFonts w:hint="default"/>
      </w:rPr>
    </w:lvl>
  </w:abstractNum>
  <w:abstractNum w:abstractNumId="0">
    <w:multiLevelType w:val="hybridMultilevel"/>
    <w:lvl w:ilvl="0">
      <w:start w:val="1"/>
      <w:numFmt w:val="decimal"/>
      <w:lvlText w:val="%1."/>
      <w:lvlJc w:val="left"/>
      <w:pPr>
        <w:ind w:left="378" w:hanging="226"/>
        <w:jc w:val="left"/>
      </w:pPr>
      <w:rPr>
        <w:rFonts w:hint="default" w:ascii="Arial" w:hAnsi="Arial" w:eastAsia="Arial" w:cs="Arial"/>
        <w:b/>
        <w:bCs/>
        <w:spacing w:val="-2"/>
        <w:w w:val="100"/>
        <w:sz w:val="20"/>
        <w:szCs w:val="20"/>
      </w:rPr>
    </w:lvl>
    <w:lvl w:ilvl="1">
      <w:start w:val="1"/>
      <w:numFmt w:val="decimal"/>
      <w:lvlText w:val="%1.%2."/>
      <w:lvlJc w:val="left"/>
      <w:pPr>
        <w:ind w:left="805" w:hanging="432"/>
        <w:jc w:val="left"/>
      </w:pPr>
      <w:rPr>
        <w:rFonts w:hint="default" w:ascii="Arial" w:hAnsi="Arial" w:eastAsia="Arial" w:cs="Arial"/>
        <w:b/>
        <w:bCs/>
        <w:spacing w:val="-3"/>
        <w:w w:val="100"/>
        <w:sz w:val="22"/>
        <w:szCs w:val="22"/>
      </w:rPr>
    </w:lvl>
    <w:lvl w:ilvl="2">
      <w:start w:val="1"/>
      <w:numFmt w:val="decimal"/>
      <w:lvlText w:val="%1.%2.%3."/>
      <w:lvlJc w:val="left"/>
      <w:pPr>
        <w:ind w:left="1208" w:hanging="614"/>
        <w:jc w:val="left"/>
      </w:pPr>
      <w:rPr>
        <w:rFonts w:hint="default" w:ascii="Arial" w:hAnsi="Arial" w:eastAsia="Arial" w:cs="Arial"/>
        <w:spacing w:val="-3"/>
        <w:w w:val="100"/>
        <w:sz w:val="22"/>
        <w:szCs w:val="22"/>
      </w:rPr>
    </w:lvl>
    <w:lvl w:ilvl="3">
      <w:start w:val="1"/>
      <w:numFmt w:val="bullet"/>
      <w:lvlText w:val="•"/>
      <w:lvlJc w:val="left"/>
      <w:pPr>
        <w:ind w:left="2187" w:hanging="614"/>
      </w:pPr>
      <w:rPr>
        <w:rFonts w:hint="default"/>
      </w:rPr>
    </w:lvl>
    <w:lvl w:ilvl="4">
      <w:start w:val="1"/>
      <w:numFmt w:val="bullet"/>
      <w:lvlText w:val="•"/>
      <w:lvlJc w:val="left"/>
      <w:pPr>
        <w:ind w:left="3175" w:hanging="614"/>
      </w:pPr>
      <w:rPr>
        <w:rFonts w:hint="default"/>
      </w:rPr>
    </w:lvl>
    <w:lvl w:ilvl="5">
      <w:start w:val="1"/>
      <w:numFmt w:val="bullet"/>
      <w:lvlText w:val="•"/>
      <w:lvlJc w:val="left"/>
      <w:pPr>
        <w:ind w:left="4162" w:hanging="614"/>
      </w:pPr>
      <w:rPr>
        <w:rFonts w:hint="default"/>
      </w:rPr>
    </w:lvl>
    <w:lvl w:ilvl="6">
      <w:start w:val="1"/>
      <w:numFmt w:val="bullet"/>
      <w:lvlText w:val="•"/>
      <w:lvlJc w:val="left"/>
      <w:pPr>
        <w:ind w:left="5150" w:hanging="614"/>
      </w:pPr>
      <w:rPr>
        <w:rFonts w:hint="default"/>
      </w:rPr>
    </w:lvl>
    <w:lvl w:ilvl="7">
      <w:start w:val="1"/>
      <w:numFmt w:val="bullet"/>
      <w:lvlText w:val="•"/>
      <w:lvlJc w:val="left"/>
      <w:pPr>
        <w:ind w:left="6137" w:hanging="614"/>
      </w:pPr>
      <w:rPr>
        <w:rFonts w:hint="default"/>
      </w:rPr>
    </w:lvl>
    <w:lvl w:ilvl="8">
      <w:start w:val="1"/>
      <w:numFmt w:val="bullet"/>
      <w:lvlText w:val="•"/>
      <w:lvlJc w:val="left"/>
      <w:pPr>
        <w:ind w:left="7125" w:hanging="614"/>
      </w:pPr>
      <w:rPr>
        <w:rFonts w:hint="default"/>
      </w:rPr>
    </w:lvl>
  </w:abstract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216"/>
      <w:ind w:left="378" w:hanging="226"/>
    </w:pPr>
    <w:rPr>
      <w:rFonts w:ascii="Arial" w:hAnsi="Arial" w:eastAsia="Arial" w:cs="Arial"/>
      <w:b/>
      <w:bCs/>
      <w:sz w:val="20"/>
      <w:szCs w:val="20"/>
    </w:rPr>
  </w:style>
  <w:style w:styleId="TOC2" w:type="paragraph">
    <w:name w:val="TOC 2"/>
    <w:basedOn w:val="Normal"/>
    <w:uiPriority w:val="1"/>
    <w:qFormat/>
    <w:pPr>
      <w:spacing w:before="226"/>
      <w:ind w:left="805" w:hanging="432"/>
    </w:pPr>
    <w:rPr>
      <w:rFonts w:ascii="Arial" w:hAnsi="Arial" w:eastAsia="Arial" w:cs="Arial"/>
      <w:b/>
      <w:bCs/>
      <w:sz w:val="22"/>
      <w:szCs w:val="22"/>
    </w:rPr>
  </w:style>
  <w:style w:styleId="TOC3" w:type="paragraph">
    <w:name w:val="TOC 3"/>
    <w:basedOn w:val="Normal"/>
    <w:uiPriority w:val="1"/>
    <w:qFormat/>
    <w:pPr>
      <w:spacing w:before="226"/>
      <w:ind w:left="1208" w:hanging="614"/>
    </w:pPr>
    <w:rPr>
      <w:rFonts w:ascii="Arial" w:hAnsi="Arial" w:eastAsia="Arial" w:cs="Arial"/>
      <w:sz w:val="22"/>
      <w:szCs w:val="22"/>
    </w:rPr>
  </w:style>
  <w:style w:styleId="BodyText" w:type="paragraph">
    <w:name w:val="Body Text"/>
    <w:basedOn w:val="Normal"/>
    <w:uiPriority w:val="1"/>
    <w:qFormat/>
    <w:pPr>
      <w:jc w:val="both"/>
    </w:pPr>
    <w:rPr>
      <w:rFonts w:ascii="Arial" w:hAnsi="Arial" w:eastAsia="Arial" w:cs="Arial"/>
      <w:sz w:val="24"/>
      <w:szCs w:val="24"/>
    </w:rPr>
  </w:style>
  <w:style w:styleId="Heading1" w:type="paragraph">
    <w:name w:val="Heading 1"/>
    <w:basedOn w:val="Normal"/>
    <w:uiPriority w:val="1"/>
    <w:qFormat/>
    <w:pPr>
      <w:spacing w:before="69"/>
      <w:ind w:left="152"/>
      <w:jc w:val="both"/>
      <w:outlineLvl w:val="1"/>
    </w:pPr>
    <w:rPr>
      <w:rFonts w:ascii="Arial" w:hAnsi="Arial" w:eastAsia="Arial" w:cs="Arial"/>
      <w:b/>
      <w:bCs/>
      <w:sz w:val="24"/>
      <w:szCs w:val="24"/>
    </w:rPr>
  </w:style>
  <w:style w:styleId="ListParagraph" w:type="paragraph">
    <w:name w:val="List Paragraph"/>
    <w:basedOn w:val="Normal"/>
    <w:uiPriority w:val="1"/>
    <w:qFormat/>
    <w:pPr>
      <w:spacing w:before="69"/>
      <w:ind w:left="873" w:hanging="360"/>
      <w:jc w:val="both"/>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footer" Target="footer5.xml"/><Relationship Id="rId11" Type="http://schemas.openxmlformats.org/officeDocument/2006/relationships/image" Target="media/image2.jpeg"/><Relationship Id="rId12" Type="http://schemas.openxmlformats.org/officeDocument/2006/relationships/image" Target="media/image3.png"/><Relationship Id="rId13" Type="http://schemas.openxmlformats.org/officeDocument/2006/relationships/image" Target="media/image4.png"/><Relationship Id="rId14" Type="http://schemas.openxmlformats.org/officeDocument/2006/relationships/image" Target="media/image5.png"/><Relationship Id="rId15" Type="http://schemas.openxmlformats.org/officeDocument/2006/relationships/image" Target="media/image6.png"/><Relationship Id="rId16" Type="http://schemas.openxmlformats.org/officeDocument/2006/relationships/image" Target="media/image7.jpeg"/><Relationship Id="rId17" Type="http://schemas.openxmlformats.org/officeDocument/2006/relationships/image" Target="media/image8.jpeg"/><Relationship Id="rId18" Type="http://schemas.openxmlformats.org/officeDocument/2006/relationships/image" Target="media/image9.jpeg"/><Relationship Id="rId19" Type="http://schemas.openxmlformats.org/officeDocument/2006/relationships/image" Target="media/image10.jpeg"/><Relationship Id="rId20" Type="http://schemas.openxmlformats.org/officeDocument/2006/relationships/hyperlink" Target="mailto:oaco2002@yahoo.com.mx" TargetMode="External"/><Relationship Id="rId21" Type="http://schemas.openxmlformats.org/officeDocument/2006/relationships/hyperlink" Target="http://www.inegi.gob.mx/" TargetMode="External"/><Relationship Id="rId22" Type="http://schemas.openxmlformats.org/officeDocument/2006/relationships/footer" Target="footer6.xml"/><Relationship Id="rId23" Type="http://schemas.openxmlformats.org/officeDocument/2006/relationships/footer" Target="footer7.xml"/><Relationship Id="rId24" Type="http://schemas.openxmlformats.org/officeDocument/2006/relationships/hyperlink" Target="http://www.mapa.es/ganaderia/pags/practicas/ASOPROVAC.pdf" TargetMode="External"/><Relationship Id="rId25" Type="http://schemas.openxmlformats.org/officeDocument/2006/relationships/hyperlink" Target="http://sinais.salud.gob.mx/mortalidad/" TargetMode="External"/><Relationship Id="rId26" Type="http://schemas.openxmlformats.org/officeDocument/2006/relationships/hyperlink" Target="http://www.fao.org/docrep/V4700E/V4700E00.htm" TargetMode="External"/><Relationship Id="rId27" Type="http://schemas.openxmlformats.org/officeDocument/2006/relationships/image" Target="media/image11.jpeg"/><Relationship Id="rId2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dc:creator>
  <dc:title>“EFECTO DE UN SISTEMA SILVOPASTORIL INTENSIVO SOBRE EL PERFIL DE ACIDOS GRASOS DE LA LECHE”</dc:title>
  <dcterms:created xsi:type="dcterms:W3CDTF">2017-05-19T20:22:51Z</dcterms:created>
  <dcterms:modified xsi:type="dcterms:W3CDTF">2017-05-19T20:22:51Z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2015-07-03T00:00:00Z</vt:filetime>
  </property>
  <property fmtid="{D5CDD505-2E9C-101B-9397-08002B2CF9AE}" pid="3" name="Creator">
    <vt:lpwstr>Microsoft® Word 2013</vt:lpwstr>
  </property>
  <property fmtid="{D5CDD505-2E9C-101B-9397-08002B2CF9AE}" pid="4" name="LastSaved">
    <vt:filetime>2017-05-19T00:00:00Z</vt:filetime>
  </property>
</Properties>
</file>