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1"/>
        <w:rPr>
          <w:rFonts w:ascii="Times New Roman"/>
          <w:sz w:val="20"/>
        </w:rPr>
      </w:pPr>
    </w:p>
    <w:p>
      <w:pPr>
        <w:spacing w:line="362" w:lineRule="auto" w:before="69"/>
        <w:ind w:left="2545" w:right="609" w:firstLine="0"/>
        <w:jc w:val="center"/>
        <w:rPr>
          <w:rFonts w:ascii="Georgia" w:hAnsi="Georgia"/>
          <w:sz w:val="30"/>
        </w:rPr>
      </w:pPr>
      <w:r>
        <w:rPr/>
        <w:drawing>
          <wp:anchor distT="0" distB="0" distL="0" distR="0" allowOverlap="1" layoutInCell="1" locked="0" behindDoc="1" simplePos="0" relativeHeight="268304735">
            <wp:simplePos x="0" y="0"/>
            <wp:positionH relativeFrom="page">
              <wp:posOffset>756919</wp:posOffset>
            </wp:positionH>
            <wp:positionV relativeFrom="paragraph">
              <wp:posOffset>-153100</wp:posOffset>
            </wp:positionV>
            <wp:extent cx="1447800" cy="130746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447800" cy="1307465"/>
                    </a:xfrm>
                    <a:prstGeom prst="rect">
                      <a:avLst/>
                    </a:prstGeom>
                  </pic:spPr>
                </pic:pic>
              </a:graphicData>
            </a:graphic>
          </wp:anchor>
        </w:drawing>
      </w:r>
      <w:r>
        <w:rPr>
          <w:rFonts w:ascii="Georgia" w:hAnsi="Georgia"/>
          <w:sz w:val="30"/>
        </w:rPr>
        <w:t>UNIVERSIDAD AUTÓNOMA DEL ESTADO DE MÉXICO</w:t>
      </w:r>
    </w:p>
    <w:p>
      <w:pPr>
        <w:pStyle w:val="BodyText"/>
        <w:rPr>
          <w:rFonts w:ascii="Georgia"/>
          <w:sz w:val="30"/>
        </w:rPr>
      </w:pPr>
    </w:p>
    <w:p>
      <w:pPr>
        <w:spacing w:line="357" w:lineRule="auto" w:before="233"/>
        <w:ind w:left="2089" w:right="163" w:firstLine="10"/>
        <w:jc w:val="center"/>
        <w:rPr>
          <w:rFonts w:ascii="Georgia" w:hAnsi="Georgia"/>
          <w:sz w:val="28"/>
        </w:rPr>
      </w:pPr>
      <w:r>
        <w:rPr>
          <w:rFonts w:ascii="Georgia" w:hAnsi="Georgia"/>
          <w:sz w:val="28"/>
        </w:rPr>
        <w:t>PROGRAMA DE MAESTRÍA Y DOCTORADO EN CIENCIAS AGROPECUARIAS Y RECURSOS</w:t>
      </w:r>
      <w:r>
        <w:rPr>
          <w:rFonts w:ascii="Georgia" w:hAnsi="Georgia"/>
          <w:spacing w:val="-33"/>
          <w:sz w:val="28"/>
        </w:rPr>
        <w:t> </w:t>
      </w:r>
      <w:r>
        <w:rPr>
          <w:rFonts w:ascii="Georgia" w:hAnsi="Georgia"/>
          <w:sz w:val="28"/>
        </w:rPr>
        <w:t>NATURALES</w:t>
      </w:r>
    </w:p>
    <w:p>
      <w:pPr>
        <w:pStyle w:val="BodyText"/>
        <w:rPr>
          <w:rFonts w:ascii="Georgia"/>
          <w:sz w:val="28"/>
        </w:rPr>
      </w:pPr>
    </w:p>
    <w:p>
      <w:pPr>
        <w:pStyle w:val="BodyText"/>
        <w:rPr>
          <w:rFonts w:ascii="Georgia"/>
          <w:sz w:val="28"/>
        </w:rPr>
      </w:pPr>
    </w:p>
    <w:p>
      <w:pPr>
        <w:spacing w:line="273" w:lineRule="auto" w:before="248"/>
        <w:ind w:left="2329" w:right="189" w:hanging="53"/>
        <w:jc w:val="left"/>
        <w:rPr>
          <w:rFonts w:ascii="Georgia"/>
          <w:sz w:val="28"/>
        </w:rPr>
      </w:pPr>
      <w:r>
        <w:rPr>
          <w:rFonts w:ascii="Georgia"/>
          <w:sz w:val="28"/>
        </w:rPr>
        <w:t>EFECTO EN LA FERMENTACION RUMINAL </w:t>
      </w:r>
      <w:r>
        <w:rPr>
          <w:rFonts w:ascii="Georgia"/>
          <w:i/>
          <w:sz w:val="28"/>
        </w:rPr>
        <w:t>IN VITRO </w:t>
      </w:r>
      <w:r>
        <w:rPr>
          <w:rFonts w:ascii="Georgia"/>
          <w:sz w:val="28"/>
        </w:rPr>
        <w:t>DE DIETAS UTILIZADAS PARA GANADO LECHERO, ADICIONADAS CON ESPECIES ALTAS EN TANINOS.</w:t>
      </w:r>
    </w:p>
    <w:p>
      <w:pPr>
        <w:pStyle w:val="BodyText"/>
        <w:rPr>
          <w:rFonts w:ascii="Georgia"/>
          <w:sz w:val="28"/>
        </w:rPr>
      </w:pPr>
    </w:p>
    <w:p>
      <w:pPr>
        <w:pStyle w:val="BodyText"/>
        <w:spacing w:before="3"/>
        <w:rPr>
          <w:rFonts w:ascii="Georgia"/>
          <w:sz w:val="41"/>
        </w:rPr>
      </w:pPr>
    </w:p>
    <w:p>
      <w:pPr>
        <w:spacing w:before="0"/>
        <w:ind w:left="2545" w:right="606" w:firstLine="0"/>
        <w:jc w:val="center"/>
        <w:rPr>
          <w:rFonts w:ascii="Georgia"/>
          <w:b/>
          <w:sz w:val="56"/>
        </w:rPr>
      </w:pPr>
      <w:r>
        <w:rPr>
          <w:rFonts w:ascii="Georgia"/>
          <w:b/>
          <w:sz w:val="56"/>
        </w:rPr>
        <w:t>T E S I S</w:t>
      </w:r>
    </w:p>
    <w:p>
      <w:pPr>
        <w:pStyle w:val="BodyText"/>
        <w:spacing w:before="7"/>
        <w:rPr>
          <w:rFonts w:ascii="Georgia"/>
          <w:b/>
          <w:sz w:val="45"/>
        </w:rPr>
      </w:pPr>
    </w:p>
    <w:p>
      <w:pPr>
        <w:spacing w:line="362" w:lineRule="auto" w:before="0"/>
        <w:ind w:left="2089" w:right="170" w:firstLine="10"/>
        <w:jc w:val="center"/>
        <w:rPr>
          <w:rFonts w:ascii="Georgia"/>
          <w:sz w:val="28"/>
        </w:rPr>
      </w:pPr>
      <w:r>
        <w:rPr>
          <w:rFonts w:ascii="Georgia"/>
          <w:sz w:val="28"/>
        </w:rPr>
        <w:t>QUE PARA OBTENER EL GRADO DE MAESTRA EN CIENCIAS AGROPECUARIAS Y RECURSOS</w:t>
      </w:r>
      <w:r>
        <w:rPr>
          <w:rFonts w:ascii="Georgia"/>
          <w:spacing w:val="-39"/>
          <w:sz w:val="28"/>
        </w:rPr>
        <w:t> </w:t>
      </w:r>
      <w:r>
        <w:rPr>
          <w:rFonts w:ascii="Georgia"/>
          <w:sz w:val="28"/>
        </w:rPr>
        <w:t>NATURALES</w:t>
      </w:r>
    </w:p>
    <w:p>
      <w:pPr>
        <w:pStyle w:val="BodyText"/>
        <w:rPr>
          <w:rFonts w:ascii="Georgia"/>
          <w:sz w:val="28"/>
        </w:rPr>
      </w:pPr>
    </w:p>
    <w:p>
      <w:pPr>
        <w:pStyle w:val="BodyText"/>
        <w:rPr>
          <w:rFonts w:ascii="Georgia"/>
          <w:sz w:val="28"/>
        </w:rPr>
      </w:pPr>
    </w:p>
    <w:p>
      <w:pPr>
        <w:spacing w:before="237"/>
        <w:ind w:left="4495" w:right="189" w:firstLine="0"/>
        <w:jc w:val="left"/>
        <w:rPr>
          <w:rFonts w:ascii="Georgia"/>
          <w:sz w:val="28"/>
        </w:rPr>
      </w:pPr>
      <w:r>
        <w:rPr>
          <w:rFonts w:ascii="Georgia"/>
          <w:sz w:val="28"/>
        </w:rPr>
        <w:t>P  R  E  S  E  N  T</w:t>
      </w:r>
      <w:r>
        <w:rPr>
          <w:rFonts w:ascii="Georgia"/>
          <w:spacing w:val="56"/>
          <w:sz w:val="28"/>
        </w:rPr>
        <w:t> </w:t>
      </w:r>
      <w:r>
        <w:rPr>
          <w:rFonts w:ascii="Georgia"/>
          <w:spacing w:val="5"/>
          <w:sz w:val="28"/>
        </w:rPr>
        <w:t>A:</w:t>
      </w:r>
    </w:p>
    <w:p>
      <w:pPr>
        <w:pStyle w:val="BodyText"/>
        <w:rPr>
          <w:rFonts w:ascii="Georgia"/>
          <w:sz w:val="28"/>
        </w:rPr>
      </w:pPr>
    </w:p>
    <w:p>
      <w:pPr>
        <w:pStyle w:val="BodyText"/>
        <w:rPr>
          <w:rFonts w:ascii="Georgia"/>
          <w:sz w:val="28"/>
        </w:rPr>
      </w:pPr>
    </w:p>
    <w:p>
      <w:pPr>
        <w:pStyle w:val="BodyText"/>
        <w:spacing w:before="2"/>
        <w:rPr>
          <w:rFonts w:ascii="Georgia"/>
          <w:sz w:val="35"/>
        </w:rPr>
      </w:pPr>
    </w:p>
    <w:p>
      <w:pPr>
        <w:spacing w:before="0"/>
        <w:ind w:left="2531" w:right="609" w:firstLine="0"/>
        <w:jc w:val="center"/>
        <w:rPr>
          <w:rFonts w:ascii="Georgia" w:hAnsi="Georgia"/>
          <w:sz w:val="28"/>
        </w:rPr>
      </w:pPr>
      <w:r>
        <w:rPr>
          <w:rFonts w:ascii="Georgia" w:hAnsi="Georgia"/>
          <w:sz w:val="28"/>
        </w:rPr>
        <w:t>BEATRIZ MATÍAS GONZÁLEZ</w:t>
      </w:r>
    </w:p>
    <w:p>
      <w:pPr>
        <w:pStyle w:val="BodyText"/>
        <w:rPr>
          <w:rFonts w:ascii="Georgia"/>
          <w:sz w:val="28"/>
        </w:rPr>
      </w:pPr>
    </w:p>
    <w:p>
      <w:pPr>
        <w:pStyle w:val="BodyText"/>
        <w:rPr>
          <w:rFonts w:ascii="Georgia"/>
          <w:sz w:val="28"/>
        </w:rPr>
      </w:pPr>
    </w:p>
    <w:p>
      <w:pPr>
        <w:pStyle w:val="BodyText"/>
        <w:rPr>
          <w:rFonts w:ascii="Georgia"/>
          <w:sz w:val="26"/>
        </w:rPr>
      </w:pPr>
    </w:p>
    <w:p>
      <w:pPr>
        <w:spacing w:before="0"/>
        <w:ind w:left="2857" w:right="0" w:firstLine="0"/>
        <w:jc w:val="left"/>
        <w:rPr>
          <w:rFonts w:ascii="Georgia" w:hAnsi="Georgia"/>
          <w:sz w:val="22"/>
        </w:rPr>
      </w:pPr>
      <w:r>
        <w:rPr>
          <w:rFonts w:ascii="Georgia" w:hAnsi="Georgia"/>
          <w:sz w:val="22"/>
        </w:rPr>
        <w:t>El Cerrillo Piedras Blancas, Toluca. Estado de México. Octubre 2013</w:t>
      </w:r>
    </w:p>
    <w:p>
      <w:pPr>
        <w:spacing w:after="0"/>
        <w:jc w:val="left"/>
        <w:rPr>
          <w:rFonts w:ascii="Georgia" w:hAnsi="Georgia"/>
          <w:sz w:val="22"/>
        </w:rPr>
        <w:sectPr>
          <w:type w:val="continuous"/>
          <w:pgSz w:w="12240" w:h="15840"/>
          <w:pgMar w:top="1100" w:bottom="280" w:left="1080" w:right="1600"/>
        </w:sectPr>
      </w:pPr>
    </w:p>
    <w:p>
      <w:pPr>
        <w:pStyle w:val="BodyText"/>
        <w:spacing w:before="8"/>
        <w:rPr>
          <w:rFonts w:ascii="Georgia"/>
        </w:rPr>
      </w:pPr>
    </w:p>
    <w:p>
      <w:pPr>
        <w:spacing w:line="362" w:lineRule="auto" w:before="69"/>
        <w:ind w:left="5338" w:right="597" w:hanging="2593"/>
        <w:jc w:val="left"/>
        <w:rPr>
          <w:rFonts w:ascii="Georgia" w:hAnsi="Georgia"/>
          <w:sz w:val="30"/>
        </w:rPr>
      </w:pPr>
      <w:r>
        <w:rPr/>
        <w:drawing>
          <wp:anchor distT="0" distB="0" distL="0" distR="0" allowOverlap="1" layoutInCell="1" locked="0" behindDoc="1" simplePos="0" relativeHeight="268304759">
            <wp:simplePos x="0" y="0"/>
            <wp:positionH relativeFrom="page">
              <wp:posOffset>627380</wp:posOffset>
            </wp:positionH>
            <wp:positionV relativeFrom="paragraph">
              <wp:posOffset>-172150</wp:posOffset>
            </wp:positionV>
            <wp:extent cx="1447800" cy="1307465"/>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447800" cy="1307465"/>
                    </a:xfrm>
                    <a:prstGeom prst="rect">
                      <a:avLst/>
                    </a:prstGeom>
                  </pic:spPr>
                </pic:pic>
              </a:graphicData>
            </a:graphic>
          </wp:anchor>
        </w:drawing>
      </w:r>
      <w:r>
        <w:rPr>
          <w:rFonts w:ascii="Georgia" w:hAnsi="Georgia"/>
          <w:sz w:val="30"/>
        </w:rPr>
        <w:t>UNIVERSIDAD AUTÓNOMA DEL ESTADO DE MÉXICO</w:t>
      </w:r>
    </w:p>
    <w:p>
      <w:pPr>
        <w:pStyle w:val="BodyText"/>
        <w:rPr>
          <w:rFonts w:ascii="Georgia"/>
          <w:sz w:val="20"/>
        </w:rPr>
      </w:pPr>
    </w:p>
    <w:p>
      <w:pPr>
        <w:pStyle w:val="BodyText"/>
        <w:spacing w:before="6"/>
        <w:rPr>
          <w:rFonts w:ascii="Georgia"/>
        </w:rPr>
      </w:pPr>
    </w:p>
    <w:p>
      <w:pPr>
        <w:spacing w:line="357" w:lineRule="auto" w:before="68"/>
        <w:ind w:left="2289" w:right="163" w:firstLine="10"/>
        <w:jc w:val="center"/>
        <w:rPr>
          <w:rFonts w:ascii="Georgia" w:hAnsi="Georgia"/>
          <w:sz w:val="28"/>
        </w:rPr>
      </w:pPr>
      <w:r>
        <w:rPr>
          <w:rFonts w:ascii="Georgia" w:hAnsi="Georgia"/>
          <w:sz w:val="28"/>
        </w:rPr>
        <w:t>PROGRAMA DE MAESTRÍA Y DOCTORADO EN CIENCIAS AGROPECUARIAS Y RECURSOS</w:t>
      </w:r>
      <w:r>
        <w:rPr>
          <w:rFonts w:ascii="Georgia" w:hAnsi="Georgia"/>
          <w:spacing w:val="-33"/>
          <w:sz w:val="28"/>
        </w:rPr>
        <w:t> </w:t>
      </w:r>
      <w:r>
        <w:rPr>
          <w:rFonts w:ascii="Georgia" w:hAnsi="Georgia"/>
          <w:sz w:val="28"/>
        </w:rPr>
        <w:t>NATURALES</w:t>
      </w:r>
    </w:p>
    <w:p>
      <w:pPr>
        <w:pStyle w:val="BodyText"/>
        <w:rPr>
          <w:rFonts w:ascii="Georgia"/>
          <w:sz w:val="28"/>
        </w:rPr>
      </w:pPr>
    </w:p>
    <w:p>
      <w:pPr>
        <w:pStyle w:val="BodyText"/>
        <w:spacing w:before="7"/>
        <w:rPr>
          <w:rFonts w:ascii="Georgia"/>
          <w:sz w:val="37"/>
        </w:rPr>
      </w:pPr>
    </w:p>
    <w:p>
      <w:pPr>
        <w:spacing w:line="276" w:lineRule="auto" w:before="0"/>
        <w:ind w:left="2409" w:right="274" w:firstLine="0"/>
        <w:jc w:val="center"/>
        <w:rPr>
          <w:rFonts w:ascii="Georgia"/>
          <w:sz w:val="28"/>
        </w:rPr>
      </w:pPr>
      <w:r>
        <w:rPr>
          <w:rFonts w:ascii="Georgia"/>
          <w:sz w:val="28"/>
        </w:rPr>
        <w:t>EFECTO EN LA FERMENTACION RUMINAL </w:t>
      </w:r>
      <w:r>
        <w:rPr>
          <w:rFonts w:ascii="Georgia"/>
          <w:i/>
          <w:sz w:val="28"/>
        </w:rPr>
        <w:t>IN VITRO </w:t>
      </w:r>
      <w:r>
        <w:rPr>
          <w:rFonts w:ascii="Georgia"/>
          <w:sz w:val="28"/>
        </w:rPr>
        <w:t>DE DIETAS UTILIZADAS PARA GANADO LECHERO, ADICIONADAS CON ESPECIES ALTAS EN TANINOS.</w:t>
      </w:r>
    </w:p>
    <w:p>
      <w:pPr>
        <w:pStyle w:val="BodyText"/>
        <w:rPr>
          <w:rFonts w:ascii="Georgia"/>
          <w:sz w:val="28"/>
        </w:rPr>
      </w:pPr>
    </w:p>
    <w:p>
      <w:pPr>
        <w:pStyle w:val="BodyText"/>
        <w:spacing w:before="3"/>
        <w:rPr>
          <w:rFonts w:ascii="Georgia"/>
          <w:sz w:val="40"/>
        </w:rPr>
      </w:pPr>
    </w:p>
    <w:p>
      <w:pPr>
        <w:spacing w:before="0"/>
        <w:ind w:left="2408" w:right="274" w:firstLine="0"/>
        <w:jc w:val="center"/>
        <w:rPr>
          <w:rFonts w:ascii="Georgia"/>
          <w:b/>
          <w:sz w:val="48"/>
        </w:rPr>
      </w:pPr>
      <w:r>
        <w:rPr>
          <w:rFonts w:ascii="Georgia"/>
          <w:b/>
          <w:sz w:val="48"/>
        </w:rPr>
        <w:t>T E S I S</w:t>
      </w:r>
    </w:p>
    <w:p>
      <w:pPr>
        <w:pStyle w:val="BodyText"/>
        <w:spacing w:before="7"/>
        <w:rPr>
          <w:rFonts w:ascii="Georgia"/>
          <w:b/>
          <w:sz w:val="41"/>
        </w:rPr>
      </w:pPr>
    </w:p>
    <w:p>
      <w:pPr>
        <w:spacing w:line="362" w:lineRule="auto" w:before="0"/>
        <w:ind w:left="2289" w:right="167" w:firstLine="8"/>
        <w:jc w:val="center"/>
        <w:rPr>
          <w:rFonts w:ascii="Georgia"/>
          <w:sz w:val="28"/>
        </w:rPr>
      </w:pPr>
      <w:r>
        <w:rPr>
          <w:rFonts w:ascii="Georgia"/>
          <w:sz w:val="28"/>
        </w:rPr>
        <w:t>QUE PARA OBTENER EL GRADO DE MAESTRA EN CIENCIAS AGROPECUARIAS Y RECURSOS</w:t>
      </w:r>
      <w:r>
        <w:rPr>
          <w:rFonts w:ascii="Georgia"/>
          <w:spacing w:val="-37"/>
          <w:sz w:val="28"/>
        </w:rPr>
        <w:t> </w:t>
      </w:r>
      <w:r>
        <w:rPr>
          <w:rFonts w:ascii="Georgia"/>
          <w:sz w:val="28"/>
        </w:rPr>
        <w:t>NATURALES</w:t>
      </w:r>
    </w:p>
    <w:p>
      <w:pPr>
        <w:pStyle w:val="BodyText"/>
        <w:rPr>
          <w:rFonts w:ascii="Georgia"/>
          <w:sz w:val="28"/>
        </w:rPr>
      </w:pPr>
    </w:p>
    <w:p>
      <w:pPr>
        <w:pStyle w:val="BodyText"/>
        <w:rPr>
          <w:rFonts w:ascii="Georgia"/>
          <w:sz w:val="28"/>
        </w:rPr>
      </w:pPr>
    </w:p>
    <w:p>
      <w:pPr>
        <w:spacing w:line="511" w:lineRule="auto" w:before="237"/>
        <w:ind w:left="3989" w:right="1837" w:firstLine="706"/>
        <w:jc w:val="left"/>
        <w:rPr>
          <w:rFonts w:ascii="Georgia" w:hAnsi="Georgia"/>
          <w:sz w:val="28"/>
        </w:rPr>
      </w:pPr>
      <w:r>
        <w:rPr>
          <w:rFonts w:ascii="Georgia" w:hAnsi="Georgia"/>
          <w:sz w:val="28"/>
        </w:rPr>
        <w:t>P R E S E N T A: BEATRIZ MATÍAS GONZÁLEZ</w:t>
      </w:r>
    </w:p>
    <w:p>
      <w:pPr>
        <w:pStyle w:val="BodyText"/>
        <w:rPr>
          <w:rFonts w:ascii="Georgia"/>
          <w:sz w:val="28"/>
        </w:rPr>
      </w:pPr>
    </w:p>
    <w:p>
      <w:pPr>
        <w:pStyle w:val="BodyText"/>
        <w:spacing w:before="6"/>
        <w:rPr>
          <w:rFonts w:ascii="Georgia"/>
          <w:sz w:val="31"/>
        </w:rPr>
      </w:pPr>
    </w:p>
    <w:p>
      <w:pPr>
        <w:spacing w:before="0"/>
        <w:ind w:left="2399" w:right="274" w:firstLine="0"/>
        <w:jc w:val="center"/>
        <w:rPr>
          <w:rFonts w:ascii="Georgia" w:hAnsi="Georgia"/>
          <w:sz w:val="28"/>
        </w:rPr>
      </w:pPr>
      <w:r>
        <w:rPr>
          <w:rFonts w:ascii="Georgia" w:hAnsi="Georgia"/>
          <w:sz w:val="28"/>
        </w:rPr>
        <w:t>COMITÉ TUTORAL</w:t>
      </w:r>
    </w:p>
    <w:p>
      <w:pPr>
        <w:pStyle w:val="BodyText"/>
        <w:spacing w:before="11"/>
        <w:rPr>
          <w:rFonts w:ascii="Georgia"/>
          <w:sz w:val="30"/>
        </w:rPr>
      </w:pPr>
    </w:p>
    <w:p>
      <w:pPr>
        <w:pStyle w:val="Heading2"/>
        <w:spacing w:before="0"/>
        <w:ind w:left="2519" w:right="370" w:hanging="15"/>
        <w:rPr>
          <w:rFonts w:ascii="Georgia" w:hAnsi="Georgia"/>
        </w:rPr>
      </w:pPr>
      <w:r>
        <w:rPr>
          <w:rFonts w:ascii="Georgia" w:hAnsi="Georgia"/>
        </w:rPr>
        <w:t>Dra. JULIETA G. ESTRADA FLORES. Tutora Académica Ph. D. OCTAVIO A. CASTELÁN ORTEGA. Tutor Adjunto Dr. MANUEL GONZÁLEZ RONQUILLO. Tutor Adjunto</w:t>
      </w:r>
    </w:p>
    <w:p>
      <w:pPr>
        <w:pStyle w:val="BodyText"/>
        <w:rPr>
          <w:rFonts w:ascii="Georgia"/>
          <w:b/>
        </w:rPr>
      </w:pPr>
    </w:p>
    <w:p>
      <w:pPr>
        <w:pStyle w:val="BodyText"/>
        <w:rPr>
          <w:rFonts w:ascii="Georgia"/>
          <w:b/>
        </w:rPr>
      </w:pPr>
    </w:p>
    <w:p>
      <w:pPr>
        <w:pStyle w:val="BodyText"/>
        <w:spacing w:before="7"/>
        <w:rPr>
          <w:rFonts w:ascii="Georgia"/>
          <w:b/>
        </w:rPr>
      </w:pPr>
    </w:p>
    <w:p>
      <w:pPr>
        <w:spacing w:before="0"/>
        <w:ind w:left="3095" w:right="0" w:firstLine="0"/>
        <w:jc w:val="left"/>
        <w:rPr>
          <w:rFonts w:ascii="Georgia" w:hAnsi="Georgia"/>
          <w:sz w:val="22"/>
        </w:rPr>
      </w:pPr>
      <w:r>
        <w:rPr>
          <w:rFonts w:ascii="Georgia" w:hAnsi="Georgia"/>
          <w:sz w:val="22"/>
        </w:rPr>
        <w:t>El cerrillo Piedras Blancas. Toluca. Estado de México. Octubre 2013</w:t>
      </w:r>
    </w:p>
    <w:p>
      <w:pPr>
        <w:spacing w:after="0"/>
        <w:jc w:val="left"/>
        <w:rPr>
          <w:rFonts w:ascii="Georgia" w:hAnsi="Georgia"/>
          <w:sz w:val="22"/>
        </w:rPr>
        <w:sectPr>
          <w:pgSz w:w="12240" w:h="15840"/>
          <w:pgMar w:top="1060" w:bottom="280" w:left="880" w:right="1600"/>
        </w:sectPr>
      </w:pPr>
    </w:p>
    <w:p>
      <w:pPr>
        <w:pStyle w:val="Heading2"/>
        <w:spacing w:before="45"/>
      </w:pPr>
      <w:r>
        <w:rPr/>
        <w:t>RESUMEN</w:t>
      </w:r>
    </w:p>
    <w:p>
      <w:pPr>
        <w:pStyle w:val="BodyText"/>
        <w:spacing w:before="2"/>
        <w:rPr>
          <w:b/>
          <w:sz w:val="33"/>
        </w:rPr>
      </w:pPr>
    </w:p>
    <w:p>
      <w:pPr>
        <w:pStyle w:val="BodyText"/>
        <w:spacing w:line="360" w:lineRule="auto"/>
        <w:ind w:left="119" w:right="113"/>
        <w:jc w:val="both"/>
      </w:pPr>
      <w:r>
        <w:rPr/>
        <w:t>En los últimos años las investigaciones en nutrición de rumiantes han promovido el uso de plantas forrajeras nativas, silvestres o cultivadas como suplemento por su mayor contenido de proteína; sin embargo, estas pueden contener metabolitos secundarios con importancia antimicrobial, ya que pueden modificar la fermentación ruminal y aumentar la eficiencia de la utilización de los forrajes, entre estos compuestos secundarios se encuentran los taninos. El objetivo </w:t>
      </w:r>
      <w:r>
        <w:rPr>
          <w:spacing w:val="-3"/>
        </w:rPr>
        <w:t>del </w:t>
      </w:r>
      <w:r>
        <w:rPr/>
        <w:t>presente estudio, fue evaluar el efecto de los taninos sobre la cinética de fermentación ruminal en una dieta base con especies taníferas </w:t>
      </w:r>
      <w:r>
        <w:rPr>
          <w:spacing w:val="3"/>
        </w:rPr>
        <w:t>(</w:t>
      </w:r>
      <w:r>
        <w:rPr>
          <w:i/>
          <w:spacing w:val="3"/>
        </w:rPr>
        <w:t>C. </w:t>
      </w:r>
      <w:r>
        <w:rPr>
          <w:i/>
        </w:rPr>
        <w:t>sulphureus</w:t>
      </w:r>
      <w:r>
        <w:rPr/>
        <w:t>, </w:t>
      </w:r>
      <w:r>
        <w:rPr>
          <w:i/>
        </w:rPr>
        <w:t>C. bipinnatus</w:t>
      </w:r>
      <w:r>
        <w:rPr/>
        <w:t>, </w:t>
      </w:r>
      <w:r>
        <w:rPr>
          <w:i/>
        </w:rPr>
        <w:t>T. </w:t>
      </w:r>
      <w:r>
        <w:rPr>
          <w:i/>
        </w:rPr>
        <w:t>lucida, T. erecta, M. divaricatum </w:t>
      </w:r>
      <w:r>
        <w:rPr/>
        <w:t>y </w:t>
      </w:r>
      <w:r>
        <w:rPr>
          <w:i/>
        </w:rPr>
        <w:t>M. diplotricha). </w:t>
      </w:r>
      <w:r>
        <w:rPr/>
        <w:t>Se realizaron dos experimentos; el primero para comprobar el efecto de los taninos sobre la fermentación ruminal, se utilizó polyethylene glycol (PEG) como bloqueador de taninos, y el segundo experimento consistió en evaluar una dieta base, adicionada con tres </w:t>
      </w:r>
      <w:r>
        <w:rPr>
          <w:spacing w:val="2"/>
        </w:rPr>
        <w:t>niveles </w:t>
      </w:r>
      <w:r>
        <w:rPr/>
        <w:t>de inclusión (alto, medio y bajo) de extracto de las especies taniferas (de manera individual). En ambos experimentos se utilizó un diseño de bloques al azar, donde las variables evaluadas fueron los parámetros de la cinética de fermentación ruminal, digestibilidad de la materia seca (dMS), materia orgánica (dMO), fibra detergente neutro (dNDF) y energía metabolizable (EM). </w:t>
      </w:r>
      <w:r>
        <w:rPr>
          <w:spacing w:val="-4"/>
        </w:rPr>
        <w:t>Al </w:t>
      </w:r>
      <w:r>
        <w:rPr/>
        <w:t>adicionar PEG a las especies taníferas se observaron diferencias (p&lt;0.05) a las 24 y 96 h de fermentación entre tratamientos (+PEG, -PEG) y entre especies al incrementar la producción de gas mejorando la dNDF y el aporte de EM (entre tratamientos), la dMS, dMO, dNDF y EM (entre especies), </w:t>
      </w:r>
      <w:r>
        <w:rPr>
          <w:spacing w:val="-3"/>
        </w:rPr>
        <w:t>ya </w:t>
      </w:r>
      <w:r>
        <w:rPr/>
        <w:t>que mejoraron al adicionar PEG; mientras que, los parámetros de la cinética de fermentación ruminal no  presentaron diferencias (p&gt;0.05). Al adicionar tres niveles (alto, medio y bajo) de inclusión de extracto de taninos a una dieta base no hubo diferencias (P&gt;0.05) en los parámetros de la cinética de fermentación, la dMS, dMO, dNDF y EM., y entre especies únicamente hubo diferencias (P&lt;0.05) en la fracción </w:t>
      </w:r>
      <w:r>
        <w:rPr>
          <w:i/>
        </w:rPr>
        <w:t>b </w:t>
      </w:r>
      <w:r>
        <w:rPr/>
        <w:t>y la dNDF.; sin embargo, en el nivel de inclusión bajo se observó una </w:t>
      </w:r>
      <w:r>
        <w:rPr>
          <w:spacing w:val="-3"/>
        </w:rPr>
        <w:t>mejora </w:t>
      </w:r>
      <w:r>
        <w:rPr/>
        <w:t>en todas las  variables</w:t>
      </w:r>
      <w:r>
        <w:rPr>
          <w:spacing w:val="45"/>
        </w:rPr>
        <w:t> </w:t>
      </w:r>
      <w:r>
        <w:rPr/>
        <w:t>evaluadas.</w:t>
      </w:r>
      <w:r>
        <w:rPr>
          <w:spacing w:val="46"/>
        </w:rPr>
        <w:t> </w:t>
      </w:r>
      <w:r>
        <w:rPr/>
        <w:t>La</w:t>
      </w:r>
      <w:r>
        <w:rPr>
          <w:spacing w:val="46"/>
        </w:rPr>
        <w:t> </w:t>
      </w:r>
      <w:r>
        <w:rPr/>
        <w:t>adición</w:t>
      </w:r>
      <w:r>
        <w:rPr>
          <w:spacing w:val="46"/>
        </w:rPr>
        <w:t> </w:t>
      </w:r>
      <w:r>
        <w:rPr/>
        <w:t>de</w:t>
      </w:r>
      <w:r>
        <w:rPr>
          <w:spacing w:val="46"/>
        </w:rPr>
        <w:t> </w:t>
      </w:r>
      <w:r>
        <w:rPr/>
        <w:t>PEG</w:t>
      </w:r>
      <w:r>
        <w:rPr>
          <w:spacing w:val="46"/>
        </w:rPr>
        <w:t> </w:t>
      </w:r>
      <w:r>
        <w:rPr/>
        <w:t>a</w:t>
      </w:r>
      <w:r>
        <w:rPr>
          <w:spacing w:val="46"/>
        </w:rPr>
        <w:t> </w:t>
      </w:r>
      <w:r>
        <w:rPr/>
        <w:t>las</w:t>
      </w:r>
      <w:r>
        <w:rPr>
          <w:spacing w:val="45"/>
        </w:rPr>
        <w:t> </w:t>
      </w:r>
      <w:r>
        <w:rPr/>
        <w:t>especies</w:t>
      </w:r>
      <w:r>
        <w:rPr>
          <w:spacing w:val="46"/>
        </w:rPr>
        <w:t> </w:t>
      </w:r>
      <w:r>
        <w:rPr/>
        <w:t>taníferas</w:t>
      </w:r>
      <w:r>
        <w:rPr>
          <w:spacing w:val="45"/>
        </w:rPr>
        <w:t> </w:t>
      </w:r>
      <w:r>
        <w:rPr/>
        <w:t>demuestra</w:t>
      </w:r>
      <w:r>
        <w:rPr>
          <w:spacing w:val="46"/>
        </w:rPr>
        <w:t> </w:t>
      </w:r>
      <w:r>
        <w:rPr/>
        <w:t>el</w:t>
      </w:r>
    </w:p>
    <w:p>
      <w:pPr>
        <w:spacing w:after="0" w:line="360" w:lineRule="auto"/>
        <w:jc w:val="both"/>
        <w:sectPr>
          <w:pgSz w:w="12240" w:h="15840"/>
          <w:pgMar w:top="1400" w:bottom="280" w:left="1580" w:right="1580"/>
        </w:sectPr>
      </w:pPr>
    </w:p>
    <w:p>
      <w:pPr>
        <w:pStyle w:val="BodyText"/>
        <w:spacing w:line="355" w:lineRule="auto" w:before="52"/>
        <w:ind w:left="119" w:right="49"/>
      </w:pPr>
      <w:r>
        <w:rPr/>
        <w:t>efecto negativo de los taninos sobre la fermentación ruminal. En el nivel de inclusión bajo respondieron favorablemente todas las variables evaluadas.</w:t>
      </w:r>
    </w:p>
    <w:p>
      <w:pPr>
        <w:spacing w:after="0" w:line="355" w:lineRule="auto"/>
        <w:sectPr>
          <w:pgSz w:w="12240" w:h="15840"/>
          <w:pgMar w:top="1360" w:bottom="280" w:left="1580" w:right="1600"/>
        </w:sectPr>
      </w:pPr>
    </w:p>
    <w:p>
      <w:pPr>
        <w:pStyle w:val="Heading2"/>
        <w:spacing w:before="85"/>
      </w:pPr>
      <w:r>
        <w:rPr/>
        <w:t>ABSTRACT</w:t>
      </w:r>
    </w:p>
    <w:p>
      <w:pPr>
        <w:pStyle w:val="BodyText"/>
        <w:spacing w:before="2"/>
        <w:rPr>
          <w:b/>
          <w:sz w:val="33"/>
        </w:rPr>
      </w:pPr>
    </w:p>
    <w:p>
      <w:pPr>
        <w:pStyle w:val="BodyText"/>
        <w:spacing w:line="360" w:lineRule="auto"/>
        <w:ind w:left="119" w:right="112"/>
        <w:jc w:val="both"/>
      </w:pPr>
      <w:r>
        <w:rPr/>
        <w:t>In recent years, research studies on ruminant nutrition have promoted the use of native, wild and cultivated forage plants as a feed supplement, due to their high protein content. However, these plants </w:t>
      </w:r>
      <w:r>
        <w:rPr>
          <w:spacing w:val="-3"/>
        </w:rPr>
        <w:t>may </w:t>
      </w:r>
      <w:r>
        <w:rPr/>
        <w:t>contain secondary metabolites with a significant antimicrobial effect. They </w:t>
      </w:r>
      <w:r>
        <w:rPr>
          <w:spacing w:val="-3"/>
        </w:rPr>
        <w:t>may </w:t>
      </w:r>
      <w:r>
        <w:rPr/>
        <w:t>modify ruminal fermentation and </w:t>
      </w:r>
      <w:r>
        <w:rPr>
          <w:spacing w:val="-3"/>
        </w:rPr>
        <w:t>may </w:t>
      </w:r>
      <w:r>
        <w:rPr/>
        <w:t>increase the efficiency of forage use, and tannins are among these secondary compounds. The objective of this study was to evaluate the effect of tannins on ruminal fermentation kinetics in a base diet with tanniferous species  </w:t>
      </w:r>
      <w:r>
        <w:rPr>
          <w:spacing w:val="5"/>
        </w:rPr>
        <w:t>(</w:t>
      </w:r>
      <w:r>
        <w:rPr>
          <w:i/>
          <w:spacing w:val="5"/>
        </w:rPr>
        <w:t>C. </w:t>
      </w:r>
      <w:r>
        <w:rPr>
          <w:i/>
        </w:rPr>
        <w:t>sulphureus</w:t>
      </w:r>
      <w:r>
        <w:rPr/>
        <w:t>, </w:t>
      </w:r>
      <w:r>
        <w:rPr>
          <w:i/>
        </w:rPr>
        <w:t>C. bipinnatus</w:t>
      </w:r>
      <w:r>
        <w:rPr/>
        <w:t>, </w:t>
      </w:r>
      <w:r>
        <w:rPr>
          <w:i/>
        </w:rPr>
        <w:t>T. lucida, T. erecta, M. divaricatum </w:t>
      </w:r>
      <w:r>
        <w:rPr/>
        <w:t>and </w:t>
      </w:r>
      <w:r>
        <w:rPr>
          <w:i/>
        </w:rPr>
        <w:t>M. diplotricha). </w:t>
      </w:r>
      <w:r>
        <w:rPr/>
        <w:t>Two experiments were conducted: the first to test the effect of tannins on ruminal fermentation, using polyethylene glycol (PEG) as a tannin blocker, and the second experiment consisted of evaluating a base diet with an extract from tanniferous species added (on an individual basis) with three levels of inclusion (high, medium and low). In both experiments, a random block design was used, and the variables evaluated were ruminal fermentation kinetics parameters; digestibility of dry matter (dDM), of organic matter (dOM) and of neutral detergent fiber (dNDF); and metabolizable energy (ME). With the addition of PEG to the tanniferous species, differences (p&lt;0.05) were observed at 24 and 96 hours of fermentation, between treatments (+PEG, -PEG) and among species, with an increase in gas production, and improvements in the dNDF and the contribution of ME (between treatments), and in the dDM, dOM, dNDF and ME (among species). In the case of ruminal fermentation kinetics parameters, no differences (p&gt;0.05) were noted. When an extract of tannins was added at the three levels of inclusion (high, medium and  low) to a base diet, no differences (p&gt;0.05) were noted in fermentation kinetics parameters, in the dDM, dOM, dNDF or the </w:t>
      </w:r>
      <w:r>
        <w:rPr>
          <w:spacing w:val="-2"/>
        </w:rPr>
        <w:t>ME. </w:t>
      </w:r>
      <w:r>
        <w:rPr/>
        <w:t>The only differences (p&gt;0.05) observed among species were in fraction </w:t>
      </w:r>
      <w:r>
        <w:rPr>
          <w:i/>
        </w:rPr>
        <w:t>b </w:t>
      </w:r>
      <w:r>
        <w:rPr/>
        <w:t>and in the dNDF. However, improvements were noted in all the variables evaluated at the low level of  inclusion.</w:t>
      </w:r>
      <w:r>
        <w:rPr>
          <w:spacing w:val="27"/>
        </w:rPr>
        <w:t> </w:t>
      </w:r>
      <w:r>
        <w:rPr/>
        <w:t>The</w:t>
      </w:r>
      <w:r>
        <w:rPr>
          <w:spacing w:val="27"/>
        </w:rPr>
        <w:t> </w:t>
      </w:r>
      <w:r>
        <w:rPr/>
        <w:t>addition</w:t>
      </w:r>
      <w:r>
        <w:rPr>
          <w:spacing w:val="27"/>
        </w:rPr>
        <w:t> </w:t>
      </w:r>
      <w:r>
        <w:rPr/>
        <w:t>of</w:t>
      </w:r>
      <w:r>
        <w:rPr>
          <w:spacing w:val="27"/>
        </w:rPr>
        <w:t> </w:t>
      </w:r>
      <w:r>
        <w:rPr/>
        <w:t>PEG</w:t>
      </w:r>
      <w:r>
        <w:rPr>
          <w:spacing w:val="27"/>
        </w:rPr>
        <w:t> </w:t>
      </w:r>
      <w:r>
        <w:rPr/>
        <w:t>to</w:t>
      </w:r>
      <w:r>
        <w:rPr>
          <w:spacing w:val="28"/>
        </w:rPr>
        <w:t> </w:t>
      </w:r>
      <w:r>
        <w:rPr/>
        <w:t>tanniferous</w:t>
      </w:r>
      <w:r>
        <w:rPr>
          <w:spacing w:val="27"/>
        </w:rPr>
        <w:t> </w:t>
      </w:r>
      <w:r>
        <w:rPr/>
        <w:t>species</w:t>
      </w:r>
      <w:r>
        <w:rPr>
          <w:spacing w:val="27"/>
        </w:rPr>
        <w:t> </w:t>
      </w:r>
      <w:r>
        <w:rPr/>
        <w:t>demonstrates</w:t>
      </w:r>
      <w:r>
        <w:rPr>
          <w:spacing w:val="27"/>
        </w:rPr>
        <w:t> </w:t>
      </w:r>
      <w:r>
        <w:rPr/>
        <w:t>the</w:t>
      </w:r>
      <w:r>
        <w:rPr>
          <w:spacing w:val="27"/>
        </w:rPr>
        <w:t> </w:t>
      </w:r>
      <w:r>
        <w:rPr/>
        <w:t>negative</w:t>
      </w:r>
    </w:p>
    <w:p>
      <w:pPr>
        <w:spacing w:after="0" w:line="360" w:lineRule="auto"/>
        <w:jc w:val="both"/>
        <w:sectPr>
          <w:pgSz w:w="12240" w:h="15840"/>
          <w:pgMar w:top="1500" w:bottom="280" w:left="1580" w:right="1580"/>
        </w:sectPr>
      </w:pPr>
    </w:p>
    <w:p>
      <w:pPr>
        <w:pStyle w:val="BodyText"/>
        <w:spacing w:line="355" w:lineRule="auto" w:before="52"/>
        <w:ind w:left="119" w:right="49"/>
      </w:pPr>
      <w:r>
        <w:rPr/>
        <w:t>effect of tannins on ruminal fermentation. There was a favorable response in all the variables evaluated at the low level of inclusion.</w:t>
      </w:r>
    </w:p>
    <w:p>
      <w:pPr>
        <w:spacing w:after="0" w:line="355" w:lineRule="auto"/>
        <w:sectPr>
          <w:pgSz w:w="12240" w:h="15840"/>
          <w:pgMar w:top="1360" w:bottom="280" w:left="1580" w:right="1600"/>
        </w:sectPr>
      </w:pPr>
    </w:p>
    <w:p>
      <w:pPr>
        <w:pStyle w:val="Heading2"/>
        <w:spacing w:before="85"/>
      </w:pPr>
      <w:r>
        <w:rPr/>
        <w:t>AGRADECIMIENTOS</w:t>
      </w:r>
    </w:p>
    <w:p>
      <w:pPr>
        <w:pStyle w:val="BodyText"/>
        <w:spacing w:before="2"/>
        <w:rPr>
          <w:b/>
          <w:sz w:val="33"/>
        </w:rPr>
      </w:pPr>
    </w:p>
    <w:p>
      <w:pPr>
        <w:pStyle w:val="BodyText"/>
        <w:spacing w:line="360" w:lineRule="auto"/>
        <w:ind w:left="119" w:right="119"/>
        <w:jc w:val="both"/>
      </w:pPr>
      <w:r>
        <w:rPr/>
        <w:t>Se agradece a la Universidad Autónoma del Estado de México a través del proyecto Determinación de las deficiencias de fermentación ruminal en arvenses y rastrojos de maíz utilizados para la alimentación del ganado lechero en el Valle de Toluca. Financiamiento: UAEMex 2422/2007U.</w:t>
      </w:r>
    </w:p>
    <w:p>
      <w:pPr>
        <w:pStyle w:val="BodyText"/>
      </w:pPr>
    </w:p>
    <w:p>
      <w:pPr>
        <w:pStyle w:val="BodyText"/>
        <w:spacing w:line="360" w:lineRule="auto" w:before="207"/>
        <w:ind w:left="119" w:right="129"/>
        <w:jc w:val="both"/>
      </w:pPr>
      <w:r>
        <w:rPr/>
        <w:t>Se agradece al Consejo Nacional de Ciencia y Tecnología (CONACYT) por la  beca otorgada durante el periodo</w:t>
      </w:r>
      <w:r>
        <w:rPr>
          <w:spacing w:val="-16"/>
        </w:rPr>
        <w:t> </w:t>
      </w:r>
      <w:r>
        <w:rPr/>
        <w:t>2010-2012.</w:t>
      </w:r>
    </w:p>
    <w:p>
      <w:pPr>
        <w:pStyle w:val="BodyText"/>
      </w:pPr>
    </w:p>
    <w:p>
      <w:pPr>
        <w:pStyle w:val="BodyText"/>
        <w:spacing w:line="364" w:lineRule="auto" w:before="139"/>
        <w:ind w:left="119" w:right="129"/>
        <w:jc w:val="both"/>
      </w:pPr>
      <w:r>
        <w:rPr/>
        <w:t>Se agradece el Consejo Mexiquense de Ciencia y Tecnología (COMECYT) por la beca otorgada para la culminación de este trabajo bajo la clave 11BTM0256.</w:t>
      </w:r>
    </w:p>
    <w:p>
      <w:pPr>
        <w:pStyle w:val="BodyText"/>
        <w:spacing w:before="7"/>
        <w:rPr>
          <w:sz w:val="35"/>
        </w:rPr>
      </w:pPr>
    </w:p>
    <w:p>
      <w:pPr>
        <w:pStyle w:val="BodyText"/>
        <w:spacing w:line="362" w:lineRule="auto"/>
        <w:ind w:left="119" w:right="127"/>
        <w:jc w:val="both"/>
      </w:pPr>
      <w:r>
        <w:rPr/>
        <w:t>Al Instituto de Ciencias Agropecuarias y Rurales (ICAR) de la Universidad Autónoma del Estado de México por el apoyo y material brindados para lograr que fuera posible este proyecto.</w:t>
      </w:r>
    </w:p>
    <w:p>
      <w:pPr>
        <w:pStyle w:val="BodyText"/>
        <w:spacing w:before="10"/>
        <w:rPr>
          <w:sz w:val="35"/>
        </w:rPr>
      </w:pPr>
    </w:p>
    <w:p>
      <w:pPr>
        <w:pStyle w:val="BodyText"/>
        <w:spacing w:line="360" w:lineRule="auto"/>
        <w:ind w:left="119" w:right="127"/>
        <w:jc w:val="both"/>
      </w:pPr>
      <w:r>
        <w:rPr/>
        <w:t>A la Dra. Julieta G. Estrada Flores por su apoyo, paciencia y por su acertada dirección para la realización de este proyecto y por su amistad.</w:t>
      </w:r>
    </w:p>
    <w:p>
      <w:pPr>
        <w:pStyle w:val="BodyText"/>
      </w:pPr>
    </w:p>
    <w:p>
      <w:pPr>
        <w:pStyle w:val="BodyText"/>
        <w:spacing w:line="360" w:lineRule="auto" w:before="144"/>
        <w:ind w:left="119" w:right="116"/>
        <w:jc w:val="both"/>
      </w:pPr>
      <w:r>
        <w:rPr/>
        <w:t>Al Ph. D. Octavio A. Castelán Ortega y al Dr. Manuel González Ronquillo por sus acertadas sugerencias, comentarios y sobre todo por su paciencia durante la realización de este importante proyecto.</w:t>
      </w:r>
    </w:p>
    <w:p>
      <w:pPr>
        <w:pStyle w:val="BodyText"/>
      </w:pPr>
    </w:p>
    <w:p>
      <w:pPr>
        <w:pStyle w:val="BodyText"/>
        <w:spacing w:line="717" w:lineRule="auto" w:before="145"/>
        <w:ind w:left="119" w:right="896"/>
      </w:pPr>
      <w:r>
        <w:rPr/>
        <w:t>Al Dr. Abdel Fattah Salem por su apoyo la segunda parte del experimento. A Marisol, Brenda, Lulú y Laura por su apoyo en laboratorio.</w:t>
      </w:r>
    </w:p>
    <w:p>
      <w:pPr>
        <w:spacing w:after="0" w:line="717" w:lineRule="auto"/>
        <w:sectPr>
          <w:pgSz w:w="12240" w:h="15840"/>
          <w:pgMar w:top="1500" w:bottom="28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spacing w:line="362" w:lineRule="auto" w:before="0"/>
        <w:ind w:left="119" w:right="99" w:firstLine="0"/>
        <w:jc w:val="left"/>
        <w:rPr>
          <w:i/>
          <w:sz w:val="24"/>
        </w:rPr>
      </w:pPr>
      <w:r>
        <w:rPr>
          <w:i/>
          <w:sz w:val="24"/>
        </w:rPr>
        <w:t>“Sera como árbol plantado junto a las aguas. Y no vera cuando viene el calor, sino </w:t>
      </w:r>
      <w:r>
        <w:rPr>
          <w:i/>
          <w:sz w:val="24"/>
        </w:rPr>
        <w:t>que su  hoja estará verde”</w:t>
      </w:r>
    </w:p>
    <w:p>
      <w:pPr>
        <w:spacing w:line="225" w:lineRule="exact" w:before="0"/>
        <w:ind w:left="657" w:right="896" w:firstLine="0"/>
        <w:jc w:val="left"/>
        <w:rPr>
          <w:i/>
          <w:sz w:val="20"/>
        </w:rPr>
      </w:pPr>
      <w:r>
        <w:rPr>
          <w:i/>
          <w:sz w:val="20"/>
        </w:rPr>
        <w:t>Jer 17:8</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line="451" w:lineRule="auto" w:before="163"/>
        <w:ind w:left="5296" w:right="99" w:firstLine="2962"/>
        <w:rPr>
          <w:rFonts w:ascii="Georgia"/>
        </w:rPr>
      </w:pPr>
      <w:r>
        <w:rPr>
          <w:rFonts w:ascii="Georgia"/>
        </w:rPr>
        <w:t>A Dios En memoria de mi Padre (q.e.p.d.)</w:t>
      </w:r>
    </w:p>
    <w:p>
      <w:pPr>
        <w:pStyle w:val="BodyText"/>
        <w:spacing w:before="1"/>
        <w:ind w:left="4235" w:firstLine="3126"/>
        <w:rPr>
          <w:rFonts w:ascii="Georgia"/>
        </w:rPr>
      </w:pPr>
      <w:r>
        <w:rPr>
          <w:rFonts w:ascii="Georgia"/>
        </w:rPr>
        <w:t>Y   a mi Madre.</w:t>
      </w: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spacing w:before="177"/>
        <w:ind w:left="4235"/>
        <w:rPr>
          <w:rFonts w:ascii="Georgia"/>
        </w:rPr>
      </w:pPr>
      <w:r>
        <w:rPr>
          <w:rFonts w:ascii="Georgia"/>
        </w:rPr>
        <w:t>Gracias porque sin su luz, no hubiera podido</w:t>
      </w: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spacing w:line="273" w:lineRule="auto" w:before="160"/>
        <w:ind w:left="119" w:right="99" w:firstLine="0"/>
        <w:jc w:val="left"/>
        <w:rPr>
          <w:i/>
          <w:sz w:val="24"/>
        </w:rPr>
      </w:pPr>
      <w:r>
        <w:rPr>
          <w:i/>
          <w:sz w:val="24"/>
        </w:rPr>
        <w:t>“Si las semillas sembradas en la tierra negra pueden llegar a convertirse en rosas </w:t>
      </w:r>
      <w:r>
        <w:rPr>
          <w:i/>
          <w:sz w:val="24"/>
        </w:rPr>
        <w:t>tan bellas. ¿Qué no puede llegar a ser el corazón del hombre en su largo camino hacia las estrellas”</w:t>
      </w:r>
    </w:p>
    <w:p>
      <w:pPr>
        <w:spacing w:after="0" w:line="273" w:lineRule="auto"/>
        <w:jc w:val="left"/>
        <w:rPr>
          <w:sz w:val="24"/>
        </w:rPr>
        <w:sectPr>
          <w:pgSz w:w="12240" w:h="15840"/>
          <w:pgMar w:top="1500" w:bottom="280" w:left="1580" w:right="1580"/>
        </w:sectPr>
      </w:pPr>
    </w:p>
    <w:p>
      <w:pPr>
        <w:pStyle w:val="Heading2"/>
        <w:ind w:right="49"/>
        <w:jc w:val="left"/>
      </w:pPr>
      <w:r>
        <w:rPr/>
        <w:t>ÍNDICE</w:t>
      </w:r>
    </w:p>
    <w:p>
      <w:pPr>
        <w:spacing w:after="0"/>
        <w:jc w:val="left"/>
        <w:sectPr>
          <w:pgSz w:w="12240" w:h="15840"/>
          <w:pgMar w:top="1360" w:bottom="1937" w:left="1580" w:right="1600"/>
        </w:sectPr>
      </w:pPr>
    </w:p>
    <w:sdt>
      <w:sdtPr>
        <w:docPartObj>
          <w:docPartGallery w:val="Table of Contents"/>
          <w:docPartUnique/>
        </w:docPartObj>
      </w:sdtPr>
      <w:sdtEndPr/>
      <w:sdtContent>
        <w:p>
          <w:pPr>
            <w:pStyle w:val="TOC1"/>
            <w:numPr>
              <w:ilvl w:val="0"/>
              <w:numId w:val="1"/>
            </w:numPr>
            <w:tabs>
              <w:tab w:pos="302" w:val="left" w:leader="none"/>
              <w:tab w:pos="8952" w:val="right" w:leader="dot"/>
            </w:tabs>
            <w:spacing w:line="240" w:lineRule="auto" w:before="657" w:after="0"/>
            <w:ind w:left="301" w:right="0" w:hanging="182"/>
            <w:jc w:val="left"/>
            <w:rPr>
              <w:rFonts w:ascii="Calibri" w:hAnsi="Calibri"/>
            </w:rPr>
          </w:pPr>
          <w:hyperlink w:history="true" w:anchor="_bookmark0">
            <w:r>
              <w:rPr/>
              <w:t>INTRODUCCIÓN</w:t>
            </w:r>
            <w:r>
              <w:rPr>
                <w:rFonts w:ascii="Calibri" w:hAnsi="Calibri"/>
              </w:rPr>
              <w:tab/>
              <w:t>1</w:t>
            </w:r>
          </w:hyperlink>
        </w:p>
        <w:p>
          <w:pPr>
            <w:pStyle w:val="TOC1"/>
            <w:numPr>
              <w:ilvl w:val="0"/>
              <w:numId w:val="1"/>
            </w:numPr>
            <w:tabs>
              <w:tab w:pos="360" w:val="left" w:leader="none"/>
              <w:tab w:pos="8952" w:val="right" w:leader="dot"/>
            </w:tabs>
            <w:spacing w:line="240" w:lineRule="auto" w:before="240" w:after="0"/>
            <w:ind w:left="359" w:right="0" w:hanging="240"/>
            <w:jc w:val="left"/>
            <w:rPr>
              <w:rFonts w:ascii="Calibri"/>
            </w:rPr>
          </w:pPr>
          <w:hyperlink w:history="true" w:anchor="_bookmark1">
            <w:r>
              <w:rPr/>
              <w:t>ANTECEDENTES</w:t>
            </w:r>
            <w:r>
              <w:rPr>
                <w:rFonts w:ascii="Calibri"/>
              </w:rPr>
              <w:tab/>
              <w:t>2</w:t>
            </w:r>
          </w:hyperlink>
        </w:p>
        <w:p>
          <w:pPr>
            <w:pStyle w:val="TOC1"/>
            <w:tabs>
              <w:tab w:pos="8952" w:val="right" w:leader="dot"/>
            </w:tabs>
            <w:rPr>
              <w:rFonts w:ascii="Calibri" w:hAnsi="Calibri"/>
            </w:rPr>
          </w:pPr>
          <w:hyperlink w:history="true" w:anchor="_bookmark2">
            <w:r>
              <w:rPr/>
              <w:t>2.1 Fisiología</w:t>
            </w:r>
            <w:r>
              <w:rPr>
                <w:spacing w:val="-1"/>
              </w:rPr>
              <w:t> </w:t>
            </w:r>
            <w:r>
              <w:rPr/>
              <w:t>del</w:t>
            </w:r>
            <w:r>
              <w:rPr>
                <w:spacing w:val="-1"/>
              </w:rPr>
              <w:t> </w:t>
            </w:r>
            <w:r>
              <w:rPr/>
              <w:t>rumen</w:t>
            </w:r>
            <w:r>
              <w:rPr>
                <w:rFonts w:ascii="Calibri" w:hAnsi="Calibri"/>
              </w:rPr>
              <w:tab/>
              <w:t>2</w:t>
            </w:r>
          </w:hyperlink>
        </w:p>
        <w:p>
          <w:pPr>
            <w:pStyle w:val="TOC1"/>
            <w:numPr>
              <w:ilvl w:val="1"/>
              <w:numId w:val="2"/>
            </w:numPr>
            <w:tabs>
              <w:tab w:pos="551" w:val="left" w:leader="none"/>
              <w:tab w:pos="8952" w:val="right" w:leader="dot"/>
            </w:tabs>
            <w:spacing w:line="240" w:lineRule="auto" w:before="240" w:after="0"/>
            <w:ind w:left="550" w:right="0" w:hanging="431"/>
            <w:jc w:val="left"/>
            <w:rPr>
              <w:rFonts w:ascii="Calibri" w:hAnsi="Calibri"/>
            </w:rPr>
          </w:pPr>
          <w:hyperlink w:history="true" w:anchor="_bookmark3">
            <w:r>
              <w:rPr/>
              <w:t>Población</w:t>
            </w:r>
            <w:r>
              <w:rPr>
                <w:spacing w:val="1"/>
              </w:rPr>
              <w:t> </w:t>
            </w:r>
            <w:r>
              <w:rPr/>
              <w:t>microbiana</w:t>
            </w:r>
            <w:r>
              <w:rPr>
                <w:spacing w:val="1"/>
              </w:rPr>
              <w:t> </w:t>
            </w:r>
            <w:r>
              <w:rPr/>
              <w:t>ruminal</w:t>
            </w:r>
            <w:r>
              <w:rPr>
                <w:rFonts w:ascii="Calibri" w:hAnsi="Calibri"/>
              </w:rPr>
              <w:tab/>
              <w:t>4</w:t>
            </w:r>
          </w:hyperlink>
        </w:p>
        <w:p>
          <w:pPr>
            <w:pStyle w:val="TOC1"/>
            <w:numPr>
              <w:ilvl w:val="1"/>
              <w:numId w:val="2"/>
            </w:numPr>
            <w:tabs>
              <w:tab w:pos="551" w:val="left" w:leader="none"/>
              <w:tab w:pos="8952" w:val="right" w:leader="dot"/>
            </w:tabs>
            <w:spacing w:line="240" w:lineRule="auto" w:before="240" w:after="0"/>
            <w:ind w:left="550" w:right="0" w:hanging="431"/>
            <w:jc w:val="left"/>
            <w:rPr>
              <w:rFonts w:ascii="Calibri" w:hAnsi="Calibri"/>
            </w:rPr>
          </w:pPr>
          <w:hyperlink w:history="true" w:anchor="_bookmark4">
            <w:r>
              <w:rPr/>
              <w:t>Fermentación</w:t>
            </w:r>
            <w:r>
              <w:rPr>
                <w:spacing w:val="1"/>
              </w:rPr>
              <w:t> </w:t>
            </w:r>
            <w:r>
              <w:rPr/>
              <w:t>ruminal</w:t>
            </w:r>
            <w:r>
              <w:rPr>
                <w:rFonts w:ascii="Calibri" w:hAnsi="Calibri"/>
              </w:rPr>
              <w:tab/>
              <w:t>6</w:t>
            </w:r>
          </w:hyperlink>
        </w:p>
        <w:p>
          <w:pPr>
            <w:pStyle w:val="TOC1"/>
            <w:numPr>
              <w:ilvl w:val="1"/>
              <w:numId w:val="2"/>
            </w:numPr>
            <w:tabs>
              <w:tab w:pos="551" w:val="left" w:leader="none"/>
              <w:tab w:pos="8952" w:val="right" w:leader="dot"/>
            </w:tabs>
            <w:spacing w:line="240" w:lineRule="auto" w:before="240" w:after="0"/>
            <w:ind w:left="550" w:right="0" w:hanging="431"/>
            <w:jc w:val="left"/>
            <w:rPr>
              <w:rFonts w:ascii="Calibri" w:hAnsi="Calibri"/>
            </w:rPr>
          </w:pPr>
          <w:hyperlink w:history="true" w:anchor="_bookmark5">
            <w:r>
              <w:rPr/>
              <w:t>Metabólitos secundarios</w:t>
            </w:r>
            <w:r>
              <w:rPr>
                <w:spacing w:val="-4"/>
              </w:rPr>
              <w:t> </w:t>
            </w:r>
            <w:r>
              <w:rPr/>
              <w:t>en</w:t>
            </w:r>
            <w:r>
              <w:rPr>
                <w:spacing w:val="-3"/>
              </w:rPr>
              <w:t> </w:t>
            </w:r>
            <w:r>
              <w:rPr/>
              <w:t>plantas</w:t>
            </w:r>
            <w:r>
              <w:rPr>
                <w:rFonts w:ascii="Calibri" w:hAnsi="Calibri"/>
              </w:rPr>
              <w:tab/>
              <w:t>7</w:t>
            </w:r>
          </w:hyperlink>
        </w:p>
        <w:p>
          <w:pPr>
            <w:pStyle w:val="TOC1"/>
            <w:numPr>
              <w:ilvl w:val="1"/>
              <w:numId w:val="2"/>
            </w:numPr>
            <w:tabs>
              <w:tab w:pos="551" w:val="left" w:leader="none"/>
              <w:tab w:pos="8950" w:val="right" w:leader="dot"/>
            </w:tabs>
            <w:spacing w:line="240" w:lineRule="auto" w:before="245" w:after="0"/>
            <w:ind w:left="550" w:right="0" w:hanging="431"/>
            <w:jc w:val="left"/>
            <w:rPr>
              <w:rFonts w:ascii="Calibri"/>
            </w:rPr>
          </w:pPr>
          <w:hyperlink w:history="true" w:anchor="_bookmark6">
            <w:r>
              <w:rPr/>
              <w:t>Importancia de taninos</w:t>
            </w:r>
            <w:r>
              <w:rPr>
                <w:spacing w:val="-5"/>
              </w:rPr>
              <w:t> </w:t>
            </w:r>
            <w:r>
              <w:rPr/>
              <w:t>en</w:t>
            </w:r>
            <w:r>
              <w:rPr>
                <w:spacing w:val="-3"/>
              </w:rPr>
              <w:t> </w:t>
            </w:r>
            <w:r>
              <w:rPr/>
              <w:t>rumiantes</w:t>
            </w:r>
            <w:r>
              <w:rPr>
                <w:rFonts w:ascii="Calibri"/>
              </w:rPr>
              <w:tab/>
              <w:t>10</w:t>
            </w:r>
          </w:hyperlink>
        </w:p>
        <w:p>
          <w:pPr>
            <w:pStyle w:val="TOC1"/>
            <w:numPr>
              <w:ilvl w:val="1"/>
              <w:numId w:val="2"/>
            </w:numPr>
            <w:tabs>
              <w:tab w:pos="551" w:val="left" w:leader="none"/>
              <w:tab w:pos="8950" w:val="right" w:leader="dot"/>
            </w:tabs>
            <w:spacing w:line="240" w:lineRule="auto" w:before="241" w:after="0"/>
            <w:ind w:left="550" w:right="0" w:hanging="431"/>
            <w:jc w:val="left"/>
            <w:rPr>
              <w:rFonts w:ascii="Calibri" w:hAnsi="Calibri"/>
            </w:rPr>
          </w:pPr>
          <w:hyperlink w:history="true" w:anchor="_bookmark7">
            <w:r>
              <w:rPr/>
              <w:t>Técnicas de producción de gas</w:t>
            </w:r>
            <w:r>
              <w:rPr>
                <w:spacing w:val="-5"/>
              </w:rPr>
              <w:t> </w:t>
            </w:r>
            <w:r>
              <w:rPr>
                <w:i/>
              </w:rPr>
              <w:t>in</w:t>
            </w:r>
            <w:r>
              <w:rPr>
                <w:i/>
                <w:spacing w:val="1"/>
              </w:rPr>
              <w:t> </w:t>
            </w:r>
            <w:r>
              <w:rPr>
                <w:i/>
              </w:rPr>
              <w:t>vitro</w:t>
            </w:r>
            <w:r>
              <w:rPr>
                <w:rFonts w:ascii="Calibri" w:hAnsi="Calibri"/>
              </w:rPr>
              <w:tab/>
              <w:t>12</w:t>
            </w:r>
          </w:hyperlink>
        </w:p>
        <w:p>
          <w:pPr>
            <w:pStyle w:val="TOC1"/>
            <w:numPr>
              <w:ilvl w:val="0"/>
              <w:numId w:val="1"/>
            </w:numPr>
            <w:tabs>
              <w:tab w:pos="422" w:val="left" w:leader="none"/>
              <w:tab w:pos="8950" w:val="right" w:leader="dot"/>
            </w:tabs>
            <w:spacing w:line="240" w:lineRule="auto" w:before="240" w:after="0"/>
            <w:ind w:left="421" w:right="0" w:hanging="302"/>
            <w:jc w:val="left"/>
            <w:rPr>
              <w:rFonts w:ascii="Calibri" w:hAnsi="Calibri"/>
            </w:rPr>
          </w:pPr>
          <w:hyperlink w:history="true" w:anchor="_bookmark8">
            <w:r>
              <w:rPr/>
              <w:t>JUSTIFICACIÓN</w:t>
            </w:r>
            <w:r>
              <w:rPr>
                <w:rFonts w:ascii="Calibri" w:hAnsi="Calibri"/>
              </w:rPr>
              <w:tab/>
              <w:t>14</w:t>
            </w:r>
          </w:hyperlink>
        </w:p>
        <w:p>
          <w:pPr>
            <w:pStyle w:val="TOC1"/>
            <w:numPr>
              <w:ilvl w:val="0"/>
              <w:numId w:val="1"/>
            </w:numPr>
            <w:tabs>
              <w:tab w:pos="451" w:val="left" w:leader="none"/>
              <w:tab w:pos="8950" w:val="right" w:leader="dot"/>
            </w:tabs>
            <w:spacing w:line="240" w:lineRule="auto" w:before="240" w:after="0"/>
            <w:ind w:left="450" w:right="0" w:hanging="331"/>
            <w:jc w:val="left"/>
            <w:rPr>
              <w:rFonts w:ascii="Calibri" w:hAnsi="Calibri"/>
            </w:rPr>
          </w:pPr>
          <w:hyperlink w:history="true" w:anchor="_bookmark9">
            <w:r>
              <w:rPr/>
              <w:t>PREGUNTA</w:t>
            </w:r>
            <w:r>
              <w:rPr>
                <w:spacing w:val="1"/>
              </w:rPr>
              <w:t> </w:t>
            </w:r>
            <w:r>
              <w:rPr/>
              <w:t>DE</w:t>
            </w:r>
            <w:r>
              <w:rPr>
                <w:spacing w:val="1"/>
              </w:rPr>
              <w:t> </w:t>
            </w:r>
            <w:r>
              <w:rPr/>
              <w:t>INVESTIGACIÓN</w:t>
            </w:r>
            <w:r>
              <w:rPr>
                <w:rFonts w:ascii="Calibri" w:hAnsi="Calibri"/>
              </w:rPr>
              <w:tab/>
              <w:t>15</w:t>
            </w:r>
          </w:hyperlink>
        </w:p>
        <w:p>
          <w:pPr>
            <w:pStyle w:val="TOC1"/>
            <w:numPr>
              <w:ilvl w:val="0"/>
              <w:numId w:val="1"/>
            </w:numPr>
            <w:tabs>
              <w:tab w:pos="393" w:val="left" w:leader="none"/>
              <w:tab w:pos="8950" w:val="right" w:leader="dot"/>
            </w:tabs>
            <w:spacing w:line="240" w:lineRule="auto" w:before="240" w:after="0"/>
            <w:ind w:left="392" w:right="0" w:hanging="273"/>
            <w:jc w:val="left"/>
            <w:rPr>
              <w:rFonts w:ascii="Calibri" w:hAnsi="Calibri"/>
            </w:rPr>
          </w:pPr>
          <w:hyperlink w:history="true" w:anchor="_bookmark10">
            <w:r>
              <w:rPr/>
              <w:t>HIPÓTESIS</w:t>
            </w:r>
            <w:r>
              <w:rPr>
                <w:rFonts w:ascii="Calibri" w:hAnsi="Calibri"/>
              </w:rPr>
              <w:tab/>
              <w:t>16</w:t>
            </w:r>
          </w:hyperlink>
        </w:p>
        <w:p>
          <w:pPr>
            <w:pStyle w:val="TOC1"/>
            <w:tabs>
              <w:tab w:pos="8950" w:val="right" w:leader="dot"/>
            </w:tabs>
            <w:rPr>
              <w:rFonts w:ascii="Calibri"/>
            </w:rPr>
          </w:pPr>
          <w:hyperlink w:history="true" w:anchor="_bookmark11">
            <w:r>
              <w:rPr/>
              <w:t>Vl.</w:t>
            </w:r>
            <w:r>
              <w:rPr>
                <w:spacing w:val="1"/>
              </w:rPr>
              <w:t> </w:t>
            </w:r>
            <w:r>
              <w:rPr/>
              <w:t>OBJETIVOS</w:t>
            </w:r>
            <w:r>
              <w:rPr>
                <w:rFonts w:ascii="Calibri"/>
              </w:rPr>
              <w:tab/>
              <w:t>17</w:t>
            </w:r>
          </w:hyperlink>
        </w:p>
        <w:p>
          <w:pPr>
            <w:pStyle w:val="TOC1"/>
            <w:tabs>
              <w:tab w:pos="8950" w:val="right" w:leader="dot"/>
            </w:tabs>
            <w:rPr>
              <w:rFonts w:ascii="Calibri" w:hAnsi="Calibri"/>
            </w:rPr>
          </w:pPr>
          <w:hyperlink w:history="true" w:anchor="_bookmark12">
            <w:r>
              <w:rPr/>
              <w:t>VIl. MATERIALES</w:t>
            </w:r>
            <w:r>
              <w:rPr>
                <w:spacing w:val="3"/>
              </w:rPr>
              <w:t> </w:t>
            </w:r>
            <w:r>
              <w:rPr/>
              <w:t>Y</w:t>
            </w:r>
            <w:r>
              <w:rPr>
                <w:spacing w:val="-4"/>
              </w:rPr>
              <w:t> </w:t>
            </w:r>
            <w:r>
              <w:rPr/>
              <w:t>MÉTODOS</w:t>
            </w:r>
            <w:r>
              <w:rPr>
                <w:rFonts w:ascii="Calibri" w:hAnsi="Calibri"/>
              </w:rPr>
              <w:tab/>
              <w:t>18</w:t>
            </w:r>
          </w:hyperlink>
        </w:p>
        <w:p>
          <w:pPr>
            <w:pStyle w:val="TOC1"/>
            <w:numPr>
              <w:ilvl w:val="1"/>
              <w:numId w:val="3"/>
            </w:numPr>
            <w:tabs>
              <w:tab w:pos="489" w:val="left" w:leader="none"/>
              <w:tab w:pos="8950" w:val="right" w:leader="dot"/>
            </w:tabs>
            <w:spacing w:line="240" w:lineRule="auto" w:before="240" w:after="0"/>
            <w:ind w:left="119" w:right="0" w:firstLine="0"/>
            <w:jc w:val="left"/>
            <w:rPr>
              <w:rFonts w:ascii="Calibri" w:hAnsi="Calibri"/>
            </w:rPr>
          </w:pPr>
          <w:hyperlink w:history="true" w:anchor="_bookmark13">
            <w:r>
              <w:rPr/>
              <w:t>Selección de las</w:t>
            </w:r>
            <w:r>
              <w:rPr>
                <w:spacing w:val="-5"/>
              </w:rPr>
              <w:t> </w:t>
            </w:r>
            <w:r>
              <w:rPr/>
              <w:t>especies</w:t>
            </w:r>
            <w:r>
              <w:rPr>
                <w:spacing w:val="-5"/>
              </w:rPr>
              <w:t> </w:t>
            </w:r>
            <w:r>
              <w:rPr/>
              <w:t>taníferas</w:t>
            </w:r>
            <w:r>
              <w:rPr>
                <w:rFonts w:ascii="Calibri" w:hAnsi="Calibri"/>
              </w:rPr>
              <w:tab/>
              <w:t>18</w:t>
            </w:r>
          </w:hyperlink>
        </w:p>
        <w:p>
          <w:pPr>
            <w:pStyle w:val="TOC1"/>
            <w:numPr>
              <w:ilvl w:val="1"/>
              <w:numId w:val="3"/>
            </w:numPr>
            <w:tabs>
              <w:tab w:pos="489" w:val="left" w:leader="none"/>
              <w:tab w:pos="8950" w:val="right" w:leader="dot"/>
            </w:tabs>
            <w:spacing w:line="240" w:lineRule="auto" w:before="240" w:after="0"/>
            <w:ind w:left="488" w:right="0" w:hanging="369"/>
            <w:jc w:val="left"/>
            <w:rPr>
              <w:rFonts w:ascii="Calibri" w:hAnsi="Calibri"/>
            </w:rPr>
          </w:pPr>
          <w:hyperlink w:history="true" w:anchor="_bookmark14">
            <w:r>
              <w:rPr/>
              <w:t>Determinación de</w:t>
            </w:r>
            <w:r>
              <w:rPr>
                <w:spacing w:val="-5"/>
              </w:rPr>
              <w:t> </w:t>
            </w:r>
            <w:r>
              <w:rPr/>
              <w:t>metabólitos</w:t>
            </w:r>
            <w:r>
              <w:rPr>
                <w:spacing w:val="-5"/>
              </w:rPr>
              <w:t> </w:t>
            </w:r>
            <w:r>
              <w:rPr/>
              <w:t>secundarios</w:t>
            </w:r>
            <w:r>
              <w:rPr>
                <w:rFonts w:ascii="Calibri" w:hAnsi="Calibri"/>
              </w:rPr>
              <w:tab/>
              <w:t>19</w:t>
            </w:r>
          </w:hyperlink>
        </w:p>
        <w:p>
          <w:pPr>
            <w:pStyle w:val="TOC1"/>
            <w:numPr>
              <w:ilvl w:val="1"/>
              <w:numId w:val="3"/>
            </w:numPr>
            <w:tabs>
              <w:tab w:pos="489" w:val="left" w:leader="none"/>
              <w:tab w:pos="8950" w:val="right" w:leader="dot"/>
            </w:tabs>
            <w:spacing w:line="240" w:lineRule="auto" w:before="240" w:after="0"/>
            <w:ind w:left="488" w:right="0" w:hanging="369"/>
            <w:jc w:val="left"/>
            <w:rPr>
              <w:rFonts w:ascii="Calibri" w:hAnsi="Calibri"/>
            </w:rPr>
          </w:pPr>
          <w:hyperlink w:history="true" w:anchor="_bookmark15">
            <w:r>
              <w:rPr/>
              <w:t>Análisis químico</w:t>
            </w:r>
            <w:r>
              <w:rPr>
                <w:spacing w:val="1"/>
              </w:rPr>
              <w:t> </w:t>
            </w:r>
            <w:r>
              <w:rPr/>
              <w:t>proximal</w:t>
            </w:r>
            <w:r>
              <w:rPr>
                <w:rFonts w:ascii="Calibri" w:hAnsi="Calibri"/>
              </w:rPr>
              <w:tab/>
              <w:t>19</w:t>
            </w:r>
          </w:hyperlink>
        </w:p>
        <w:p>
          <w:pPr>
            <w:pStyle w:val="TOC1"/>
            <w:numPr>
              <w:ilvl w:val="1"/>
              <w:numId w:val="3"/>
            </w:numPr>
            <w:tabs>
              <w:tab w:pos="705" w:val="left" w:leader="none"/>
              <w:tab w:pos="706" w:val="left" w:leader="none"/>
              <w:tab w:pos="8950" w:val="right" w:leader="dot"/>
            </w:tabs>
            <w:spacing w:line="280" w:lineRule="auto" w:before="233" w:after="0"/>
            <w:ind w:left="119" w:right="107" w:firstLine="0"/>
            <w:jc w:val="left"/>
            <w:rPr>
              <w:rFonts w:ascii="Calibri" w:hAnsi="Calibri"/>
            </w:rPr>
          </w:pPr>
          <w:hyperlink w:history="true" w:anchor="_bookmark16">
            <w:r>
              <w:rPr/>
              <w:t>Efecto del Polietilen glicol (PEG) sobre la fermentación ruminal con especies</w:t>
            </w:r>
          </w:hyperlink>
          <w:r>
            <w:rPr/>
            <w:t> </w:t>
          </w:r>
          <w:hyperlink w:history="true" w:anchor="_bookmark16">
            <w:r>
              <w:rPr/>
              <w:t>abundantes</w:t>
            </w:r>
            <w:r>
              <w:rPr>
                <w:spacing w:val="-5"/>
              </w:rPr>
              <w:t> </w:t>
            </w:r>
            <w:r>
              <w:rPr/>
              <w:t>en</w:t>
            </w:r>
            <w:r>
              <w:rPr>
                <w:spacing w:val="1"/>
              </w:rPr>
              <w:t> </w:t>
            </w:r>
            <w:r>
              <w:rPr/>
              <w:t>taninos</w:t>
            </w:r>
            <w:r>
              <w:rPr>
                <w:rFonts w:ascii="Calibri" w:hAnsi="Calibri"/>
              </w:rPr>
              <w:tab/>
              <w:t>20</w:t>
            </w:r>
          </w:hyperlink>
        </w:p>
        <w:p>
          <w:pPr>
            <w:pStyle w:val="TOC1"/>
            <w:numPr>
              <w:ilvl w:val="1"/>
              <w:numId w:val="3"/>
            </w:numPr>
            <w:tabs>
              <w:tab w:pos="508" w:val="left" w:leader="none"/>
              <w:tab w:pos="8950" w:val="right" w:leader="dot"/>
            </w:tabs>
            <w:spacing w:line="283" w:lineRule="auto" w:before="188" w:after="0"/>
            <w:ind w:left="119" w:right="106" w:firstLine="0"/>
            <w:jc w:val="left"/>
            <w:rPr>
              <w:rFonts w:ascii="Calibri" w:hAnsi="Calibri"/>
            </w:rPr>
          </w:pPr>
          <w:hyperlink w:history="true" w:anchor="_bookmark17">
            <w:r>
              <w:rPr/>
              <w:t>Efecto en la fermentación ruminal de tres niveles de inclusión de extracto de taninos</w:t>
            </w:r>
          </w:hyperlink>
          <w:r>
            <w:rPr/>
            <w:t> </w:t>
          </w:r>
          <w:hyperlink w:history="true" w:anchor="_bookmark17">
            <w:r>
              <w:rPr/>
              <w:t>en una dieta base para</w:t>
            </w:r>
            <w:r>
              <w:rPr>
                <w:spacing w:val="-7"/>
              </w:rPr>
              <w:t> </w:t>
            </w:r>
            <w:r>
              <w:rPr/>
              <w:t>ganado</w:t>
            </w:r>
            <w:r>
              <w:rPr>
                <w:spacing w:val="1"/>
              </w:rPr>
              <w:t> </w:t>
            </w:r>
            <w:r>
              <w:rPr/>
              <w:t>lechero</w:t>
            </w:r>
            <w:r>
              <w:rPr>
                <w:rFonts w:ascii="Calibri" w:hAnsi="Calibri"/>
              </w:rPr>
              <w:tab/>
              <w:t>20</w:t>
            </w:r>
          </w:hyperlink>
        </w:p>
        <w:p>
          <w:pPr>
            <w:pStyle w:val="TOC1"/>
            <w:numPr>
              <w:ilvl w:val="1"/>
              <w:numId w:val="3"/>
            </w:numPr>
            <w:tabs>
              <w:tab w:pos="489" w:val="left" w:leader="none"/>
              <w:tab w:pos="8950" w:val="right" w:leader="dot"/>
            </w:tabs>
            <w:spacing w:line="240" w:lineRule="auto" w:before="192" w:after="0"/>
            <w:ind w:left="488" w:right="0" w:hanging="369"/>
            <w:jc w:val="left"/>
            <w:rPr>
              <w:rFonts w:ascii="Calibri" w:hAnsi="Calibri"/>
            </w:rPr>
          </w:pPr>
          <w:hyperlink w:history="true" w:anchor="_bookmark18">
            <w:r>
              <w:rPr/>
              <w:t>Cálculos.</w:t>
            </w:r>
            <w:r>
              <w:rPr>
                <w:rFonts w:ascii="Calibri" w:hAnsi="Calibri"/>
              </w:rPr>
              <w:tab/>
              <w:t>21</w:t>
            </w:r>
          </w:hyperlink>
        </w:p>
        <w:p>
          <w:pPr>
            <w:pStyle w:val="TOC1"/>
            <w:numPr>
              <w:ilvl w:val="1"/>
              <w:numId w:val="3"/>
            </w:numPr>
            <w:tabs>
              <w:tab w:pos="489" w:val="left" w:leader="none"/>
              <w:tab w:pos="8950" w:val="right" w:leader="dot"/>
            </w:tabs>
            <w:spacing w:line="240" w:lineRule="auto" w:before="240" w:after="0"/>
            <w:ind w:left="488" w:right="0" w:hanging="369"/>
            <w:jc w:val="left"/>
            <w:rPr>
              <w:rFonts w:ascii="Calibri" w:hAnsi="Calibri"/>
            </w:rPr>
          </w:pPr>
          <w:hyperlink w:history="true" w:anchor="_bookmark19">
            <w:r>
              <w:rPr/>
              <w:t>Diseño</w:t>
            </w:r>
            <w:r>
              <w:rPr>
                <w:spacing w:val="-3"/>
              </w:rPr>
              <w:t> </w:t>
            </w:r>
            <w:r>
              <w:rPr/>
              <w:t>experimental</w:t>
            </w:r>
            <w:r>
              <w:rPr>
                <w:rFonts w:ascii="Calibri" w:hAnsi="Calibri"/>
              </w:rPr>
              <w:tab/>
              <w:t>23</w:t>
            </w:r>
          </w:hyperlink>
        </w:p>
        <w:p>
          <w:pPr>
            <w:pStyle w:val="TOC1"/>
            <w:tabs>
              <w:tab w:pos="8950" w:val="right" w:leader="dot"/>
            </w:tabs>
            <w:rPr>
              <w:rFonts w:ascii="Calibri" w:hAnsi="Calibri"/>
            </w:rPr>
          </w:pPr>
          <w:hyperlink w:history="true" w:anchor="_bookmark20">
            <w:r>
              <w:rPr/>
              <w:t>7.8.</w:t>
            </w:r>
            <w:r>
              <w:rPr>
                <w:spacing w:val="1"/>
              </w:rPr>
              <w:t> </w:t>
            </w:r>
            <w:r>
              <w:rPr/>
              <w:t>Análisis</w:t>
            </w:r>
            <w:r>
              <w:rPr>
                <w:spacing w:val="-5"/>
              </w:rPr>
              <w:t> </w:t>
            </w:r>
            <w:r>
              <w:rPr/>
              <w:t>estadístico</w:t>
            </w:r>
            <w:r>
              <w:rPr>
                <w:rFonts w:ascii="Calibri" w:hAnsi="Calibri"/>
              </w:rPr>
              <w:tab/>
              <w:t>24</w:t>
            </w:r>
          </w:hyperlink>
        </w:p>
        <w:p>
          <w:pPr>
            <w:pStyle w:val="TOC1"/>
            <w:tabs>
              <w:tab w:pos="8950" w:val="right" w:leader="dot"/>
            </w:tabs>
            <w:rPr>
              <w:rFonts w:ascii="Calibri"/>
            </w:rPr>
          </w:pPr>
          <w:hyperlink w:history="true" w:anchor="_bookmark21">
            <w:r>
              <w:rPr/>
              <w:t>VIIl.</w:t>
            </w:r>
            <w:r>
              <w:rPr>
                <w:spacing w:val="1"/>
              </w:rPr>
              <w:t> </w:t>
            </w:r>
            <w:r>
              <w:rPr/>
              <w:t>RESULTADOS</w:t>
            </w:r>
            <w:r>
              <w:rPr>
                <w:rFonts w:ascii="Calibri"/>
              </w:rPr>
              <w:tab/>
              <w:t>25</w:t>
            </w:r>
          </w:hyperlink>
        </w:p>
        <w:p>
          <w:pPr>
            <w:pStyle w:val="TOC1"/>
            <w:numPr>
              <w:ilvl w:val="1"/>
              <w:numId w:val="4"/>
            </w:numPr>
            <w:tabs>
              <w:tab w:pos="489" w:val="left" w:leader="none"/>
              <w:tab w:pos="8950" w:val="right" w:leader="dot"/>
            </w:tabs>
            <w:spacing w:line="240" w:lineRule="auto" w:before="58" w:after="0"/>
            <w:ind w:left="488" w:right="0" w:hanging="369"/>
            <w:jc w:val="left"/>
            <w:rPr>
              <w:rFonts w:ascii="Calibri" w:hAnsi="Calibri"/>
            </w:rPr>
          </w:pPr>
          <w:hyperlink w:history="true" w:anchor="_bookmark22">
            <w:r>
              <w:rPr/>
              <w:t>Carta de recepción</w:t>
            </w:r>
            <w:r>
              <w:rPr>
                <w:spacing w:val="1"/>
              </w:rPr>
              <w:t> </w:t>
            </w:r>
            <w:r>
              <w:rPr/>
              <w:t>de</w:t>
            </w:r>
            <w:r>
              <w:rPr>
                <w:spacing w:val="1"/>
              </w:rPr>
              <w:t> </w:t>
            </w:r>
            <w:r>
              <w:rPr/>
              <w:t>artículo</w:t>
            </w:r>
            <w:r>
              <w:rPr>
                <w:rFonts w:ascii="Calibri" w:hAnsi="Calibri"/>
              </w:rPr>
              <w:tab/>
              <w:t>25</w:t>
            </w:r>
          </w:hyperlink>
        </w:p>
        <w:p>
          <w:pPr>
            <w:pStyle w:val="TOC1"/>
            <w:numPr>
              <w:ilvl w:val="1"/>
              <w:numId w:val="4"/>
            </w:numPr>
            <w:tabs>
              <w:tab w:pos="489" w:val="left" w:leader="none"/>
              <w:tab w:pos="8950" w:val="right" w:leader="dot"/>
            </w:tabs>
            <w:spacing w:line="240" w:lineRule="auto" w:before="240" w:after="0"/>
            <w:ind w:left="488" w:right="0" w:hanging="369"/>
            <w:jc w:val="left"/>
            <w:rPr>
              <w:rFonts w:ascii="Calibri" w:hAnsi="Calibri"/>
            </w:rPr>
          </w:pPr>
          <w:hyperlink w:history="true" w:anchor="_bookmark23">
            <w:r>
              <w:rPr/>
              <w:t>Artículo</w:t>
            </w:r>
            <w:r>
              <w:rPr>
                <w:spacing w:val="-3"/>
              </w:rPr>
              <w:t> </w:t>
            </w:r>
            <w:r>
              <w:rPr/>
              <w:t>enviado</w:t>
            </w:r>
            <w:r>
              <w:rPr>
                <w:rFonts w:ascii="Calibri" w:hAnsi="Calibri"/>
              </w:rPr>
              <w:tab/>
              <w:t>26</w:t>
            </w:r>
          </w:hyperlink>
        </w:p>
        <w:p>
          <w:pPr>
            <w:pStyle w:val="TOC1"/>
            <w:tabs>
              <w:tab w:pos="8950" w:val="right" w:leader="dot"/>
            </w:tabs>
            <w:spacing w:before="241"/>
            <w:rPr>
              <w:rFonts w:ascii="Calibri" w:hAnsi="Calibri"/>
            </w:rPr>
          </w:pPr>
          <w:hyperlink w:history="true" w:anchor="_bookmark24">
            <w:r>
              <w:rPr/>
              <w:t>lX.</w:t>
            </w:r>
            <w:r>
              <w:rPr>
                <w:spacing w:val="1"/>
              </w:rPr>
              <w:t> </w:t>
            </w:r>
            <w:r>
              <w:rPr/>
              <w:t>CONCLUSIÓN</w:t>
            </w:r>
            <w:r>
              <w:rPr>
                <w:spacing w:val="-1"/>
              </w:rPr>
              <w:t> </w:t>
            </w:r>
            <w:r>
              <w:rPr/>
              <w:t>GENERAL</w:t>
            </w:r>
            <w:r>
              <w:rPr>
                <w:rFonts w:ascii="Calibri" w:hAnsi="Calibri"/>
              </w:rPr>
              <w:tab/>
              <w:t>61</w:t>
            </w:r>
          </w:hyperlink>
        </w:p>
        <w:p>
          <w:pPr>
            <w:pStyle w:val="TOC1"/>
            <w:tabs>
              <w:tab w:pos="8950" w:val="right" w:leader="dot"/>
            </w:tabs>
            <w:rPr>
              <w:rFonts w:ascii="Calibri"/>
            </w:rPr>
          </w:pPr>
          <w:hyperlink w:history="true" w:anchor="_bookmark25">
            <w:r>
              <w:rPr/>
              <w:t>X.</w:t>
            </w:r>
            <w:r>
              <w:rPr>
                <w:spacing w:val="1"/>
              </w:rPr>
              <w:t> </w:t>
            </w:r>
            <w:r>
              <w:rPr/>
              <w:t>LITERATURA</w:t>
            </w:r>
            <w:r>
              <w:rPr>
                <w:spacing w:val="1"/>
              </w:rPr>
              <w:t> </w:t>
            </w:r>
            <w:r>
              <w:rPr/>
              <w:t>CITADA</w:t>
            </w:r>
            <w:r>
              <w:rPr>
                <w:rFonts w:ascii="Calibri"/>
              </w:rPr>
              <w:tab/>
              <w:t>62</w:t>
            </w:r>
          </w:hyperlink>
        </w:p>
        <w:p>
          <w:pPr>
            <w:pStyle w:val="TOC1"/>
            <w:tabs>
              <w:tab w:pos="8950" w:val="right" w:leader="dot"/>
            </w:tabs>
            <w:rPr>
              <w:rFonts w:ascii="Calibri"/>
            </w:rPr>
          </w:pPr>
          <w:hyperlink w:history="true" w:anchor="_bookmark26">
            <w:r>
              <w:rPr/>
              <w:t>Xl.</w:t>
            </w:r>
            <w:r>
              <w:rPr>
                <w:spacing w:val="1"/>
              </w:rPr>
              <w:t> </w:t>
            </w:r>
            <w:r>
              <w:rPr/>
              <w:t>ANEXOS</w:t>
            </w:r>
            <w:r>
              <w:rPr>
                <w:rFonts w:ascii="Calibri"/>
              </w:rPr>
              <w:tab/>
              <w:t>71</w:t>
            </w:r>
          </w:hyperlink>
        </w:p>
      </w:sdtContent>
    </w:sdt>
    <w:p>
      <w:pPr>
        <w:spacing w:after="0"/>
        <w:rPr>
          <w:rFonts w:ascii="Calibri"/>
        </w:rPr>
        <w:sectPr>
          <w:type w:val="continuous"/>
          <w:pgSz w:w="12240" w:h="15840"/>
          <w:pgMar w:top="1360" w:bottom="1937" w:left="1580" w:right="1600"/>
        </w:sectPr>
      </w:pPr>
    </w:p>
    <w:p>
      <w:pPr>
        <w:pStyle w:val="Heading1"/>
        <w:numPr>
          <w:ilvl w:val="0"/>
          <w:numId w:val="5"/>
        </w:numPr>
        <w:tabs>
          <w:tab w:pos="336" w:val="left" w:leader="none"/>
        </w:tabs>
        <w:spacing w:line="240" w:lineRule="auto" w:before="46" w:after="0"/>
        <w:ind w:left="335" w:right="0" w:hanging="216"/>
        <w:jc w:val="both"/>
      </w:pPr>
      <w:bookmarkStart w:name="_bookmark0" w:id="1"/>
      <w:bookmarkEnd w:id="1"/>
      <w:r>
        <w:rPr>
          <w:b w:val="0"/>
        </w:rPr>
      </w:r>
      <w:bookmarkStart w:name="_bookmark0" w:id="2"/>
      <w:bookmarkEnd w:id="2"/>
      <w:r>
        <w:rPr/>
        <w:t>I</w:t>
      </w:r>
      <w:r>
        <w:rPr/>
        <w:t>NTRODUCCIÓN</w:t>
      </w:r>
    </w:p>
    <w:p>
      <w:pPr>
        <w:pStyle w:val="BodyText"/>
        <w:rPr>
          <w:b/>
          <w:sz w:val="34"/>
        </w:rPr>
      </w:pPr>
    </w:p>
    <w:p>
      <w:pPr>
        <w:pStyle w:val="BodyText"/>
        <w:spacing w:line="360" w:lineRule="auto" w:before="1"/>
        <w:ind w:left="119" w:right="115"/>
        <w:jc w:val="both"/>
      </w:pPr>
      <w:r>
        <w:rPr/>
        <w:t>Durante los últimos años las investigaciones en nutrición de rumiantes han promovido el uso de plantas forrajeras nativas, silvestres o cultivadas como suplemento por su alto contenido de proteína (Moreno-Murillo </w:t>
      </w:r>
      <w:r>
        <w:rPr>
          <w:i/>
        </w:rPr>
        <w:t>et al</w:t>
      </w:r>
      <w:r>
        <w:rPr/>
        <w:t>., 2006). Sin embargo, estos pueden contener metabolitos secundarios (MSec) con importancia antimicrobial, ya que pueden modificar la fermentación ruminal y aumentar la eficiencia de la utilización de los forrajes (Greathead, 2003). Entre estos compuestos secundarios se encuentran los taninos (Makkar, 2007).</w:t>
      </w:r>
    </w:p>
    <w:p>
      <w:pPr>
        <w:pStyle w:val="BodyText"/>
      </w:pPr>
    </w:p>
    <w:p>
      <w:pPr>
        <w:pStyle w:val="BodyText"/>
        <w:spacing w:line="360" w:lineRule="auto" w:before="206"/>
        <w:ind w:left="119" w:right="114"/>
        <w:jc w:val="both"/>
      </w:pPr>
      <w:r>
        <w:rPr/>
        <w:t>Los taninos condensados, a altas concentraciones afectan a los rumiantes; mientras que, a bajas concentraciones los benefician (Torres-Acosta </w:t>
      </w:r>
      <w:r>
        <w:rPr>
          <w:i/>
        </w:rPr>
        <w:t>et al. </w:t>
      </w:r>
      <w:r>
        <w:rPr/>
        <w:t>2008). Un efecto positivo sucede cuando el tanino protege la proteína vegetal (complejo tanino-proteína) de la degradación microbiana en rumen, para posteriormente romperse en el abomaso, dándose así una absorción de nitrógeno en el intestino (Givens </w:t>
      </w:r>
      <w:r>
        <w:rPr>
          <w:i/>
        </w:rPr>
        <w:t>et al., </w:t>
      </w:r>
      <w:r>
        <w:rPr/>
        <w:t>2000), además suelen reducir la emisión de metano (Tiemann </w:t>
      </w:r>
      <w:r>
        <w:rPr>
          <w:i/>
        </w:rPr>
        <w:t>et al</w:t>
      </w:r>
      <w:r>
        <w:rPr/>
        <w:t>., 2006b), tienen un efecto antihelmíntico (Salem </w:t>
      </w:r>
      <w:r>
        <w:rPr>
          <w:i/>
        </w:rPr>
        <w:t>et al</w:t>
      </w:r>
      <w:r>
        <w:rPr/>
        <w:t>., 2012) y antitimpánico (Torres-Acosta </w:t>
      </w:r>
      <w:r>
        <w:rPr>
          <w:i/>
        </w:rPr>
        <w:t>et al., </w:t>
      </w:r>
      <w:r>
        <w:rPr/>
        <w:t>2008). Los efectos negativos se manifiestan con niveles altos de taninos condensados reduciendo la digestibilidad de los forrajes, la producción de ácidos grasos volátiles (Pinto-Ruiz </w:t>
      </w:r>
      <w:r>
        <w:rPr>
          <w:i/>
        </w:rPr>
        <w:t>et al., </w:t>
      </w:r>
      <w:r>
        <w:rPr/>
        <w:t>2009) y el desempeño animal, esto depende de la cantidad y la actividad biológica de los taninos presentes (Shofield, 2001; Tiemann </w:t>
      </w:r>
      <w:r>
        <w:rPr>
          <w:i/>
        </w:rPr>
        <w:t>et al</w:t>
      </w:r>
      <w:r>
        <w:rPr/>
        <w:t>., 2006b). Recientemente, se ha sugerido que el efecto negativo de los taninos presentes en algunos forrajes puede disminuir si este es consumido en bajas cantidades y mezclados con otros forrajes (Ramírez, 2009).</w:t>
      </w:r>
    </w:p>
    <w:p>
      <w:pPr>
        <w:pStyle w:val="BodyText"/>
      </w:pPr>
    </w:p>
    <w:p>
      <w:pPr>
        <w:pStyle w:val="BodyText"/>
        <w:spacing w:line="360" w:lineRule="auto" w:before="139"/>
        <w:ind w:left="119" w:right="119"/>
        <w:jc w:val="both"/>
      </w:pPr>
      <w:r>
        <w:rPr/>
        <w:t>Con estos estudios aún no es claro el efecto de los taninos sobre la fermentación ruminal, Clausen </w:t>
      </w:r>
      <w:r>
        <w:rPr>
          <w:i/>
        </w:rPr>
        <w:t>et al. </w:t>
      </w:r>
      <w:r>
        <w:rPr/>
        <w:t>(1990) menciona que los taninos condensados de diferentes especies vegetales poseen propiedades físicas y químicas que marcan variaciones en cuanto a un posible efecto en los</w:t>
      </w:r>
      <w:r>
        <w:rPr>
          <w:spacing w:val="-24"/>
        </w:rPr>
        <w:t> </w:t>
      </w:r>
      <w:r>
        <w:rPr/>
        <w:t>rumiantes.</w:t>
      </w:r>
    </w:p>
    <w:p>
      <w:pPr>
        <w:spacing w:after="0" w:line="360" w:lineRule="auto"/>
        <w:jc w:val="both"/>
        <w:sectPr>
          <w:footerReference w:type="default" r:id="rId6"/>
          <w:pgSz w:w="12240" w:h="15840"/>
          <w:pgMar w:footer="1476" w:header="0" w:top="1400" w:bottom="1660" w:left="1580" w:right="1580"/>
          <w:pgNumType w:start="1"/>
        </w:sectPr>
      </w:pPr>
    </w:p>
    <w:p>
      <w:pPr>
        <w:pStyle w:val="Heading1"/>
        <w:numPr>
          <w:ilvl w:val="0"/>
          <w:numId w:val="5"/>
        </w:numPr>
        <w:tabs>
          <w:tab w:pos="413" w:val="left" w:leader="none"/>
        </w:tabs>
        <w:spacing w:line="240" w:lineRule="auto" w:before="47" w:after="0"/>
        <w:ind w:left="412" w:right="0" w:hanging="293"/>
        <w:jc w:val="both"/>
      </w:pPr>
      <w:bookmarkStart w:name="_bookmark1" w:id="3"/>
      <w:bookmarkEnd w:id="3"/>
      <w:r>
        <w:rPr>
          <w:b w:val="0"/>
        </w:rPr>
      </w:r>
      <w:bookmarkStart w:name="_bookmark1" w:id="4"/>
      <w:bookmarkEnd w:id="4"/>
      <w:r>
        <w:rPr/>
        <w:t>A</w:t>
      </w:r>
      <w:r>
        <w:rPr/>
        <w:t>NTECEDENTES</w:t>
      </w:r>
    </w:p>
    <w:p>
      <w:pPr>
        <w:pStyle w:val="BodyText"/>
        <w:spacing w:before="7"/>
        <w:rPr>
          <w:b/>
          <w:sz w:val="33"/>
        </w:rPr>
      </w:pPr>
    </w:p>
    <w:p>
      <w:pPr>
        <w:pStyle w:val="Heading1"/>
        <w:numPr>
          <w:ilvl w:val="1"/>
          <w:numId w:val="6"/>
        </w:numPr>
        <w:tabs>
          <w:tab w:pos="553" w:val="left" w:leader="none"/>
        </w:tabs>
        <w:spacing w:line="240" w:lineRule="auto" w:before="1" w:after="0"/>
        <w:ind w:left="552" w:right="0" w:hanging="433"/>
        <w:jc w:val="both"/>
      </w:pPr>
      <w:bookmarkStart w:name="_bookmark2" w:id="5"/>
      <w:bookmarkEnd w:id="5"/>
      <w:r>
        <w:rPr>
          <w:b w:val="0"/>
        </w:rPr>
      </w:r>
      <w:bookmarkStart w:name="_bookmark2" w:id="6"/>
      <w:bookmarkEnd w:id="6"/>
      <w:r>
        <w:rPr/>
        <w:t>Fisiología</w:t>
      </w:r>
      <w:r>
        <w:rPr/>
        <w:t> del</w:t>
      </w:r>
      <w:r>
        <w:rPr>
          <w:spacing w:val="-9"/>
        </w:rPr>
        <w:t> </w:t>
      </w:r>
      <w:r>
        <w:rPr/>
        <w:t>rumen</w:t>
      </w:r>
    </w:p>
    <w:p>
      <w:pPr>
        <w:pStyle w:val="BodyText"/>
        <w:spacing w:line="360" w:lineRule="auto" w:before="219"/>
        <w:ind w:left="119" w:right="117"/>
        <w:jc w:val="both"/>
      </w:pPr>
      <w:r>
        <w:rPr/>
        <w:t>Los rumiantes son los animales que digieren los alimentos en dos etapas; primero los consumen y luego realizan la rumia, poseen un sistema digestivo que tiene la capacidad de aprovechar y convertir el material fibroso con altos contenidos de carbohidratos estructurales, en alimentos de alta calidad nutritiva: carne y leche. (Montenegro </w:t>
      </w:r>
      <w:r>
        <w:rPr>
          <w:i/>
        </w:rPr>
        <w:t>et al</w:t>
      </w:r>
      <w:r>
        <w:rPr/>
        <w:t>., 2000).</w:t>
      </w:r>
    </w:p>
    <w:p>
      <w:pPr>
        <w:pStyle w:val="BodyText"/>
      </w:pPr>
    </w:p>
    <w:p>
      <w:pPr>
        <w:pStyle w:val="BodyText"/>
        <w:spacing w:line="360" w:lineRule="auto" w:before="139"/>
        <w:ind w:left="119" w:right="117"/>
        <w:jc w:val="both"/>
      </w:pPr>
      <w:r>
        <w:rPr/>
        <w:t>Los rumiantes, como ovejas, vacas, cabras y antílopes tienen un estómago que ocupa casi tres cuartas partes de la cavidad abdominal y está formado por cuatro compartimentos: rumen, retículo, omaso y el abomaso. Estos compartimientos se desarrollan desde el estómago en el estado embrionario y son relativamente pequeños en el animal recién nacido donde el rumen y el retículo juntos apenas son la mitad del abomaso o estómago verdadero (Annison y Lewis, 1986). En cambio, los camellos, las llamas y otras especies relacionadas son consideradas pseudorumiantes, debido a que poseen un estómago dividido en tres compartimentos. El compartimento ausente en estas especies es el omaso (Ramírez, 2003).</w:t>
      </w:r>
    </w:p>
    <w:p>
      <w:pPr>
        <w:pStyle w:val="BodyText"/>
      </w:pPr>
    </w:p>
    <w:p>
      <w:pPr>
        <w:pStyle w:val="BodyText"/>
        <w:spacing w:line="360" w:lineRule="auto" w:before="144"/>
        <w:ind w:left="119" w:right="115"/>
        <w:jc w:val="both"/>
      </w:pPr>
      <w:r>
        <w:rPr/>
        <w:t>El rumen es un pre-estómago complejo de tamaño considerable, y en menor extensión por el ciego y el colon. El crecimiento considerable del rumen se realiza durante los primeros meses de vida, pero se sabe que el elemento principal de su desarrollo es la ingestión de sólidos (Annison y Lewis, 1986). El rumen ocupa </w:t>
      </w:r>
      <w:r>
        <w:rPr>
          <w:spacing w:val="-3"/>
        </w:rPr>
        <w:t>más </w:t>
      </w:r>
      <w:r>
        <w:rPr/>
        <w:t>del 70% de la capacidad del estómago y su volumen total es de 15 L en el ganado ovino y en los bovinos entre 100-150 L (Tsuda, 1994). El rumen todavía no es funcional en los animales recién nacidos, pero la fermentación ruminal empieza en unas cuatro semanas. A medida que crece el rumen, va estableciéndose una población mixta de bacterias y protozoos. La fuente de los protozoarios es indudablemente   la  inoculación  cruzada  de  otros  animales,  puesto  que     </w:t>
      </w:r>
      <w:r>
        <w:rPr>
          <w:spacing w:val="64"/>
        </w:rPr>
        <w:t> </w:t>
      </w:r>
      <w:r>
        <w:rPr/>
        <w:t>los</w:t>
      </w:r>
    </w:p>
    <w:p>
      <w:pPr>
        <w:pStyle w:val="BodyText"/>
        <w:spacing w:before="3"/>
        <w:ind w:left="119"/>
        <w:jc w:val="both"/>
      </w:pPr>
      <w:r>
        <w:rPr/>
        <w:t>rumiantes jóvenes criados en aislamiento carecen de protozoarios del rumen.    La</w:t>
      </w:r>
    </w:p>
    <w:p>
      <w:pPr>
        <w:spacing w:after="0"/>
        <w:jc w:val="both"/>
        <w:sectPr>
          <w:pgSz w:w="12240" w:h="15840"/>
          <w:pgMar w:header="0" w:footer="1476" w:top="1360" w:bottom="1660" w:left="1580" w:right="1580"/>
        </w:sectPr>
      </w:pPr>
    </w:p>
    <w:p>
      <w:pPr>
        <w:pStyle w:val="BodyText"/>
        <w:spacing w:line="360" w:lineRule="auto" w:before="52"/>
        <w:ind w:left="119" w:right="125"/>
        <w:jc w:val="both"/>
      </w:pPr>
      <w:r>
        <w:rPr/>
        <w:t>flora bacteriana que se </w:t>
      </w:r>
      <w:r>
        <w:rPr>
          <w:spacing w:val="-3"/>
        </w:rPr>
        <w:t>forma </w:t>
      </w:r>
      <w:r>
        <w:rPr/>
        <w:t>una vez que se proporcionan alimentos sólidos debe ser introducida con los alimentos y el agua. </w:t>
      </w:r>
      <w:r>
        <w:rPr>
          <w:spacing w:val="-4"/>
        </w:rPr>
        <w:t>El </w:t>
      </w:r>
      <w:r>
        <w:rPr/>
        <w:t>contacto con otros animales resulta la forma </w:t>
      </w:r>
      <w:r>
        <w:rPr>
          <w:spacing w:val="-3"/>
        </w:rPr>
        <w:t>más </w:t>
      </w:r>
      <w:r>
        <w:rPr/>
        <w:t>rápida de establecerla con una diversidad mayor de organismos,  pero no se sabe si esto es ventajoso para el animal (Annison y Lewis,</w:t>
      </w:r>
      <w:r>
        <w:rPr>
          <w:spacing w:val="-23"/>
        </w:rPr>
        <w:t> </w:t>
      </w:r>
      <w:r>
        <w:rPr/>
        <w:t>1986).</w:t>
      </w:r>
    </w:p>
    <w:p>
      <w:pPr>
        <w:pStyle w:val="BodyText"/>
      </w:pPr>
    </w:p>
    <w:p>
      <w:pPr>
        <w:pStyle w:val="BodyText"/>
        <w:spacing w:line="360" w:lineRule="auto" w:before="139"/>
        <w:ind w:left="119" w:right="114"/>
        <w:jc w:val="both"/>
      </w:pPr>
      <w:r>
        <w:rPr/>
        <w:t>El rumen y el retículo anatómicamente son similares, y en general se consideran como un solo compartimento (retículo-rumen), solo los separa el pliegue reticuloruminal; esta separación es parcial, ya que existe </w:t>
      </w:r>
      <w:r>
        <w:rPr>
          <w:spacing w:val="3"/>
        </w:rPr>
        <w:t>libre </w:t>
      </w:r>
      <w:r>
        <w:rPr/>
        <w:t>intercambio de contenido. En estos dos órganos ocurre la mayor actividad de fermentación y absorción de nutrientes. En el animal lactante estos dos órganos están </w:t>
      </w:r>
      <w:r>
        <w:rPr>
          <w:spacing w:val="-3"/>
        </w:rPr>
        <w:t>muy </w:t>
      </w:r>
      <w:r>
        <w:rPr/>
        <w:t>poco desarrollados y la leche ingerida pasa directamente al omaso y el abomaso a través de la gotera esofagica. En el momento en que el ternero o el cordero empiezan a comer alimento sólido, estos dos órganos aumentan considerablemente de tamaño. El contenido del </w:t>
      </w:r>
      <w:r>
        <w:rPr>
          <w:spacing w:val="-3"/>
        </w:rPr>
        <w:t>rumen </w:t>
      </w:r>
      <w:r>
        <w:rPr/>
        <w:t>está formado por 850 a 930 g de agua/kg MS y normalmente se dispone en dos fases: una inferior líquida en la que van suspendidas las partículas </w:t>
      </w:r>
      <w:r>
        <w:rPr>
          <w:spacing w:val="-3"/>
        </w:rPr>
        <w:t>más </w:t>
      </w:r>
      <w:r>
        <w:rPr/>
        <w:t>finas de alimento, y otra superior </w:t>
      </w:r>
      <w:r>
        <w:rPr>
          <w:spacing w:val="-3"/>
        </w:rPr>
        <w:t>más  </w:t>
      </w:r>
      <w:r>
        <w:rPr/>
        <w:t>seca de materia solida </w:t>
      </w:r>
      <w:r>
        <w:rPr>
          <w:spacing w:val="-3"/>
        </w:rPr>
        <w:t>más </w:t>
      </w:r>
      <w:r>
        <w:rPr/>
        <w:t>gruesa (Ramírez, 2003).</w:t>
      </w:r>
    </w:p>
    <w:p>
      <w:pPr>
        <w:pStyle w:val="BodyText"/>
        <w:spacing w:line="360" w:lineRule="auto" w:before="209"/>
        <w:ind w:left="119" w:right="114"/>
        <w:jc w:val="both"/>
      </w:pPr>
      <w:r>
        <w:rPr/>
        <w:t>El rumiante crea y mantiene a nivel retículo-ruminal las condiciones ideales para el crecimiento y multiplicación de microorganismos. Las condiciones retículo- ruminales para el desarrollo de estos incluyen:</w:t>
      </w:r>
    </w:p>
    <w:p>
      <w:pPr>
        <w:pStyle w:val="BodyText"/>
      </w:pPr>
    </w:p>
    <w:p>
      <w:pPr>
        <w:pStyle w:val="ListParagraph"/>
        <w:numPr>
          <w:ilvl w:val="2"/>
          <w:numId w:val="6"/>
        </w:numPr>
        <w:tabs>
          <w:tab w:pos="826" w:val="left" w:leader="none"/>
        </w:tabs>
        <w:spacing w:line="360" w:lineRule="auto" w:before="144" w:after="0"/>
        <w:ind w:left="840" w:right="114" w:hanging="360"/>
        <w:jc w:val="both"/>
        <w:rPr>
          <w:sz w:val="24"/>
        </w:rPr>
      </w:pPr>
      <w:r>
        <w:rPr>
          <w:sz w:val="24"/>
        </w:rPr>
        <w:t>Aporte de nutrientes. Debe tenerse en cuenta que la nutrición del rumiante depende de la nutrición de su población ruminal. Esta degrada parcial o totalmente los componentes de la dieta, por lo cual puede aceptarse que en realidad se está alimentando al </w:t>
      </w:r>
      <w:r>
        <w:rPr>
          <w:spacing w:val="-3"/>
          <w:sz w:val="24"/>
        </w:rPr>
        <w:t>rumen </w:t>
      </w:r>
      <w:r>
        <w:rPr>
          <w:sz w:val="24"/>
        </w:rPr>
        <w:t>para que luego éste alimente al rumiante.</w:t>
      </w:r>
    </w:p>
    <w:p>
      <w:pPr>
        <w:pStyle w:val="ListParagraph"/>
        <w:numPr>
          <w:ilvl w:val="2"/>
          <w:numId w:val="6"/>
        </w:numPr>
        <w:tabs>
          <w:tab w:pos="893" w:val="left" w:leader="none"/>
        </w:tabs>
        <w:spacing w:line="360" w:lineRule="auto" w:before="3" w:after="0"/>
        <w:ind w:left="840" w:right="125" w:hanging="360"/>
        <w:jc w:val="both"/>
        <w:rPr>
          <w:sz w:val="24"/>
        </w:rPr>
      </w:pPr>
      <w:r>
        <w:rPr>
          <w:sz w:val="24"/>
        </w:rPr>
        <w:t>Anaerobiosis. El metabolismo anaerobio de los microorganismos ruminales es el factor responsable de la simbiosis con el rumiante. Al no utilizar oxígeno los microorganismos ruminales dependen de la vía glucolítica para la obtención de</w:t>
      </w:r>
      <w:r>
        <w:rPr>
          <w:spacing w:val="-11"/>
          <w:sz w:val="24"/>
        </w:rPr>
        <w:t> </w:t>
      </w:r>
      <w:r>
        <w:rPr>
          <w:sz w:val="24"/>
        </w:rPr>
        <w:t>energía.</w:t>
      </w:r>
    </w:p>
    <w:p>
      <w:pPr>
        <w:spacing w:after="0" w:line="360" w:lineRule="auto"/>
        <w:jc w:val="both"/>
        <w:rPr>
          <w:sz w:val="24"/>
        </w:rPr>
        <w:sectPr>
          <w:pgSz w:w="12240" w:h="15840"/>
          <w:pgMar w:header="0" w:footer="1476" w:top="1360" w:bottom="1660" w:left="1580" w:right="1580"/>
        </w:sectPr>
      </w:pPr>
    </w:p>
    <w:p>
      <w:pPr>
        <w:pStyle w:val="ListParagraph"/>
        <w:numPr>
          <w:ilvl w:val="2"/>
          <w:numId w:val="6"/>
        </w:numPr>
        <w:tabs>
          <w:tab w:pos="826" w:val="left" w:leader="none"/>
        </w:tabs>
        <w:spacing w:line="360" w:lineRule="auto" w:before="52" w:after="0"/>
        <w:ind w:left="840" w:right="123" w:hanging="360"/>
        <w:jc w:val="both"/>
        <w:rPr>
          <w:sz w:val="24"/>
        </w:rPr>
      </w:pPr>
      <w:r>
        <w:rPr>
          <w:sz w:val="24"/>
        </w:rPr>
        <w:t>pH. Cada microorganismo posee un rango de pH óptimo para desarrollarse. La flora normal del rumen desarrolla en un rango de pH de 5.5 a 6.9. Fuera de éste, el pH extremo favorece el desarrollo de otros microorganismos que alteran el patrón metabólico del rumen y enferman al</w:t>
      </w:r>
      <w:r>
        <w:rPr>
          <w:spacing w:val="-32"/>
          <w:sz w:val="24"/>
        </w:rPr>
        <w:t> </w:t>
      </w:r>
      <w:r>
        <w:rPr>
          <w:sz w:val="24"/>
        </w:rPr>
        <w:t>rumiante.</w:t>
      </w:r>
    </w:p>
    <w:p>
      <w:pPr>
        <w:pStyle w:val="ListParagraph"/>
        <w:numPr>
          <w:ilvl w:val="2"/>
          <w:numId w:val="6"/>
        </w:numPr>
        <w:tabs>
          <w:tab w:pos="826" w:val="left" w:leader="none"/>
        </w:tabs>
        <w:spacing w:line="360" w:lineRule="auto" w:before="2" w:after="0"/>
        <w:ind w:left="840" w:right="123" w:hanging="360"/>
        <w:jc w:val="both"/>
        <w:rPr>
          <w:sz w:val="24"/>
        </w:rPr>
      </w:pPr>
      <w:r>
        <w:rPr>
          <w:sz w:val="24"/>
        </w:rPr>
        <w:t>Presión osmótica. </w:t>
      </w:r>
      <w:r>
        <w:rPr>
          <w:spacing w:val="-4"/>
          <w:sz w:val="24"/>
        </w:rPr>
        <w:t>El </w:t>
      </w:r>
      <w:r>
        <w:rPr>
          <w:sz w:val="24"/>
        </w:rPr>
        <w:t>contenido ruminal mantiene una presión osmótica de alrededor de 300 m Osm/lt, para evitar pérdidas desmedidas de agua desde el líquido intersticial hacia el rumen o</w:t>
      </w:r>
      <w:r>
        <w:rPr>
          <w:spacing w:val="-22"/>
          <w:sz w:val="24"/>
        </w:rPr>
        <w:t> </w:t>
      </w:r>
      <w:r>
        <w:rPr>
          <w:sz w:val="24"/>
        </w:rPr>
        <w:t>viceversa.</w:t>
      </w:r>
    </w:p>
    <w:p>
      <w:pPr>
        <w:pStyle w:val="ListParagraph"/>
        <w:numPr>
          <w:ilvl w:val="2"/>
          <w:numId w:val="6"/>
        </w:numPr>
        <w:tabs>
          <w:tab w:pos="826" w:val="left" w:leader="none"/>
        </w:tabs>
        <w:spacing w:line="360" w:lineRule="auto" w:before="3" w:after="0"/>
        <w:ind w:left="840" w:right="118" w:hanging="360"/>
        <w:jc w:val="both"/>
        <w:rPr>
          <w:sz w:val="24"/>
        </w:rPr>
      </w:pPr>
      <w:r>
        <w:rPr>
          <w:sz w:val="24"/>
        </w:rPr>
        <w:t>Temperatura. Es otro de los factores que condicionan el desarrollo bacteriano. Producto de las reacciones químicas dentro del </w:t>
      </w:r>
      <w:r>
        <w:rPr>
          <w:spacing w:val="-2"/>
          <w:sz w:val="24"/>
        </w:rPr>
        <w:t>rumen, </w:t>
      </w:r>
      <w:r>
        <w:rPr>
          <w:spacing w:val="9"/>
          <w:sz w:val="24"/>
        </w:rPr>
        <w:t>la </w:t>
      </w:r>
      <w:r>
        <w:rPr>
          <w:sz w:val="24"/>
        </w:rPr>
        <w:t>temperatura ruminal se mantiene entre 38 y 42</w:t>
      </w:r>
      <w:r>
        <w:rPr>
          <w:spacing w:val="-24"/>
          <w:sz w:val="24"/>
        </w:rPr>
        <w:t> </w:t>
      </w:r>
      <w:r>
        <w:rPr>
          <w:sz w:val="24"/>
        </w:rPr>
        <w:t>°C.</w:t>
      </w:r>
    </w:p>
    <w:p>
      <w:pPr>
        <w:pStyle w:val="ListParagraph"/>
        <w:numPr>
          <w:ilvl w:val="2"/>
          <w:numId w:val="6"/>
        </w:numPr>
        <w:tabs>
          <w:tab w:pos="826" w:val="left" w:leader="none"/>
        </w:tabs>
        <w:spacing w:line="360" w:lineRule="auto" w:before="7" w:after="0"/>
        <w:ind w:left="840" w:right="118" w:hanging="360"/>
        <w:jc w:val="both"/>
        <w:rPr>
          <w:sz w:val="24"/>
        </w:rPr>
      </w:pPr>
      <w:r>
        <w:rPr>
          <w:sz w:val="24"/>
        </w:rPr>
        <w:t>Potencial redox. En el rumen oscila entre -250 y -450 </w:t>
      </w:r>
      <w:r>
        <w:rPr>
          <w:spacing w:val="-2"/>
          <w:sz w:val="24"/>
        </w:rPr>
        <w:t>mV, </w:t>
      </w:r>
      <w:r>
        <w:rPr>
          <w:sz w:val="24"/>
        </w:rPr>
        <w:t>reflejando la ausencia de oxígeno y el exceso del poder</w:t>
      </w:r>
      <w:r>
        <w:rPr>
          <w:spacing w:val="-20"/>
          <w:sz w:val="24"/>
        </w:rPr>
        <w:t> </w:t>
      </w:r>
      <w:r>
        <w:rPr>
          <w:sz w:val="24"/>
        </w:rPr>
        <w:t>reductor.</w:t>
      </w:r>
    </w:p>
    <w:p>
      <w:pPr>
        <w:pStyle w:val="ListParagraph"/>
        <w:numPr>
          <w:ilvl w:val="2"/>
          <w:numId w:val="6"/>
        </w:numPr>
        <w:tabs>
          <w:tab w:pos="826" w:val="left" w:leader="none"/>
        </w:tabs>
        <w:spacing w:line="350" w:lineRule="auto" w:before="2" w:after="0"/>
        <w:ind w:left="840" w:right="113" w:hanging="360"/>
        <w:jc w:val="both"/>
        <w:rPr>
          <w:sz w:val="24"/>
        </w:rPr>
      </w:pPr>
      <w:r>
        <w:rPr>
          <w:sz w:val="24"/>
        </w:rPr>
        <w:t>Eliminación de los productos de desecho del metabolismo ruminal (Ácidos grasos volátiles [AGV], gases y alimento no digerido). Los AGV e </w:t>
      </w:r>
      <w:r>
        <w:rPr>
          <w:spacing w:val="3"/>
          <w:sz w:val="24"/>
        </w:rPr>
        <w:t>H</w:t>
      </w:r>
      <w:r>
        <w:rPr>
          <w:spacing w:val="3"/>
          <w:position w:val="11"/>
          <w:sz w:val="16"/>
        </w:rPr>
        <w:t>+ </w:t>
      </w:r>
      <w:r>
        <w:rPr>
          <w:sz w:val="24"/>
        </w:rPr>
        <w:t>deben ser retirados del rumen, de otro modo su acumulación excesiva aumentaría la presión osmótica y disminuiría el pH a valores nocivos. Los AGV son retirados por absorción a través de las paredes del </w:t>
      </w:r>
      <w:r>
        <w:rPr>
          <w:spacing w:val="-2"/>
          <w:sz w:val="24"/>
        </w:rPr>
        <w:t>rumen. </w:t>
      </w:r>
      <w:r>
        <w:rPr>
          <w:sz w:val="24"/>
        </w:rPr>
        <w:t>El H</w:t>
      </w:r>
      <w:r>
        <w:rPr>
          <w:position w:val="11"/>
          <w:sz w:val="16"/>
        </w:rPr>
        <w:t>+ </w:t>
      </w:r>
      <w:r>
        <w:rPr>
          <w:sz w:val="24"/>
        </w:rPr>
        <w:t>es eliminado tras la formación de metano. Un bovino produce diariamente cientos de litros de gas, especialmente </w:t>
      </w:r>
      <w:r>
        <w:rPr>
          <w:spacing w:val="2"/>
          <w:sz w:val="24"/>
        </w:rPr>
        <w:t>CO</w:t>
      </w:r>
      <w:r>
        <w:rPr>
          <w:spacing w:val="2"/>
          <w:position w:val="-2"/>
          <w:sz w:val="16"/>
        </w:rPr>
        <w:t>2 </w:t>
      </w:r>
      <w:r>
        <w:rPr>
          <w:sz w:val="24"/>
        </w:rPr>
        <w:t>y CH</w:t>
      </w:r>
      <w:r>
        <w:rPr>
          <w:position w:val="-2"/>
          <w:sz w:val="16"/>
        </w:rPr>
        <w:t>4</w:t>
      </w:r>
      <w:r>
        <w:rPr>
          <w:sz w:val="24"/>
        </w:rPr>
        <w:t>, que deben ser eliminados por eructación. La fracción de la dieta que no pudo ser digerida debe continuar </w:t>
      </w:r>
      <w:r>
        <w:rPr>
          <w:spacing w:val="-3"/>
          <w:sz w:val="24"/>
        </w:rPr>
        <w:t>su </w:t>
      </w:r>
      <w:r>
        <w:rPr>
          <w:sz w:val="24"/>
        </w:rPr>
        <w:t>tránsito por el aparato digestivo (Relling </w:t>
      </w:r>
      <w:r>
        <w:rPr>
          <w:i/>
          <w:sz w:val="24"/>
        </w:rPr>
        <w:t>et al.,</w:t>
      </w:r>
      <w:r>
        <w:rPr>
          <w:i/>
          <w:spacing w:val="-14"/>
          <w:sz w:val="24"/>
        </w:rPr>
        <w:t> </w:t>
      </w:r>
      <w:r>
        <w:rPr>
          <w:sz w:val="24"/>
        </w:rPr>
        <w:t>2002)</w:t>
      </w:r>
    </w:p>
    <w:p>
      <w:pPr>
        <w:pStyle w:val="BodyText"/>
      </w:pPr>
    </w:p>
    <w:p>
      <w:pPr>
        <w:pStyle w:val="BodyText"/>
        <w:spacing w:line="357" w:lineRule="auto" w:before="155"/>
        <w:ind w:left="119" w:right="115"/>
        <w:jc w:val="both"/>
      </w:pPr>
      <w:r>
        <w:rPr/>
        <w:t>El abomaso es el verdadero estómago del rumiante, debido a que ahí se lleva a cabo la digestión ácida y parcialmente enzimática de algunos nutrientes, como las proteínas, y se coagula la leche en los rumiantes lactantes (Ramírez, 2003)</w:t>
      </w:r>
    </w:p>
    <w:p>
      <w:pPr>
        <w:pStyle w:val="BodyText"/>
        <w:spacing w:before="4"/>
        <w:rPr>
          <w:sz w:val="21"/>
        </w:rPr>
      </w:pPr>
    </w:p>
    <w:p>
      <w:pPr>
        <w:pStyle w:val="Heading1"/>
        <w:numPr>
          <w:ilvl w:val="1"/>
          <w:numId w:val="7"/>
        </w:numPr>
        <w:tabs>
          <w:tab w:pos="625" w:val="left" w:leader="none"/>
        </w:tabs>
        <w:spacing w:line="240" w:lineRule="auto" w:before="0" w:after="0"/>
        <w:ind w:left="624" w:right="0" w:hanging="505"/>
        <w:jc w:val="both"/>
      </w:pPr>
      <w:bookmarkStart w:name="_bookmark3" w:id="7"/>
      <w:bookmarkEnd w:id="7"/>
      <w:r>
        <w:rPr>
          <w:b w:val="0"/>
        </w:rPr>
      </w:r>
      <w:bookmarkStart w:name="_bookmark3" w:id="8"/>
      <w:bookmarkEnd w:id="8"/>
      <w:r>
        <w:rPr/>
        <w:t>P</w:t>
      </w:r>
      <w:r>
        <w:rPr/>
        <w:t>oblación microbiana</w:t>
      </w:r>
      <w:r>
        <w:rPr>
          <w:spacing w:val="-8"/>
        </w:rPr>
        <w:t> </w:t>
      </w:r>
      <w:r>
        <w:rPr/>
        <w:t>ruminal</w:t>
      </w:r>
    </w:p>
    <w:p>
      <w:pPr>
        <w:pStyle w:val="BodyText"/>
        <w:spacing w:line="360" w:lineRule="auto" w:before="214"/>
        <w:ind w:left="119" w:right="119"/>
        <w:jc w:val="both"/>
      </w:pPr>
      <w:r>
        <w:rPr/>
        <w:t>La microbiota del rumen mantiene una relación simbiótica verdadera con el huésped, son predominantemente bacterias, protozoos y hongos anaerobios y dependen del rumiante para disponer de las condiciones fisiológicas necesarias para  su  existencia.  A  su  vez,  estos  microorganismos  son  esenciales  para  la</w:t>
      </w:r>
    </w:p>
    <w:p>
      <w:pPr>
        <w:spacing w:after="0" w:line="360" w:lineRule="auto"/>
        <w:jc w:val="both"/>
        <w:sectPr>
          <w:pgSz w:w="12240" w:h="15840"/>
          <w:pgMar w:header="0" w:footer="1476" w:top="1360" w:bottom="1660" w:left="1580" w:right="1580"/>
        </w:sectPr>
      </w:pPr>
    </w:p>
    <w:p>
      <w:pPr>
        <w:pStyle w:val="BodyText"/>
        <w:spacing w:line="360" w:lineRule="auto" w:before="52"/>
        <w:ind w:left="119" w:right="116"/>
        <w:jc w:val="both"/>
      </w:pPr>
      <w:r>
        <w:rPr/>
        <w:t>digestión y fermentación de alimento fibroso que consumen los rumiantes que, de otra manera, no podrían utilizar de una forma eficaz. El rumen proporciona un ambiente ideal para el mantenimiento de una población microbiana. Los alimentos que ingiere el animal proporcionan un aporte constante de substrato y la gran capacidad del rumen aporta el volumen necesario y el tiempo de retención para que los complejos componentes de la dieta (celulosa y otros polisacáridos) sean degradados y fermentados por los microbios del rumen (Yokoyama y Johnson, 1988).</w:t>
      </w:r>
    </w:p>
    <w:p>
      <w:pPr>
        <w:pStyle w:val="BodyText"/>
        <w:spacing w:before="1"/>
        <w:rPr>
          <w:sz w:val="33"/>
        </w:rPr>
      </w:pPr>
    </w:p>
    <w:p>
      <w:pPr>
        <w:pStyle w:val="BodyText"/>
        <w:spacing w:line="360" w:lineRule="auto"/>
        <w:ind w:left="119" w:right="116"/>
        <w:jc w:val="both"/>
      </w:pPr>
      <w:r>
        <w:rPr/>
        <w:t>Las bacterias se encuentran en un número de 10</w:t>
      </w:r>
      <w:r>
        <w:rPr>
          <w:position w:val="11"/>
          <w:sz w:val="16"/>
        </w:rPr>
        <w:t>9 </w:t>
      </w:r>
      <w:r>
        <w:rPr/>
        <w:t>a 10</w:t>
      </w:r>
      <w:r>
        <w:rPr>
          <w:position w:val="11"/>
          <w:sz w:val="16"/>
        </w:rPr>
        <w:t>10 </w:t>
      </w:r>
      <w:r>
        <w:rPr/>
        <w:t>por ml, y cerca de 60 especies han sido identificadas. El número total de bacterias y la población relativa de especies individuales varía con la dieta de los animales, por ejemplo, dietas ricas en concentrados promueven un alto contenido de la proliferación de lactobacilos (Van Soest, 1994). La mayoría son anaerobios obligados y se encuentran desde bacterias celulolíticas (encargadas de degradar la celulosa), hemicelulolitícas (degradan hemicelulosa), bacterias amilolíticas (degradan almidón), bacterias proteolíticas (degradan proteína), bacterias productoras de amoniaco, y bacterias productoras de metano (Yokoyama y Johnson, 1988).</w:t>
      </w:r>
    </w:p>
    <w:p>
      <w:pPr>
        <w:pStyle w:val="BodyText"/>
        <w:spacing w:before="6"/>
        <w:rPr>
          <w:sz w:val="33"/>
        </w:rPr>
      </w:pPr>
    </w:p>
    <w:p>
      <w:pPr>
        <w:pStyle w:val="BodyText"/>
        <w:spacing w:line="360" w:lineRule="auto"/>
        <w:ind w:left="119" w:right="115"/>
        <w:jc w:val="both"/>
      </w:pPr>
      <w:r>
        <w:rPr/>
        <w:t>Los protozoarios están presentes en cantidades mucho menores </w:t>
      </w:r>
      <w:r>
        <w:rPr>
          <w:spacing w:val="3"/>
        </w:rPr>
        <w:t>(10</w:t>
      </w:r>
      <w:r>
        <w:rPr>
          <w:spacing w:val="3"/>
          <w:position w:val="11"/>
          <w:sz w:val="16"/>
        </w:rPr>
        <w:t>6 </w:t>
      </w:r>
      <w:r>
        <w:rPr/>
        <w:t>ml) que las bacterias, aunque se descubren especies flageladas, la mayoría son ciliadas (Ramírez, 2003). Se calcula que los protozoos pueden representar el 2% </w:t>
      </w:r>
      <w:r>
        <w:rPr>
          <w:spacing w:val="-3"/>
        </w:rPr>
        <w:t>del </w:t>
      </w:r>
      <w:r>
        <w:rPr/>
        <w:t>peso del contenido del rumen, el 40% del N microbiano total y proporcionar el 60% de los productos de la fermentación microbiana en el </w:t>
      </w:r>
      <w:r>
        <w:rPr>
          <w:spacing w:val="-2"/>
        </w:rPr>
        <w:t>rumen. </w:t>
      </w:r>
      <w:r>
        <w:rPr/>
        <w:t>Algunos estudios han demostrado que mejoran la digestibilidad, y las ganancias de peso son </w:t>
      </w:r>
      <w:r>
        <w:rPr>
          <w:spacing w:val="-3"/>
        </w:rPr>
        <w:t>más </w:t>
      </w:r>
      <w:r>
        <w:rPr/>
        <w:t>rápidas cuando el rumen los contiene (Yokoyama y Johnson,</w:t>
      </w:r>
      <w:r>
        <w:rPr>
          <w:spacing w:val="-33"/>
        </w:rPr>
        <w:t> </w:t>
      </w:r>
      <w:r>
        <w:rPr/>
        <w:t>1988).</w:t>
      </w:r>
    </w:p>
    <w:p>
      <w:pPr>
        <w:pStyle w:val="BodyText"/>
        <w:spacing w:before="10"/>
      </w:pPr>
    </w:p>
    <w:p>
      <w:pPr>
        <w:pStyle w:val="BodyText"/>
        <w:spacing w:line="410" w:lineRule="atLeast"/>
        <w:ind w:left="119" w:right="117"/>
        <w:jc w:val="both"/>
      </w:pPr>
      <w:r>
        <w:rPr/>
        <w:t>En rumen se han descubierto zoosporas de hongos ficomicetos y células vegetativas. Cuando los animales reciben dietas ricas en forrajes, los hongos del rumen pueden aportar el 8% de la masa microbiana. Todavía no se sabe con exactitud si estos hongos son funcionalmente importantes para el rumen,   aunque</w:t>
      </w:r>
    </w:p>
    <w:p>
      <w:pPr>
        <w:spacing w:after="0" w:line="410" w:lineRule="atLeast"/>
        <w:jc w:val="both"/>
        <w:sectPr>
          <w:pgSz w:w="12240" w:h="15840"/>
          <w:pgMar w:header="0" w:footer="1476" w:top="1360" w:bottom="1660" w:left="1580" w:right="1580"/>
        </w:sectPr>
      </w:pPr>
    </w:p>
    <w:p>
      <w:pPr>
        <w:pStyle w:val="BodyText"/>
        <w:spacing w:line="360" w:lineRule="auto" w:before="52"/>
        <w:ind w:left="119" w:right="137"/>
        <w:jc w:val="both"/>
      </w:pPr>
      <w:r>
        <w:rPr/>
        <w:t>se ha demostrado que degradan xilanos y celulosas, indicando que tienen al menos cierto papel en la digestión de la fibra (Óp. Cit.).</w:t>
      </w:r>
    </w:p>
    <w:p>
      <w:pPr>
        <w:pStyle w:val="BodyText"/>
        <w:spacing w:before="9"/>
        <w:rPr>
          <w:sz w:val="20"/>
        </w:rPr>
      </w:pPr>
    </w:p>
    <w:p>
      <w:pPr>
        <w:pStyle w:val="Heading1"/>
        <w:numPr>
          <w:ilvl w:val="1"/>
          <w:numId w:val="7"/>
        </w:numPr>
        <w:tabs>
          <w:tab w:pos="625" w:val="left" w:leader="none"/>
        </w:tabs>
        <w:spacing w:line="240" w:lineRule="auto" w:before="0" w:after="0"/>
        <w:ind w:left="624" w:right="0" w:hanging="505"/>
        <w:jc w:val="both"/>
      </w:pPr>
      <w:bookmarkStart w:name="_bookmark4" w:id="9"/>
      <w:bookmarkEnd w:id="9"/>
      <w:r>
        <w:rPr>
          <w:b w:val="0"/>
        </w:rPr>
      </w:r>
      <w:bookmarkStart w:name="_bookmark4" w:id="10"/>
      <w:bookmarkEnd w:id="10"/>
      <w:r>
        <w:rPr/>
        <w:t>F</w:t>
      </w:r>
      <w:r>
        <w:rPr/>
        <w:t>ermentación</w:t>
      </w:r>
      <w:r>
        <w:rPr>
          <w:spacing w:val="-8"/>
        </w:rPr>
        <w:t> </w:t>
      </w:r>
      <w:r>
        <w:rPr/>
        <w:t>ruminal</w:t>
      </w:r>
    </w:p>
    <w:p>
      <w:pPr>
        <w:pStyle w:val="BodyText"/>
        <w:spacing w:line="357" w:lineRule="auto" w:before="219"/>
        <w:ind w:left="119" w:right="113"/>
        <w:jc w:val="both"/>
      </w:pPr>
      <w:r>
        <w:rPr/>
        <w:t>La fermentación en el rumen es el resultado de actividades físicas y microbiológicas que transforman los componentes de la dieta en productos útiles (ácidos grasos volátiles [AGV], proteína microbiana y vitaminas del grupo B), no útiles (CH</w:t>
      </w:r>
      <w:r>
        <w:rPr>
          <w:position w:val="-2"/>
          <w:sz w:val="16"/>
        </w:rPr>
        <w:t>4</w:t>
      </w:r>
      <w:r>
        <w:rPr/>
        <w:t>, CO</w:t>
      </w:r>
      <w:r>
        <w:rPr>
          <w:position w:val="-2"/>
          <w:sz w:val="16"/>
        </w:rPr>
        <w:t>2</w:t>
      </w:r>
      <w:r>
        <w:rPr/>
        <w:t>) o incluso nocivos (amoniaco, nitrato) para el animal huésped (Owens y Goetsch, 1988).</w:t>
      </w:r>
    </w:p>
    <w:p>
      <w:pPr>
        <w:pStyle w:val="BodyText"/>
      </w:pPr>
    </w:p>
    <w:p>
      <w:pPr>
        <w:pStyle w:val="BodyText"/>
        <w:spacing w:line="360" w:lineRule="auto" w:before="142"/>
        <w:ind w:left="119" w:right="117"/>
        <w:jc w:val="both"/>
      </w:pPr>
      <w:r>
        <w:rPr/>
        <w:t>El contenido del rumen se mezcla continuamente por las contracciones rítmicas de sus paredes, y durante la rumia la parte más próxima al exterior pasa al esófago y se devuelve a la boca por una onda de contracción. La porción líquida es tragada de nuevo rápidamente, pero el componente sólido se mastica en forma concienzuda antes de pasar de nuevo al rumen. El tiempo que el animal destina a rumiar depende del contenido fibroso del alimento. En bovinos puede ser de 8 h diarias. Cada bolo de alimento regurgitado se mastica unas 40-50 veces mucho más que en el momento de ser comido (Ramírez, 2003).</w:t>
      </w:r>
    </w:p>
    <w:p>
      <w:pPr>
        <w:pStyle w:val="BodyText"/>
      </w:pPr>
    </w:p>
    <w:p>
      <w:pPr>
        <w:pStyle w:val="BodyText"/>
        <w:spacing w:line="360" w:lineRule="auto" w:before="140"/>
        <w:ind w:left="119" w:right="114"/>
        <w:jc w:val="both"/>
      </w:pPr>
      <w:r>
        <w:rPr/>
        <w:t>La dieta del rumiante contiene cantidades considerables de celulosa,  hemicelulosa, almidón y carbohidratos hidrosolubles. Todos los carbohidratos excepto la lignina son atacados por los microorganismos del </w:t>
      </w:r>
      <w:r>
        <w:rPr>
          <w:spacing w:val="-2"/>
        </w:rPr>
        <w:t>rumen.</w:t>
      </w:r>
      <w:r>
        <w:rPr>
          <w:spacing w:val="62"/>
        </w:rPr>
        <w:t> </w:t>
      </w:r>
      <w:r>
        <w:rPr/>
        <w:t>El rompimiento de los carbohidratos en el rumen se puede dividir en </w:t>
      </w:r>
      <w:r>
        <w:rPr>
          <w:spacing w:val="5"/>
        </w:rPr>
        <w:t>dos </w:t>
      </w:r>
      <w:r>
        <w:rPr/>
        <w:t>etapas, la primera de las cuales es la digestión de los carbohidratos complejos a carbohidratos </w:t>
      </w:r>
      <w:r>
        <w:rPr>
          <w:spacing w:val="-3"/>
        </w:rPr>
        <w:t>más </w:t>
      </w:r>
      <w:r>
        <w:rPr/>
        <w:t>simples, y en la segunda etapa, los caminos involucrados son en muchos aspectos similares a aquellos que sigue el metabolismo de los carbohidratos del propio animal. Los principales productos finales del metabolismo de los carbohidratos de los microorganismos del </w:t>
      </w:r>
      <w:r>
        <w:rPr>
          <w:spacing w:val="-3"/>
        </w:rPr>
        <w:t>rumen </w:t>
      </w:r>
      <w:r>
        <w:rPr/>
        <w:t>son los ácidos grasos acético, propiónico y butírico, dióxido de carbono (CO</w:t>
      </w:r>
      <w:r>
        <w:rPr>
          <w:position w:val="-2"/>
          <w:sz w:val="16"/>
        </w:rPr>
        <w:t>2</w:t>
      </w:r>
      <w:r>
        <w:rPr/>
        <w:t>) y metano (CH</w:t>
      </w:r>
      <w:r>
        <w:rPr>
          <w:position w:val="-2"/>
          <w:sz w:val="16"/>
        </w:rPr>
        <w:t>4</w:t>
      </w:r>
      <w:r>
        <w:rPr/>
        <w:t>), (Ramírez, 2003).</w:t>
      </w:r>
    </w:p>
    <w:p>
      <w:pPr>
        <w:spacing w:after="0" w:line="360" w:lineRule="auto"/>
        <w:jc w:val="both"/>
        <w:sectPr>
          <w:pgSz w:w="12240" w:h="15840"/>
          <w:pgMar w:header="0" w:footer="1476" w:top="1360" w:bottom="1660" w:left="1580" w:right="1580"/>
        </w:sectPr>
      </w:pPr>
    </w:p>
    <w:p>
      <w:pPr>
        <w:pStyle w:val="BodyText"/>
        <w:spacing w:line="360" w:lineRule="auto" w:before="52"/>
        <w:ind w:left="119" w:right="99"/>
        <w:jc w:val="both"/>
      </w:pPr>
      <w:r>
        <w:rPr/>
        <w:t>Los microorganismos del rumen hidrolizan las proteínas, los péptidos y los aminoácidos, algunos de los cuales posteriormente se degradan a ácidos orgánicos, amoniaco y CO</w:t>
      </w:r>
      <w:r>
        <w:rPr>
          <w:position w:val="-2"/>
          <w:sz w:val="16"/>
        </w:rPr>
        <w:t>2</w:t>
      </w:r>
      <w:r>
        <w:rPr/>
        <w:t>. El amoniaco producido, junto con los péptidos de cadena corta y los aminoácidos libres son utilizados por los microorganismos del rumen para sintetizar sus proteínas, que posteriormente se digieren en el  abomaso e intestino delgado. Un aspecto importante de la síntesis de proteína microbiana, es que las bacterias pueden utilizar tanto aminoácidos indispensables como no indispensables, lo que asegura al animal hospedero un aporte de los primeros, independientemente de su contenido en la dieta (Van Soest, 1994). No solo la proteína degradable de origen alimenticio contribuye con amoniaco del rumen, en los alimentos utilizados por los rumiantes el N también se encuentra en forma de compuestos orgánicos simples </w:t>
      </w:r>
      <w:r>
        <w:rPr>
          <w:spacing w:val="-3"/>
        </w:rPr>
        <w:t>como </w:t>
      </w:r>
      <w:r>
        <w:rPr/>
        <w:t>aminoácidos, amidas y aminas, o de compuestos inorgánicos como los nitratos; es posible aprovechar la capacidad de los microorganismos del rumen para transformar los compuestos nitrogenados no proteínicos (NNP) en proteínas, mediante la adición de aquellos en la dieta. El compuesto </w:t>
      </w:r>
      <w:r>
        <w:rPr>
          <w:spacing w:val="-3"/>
        </w:rPr>
        <w:t>más </w:t>
      </w:r>
      <w:r>
        <w:rPr/>
        <w:t>usado es la urea, pero pueden utilizarse varios derivados de esta (McDonald,</w:t>
      </w:r>
      <w:r>
        <w:rPr>
          <w:spacing w:val="-6"/>
        </w:rPr>
        <w:t> </w:t>
      </w:r>
      <w:r>
        <w:rPr/>
        <w:t>1998).</w:t>
      </w:r>
    </w:p>
    <w:p>
      <w:pPr>
        <w:pStyle w:val="BodyText"/>
      </w:pPr>
    </w:p>
    <w:p>
      <w:pPr>
        <w:pStyle w:val="BodyText"/>
        <w:spacing w:line="360" w:lineRule="auto" w:before="144"/>
        <w:ind w:left="119" w:right="100"/>
        <w:jc w:val="both"/>
      </w:pPr>
      <w:r>
        <w:rPr/>
        <w:t>La síntesis de vitaminas del complejo B y vitamina K pueden llevarla a cabo los microorganismos del rumen. Cuando el alimento es rico en vitaminas del complejo B, la cantidad sintetizada es relativamente pequeña, pero si el aporte alimenticio disminuye, esta cantidad aumenta (McDonald, 1998).</w:t>
      </w:r>
    </w:p>
    <w:p>
      <w:pPr>
        <w:pStyle w:val="BodyText"/>
        <w:spacing w:before="9"/>
        <w:rPr>
          <w:sz w:val="20"/>
        </w:rPr>
      </w:pPr>
    </w:p>
    <w:p>
      <w:pPr>
        <w:pStyle w:val="Heading1"/>
        <w:numPr>
          <w:ilvl w:val="1"/>
          <w:numId w:val="7"/>
        </w:numPr>
        <w:tabs>
          <w:tab w:pos="625" w:val="left" w:leader="none"/>
        </w:tabs>
        <w:spacing w:line="240" w:lineRule="auto" w:before="0" w:after="0"/>
        <w:ind w:left="624" w:right="0" w:hanging="505"/>
        <w:jc w:val="both"/>
      </w:pPr>
      <w:bookmarkStart w:name="_bookmark5" w:id="11"/>
      <w:bookmarkEnd w:id="11"/>
      <w:r>
        <w:rPr>
          <w:b w:val="0"/>
        </w:rPr>
      </w:r>
      <w:bookmarkStart w:name="_bookmark5" w:id="12"/>
      <w:bookmarkEnd w:id="12"/>
      <w:r>
        <w:rPr/>
        <w:t>Metabólitos</w:t>
      </w:r>
      <w:r>
        <w:rPr/>
        <w:t> secundarios en</w:t>
      </w:r>
      <w:r>
        <w:rPr>
          <w:spacing w:val="-7"/>
        </w:rPr>
        <w:t> </w:t>
      </w:r>
      <w:r>
        <w:rPr/>
        <w:t>plantas</w:t>
      </w:r>
    </w:p>
    <w:p>
      <w:pPr>
        <w:pStyle w:val="BodyText"/>
        <w:spacing w:line="360" w:lineRule="auto" w:before="214"/>
        <w:ind w:left="119" w:right="107"/>
        <w:jc w:val="both"/>
      </w:pPr>
      <w:r>
        <w:rPr/>
        <w:t>Los taninos condensados pertenecen a los compuestos secundarios de las plantas, que se definen como los compuestos químicos sintetizados por las plantas y cumplen funciones no esenciales en ellas, no intervienen en el metabolismo primario de las plantas, </w:t>
      </w:r>
      <w:r>
        <w:rPr>
          <w:spacing w:val="-3"/>
        </w:rPr>
        <w:t>más </w:t>
      </w:r>
      <w:r>
        <w:rPr/>
        <w:t>bien en las interacciones ecológicas entre la planta y su ambiente. La mayoría cumple funciones de defensa contra predadores y patógenos, actúan como agentes alelopáticos (son liberados para ejercer efectos sobre otras plantas), o para atraer polinizadores (Isaza,</w:t>
      </w:r>
      <w:r>
        <w:rPr>
          <w:spacing w:val="-31"/>
        </w:rPr>
        <w:t> </w:t>
      </w:r>
      <w:r>
        <w:rPr/>
        <w:t>2007).</w:t>
      </w:r>
    </w:p>
    <w:p>
      <w:pPr>
        <w:spacing w:after="0" w:line="360" w:lineRule="auto"/>
        <w:jc w:val="both"/>
        <w:sectPr>
          <w:pgSz w:w="12240" w:h="15840"/>
          <w:pgMar w:header="0" w:footer="1476" w:top="1360" w:bottom="1660" w:left="1580" w:right="1600"/>
        </w:sectPr>
      </w:pPr>
    </w:p>
    <w:p>
      <w:pPr>
        <w:pStyle w:val="BodyText"/>
        <w:spacing w:before="2"/>
        <w:rPr>
          <w:sz w:val="22"/>
        </w:rPr>
      </w:pPr>
    </w:p>
    <w:p>
      <w:pPr>
        <w:pStyle w:val="BodyText"/>
        <w:spacing w:line="360" w:lineRule="auto" w:before="70"/>
        <w:ind w:left="119" w:right="114"/>
        <w:jc w:val="both"/>
      </w:pPr>
      <w:r>
        <w:rPr/>
        <w:t>Hay cerca de 24,000 estructuras, incluyendo muchos compuestos que tienen efectos antinutricionales y tóxicos en mamíferos. Los compuestos secundarios presentes en forrajes incluyen alcaloides, terpenos volátiles, saponinas, ácidos fenólicos, taninos hidrolizables (TH) y flavonoides, incluyendo proantocianidinas (PA). Estudios sobre los compuestos secundarios en forrajes han encontrado que tienen efectos tóxicos y antinutricionales en el ganado. Estos efectos pueden clasificarse en dos grupos (Reed </w:t>
      </w:r>
      <w:r>
        <w:rPr>
          <w:i/>
        </w:rPr>
        <w:t>et al.</w:t>
      </w:r>
      <w:r>
        <w:rPr/>
        <w:t>, 2000):</w:t>
      </w:r>
    </w:p>
    <w:p>
      <w:pPr>
        <w:pStyle w:val="BodyText"/>
      </w:pPr>
    </w:p>
    <w:p>
      <w:pPr>
        <w:pStyle w:val="BodyText"/>
        <w:spacing w:line="352" w:lineRule="auto" w:before="139"/>
        <w:ind w:left="119" w:right="120"/>
        <w:jc w:val="both"/>
      </w:pPr>
      <w:r>
        <w:rPr/>
        <w:t>1.- Compuestos tóxicos: están presentes en plantas a bajas concentraciones (menos de 20 g Kg</w:t>
      </w:r>
      <w:r>
        <w:rPr>
          <w:position w:val="11"/>
          <w:sz w:val="16"/>
        </w:rPr>
        <w:t>-1 </w:t>
      </w:r>
      <w:r>
        <w:rPr/>
        <w:t>MS); tienen efectos psicológicos negativos y cuando son absorbidos provocan problemas neurológicos, y daños más severos como falla reproductiva, gangrena y muerte. Ejemplos de estas sustancias son alcaloides, saponinas, glucósidos cianogénicos y muchos otros.</w:t>
      </w:r>
    </w:p>
    <w:p>
      <w:pPr>
        <w:pStyle w:val="BodyText"/>
      </w:pPr>
    </w:p>
    <w:p>
      <w:pPr>
        <w:pStyle w:val="BodyText"/>
        <w:spacing w:line="360" w:lineRule="auto" w:before="153"/>
        <w:ind w:left="119" w:right="126"/>
        <w:jc w:val="both"/>
      </w:pPr>
      <w:r>
        <w:rPr/>
        <w:t>2.- Compuestos no tóxicos: estos disminuyen la digestibilidad y palatabilidad de  las plantas. El sitio primario de la actividad es el tracto digestivo o por órganos sensoriales asociados con el comportamiento alimentario. Incluye: taninos, lignina y terpenoides</w:t>
      </w:r>
      <w:r>
        <w:rPr>
          <w:spacing w:val="-5"/>
        </w:rPr>
        <w:t> </w:t>
      </w:r>
      <w:r>
        <w:rPr/>
        <w:t>volátiles.</w:t>
      </w:r>
    </w:p>
    <w:p>
      <w:pPr>
        <w:pStyle w:val="BodyText"/>
      </w:pPr>
    </w:p>
    <w:p>
      <w:pPr>
        <w:pStyle w:val="BodyText"/>
        <w:spacing w:line="360" w:lineRule="auto" w:before="140"/>
        <w:ind w:left="119" w:right="116"/>
        <w:jc w:val="both"/>
      </w:pPr>
      <w:r>
        <w:rPr/>
        <w:t>Los taninos son compuestos polifenólicos de estructura química diversa, son solubles en agua y con un peso molecular entre 500 y 3000. Las familias  botánicas representativas con mayores contenidos de taninos son Fagaceae, Fabaceae, Mirtaceae y Rosaceae. Los órganos principales de las plantas donde  se encuentran son: raíces-rizoma (rábano), corteza (roble y quina), leño (catecú), hojas (hammamelis) y frutos (cinorronones) (Isaza, 2007); también  están presentes en arbustos y hojas de algunos árboles (Givens </w:t>
      </w:r>
      <w:r>
        <w:rPr>
          <w:i/>
        </w:rPr>
        <w:t>et al., </w:t>
      </w:r>
      <w:r>
        <w:rPr/>
        <w:t>2000). En la naturaleza se encuentran tres tipos de taninos desde el punto de vista químico: a) Proantocianidinas o taninos condensados, b) Taninos hidrolizables o pirogálicos </w:t>
      </w:r>
      <w:r>
        <w:rPr>
          <w:spacing w:val="24"/>
        </w:rPr>
        <w:t> </w:t>
      </w:r>
      <w:r>
        <w:rPr/>
        <w:t>y</w:t>
      </w:r>
    </w:p>
    <w:p>
      <w:pPr>
        <w:pStyle w:val="BodyText"/>
        <w:spacing w:before="2"/>
        <w:ind w:left="119"/>
        <w:jc w:val="both"/>
      </w:pPr>
      <w:r>
        <w:rPr/>
        <w:t>c) Florotaninos (Isaza, 2007).</w:t>
      </w:r>
    </w:p>
    <w:p>
      <w:pPr>
        <w:spacing w:after="0"/>
        <w:jc w:val="both"/>
        <w:sectPr>
          <w:pgSz w:w="12240" w:h="15840"/>
          <w:pgMar w:header="0" w:footer="1476" w:top="1500" w:bottom="1660" w:left="1580" w:right="1580"/>
        </w:sectPr>
      </w:pPr>
    </w:p>
    <w:p>
      <w:pPr>
        <w:pStyle w:val="BodyText"/>
        <w:spacing w:line="360" w:lineRule="auto" w:before="52"/>
        <w:ind w:left="119" w:right="124"/>
        <w:jc w:val="both"/>
      </w:pPr>
      <w:r>
        <w:rPr/>
        <w:t>Los taninos tienen la propiedad de formar complejos con las proteínas para formar complejos solubles e insolubles (Makkar, 2003b; Ramírez, 2003). La firmeza de estos complejos depende tanto de las características del tanino, </w:t>
      </w:r>
      <w:r>
        <w:rPr>
          <w:spacing w:val="-4"/>
        </w:rPr>
        <w:t>como </w:t>
      </w:r>
      <w:r>
        <w:rPr/>
        <w:t>de la proteína (peso molecular, estructura terciaria, punto isoeléctrico y compatibilidad de los sitios de unión), (Reed,</w:t>
      </w:r>
      <w:r>
        <w:rPr>
          <w:spacing w:val="-11"/>
        </w:rPr>
        <w:t> </w:t>
      </w:r>
      <w:r>
        <w:rPr/>
        <w:t>1995).</w:t>
      </w:r>
    </w:p>
    <w:p>
      <w:pPr>
        <w:pStyle w:val="BodyText"/>
      </w:pPr>
    </w:p>
    <w:p>
      <w:pPr>
        <w:pStyle w:val="BodyText"/>
        <w:spacing w:line="360" w:lineRule="auto" w:before="144"/>
        <w:ind w:left="119" w:right="121"/>
        <w:jc w:val="both"/>
      </w:pPr>
      <w:r>
        <w:rPr/>
        <w:t>Los taninos tienen diversos efectos como: disminución en la utilización de nutrientes particularmente en la utilización de la proteína, disminución en la palatabilidad y la ingesta de alimento, o disminución en la actividad de las enzimas digestivas (Makkar, 2003b), así mismo son antidiarréicos, antibacteriales, antivirales, astringentes, antitumorales, curtido, medicina tradicional, etc. (Isaza, 2007)</w:t>
      </w:r>
    </w:p>
    <w:p>
      <w:pPr>
        <w:pStyle w:val="BodyText"/>
      </w:pPr>
    </w:p>
    <w:p>
      <w:pPr>
        <w:pStyle w:val="BodyText"/>
        <w:spacing w:line="360" w:lineRule="auto" w:before="139"/>
        <w:ind w:left="119" w:right="114"/>
        <w:jc w:val="both"/>
      </w:pPr>
      <w:r>
        <w:rPr/>
        <w:t>Se ha propuesto el uso de Polietilen glicol (PEG), con peso molecular de 4000 o 6000, para detectar la actividad biológica de los compuestos fenólicos en las plantas (Makkar </w:t>
      </w:r>
      <w:r>
        <w:rPr>
          <w:i/>
        </w:rPr>
        <w:t>et al</w:t>
      </w:r>
      <w:r>
        <w:rPr/>
        <w:t>., 1995). El PEG es un agente que reduce o neutraliza el efecto de los taninos sobre la fermentación ruminal (Makkar </w:t>
      </w:r>
      <w:r>
        <w:rPr>
          <w:i/>
        </w:rPr>
        <w:t>et al., </w:t>
      </w:r>
      <w:r>
        <w:rPr/>
        <w:t>1995; McSweeney </w:t>
      </w:r>
      <w:r>
        <w:rPr>
          <w:i/>
        </w:rPr>
        <w:t>et al</w:t>
      </w:r>
      <w:r>
        <w:rPr/>
        <w:t>., 2003); por lo que, un incremento en la producción de gas </w:t>
      </w:r>
      <w:r>
        <w:rPr>
          <w:i/>
          <w:spacing w:val="-3"/>
        </w:rPr>
        <w:t>in </w:t>
      </w:r>
      <w:r>
        <w:rPr>
          <w:i/>
        </w:rPr>
        <w:t>vitro </w:t>
      </w:r>
      <w:r>
        <w:rPr/>
        <w:t>y en los parámetros de degradación cuando se suministra PEG indicaría la actividad de los taninos en los alimentos (Getachew </w:t>
      </w:r>
      <w:r>
        <w:rPr>
          <w:i/>
        </w:rPr>
        <w:t>et al</w:t>
      </w:r>
      <w:r>
        <w:rPr/>
        <w:t>., 1998), además de mejorar el rendimiento animal (Barry </w:t>
      </w:r>
      <w:r>
        <w:rPr>
          <w:i/>
        </w:rPr>
        <w:t>et al</w:t>
      </w:r>
      <w:r>
        <w:rPr/>
        <w:t>., 2001; Serge </w:t>
      </w:r>
      <w:r>
        <w:rPr>
          <w:i/>
        </w:rPr>
        <w:t>et al</w:t>
      </w:r>
      <w:r>
        <w:rPr/>
        <w:t>., 2002), el aporte de energía metabolizable (Kamalak </w:t>
      </w:r>
      <w:r>
        <w:rPr>
          <w:i/>
        </w:rPr>
        <w:t>et al</w:t>
      </w:r>
      <w:r>
        <w:rPr/>
        <w:t>., 2005), la ingesta y la digestibilidad (Kumar y Vaithiyanathan, 1990). Se sugiere que el tratamiento con polietilen glicol 4000 parece viable para la reducción de los efectos de los taninos en el alimento (Óp. Cit.)</w:t>
      </w:r>
    </w:p>
    <w:p>
      <w:pPr>
        <w:pStyle w:val="BodyText"/>
      </w:pPr>
    </w:p>
    <w:p>
      <w:pPr>
        <w:pStyle w:val="BodyText"/>
        <w:spacing w:line="360" w:lineRule="auto" w:before="144"/>
        <w:ind w:left="119" w:right="116"/>
        <w:jc w:val="both"/>
      </w:pPr>
      <w:r>
        <w:rPr/>
        <w:t>Makkar y Becker (1996) mencionan que el efecto del PEG depende del nivel de proteína en la dieta; es decir, cuanto más alto sea el nivel de proteína en un sustrato, menor será el efecto del PEG. Por otra parte, Rodríguez </w:t>
      </w:r>
      <w:r>
        <w:rPr>
          <w:i/>
        </w:rPr>
        <w:t>et al</w:t>
      </w:r>
      <w:r>
        <w:rPr/>
        <w:t>. (2006) reportan que no hay respuesta a la adición de PEG a ciertas    especies, indicando</w:t>
      </w:r>
    </w:p>
    <w:p>
      <w:pPr>
        <w:pStyle w:val="BodyText"/>
        <w:spacing w:before="3"/>
        <w:ind w:left="119"/>
        <w:jc w:val="both"/>
      </w:pPr>
      <w:r>
        <w:rPr/>
        <w:t>que  otros compuestos  secundarios distintos a  los  taninos  condensados pueden</w:t>
      </w:r>
    </w:p>
    <w:p>
      <w:pPr>
        <w:spacing w:after="0"/>
        <w:jc w:val="both"/>
        <w:sectPr>
          <w:pgSz w:w="12240" w:h="15840"/>
          <w:pgMar w:header="0" w:footer="1476" w:top="1360" w:bottom="1660" w:left="1580" w:right="1580"/>
        </w:sectPr>
      </w:pPr>
    </w:p>
    <w:p>
      <w:pPr>
        <w:pStyle w:val="BodyText"/>
        <w:spacing w:line="360" w:lineRule="auto" w:before="52"/>
        <w:ind w:left="119" w:right="113"/>
        <w:jc w:val="both"/>
      </w:pPr>
      <w:r>
        <w:rPr/>
        <w:t>afectar su utilización microbiana, o bien, distintos PEG (2000, 3000, 4000, 6000, 35,000) actúan bajo ciertas condiciones (Makkar, 2003a).</w:t>
      </w:r>
    </w:p>
    <w:p>
      <w:pPr>
        <w:pStyle w:val="BodyText"/>
        <w:spacing w:before="9"/>
        <w:rPr>
          <w:sz w:val="20"/>
        </w:rPr>
      </w:pPr>
    </w:p>
    <w:p>
      <w:pPr>
        <w:pStyle w:val="Heading1"/>
        <w:numPr>
          <w:ilvl w:val="1"/>
          <w:numId w:val="7"/>
        </w:numPr>
        <w:tabs>
          <w:tab w:pos="625" w:val="left" w:leader="none"/>
        </w:tabs>
        <w:spacing w:line="240" w:lineRule="auto" w:before="0" w:after="0"/>
        <w:ind w:left="624" w:right="0" w:hanging="505"/>
        <w:jc w:val="both"/>
      </w:pPr>
      <w:bookmarkStart w:name="_bookmark6" w:id="13"/>
      <w:bookmarkEnd w:id="13"/>
      <w:r>
        <w:rPr>
          <w:b w:val="0"/>
        </w:rPr>
      </w:r>
      <w:bookmarkStart w:name="_bookmark6" w:id="14"/>
      <w:bookmarkEnd w:id="14"/>
      <w:r>
        <w:rPr/>
        <w:t>I</w:t>
      </w:r>
      <w:r>
        <w:rPr/>
        <w:t>mportancia de taninos en</w:t>
      </w:r>
      <w:r>
        <w:rPr>
          <w:spacing w:val="-6"/>
        </w:rPr>
        <w:t> </w:t>
      </w:r>
      <w:r>
        <w:rPr/>
        <w:t>rumiantes</w:t>
      </w:r>
    </w:p>
    <w:p>
      <w:pPr>
        <w:pStyle w:val="BodyText"/>
        <w:spacing w:line="360" w:lineRule="auto" w:before="219"/>
        <w:ind w:left="119" w:right="128"/>
        <w:jc w:val="both"/>
      </w:pPr>
      <w:r>
        <w:rPr/>
        <w:t>La presencia de taninos en un gran número de hojas de árboles es nutricionalmente importante, debido a que impiden su utilización como alimento para los rumiantes (Ramírez, 2003).</w:t>
      </w:r>
    </w:p>
    <w:p>
      <w:pPr>
        <w:pStyle w:val="BodyText"/>
      </w:pPr>
    </w:p>
    <w:p>
      <w:pPr>
        <w:pStyle w:val="BodyText"/>
        <w:spacing w:line="360" w:lineRule="auto" w:before="144"/>
        <w:ind w:left="119" w:right="120"/>
        <w:jc w:val="both"/>
      </w:pPr>
      <w:r>
        <w:rPr/>
        <w:t>Hay una baja degradabilidad de la materia seca de los materiales con mayor contenido de fibras y compuestos secundarios, mientras que, hay una alta degradabilidad ruminal y mayor calidad de la biomasa con menor concentración de fenoles y taninos. Los compuestos fenólicos tienen influencia negativa en la degradabilidad y digestibilidad de los recursos alimentarios. Los metabolitos secundarios (MSec.) también pueden ser benéficos debido al posible incremento de la proteína no degradada en el rumen, traducido esto en una absorción de nitrógeno en el intestino (García </w:t>
      </w:r>
      <w:r>
        <w:rPr>
          <w:i/>
        </w:rPr>
        <w:t>et al</w:t>
      </w:r>
      <w:r>
        <w:rPr/>
        <w:t>., 2008).</w:t>
      </w:r>
    </w:p>
    <w:p>
      <w:pPr>
        <w:pStyle w:val="BodyText"/>
      </w:pPr>
    </w:p>
    <w:p>
      <w:pPr>
        <w:pStyle w:val="BodyText"/>
        <w:spacing w:line="360" w:lineRule="auto" w:before="144"/>
        <w:ind w:left="119" w:right="114"/>
        <w:jc w:val="both"/>
      </w:pPr>
      <w:r>
        <w:rPr/>
        <w:t>En numerosos estudios se ha informado la acción negativa de los taninos en la degradación de los forrajes por inactivar algunas enzimas digestivas y disminuir, en algunos casos, la población </w:t>
      </w:r>
      <w:r>
        <w:rPr>
          <w:spacing w:val="3"/>
        </w:rPr>
        <w:t>de </w:t>
      </w:r>
      <w:r>
        <w:rPr/>
        <w:t>microorganismos en el rumen (Givens </w:t>
      </w:r>
      <w:r>
        <w:rPr>
          <w:i/>
        </w:rPr>
        <w:t>et al., </w:t>
      </w:r>
      <w:r>
        <w:rPr/>
        <w:t>2000; Makkar 2003b). Pueden también reducir el consumo de plantas debido a  una disminución de la gustosidad o por afectar negativamente a la digestión. La astringencia es la sensación causada por la formación </w:t>
      </w:r>
      <w:r>
        <w:rPr>
          <w:spacing w:val="6"/>
        </w:rPr>
        <w:t>de </w:t>
      </w:r>
      <w:r>
        <w:rPr/>
        <w:t>complejos entre taninos y glicoproteínas salivales. La astringencia puede incrementar la salivación y disminuir la gustosidad (Reed, 1995). La presencia de taninos insolubles en la  fibra detergente neutro (FDN) y fibra detergente acido (FDA) indica que </w:t>
      </w:r>
      <w:r>
        <w:rPr>
          <w:spacing w:val="6"/>
        </w:rPr>
        <w:t>los </w:t>
      </w:r>
      <w:r>
        <w:rPr/>
        <w:t>taninos están fuertemente ligados a la fibra (Van Soest, 1986). La fibra ligada a los taninos puede resistir la degradación a causa de los microorganismos ruminales, y también los taninos libres pueden inactivar los microorganismos y sus enzimas. Consecuentemente, la fermentación pudiera inhibirse en el </w:t>
      </w:r>
      <w:r>
        <w:rPr>
          <w:spacing w:val="-3"/>
        </w:rPr>
        <w:t>rumen </w:t>
      </w:r>
      <w:r>
        <w:rPr/>
        <w:t>(Ramírez,  2003).</w:t>
      </w:r>
    </w:p>
    <w:p>
      <w:pPr>
        <w:spacing w:after="0" w:line="360" w:lineRule="auto"/>
        <w:jc w:val="both"/>
        <w:sectPr>
          <w:footerReference w:type="default" r:id="rId7"/>
          <w:pgSz w:w="12240" w:h="15840"/>
          <w:pgMar w:footer="1478" w:header="0" w:top="1360" w:bottom="1660" w:left="1580" w:right="1580"/>
        </w:sectPr>
      </w:pPr>
    </w:p>
    <w:p>
      <w:pPr>
        <w:pStyle w:val="BodyText"/>
        <w:spacing w:before="2"/>
        <w:rPr>
          <w:sz w:val="22"/>
        </w:rPr>
      </w:pPr>
    </w:p>
    <w:p>
      <w:pPr>
        <w:pStyle w:val="BodyText"/>
        <w:spacing w:line="360" w:lineRule="auto" w:before="70"/>
        <w:ind w:left="119" w:right="114"/>
        <w:jc w:val="both"/>
      </w:pPr>
      <w:r>
        <w:rPr/>
        <w:t>El efecto positivo de los taninos radica en la formación del complejo con las proteínas y su posterior ruptura en al abomaso (Makkar, 2003b). La diferencia entre los efectos tóxicos y benéficos depende de la dosis. También Givens </w:t>
      </w:r>
      <w:r>
        <w:rPr>
          <w:i/>
        </w:rPr>
        <w:t>et al. </w:t>
      </w:r>
      <w:r>
        <w:rPr/>
        <w:t>(2000) menciona que la actividad biológica de los taninos condensados depende de dos factores principales; la concentración y la estructura de los </w:t>
      </w:r>
      <w:r>
        <w:rPr>
          <w:spacing w:val="-2"/>
        </w:rPr>
        <w:t>mismos </w:t>
      </w:r>
      <w:r>
        <w:rPr/>
        <w:t>(Hoste </w:t>
      </w:r>
      <w:r>
        <w:rPr>
          <w:i/>
        </w:rPr>
        <w:t>et al</w:t>
      </w:r>
      <w:r>
        <w:rPr/>
        <w:t>.,</w:t>
      </w:r>
      <w:r>
        <w:rPr>
          <w:spacing w:val="-4"/>
        </w:rPr>
        <w:t> </w:t>
      </w:r>
      <w:r>
        <w:rPr/>
        <w:t>2006)</w:t>
      </w:r>
    </w:p>
    <w:p>
      <w:pPr>
        <w:pStyle w:val="BodyText"/>
      </w:pPr>
    </w:p>
    <w:p>
      <w:pPr>
        <w:pStyle w:val="BodyText"/>
        <w:spacing w:line="360" w:lineRule="auto" w:before="140"/>
        <w:ind w:left="119" w:right="114"/>
        <w:jc w:val="both"/>
      </w:pPr>
      <w:r>
        <w:rPr/>
        <w:t>Las altas concentraciones de taninos (5-10% de MS) deprimen el consumo y la digestibilidad de la materia seca, materia orgánica, de la fibra, de la proteína y de los carbohidratos, y por consiguiente afectan negativamente al desempeño productivo del animal, mientras que a menor concentración (2-4% de MS) podrían disminuir las pérdidas de la proteína de la ingesta producida por la proteólisis por los microorganismos del rumen e incrementar la absorción intestinal de las proteínas, además previenen infecciones (Waghorn </w:t>
      </w:r>
      <w:r>
        <w:rPr>
          <w:i/>
        </w:rPr>
        <w:t>et al.</w:t>
      </w:r>
      <w:r>
        <w:rPr/>
        <w:t>, 1997), reduce la solubilidad del nitrógeno de las proteínas contenidas en ensilados y mejora la eficiencia de la utilización de la proteína (Givens </w:t>
      </w:r>
      <w:r>
        <w:rPr>
          <w:i/>
        </w:rPr>
        <w:t>et al.</w:t>
      </w:r>
      <w:r>
        <w:rPr/>
        <w:t>, 2000).</w:t>
      </w:r>
    </w:p>
    <w:p>
      <w:pPr>
        <w:pStyle w:val="BodyText"/>
      </w:pPr>
    </w:p>
    <w:p>
      <w:pPr>
        <w:pStyle w:val="BodyText"/>
        <w:spacing w:line="360" w:lineRule="auto" w:before="144"/>
        <w:ind w:left="119" w:right="113"/>
        <w:jc w:val="both"/>
      </w:pPr>
      <w:r>
        <w:rPr/>
        <w:t>Los llamados taninos condensados, han sido estudiados en leguminosas como: </w:t>
      </w:r>
      <w:r>
        <w:rPr>
          <w:i/>
        </w:rPr>
        <w:t>O. </w:t>
      </w:r>
      <w:r>
        <w:rPr>
          <w:i/>
        </w:rPr>
        <w:t>viciaefolia</w:t>
      </w:r>
      <w:r>
        <w:rPr/>
        <w:t>, </w:t>
      </w:r>
      <w:r>
        <w:rPr>
          <w:i/>
        </w:rPr>
        <w:t>L. cornulatus </w:t>
      </w:r>
      <w:r>
        <w:rPr/>
        <w:t>y </w:t>
      </w:r>
      <w:r>
        <w:rPr>
          <w:i/>
        </w:rPr>
        <w:t>L. pedunculatus</w:t>
      </w:r>
      <w:r>
        <w:rPr/>
        <w:t>, estos son asociados con una </w:t>
      </w:r>
      <w:r>
        <w:rPr>
          <w:spacing w:val="-3"/>
        </w:rPr>
        <w:t>mejor </w:t>
      </w:r>
      <w:r>
        <w:rPr/>
        <w:t>digestión de la proteína y el metabolismo en los rumiantes además de que estos no se hinchan (Reed </w:t>
      </w:r>
      <w:r>
        <w:rPr>
          <w:i/>
        </w:rPr>
        <w:t>et al.</w:t>
      </w:r>
      <w:r>
        <w:rPr/>
        <w:t>, 2000; Waghorn </w:t>
      </w:r>
      <w:r>
        <w:rPr>
          <w:i/>
        </w:rPr>
        <w:t>et al</w:t>
      </w:r>
      <w:r>
        <w:rPr/>
        <w:t>., 2008), pueden modificar la digestibilidad proteica de la dieta y los carbohidratos en forrajes usados por rumiantes (Mueller-Harvey y McAllan, 1992) y también protegen a los rumiantes contra la</w:t>
      </w:r>
      <w:r>
        <w:rPr>
          <w:spacing w:val="-5"/>
        </w:rPr>
        <w:t> </w:t>
      </w:r>
      <w:r>
        <w:rPr/>
        <w:t>helmintiasis.</w:t>
      </w:r>
    </w:p>
    <w:p>
      <w:pPr>
        <w:pStyle w:val="BodyText"/>
      </w:pPr>
    </w:p>
    <w:p>
      <w:pPr>
        <w:spacing w:line="360" w:lineRule="auto" w:before="144"/>
        <w:ind w:left="119" w:right="113" w:firstLine="0"/>
        <w:jc w:val="both"/>
        <w:rPr>
          <w:i/>
          <w:sz w:val="24"/>
        </w:rPr>
      </w:pPr>
      <w:r>
        <w:rPr>
          <w:sz w:val="24"/>
        </w:rPr>
        <w:t>También se han estudiado los efectos de los extractos de algunas plantas (</w:t>
      </w:r>
      <w:r>
        <w:rPr>
          <w:i/>
          <w:sz w:val="24"/>
        </w:rPr>
        <w:t>A. </w:t>
      </w:r>
      <w:r>
        <w:rPr>
          <w:i/>
          <w:sz w:val="24"/>
        </w:rPr>
        <w:t>millefolium, A. chamissonis, B. alba, D. glomerata, E. globulus, G. biloba, L. officinalis, L. capitata</w:t>
      </w:r>
      <w:r>
        <w:rPr>
          <w:sz w:val="24"/>
        </w:rPr>
        <w:t>, </w:t>
      </w:r>
      <w:r>
        <w:rPr>
          <w:i/>
          <w:sz w:val="24"/>
        </w:rPr>
        <w:t>H. perforatum</w:t>
      </w:r>
      <w:r>
        <w:rPr>
          <w:sz w:val="24"/>
        </w:rPr>
        <w:t>, </w:t>
      </w:r>
      <w:r>
        <w:rPr>
          <w:i/>
          <w:sz w:val="24"/>
        </w:rPr>
        <w:t>S. virgaurea</w:t>
      </w:r>
      <w:r>
        <w:rPr>
          <w:sz w:val="24"/>
        </w:rPr>
        <w:t>, </w:t>
      </w:r>
      <w:r>
        <w:rPr>
          <w:i/>
          <w:sz w:val="24"/>
        </w:rPr>
        <w:t>F. esculentum</w:t>
      </w:r>
      <w:r>
        <w:rPr>
          <w:sz w:val="24"/>
        </w:rPr>
        <w:t>, </w:t>
      </w:r>
      <w:r>
        <w:rPr>
          <w:i/>
          <w:sz w:val="24"/>
        </w:rPr>
        <w:t>E. arvense</w:t>
      </w:r>
      <w:r>
        <w:rPr>
          <w:sz w:val="24"/>
        </w:rPr>
        <w:t>, </w:t>
      </w:r>
      <w:r>
        <w:rPr>
          <w:i/>
          <w:sz w:val="24"/>
        </w:rPr>
        <w:t>S. </w:t>
      </w:r>
      <w:r>
        <w:rPr>
          <w:i/>
          <w:sz w:val="24"/>
        </w:rPr>
        <w:t>officinalis</w:t>
      </w:r>
      <w:r>
        <w:rPr>
          <w:sz w:val="24"/>
        </w:rPr>
        <w:t>,  </w:t>
      </w:r>
      <w:r>
        <w:rPr>
          <w:i/>
          <w:sz w:val="24"/>
        </w:rPr>
        <w:t>P.  anisum</w:t>
      </w:r>
      <w:r>
        <w:rPr>
          <w:sz w:val="24"/>
        </w:rPr>
        <w:t>,  </w:t>
      </w:r>
      <w:r>
        <w:rPr>
          <w:i/>
          <w:sz w:val="24"/>
        </w:rPr>
        <w:t>J.  oxycedrus</w:t>
      </w:r>
      <w:r>
        <w:rPr>
          <w:sz w:val="24"/>
        </w:rPr>
        <w:t>,  </w:t>
      </w:r>
      <w:r>
        <w:rPr>
          <w:i/>
          <w:sz w:val="24"/>
        </w:rPr>
        <w:t>C.  annuum</w:t>
      </w:r>
      <w:r>
        <w:rPr>
          <w:sz w:val="24"/>
        </w:rPr>
        <w:t>,  </w:t>
      </w:r>
      <w:r>
        <w:rPr>
          <w:i/>
          <w:sz w:val="24"/>
        </w:rPr>
        <w:t>C.  cassia</w:t>
      </w:r>
      <w:r>
        <w:rPr>
          <w:sz w:val="24"/>
        </w:rPr>
        <w:t>,  </w:t>
      </w:r>
      <w:r>
        <w:rPr>
          <w:i/>
          <w:sz w:val="24"/>
        </w:rPr>
        <w:t>S.  aromaticum</w:t>
      </w:r>
      <w:r>
        <w:rPr>
          <w:sz w:val="24"/>
        </w:rPr>
        <w:t>, </w:t>
      </w:r>
      <w:r>
        <w:rPr>
          <w:i/>
          <w:sz w:val="24"/>
        </w:rPr>
        <w:t>A.</w:t>
      </w:r>
    </w:p>
    <w:p>
      <w:pPr>
        <w:spacing w:before="3"/>
        <w:ind w:left="119" w:right="0" w:firstLine="0"/>
        <w:jc w:val="both"/>
        <w:rPr>
          <w:i/>
          <w:sz w:val="24"/>
        </w:rPr>
      </w:pPr>
      <w:r>
        <w:rPr>
          <w:i/>
          <w:sz w:val="24"/>
        </w:rPr>
        <w:t>graveolens</w:t>
      </w:r>
      <w:r>
        <w:rPr>
          <w:sz w:val="24"/>
        </w:rPr>
        <w:t>,  </w:t>
      </w:r>
      <w:r>
        <w:rPr>
          <w:i/>
          <w:sz w:val="24"/>
        </w:rPr>
        <w:t>T. foenum</w:t>
      </w:r>
      <w:r>
        <w:rPr>
          <w:sz w:val="24"/>
        </w:rPr>
        <w:t>,  </w:t>
      </w:r>
      <w:r>
        <w:rPr>
          <w:i/>
          <w:sz w:val="24"/>
        </w:rPr>
        <w:t>A.  sativa</w:t>
      </w:r>
      <w:r>
        <w:rPr>
          <w:sz w:val="24"/>
        </w:rPr>
        <w:t>,  </w:t>
      </w:r>
      <w:r>
        <w:rPr>
          <w:i/>
          <w:sz w:val="24"/>
        </w:rPr>
        <w:t>Z. officinale</w:t>
      </w:r>
      <w:r>
        <w:rPr>
          <w:sz w:val="24"/>
        </w:rPr>
        <w:t>,  </w:t>
      </w:r>
      <w:r>
        <w:rPr>
          <w:i/>
          <w:sz w:val="24"/>
        </w:rPr>
        <w:t>O.  vulgare</w:t>
      </w:r>
      <w:r>
        <w:rPr>
          <w:sz w:val="24"/>
        </w:rPr>
        <w:t>, </w:t>
      </w:r>
      <w:r>
        <w:rPr>
          <w:i/>
          <w:sz w:val="24"/>
        </w:rPr>
        <w:t>M.  alternifolia</w:t>
      </w:r>
      <w:r>
        <w:rPr>
          <w:sz w:val="24"/>
        </w:rPr>
        <w:t>,  y </w:t>
      </w:r>
      <w:r>
        <w:rPr>
          <w:spacing w:val="55"/>
          <w:sz w:val="24"/>
        </w:rPr>
        <w:t> </w:t>
      </w:r>
      <w:r>
        <w:rPr>
          <w:i/>
          <w:sz w:val="24"/>
        </w:rPr>
        <w:t>A.</w:t>
      </w:r>
    </w:p>
    <w:p>
      <w:pPr>
        <w:spacing w:after="0"/>
        <w:jc w:val="both"/>
        <w:rPr>
          <w:sz w:val="24"/>
        </w:rPr>
        <w:sectPr>
          <w:footerReference w:type="default" r:id="rId8"/>
          <w:pgSz w:w="12240" w:h="15840"/>
          <w:pgMar w:footer="1476" w:header="0" w:top="1500" w:bottom="1660" w:left="1580" w:right="1580"/>
          <w:pgNumType w:start="11"/>
        </w:sectPr>
      </w:pPr>
    </w:p>
    <w:p>
      <w:pPr>
        <w:spacing w:line="360" w:lineRule="auto" w:before="52"/>
        <w:ind w:left="119" w:right="115" w:firstLine="0"/>
        <w:jc w:val="both"/>
        <w:rPr>
          <w:sz w:val="24"/>
        </w:rPr>
      </w:pPr>
      <w:r>
        <w:rPr>
          <w:i/>
          <w:sz w:val="24"/>
        </w:rPr>
        <w:t>rusticana</w:t>
      </w:r>
      <w:r>
        <w:rPr>
          <w:sz w:val="24"/>
        </w:rPr>
        <w:t>) sobre la fermentación ruminal </w:t>
      </w:r>
      <w:r>
        <w:rPr>
          <w:i/>
          <w:sz w:val="24"/>
        </w:rPr>
        <w:t>in vitro </w:t>
      </w:r>
      <w:r>
        <w:rPr>
          <w:sz w:val="24"/>
        </w:rPr>
        <w:t>(Broudiscou </w:t>
      </w:r>
      <w:r>
        <w:rPr>
          <w:i/>
          <w:sz w:val="24"/>
        </w:rPr>
        <w:t>et al</w:t>
      </w:r>
      <w:r>
        <w:rPr>
          <w:sz w:val="24"/>
        </w:rPr>
        <w:t>., 2000; Broudiscou </w:t>
      </w:r>
      <w:r>
        <w:rPr>
          <w:i/>
          <w:sz w:val="24"/>
        </w:rPr>
        <w:t>et al., </w:t>
      </w:r>
      <w:r>
        <w:rPr>
          <w:sz w:val="24"/>
        </w:rPr>
        <w:t>2002; Cardozo </w:t>
      </w:r>
      <w:r>
        <w:rPr>
          <w:i/>
          <w:sz w:val="24"/>
        </w:rPr>
        <w:t>et al</w:t>
      </w:r>
      <w:r>
        <w:rPr>
          <w:sz w:val="24"/>
        </w:rPr>
        <w:t>., 2004; Cardozo </w:t>
      </w:r>
      <w:r>
        <w:rPr>
          <w:i/>
          <w:sz w:val="24"/>
        </w:rPr>
        <w:t>et al</w:t>
      </w:r>
      <w:r>
        <w:rPr>
          <w:sz w:val="24"/>
        </w:rPr>
        <w:t>., 2005; Mohammed </w:t>
      </w:r>
      <w:r>
        <w:rPr>
          <w:i/>
          <w:sz w:val="24"/>
        </w:rPr>
        <w:t>et </w:t>
      </w:r>
      <w:r>
        <w:rPr>
          <w:i/>
          <w:sz w:val="24"/>
        </w:rPr>
        <w:t>al</w:t>
      </w:r>
      <w:r>
        <w:rPr>
          <w:sz w:val="24"/>
        </w:rPr>
        <w:t>., 2004; Busquet </w:t>
      </w:r>
      <w:r>
        <w:rPr>
          <w:i/>
          <w:sz w:val="24"/>
        </w:rPr>
        <w:t>et al</w:t>
      </w:r>
      <w:r>
        <w:rPr>
          <w:sz w:val="24"/>
        </w:rPr>
        <w:t>., 2005; Busquet </w:t>
      </w:r>
      <w:r>
        <w:rPr>
          <w:i/>
          <w:sz w:val="24"/>
        </w:rPr>
        <w:t>et al</w:t>
      </w:r>
      <w:r>
        <w:rPr>
          <w:sz w:val="24"/>
        </w:rPr>
        <w:t>., 2006).</w:t>
      </w:r>
    </w:p>
    <w:p>
      <w:pPr>
        <w:pStyle w:val="BodyText"/>
      </w:pPr>
    </w:p>
    <w:p>
      <w:pPr>
        <w:pStyle w:val="BodyText"/>
        <w:spacing w:before="3"/>
        <w:rPr>
          <w:sz w:val="32"/>
        </w:rPr>
      </w:pPr>
    </w:p>
    <w:p>
      <w:pPr>
        <w:pStyle w:val="ListParagraph"/>
        <w:numPr>
          <w:ilvl w:val="1"/>
          <w:numId w:val="7"/>
        </w:numPr>
        <w:tabs>
          <w:tab w:pos="625" w:val="left" w:leader="none"/>
        </w:tabs>
        <w:spacing w:line="240" w:lineRule="auto" w:before="0" w:after="0"/>
        <w:ind w:left="624" w:right="0" w:hanging="505"/>
        <w:jc w:val="both"/>
        <w:rPr>
          <w:b/>
          <w:i/>
          <w:sz w:val="26"/>
        </w:rPr>
      </w:pPr>
      <w:bookmarkStart w:name="_bookmark7" w:id="15"/>
      <w:bookmarkEnd w:id="15"/>
      <w:r>
        <w:rPr/>
      </w:r>
      <w:bookmarkStart w:name="_bookmark7" w:id="16"/>
      <w:bookmarkEnd w:id="16"/>
      <w:r>
        <w:rPr>
          <w:b/>
          <w:sz w:val="26"/>
        </w:rPr>
        <w:t>Técnicas</w:t>
      </w:r>
      <w:r>
        <w:rPr>
          <w:b/>
          <w:sz w:val="26"/>
        </w:rPr>
        <w:t> de producción </w:t>
      </w:r>
      <w:r>
        <w:rPr>
          <w:b/>
          <w:spacing w:val="2"/>
          <w:sz w:val="26"/>
        </w:rPr>
        <w:t>de </w:t>
      </w:r>
      <w:r>
        <w:rPr>
          <w:b/>
          <w:sz w:val="26"/>
        </w:rPr>
        <w:t>gas </w:t>
      </w:r>
      <w:r>
        <w:rPr>
          <w:b/>
          <w:i/>
          <w:sz w:val="26"/>
        </w:rPr>
        <w:t>in</w:t>
      </w:r>
      <w:r>
        <w:rPr>
          <w:b/>
          <w:i/>
          <w:spacing w:val="-11"/>
          <w:sz w:val="26"/>
        </w:rPr>
        <w:t> </w:t>
      </w:r>
      <w:r>
        <w:rPr>
          <w:b/>
          <w:i/>
          <w:sz w:val="26"/>
        </w:rPr>
        <w:t>vitro</w:t>
      </w:r>
    </w:p>
    <w:p>
      <w:pPr>
        <w:pStyle w:val="BodyText"/>
        <w:spacing w:before="6"/>
        <w:rPr>
          <w:b/>
          <w:i/>
          <w:sz w:val="34"/>
        </w:rPr>
      </w:pPr>
    </w:p>
    <w:p>
      <w:pPr>
        <w:pStyle w:val="BodyText"/>
        <w:spacing w:line="360" w:lineRule="auto"/>
        <w:ind w:left="119" w:right="114"/>
        <w:jc w:val="both"/>
      </w:pPr>
      <w:r>
        <w:rPr/>
        <w:t>En los estudios para estimar la digestibilidad en los forrajes hay dos técnicas de producción de gas </w:t>
      </w:r>
      <w:r>
        <w:rPr>
          <w:i/>
        </w:rPr>
        <w:t>in vitro </w:t>
      </w:r>
      <w:r>
        <w:rPr/>
        <w:t>más usadas. Estas técnicas tienen como principio fundamental que “la cantidad de gas producido durante la fermentación es proporcional a la cantidad de materia seca digerida” Menke </w:t>
      </w:r>
      <w:r>
        <w:rPr>
          <w:i/>
        </w:rPr>
        <w:t>et al</w:t>
      </w:r>
      <w:r>
        <w:rPr/>
        <w:t>., 1979; Menke y Steingass, 1988; Blümmel y Ørskov, 1993</w:t>
      </w:r>
    </w:p>
    <w:p>
      <w:pPr>
        <w:pStyle w:val="BodyText"/>
      </w:pPr>
    </w:p>
    <w:p>
      <w:pPr>
        <w:pStyle w:val="BodyText"/>
        <w:spacing w:before="5"/>
        <w:rPr>
          <w:sz w:val="28"/>
        </w:rPr>
      </w:pPr>
    </w:p>
    <w:p>
      <w:pPr>
        <w:pStyle w:val="BodyText"/>
        <w:spacing w:line="360" w:lineRule="auto"/>
        <w:ind w:left="119" w:right="115"/>
        <w:jc w:val="both"/>
      </w:pPr>
      <w:r>
        <w:rPr/>
        <w:t>Menke (1979) y Menke y Steingass (1988) desarrollaron por primera vez la técnica de producción de gas </w:t>
      </w:r>
      <w:r>
        <w:rPr>
          <w:i/>
        </w:rPr>
        <w:t>in vitro</w:t>
      </w:r>
      <w:r>
        <w:rPr/>
        <w:t>, la cual consiste en incubar 200 mg de forraje en jeringas de vidrio graduadas (100 ml) con líquido ruminal y solución buffer en una proporción 1:2 (v/v). Se deben colocar jeringas blanco y muestras estándar e incubarse a 39°C. Con el promedio del gas de los blancos se corrige la producción de gas debida a la fermentación del alimento contenido en el líquido ruminal y con los estándares se controla la producción de gas.</w:t>
      </w:r>
    </w:p>
    <w:p>
      <w:pPr>
        <w:pStyle w:val="BodyText"/>
      </w:pPr>
    </w:p>
    <w:p>
      <w:pPr>
        <w:pStyle w:val="BodyText"/>
        <w:spacing w:before="4"/>
        <w:rPr>
          <w:sz w:val="33"/>
        </w:rPr>
      </w:pPr>
    </w:p>
    <w:p>
      <w:pPr>
        <w:pStyle w:val="BodyText"/>
        <w:spacing w:line="360" w:lineRule="auto" w:before="1"/>
        <w:ind w:left="119" w:right="115"/>
        <w:jc w:val="both"/>
      </w:pPr>
      <w:r>
        <w:rPr/>
        <w:t>Este método solo tiene una exactitud de lectura de </w:t>
      </w:r>
      <w:r>
        <w:rPr>
          <w:spacing w:val="-3"/>
        </w:rPr>
        <w:t>±0.5 </w:t>
      </w:r>
      <w:r>
        <w:rPr/>
        <w:t>ml; sin embargo, es de  fácil reproducción, bajo costo y además con esta técnica se puede obtener el aporte de EM de un alimento. Se toma en cuenta el volumen de gas producido hasta las 24 horas de fermentación, la cantidad de proteína cruda, grasa cruda, fibra cruda, y las cenizas del alimento en evaluación. Se aplica la fórmula adecuada y se obtiene la energía metabolizable que aporta el alimento (Menke y Steingass,</w:t>
      </w:r>
      <w:r>
        <w:rPr>
          <w:spacing w:val="-3"/>
        </w:rPr>
        <w:t> </w:t>
      </w:r>
      <w:r>
        <w:rPr/>
        <w:t>1988).</w:t>
      </w:r>
    </w:p>
    <w:p>
      <w:pPr>
        <w:spacing w:after="0" w:line="360" w:lineRule="auto"/>
        <w:jc w:val="both"/>
        <w:sectPr>
          <w:pgSz w:w="12240" w:h="15840"/>
          <w:pgMar w:header="0" w:footer="1476" w:top="1360" w:bottom="1660" w:left="1580" w:right="1580"/>
        </w:sectPr>
      </w:pPr>
    </w:p>
    <w:p>
      <w:pPr>
        <w:pStyle w:val="BodyText"/>
        <w:spacing w:line="360" w:lineRule="auto" w:before="52"/>
        <w:ind w:left="119" w:right="116"/>
        <w:jc w:val="both"/>
      </w:pPr>
      <w:r>
        <w:rPr/>
        <w:t>Posteriormente Theodorou </w:t>
      </w:r>
      <w:r>
        <w:rPr>
          <w:i/>
        </w:rPr>
        <w:t>et al</w:t>
      </w:r>
      <w:r>
        <w:rPr/>
        <w:t>. (1991: 1994) desarrollan otro método, utilizando un transductor de presión; este mide </w:t>
      </w:r>
      <w:r>
        <w:rPr>
          <w:spacing w:val="2"/>
        </w:rPr>
        <w:t>la </w:t>
      </w:r>
      <w:r>
        <w:rPr/>
        <w:t>presión de gas generada por la fermentación del alimento en frascos de vidrio. Se colocan 0.999 g de forraje en los frascos con 90 </w:t>
      </w:r>
      <w:r>
        <w:rPr>
          <w:spacing w:val="-4"/>
        </w:rPr>
        <w:t>ml </w:t>
      </w:r>
      <w:r>
        <w:rPr/>
        <w:t>de solución buffer y 10 </w:t>
      </w:r>
      <w:r>
        <w:rPr>
          <w:spacing w:val="-4"/>
        </w:rPr>
        <w:t>ml </w:t>
      </w:r>
      <w:r>
        <w:rPr/>
        <w:t>de líquido ruminal. Se deben colocar frascos blanco y muestras estándar e incubarse a 39°C. Las lecturas son tomadas a intervalos regulares hasta obtener las 120 horas. El gas generado en cada lectura es liberado, el gas acumulado en cada lectura representa la cinética del proceso de fermentación del forraje (Theodorou </w:t>
      </w:r>
      <w:r>
        <w:rPr>
          <w:i/>
        </w:rPr>
        <w:t>et al</w:t>
      </w:r>
      <w:r>
        <w:rPr/>
        <w:t>., 1991:</w:t>
      </w:r>
      <w:r>
        <w:rPr>
          <w:spacing w:val="-23"/>
        </w:rPr>
        <w:t> </w:t>
      </w:r>
      <w:r>
        <w:rPr/>
        <w:t>1994).</w:t>
      </w:r>
    </w:p>
    <w:p>
      <w:pPr>
        <w:spacing w:after="0" w:line="360" w:lineRule="auto"/>
        <w:jc w:val="both"/>
        <w:sectPr>
          <w:pgSz w:w="12240" w:h="15840"/>
          <w:pgMar w:header="0" w:footer="1476" w:top="1360" w:bottom="1660" w:left="1580" w:right="1580"/>
        </w:sectPr>
      </w:pPr>
    </w:p>
    <w:p>
      <w:pPr>
        <w:pStyle w:val="Heading1"/>
        <w:numPr>
          <w:ilvl w:val="0"/>
          <w:numId w:val="5"/>
        </w:numPr>
        <w:tabs>
          <w:tab w:pos="481" w:val="left" w:leader="none"/>
        </w:tabs>
        <w:spacing w:line="240" w:lineRule="auto" w:before="46" w:after="0"/>
        <w:ind w:left="480" w:right="0" w:hanging="361"/>
        <w:jc w:val="both"/>
      </w:pPr>
      <w:bookmarkStart w:name="_bookmark8" w:id="17"/>
      <w:bookmarkEnd w:id="17"/>
      <w:r>
        <w:rPr>
          <w:b w:val="0"/>
        </w:rPr>
      </w:r>
      <w:bookmarkStart w:name="_bookmark8" w:id="18"/>
      <w:bookmarkEnd w:id="18"/>
      <w:r>
        <w:rPr/>
        <w:t>JU</w:t>
      </w:r>
      <w:r>
        <w:rPr/>
        <w:t>STIFICACIÓN</w:t>
      </w:r>
    </w:p>
    <w:p>
      <w:pPr>
        <w:pStyle w:val="BodyText"/>
        <w:rPr>
          <w:b/>
          <w:sz w:val="26"/>
        </w:rPr>
      </w:pPr>
    </w:p>
    <w:p>
      <w:pPr>
        <w:pStyle w:val="BodyText"/>
        <w:spacing w:before="11"/>
        <w:rPr>
          <w:b/>
          <w:sz w:val="28"/>
        </w:rPr>
      </w:pPr>
    </w:p>
    <w:p>
      <w:pPr>
        <w:pStyle w:val="BodyText"/>
        <w:spacing w:line="360" w:lineRule="auto"/>
        <w:ind w:left="119" w:right="114"/>
        <w:jc w:val="both"/>
      </w:pPr>
      <w:r>
        <w:rPr/>
        <w:t>En México la ganadería es una de las principales actividades, por ejemplo el sector lechero en el país representa la segunda actividad </w:t>
      </w:r>
      <w:r>
        <w:rPr>
          <w:spacing w:val="-3"/>
        </w:rPr>
        <w:t>más </w:t>
      </w:r>
      <w:r>
        <w:rPr/>
        <w:t>importante dentro del subsector ganadero, con 22.8% del valor de la producción y es una de las principales fuentes de suministro de proteína animal dentro del país. Sin embargo, la alimentación del ganado juega un papel muy importante, pues muchas veces se alimenta a los bovinos con arvenses, que a su vez contienen cantidades importantes de metabólitos secundarios (taninos), los cuales pueden disminuir el aprovechamiento de los nutrientes de la dieta. Por lo que es importante estudiar  los efectos de estos compuestos secundarios en la fermentación ruminal y así encontrar alternativas positivas de alimentación para que no haya efectos negativos en la alimentación </w:t>
      </w:r>
      <w:r>
        <w:rPr>
          <w:spacing w:val="-3"/>
        </w:rPr>
        <w:t>del</w:t>
      </w:r>
      <w:r>
        <w:rPr>
          <w:spacing w:val="-8"/>
        </w:rPr>
        <w:t> </w:t>
      </w:r>
      <w:r>
        <w:rPr/>
        <w:t>ganado.</w:t>
      </w:r>
    </w:p>
    <w:p>
      <w:pPr>
        <w:spacing w:after="0" w:line="360" w:lineRule="auto"/>
        <w:jc w:val="both"/>
        <w:sectPr>
          <w:pgSz w:w="12240" w:h="15840"/>
          <w:pgMar w:header="0" w:footer="1476" w:top="1400" w:bottom="1660" w:left="1580" w:right="1580"/>
        </w:sectPr>
      </w:pPr>
    </w:p>
    <w:p>
      <w:pPr>
        <w:pStyle w:val="Heading1"/>
        <w:numPr>
          <w:ilvl w:val="0"/>
          <w:numId w:val="5"/>
        </w:numPr>
        <w:tabs>
          <w:tab w:pos="509" w:val="left" w:leader="none"/>
        </w:tabs>
        <w:spacing w:line="240" w:lineRule="auto" w:before="46" w:after="0"/>
        <w:ind w:left="508" w:right="0" w:hanging="389"/>
        <w:jc w:val="left"/>
      </w:pPr>
      <w:bookmarkStart w:name="_bookmark9" w:id="19"/>
      <w:bookmarkEnd w:id="19"/>
      <w:r>
        <w:rPr>
          <w:b w:val="0"/>
        </w:rPr>
      </w:r>
      <w:bookmarkStart w:name="_bookmark9" w:id="20"/>
      <w:bookmarkEnd w:id="20"/>
      <w:r>
        <w:rPr/>
        <w:t>PREGU</w:t>
      </w:r>
      <w:r>
        <w:rPr/>
        <w:t>NTA DE</w:t>
      </w:r>
      <w:r>
        <w:rPr>
          <w:spacing w:val="-23"/>
        </w:rPr>
        <w:t> </w:t>
      </w:r>
      <w:r>
        <w:rPr/>
        <w:t>INVESTIGACIÓN</w:t>
      </w:r>
    </w:p>
    <w:p>
      <w:pPr>
        <w:pStyle w:val="BodyText"/>
        <w:rPr>
          <w:b/>
          <w:sz w:val="26"/>
        </w:rPr>
      </w:pPr>
    </w:p>
    <w:p>
      <w:pPr>
        <w:pStyle w:val="BodyText"/>
        <w:rPr>
          <w:b/>
          <w:sz w:val="26"/>
        </w:rPr>
      </w:pPr>
    </w:p>
    <w:p>
      <w:pPr>
        <w:pStyle w:val="BodyText"/>
        <w:spacing w:before="226"/>
        <w:ind w:left="119"/>
      </w:pPr>
      <w:r>
        <w:rPr/>
        <w:t>¿Tendrá alguna especie tanífera efectos positivos sobre la fermentación ruminal?</w:t>
      </w:r>
    </w:p>
    <w:p>
      <w:pPr>
        <w:spacing w:after="0"/>
        <w:sectPr>
          <w:pgSz w:w="12240" w:h="15840"/>
          <w:pgMar w:header="0" w:footer="1476" w:top="1400" w:bottom="1660" w:left="1580" w:right="1720"/>
        </w:sectPr>
      </w:pPr>
    </w:p>
    <w:p>
      <w:pPr>
        <w:pStyle w:val="Heading1"/>
        <w:numPr>
          <w:ilvl w:val="0"/>
          <w:numId w:val="5"/>
        </w:numPr>
        <w:tabs>
          <w:tab w:pos="437" w:val="left" w:leader="none"/>
        </w:tabs>
        <w:spacing w:line="240" w:lineRule="auto" w:before="143" w:after="0"/>
        <w:ind w:left="436" w:right="0" w:hanging="317"/>
        <w:jc w:val="both"/>
      </w:pPr>
      <w:bookmarkStart w:name="_bookmark10" w:id="21"/>
      <w:bookmarkEnd w:id="21"/>
      <w:r>
        <w:rPr>
          <w:b w:val="0"/>
        </w:rPr>
      </w:r>
      <w:bookmarkStart w:name="_bookmark10" w:id="22"/>
      <w:bookmarkEnd w:id="22"/>
      <w:r>
        <w:rPr/>
        <w:t>HIP</w:t>
      </w:r>
      <w:r>
        <w:rPr/>
        <w:t>ÓTESIS</w:t>
      </w:r>
    </w:p>
    <w:p>
      <w:pPr>
        <w:pStyle w:val="BodyText"/>
        <w:rPr>
          <w:b/>
          <w:sz w:val="26"/>
        </w:rPr>
      </w:pPr>
    </w:p>
    <w:p>
      <w:pPr>
        <w:pStyle w:val="BodyText"/>
        <w:rPr>
          <w:b/>
          <w:sz w:val="26"/>
        </w:rPr>
      </w:pPr>
    </w:p>
    <w:p>
      <w:pPr>
        <w:pStyle w:val="BodyText"/>
        <w:rPr>
          <w:b/>
          <w:sz w:val="26"/>
        </w:rPr>
      </w:pPr>
    </w:p>
    <w:p>
      <w:pPr>
        <w:pStyle w:val="BodyText"/>
        <w:spacing w:line="360" w:lineRule="auto" w:before="153"/>
        <w:ind w:left="119" w:right="114"/>
        <w:jc w:val="both"/>
      </w:pPr>
      <w:r>
        <w:rPr/>
        <w:t>Si hay efectos positivos en la fermentación ruminal con alguna de las especies taníferas entonces se logrará una mayor eficiencia de utilización de los nutrientes de manera que no se afecte la calidad del forraje ni la digestibilidad del alimento.</w:t>
      </w:r>
    </w:p>
    <w:p>
      <w:pPr>
        <w:spacing w:after="0" w:line="360" w:lineRule="auto"/>
        <w:jc w:val="both"/>
        <w:sectPr>
          <w:pgSz w:w="12240" w:h="15840"/>
          <w:pgMar w:header="0" w:footer="1476" w:top="1500" w:bottom="1660" w:left="1580" w:right="1580"/>
        </w:sectPr>
      </w:pPr>
    </w:p>
    <w:p>
      <w:pPr>
        <w:pStyle w:val="BodyText"/>
        <w:rPr>
          <w:sz w:val="20"/>
        </w:rPr>
      </w:pPr>
    </w:p>
    <w:p>
      <w:pPr>
        <w:pStyle w:val="BodyText"/>
        <w:spacing w:before="11"/>
        <w:rPr>
          <w:sz w:val="22"/>
        </w:rPr>
      </w:pPr>
    </w:p>
    <w:p>
      <w:pPr>
        <w:pStyle w:val="Heading1"/>
        <w:spacing w:before="66"/>
        <w:ind w:right="896"/>
        <w:jc w:val="left"/>
      </w:pPr>
      <w:bookmarkStart w:name="_bookmark11" w:id="23"/>
      <w:bookmarkEnd w:id="23"/>
      <w:r>
        <w:rPr>
          <w:b w:val="0"/>
        </w:rPr>
      </w:r>
      <w:r>
        <w:rPr/>
        <w:t>Vl. OBJETIVOS</w:t>
      </w:r>
    </w:p>
    <w:p>
      <w:pPr>
        <w:pStyle w:val="BodyText"/>
        <w:rPr>
          <w:b/>
          <w:sz w:val="26"/>
        </w:rPr>
      </w:pPr>
    </w:p>
    <w:p>
      <w:pPr>
        <w:pStyle w:val="BodyText"/>
        <w:rPr>
          <w:b/>
          <w:sz w:val="26"/>
        </w:rPr>
      </w:pPr>
    </w:p>
    <w:p>
      <w:pPr>
        <w:pStyle w:val="BodyText"/>
        <w:spacing w:before="226"/>
        <w:ind w:left="119" w:right="896"/>
      </w:pPr>
      <w:r>
        <w:rPr/>
        <w:t>Objetivo general</w:t>
      </w:r>
    </w:p>
    <w:p>
      <w:pPr>
        <w:pStyle w:val="BodyText"/>
      </w:pPr>
    </w:p>
    <w:p>
      <w:pPr>
        <w:pStyle w:val="BodyText"/>
      </w:pPr>
    </w:p>
    <w:p>
      <w:pPr>
        <w:pStyle w:val="BodyText"/>
        <w:spacing w:before="3"/>
        <w:rPr>
          <w:sz w:val="35"/>
        </w:rPr>
      </w:pPr>
    </w:p>
    <w:p>
      <w:pPr>
        <w:pStyle w:val="BodyText"/>
        <w:spacing w:line="355" w:lineRule="auto"/>
        <w:ind w:left="119" w:right="99"/>
      </w:pPr>
      <w:r>
        <w:rPr/>
        <w:t>Evaluar la producción de gas </w:t>
      </w:r>
      <w:r>
        <w:rPr>
          <w:i/>
        </w:rPr>
        <w:t>in vitro </w:t>
      </w:r>
      <w:r>
        <w:rPr/>
        <w:t>de seis especies taníferas utilizadas en dietas para bovinos lecheros.</w:t>
      </w:r>
    </w:p>
    <w:p>
      <w:pPr>
        <w:pStyle w:val="BodyText"/>
      </w:pPr>
    </w:p>
    <w:p>
      <w:pPr>
        <w:pStyle w:val="BodyText"/>
      </w:pPr>
    </w:p>
    <w:p>
      <w:pPr>
        <w:pStyle w:val="BodyText"/>
        <w:spacing w:before="8"/>
        <w:rPr>
          <w:sz w:val="23"/>
        </w:rPr>
      </w:pPr>
    </w:p>
    <w:p>
      <w:pPr>
        <w:pStyle w:val="BodyText"/>
        <w:ind w:left="119" w:right="896"/>
      </w:pPr>
      <w:r>
        <w:rPr/>
        <w:t>Objetivos particulares</w:t>
      </w:r>
    </w:p>
    <w:p>
      <w:pPr>
        <w:pStyle w:val="BodyText"/>
        <w:spacing w:before="4"/>
        <w:rPr>
          <w:sz w:val="29"/>
        </w:rPr>
      </w:pPr>
    </w:p>
    <w:p>
      <w:pPr>
        <w:pStyle w:val="BodyText"/>
        <w:spacing w:before="1"/>
        <w:ind w:left="119" w:right="896"/>
      </w:pPr>
      <w:r>
        <w:rPr/>
        <w:t>-Evaluar la composición química de cada especie tanífera.</w:t>
      </w:r>
    </w:p>
    <w:p>
      <w:pPr>
        <w:pStyle w:val="BodyText"/>
        <w:spacing w:before="9"/>
        <w:rPr>
          <w:sz w:val="29"/>
        </w:rPr>
      </w:pPr>
    </w:p>
    <w:p>
      <w:pPr>
        <w:pStyle w:val="BodyText"/>
        <w:spacing w:line="355" w:lineRule="auto"/>
        <w:ind w:left="119" w:right="99"/>
      </w:pPr>
      <w:r>
        <w:rPr/>
        <w:t>-Evaluar el efecto de los taninos condensados sobre la producción de gas y la cinética de fermentación ruminal </w:t>
      </w:r>
      <w:r>
        <w:rPr>
          <w:i/>
        </w:rPr>
        <w:t>in vitro </w:t>
      </w:r>
      <w:r>
        <w:rPr/>
        <w:t>en cada especie tanífera.</w:t>
      </w:r>
    </w:p>
    <w:p>
      <w:pPr>
        <w:pStyle w:val="BodyText"/>
        <w:spacing w:line="355" w:lineRule="auto" w:before="214"/>
        <w:ind w:left="119" w:right="99"/>
      </w:pPr>
      <w:r>
        <w:rPr/>
        <w:t>-Evaluar la producción de gas en una dieta base adicionando cada una de las especies taníferas (extracto) a través de la técnica de producción de gas </w:t>
      </w:r>
      <w:r>
        <w:rPr>
          <w:i/>
        </w:rPr>
        <w:t>in vitro</w:t>
      </w:r>
      <w:r>
        <w:rPr/>
        <w:t>.</w:t>
      </w:r>
    </w:p>
    <w:p>
      <w:pPr>
        <w:pStyle w:val="BodyText"/>
        <w:spacing w:line="360" w:lineRule="auto" w:before="215"/>
        <w:ind w:left="119" w:right="152"/>
      </w:pPr>
      <w:r>
        <w:rPr/>
        <w:t>-Evaluar la cinética de la fermentación ruminal </w:t>
      </w:r>
      <w:r>
        <w:rPr>
          <w:i/>
          <w:spacing w:val="-3"/>
        </w:rPr>
        <w:t>in </w:t>
      </w:r>
      <w:r>
        <w:rPr>
          <w:i/>
        </w:rPr>
        <w:t>vitro </w:t>
      </w:r>
      <w:r>
        <w:rPr/>
        <w:t>en una dieta base adicionada con especies taníferas (extracto) para evaluar su potencial</w:t>
      </w:r>
      <w:r>
        <w:rPr>
          <w:spacing w:val="-32"/>
        </w:rPr>
        <w:t> </w:t>
      </w:r>
      <w:r>
        <w:rPr/>
        <w:t>forrajero.</w:t>
      </w:r>
    </w:p>
    <w:p>
      <w:pPr>
        <w:spacing w:after="0" w:line="360" w:lineRule="auto"/>
        <w:sectPr>
          <w:pgSz w:w="12240" w:h="15840"/>
          <w:pgMar w:header="0" w:footer="1476" w:top="1500" w:bottom="1660" w:left="1580" w:right="1580"/>
        </w:sectPr>
      </w:pPr>
    </w:p>
    <w:p>
      <w:pPr>
        <w:pStyle w:val="Heading1"/>
        <w:spacing w:before="46"/>
      </w:pPr>
      <w:bookmarkStart w:name="_bookmark12" w:id="24"/>
      <w:bookmarkEnd w:id="24"/>
      <w:r>
        <w:rPr>
          <w:b w:val="0"/>
        </w:rPr>
      </w:r>
      <w:r>
        <w:rPr/>
        <w:t>VIl. MATERIALES Y MÉTODOS</w:t>
      </w:r>
    </w:p>
    <w:p>
      <w:pPr>
        <w:pStyle w:val="BodyText"/>
        <w:spacing w:line="360" w:lineRule="auto" w:before="214"/>
        <w:ind w:left="119" w:right="116"/>
        <w:jc w:val="both"/>
      </w:pPr>
      <w:r>
        <w:rPr/>
        <w:t>La presente investigación se realizó en las instalaciones y laboratorios del Instituto de Ciencias Agropecuarias y Rurales (ICAR) de la Universidad Autónoma del Estado de México (UAEMéx.), y en la posta zootécnica de la Facultad de Medicina Veterinaria y Zootecnia de la misma Institución Académica. Se utilizaron dos bovinos fistulados para extraer el líquido ruminal.</w:t>
      </w:r>
    </w:p>
    <w:p>
      <w:pPr>
        <w:pStyle w:val="BodyText"/>
      </w:pPr>
    </w:p>
    <w:p>
      <w:pPr>
        <w:pStyle w:val="BodyText"/>
        <w:spacing w:before="7"/>
        <w:rPr>
          <w:sz w:val="32"/>
        </w:rPr>
      </w:pPr>
    </w:p>
    <w:p>
      <w:pPr>
        <w:pStyle w:val="Heading1"/>
        <w:numPr>
          <w:ilvl w:val="1"/>
          <w:numId w:val="8"/>
        </w:numPr>
        <w:tabs>
          <w:tab w:pos="552" w:val="left" w:leader="none"/>
        </w:tabs>
        <w:spacing w:line="240" w:lineRule="auto" w:before="0" w:after="0"/>
        <w:ind w:left="119" w:right="0" w:firstLine="0"/>
        <w:jc w:val="both"/>
      </w:pPr>
      <w:bookmarkStart w:name="_bookmark13" w:id="25"/>
      <w:bookmarkEnd w:id="25"/>
      <w:r>
        <w:rPr>
          <w:b w:val="0"/>
        </w:rPr>
      </w:r>
      <w:bookmarkStart w:name="_bookmark13" w:id="26"/>
      <w:bookmarkEnd w:id="26"/>
      <w:r>
        <w:rPr/>
        <w:t>Selecció</w:t>
      </w:r>
      <w:r>
        <w:rPr/>
        <w:t>n de las especies</w:t>
      </w:r>
      <w:r>
        <w:rPr>
          <w:spacing w:val="-34"/>
        </w:rPr>
        <w:t> </w:t>
      </w:r>
      <w:r>
        <w:rPr/>
        <w:t>taníferas</w:t>
      </w:r>
    </w:p>
    <w:p>
      <w:pPr>
        <w:pStyle w:val="BodyText"/>
        <w:spacing w:line="360" w:lineRule="auto" w:before="219"/>
        <w:ind w:left="119" w:right="113"/>
        <w:jc w:val="both"/>
      </w:pPr>
      <w:r>
        <w:rPr/>
        <w:t>Martínez-Loperena </w:t>
      </w:r>
      <w:r>
        <w:rPr>
          <w:i/>
        </w:rPr>
        <w:t>et al. </w:t>
      </w:r>
      <w:r>
        <w:rPr/>
        <w:t>(2011) realizaron un estudio en el Valle de Toluca, ellos evaluaron la cinética de fermentación ruminal de especies arvenses (con taninos) mezcladas con rastrojo de maíz, también determinaron la calidad nutritiva de cada arvense; de este trabajo </w:t>
      </w:r>
      <w:r>
        <w:rPr>
          <w:i/>
        </w:rPr>
        <w:t>C. bipinnatus </w:t>
      </w:r>
      <w:r>
        <w:rPr/>
        <w:t>y </w:t>
      </w:r>
      <w:r>
        <w:rPr>
          <w:i/>
        </w:rPr>
        <w:t>T. lucida </w:t>
      </w:r>
      <w:r>
        <w:rPr/>
        <w:t>fueron seleccionadas. Por otra parte, Figueroa-Medina </w:t>
      </w:r>
      <w:r>
        <w:rPr>
          <w:i/>
        </w:rPr>
        <w:t>et al. </w:t>
      </w:r>
      <w:r>
        <w:rPr/>
        <w:t>(2013) (datos aún no publicados), evaluaron la concentración de taninos condensados de 98 especies consumidas por el ganado en pastizales nativos del Sur del Estado de México. De este trabajo, se eligió a </w:t>
      </w:r>
      <w:r>
        <w:rPr>
          <w:i/>
        </w:rPr>
        <w:t>C. </w:t>
      </w:r>
      <w:r>
        <w:rPr>
          <w:i/>
        </w:rPr>
        <w:t>sulphureus, T. erecta, M. diplotricha </w:t>
      </w:r>
      <w:r>
        <w:rPr/>
        <w:t>y </w:t>
      </w:r>
      <w:r>
        <w:rPr>
          <w:i/>
        </w:rPr>
        <w:t>M. divaricatum. </w:t>
      </w:r>
      <w:r>
        <w:rPr/>
        <w:t>Todas las especies fueron elegidas por sus altos valores de taninos condensados y por ser ampliamente consumidas por el ganado.</w:t>
      </w:r>
    </w:p>
    <w:p>
      <w:pPr>
        <w:spacing w:before="209"/>
        <w:ind w:left="119" w:right="0" w:firstLine="0"/>
        <w:jc w:val="both"/>
        <w:rPr>
          <w:sz w:val="24"/>
        </w:rPr>
      </w:pPr>
      <w:r>
        <w:rPr>
          <w:i/>
          <w:sz w:val="24"/>
        </w:rPr>
        <w:t>C. bipinnatus </w:t>
      </w:r>
      <w:r>
        <w:rPr>
          <w:sz w:val="24"/>
        </w:rPr>
        <w:t>y </w:t>
      </w:r>
      <w:r>
        <w:rPr>
          <w:i/>
          <w:sz w:val="24"/>
        </w:rPr>
        <w:t>T. lucida </w:t>
      </w:r>
      <w:r>
        <w:rPr>
          <w:sz w:val="24"/>
        </w:rPr>
        <w:t>fueron recolectadas en el Valle de Toluca; mientras   que,</w:t>
      </w:r>
    </w:p>
    <w:p>
      <w:pPr>
        <w:pStyle w:val="BodyText"/>
        <w:spacing w:line="360" w:lineRule="auto" w:before="137"/>
        <w:ind w:left="119" w:right="114"/>
        <w:jc w:val="both"/>
      </w:pPr>
      <w:r>
        <w:rPr>
          <w:i/>
        </w:rPr>
        <w:t>C. sulphureus, T. erecta, M. diplotricha </w:t>
      </w:r>
      <w:r>
        <w:rPr/>
        <w:t>y </w:t>
      </w:r>
      <w:r>
        <w:rPr>
          <w:i/>
        </w:rPr>
        <w:t>M. divaricatum </w:t>
      </w:r>
      <w:r>
        <w:rPr/>
        <w:t>fueron recolectadas en Tejupilco, Estado de México. Esta actividad </w:t>
      </w:r>
      <w:r>
        <w:rPr>
          <w:spacing w:val="-3"/>
        </w:rPr>
        <w:t>se </w:t>
      </w:r>
      <w:r>
        <w:rPr/>
        <w:t>realizó de Septiembre a Noviembre de 2010, en este periodo las especies se encontraban en proceso de floración y  de cada especie se recolectaron ejemplares de tres muestreos distintos. Cada ejemplar se colocó en una secadora a aproximadamente 30ºC durante 72 horas, posteriormente se molieron en un molino Willey a un tamaño de partícula de 1mm y se almacenaron individualmente en bolsas de plástico previamente etiquetadas. De la recolecta de los tres muestreos distintos de cada especie, </w:t>
      </w:r>
      <w:r>
        <w:rPr>
          <w:spacing w:val="-3"/>
        </w:rPr>
        <w:t>se </w:t>
      </w:r>
      <w:r>
        <w:rPr/>
        <w:t>tomaron tres muestras  representativas,  y  de  cada  muestra  representativa  se  tomaron  </w:t>
      </w:r>
      <w:r>
        <w:rPr>
          <w:spacing w:val="19"/>
        </w:rPr>
        <w:t> </w:t>
      </w:r>
      <w:r>
        <w:rPr/>
        <w:t>tres</w:t>
      </w:r>
    </w:p>
    <w:p>
      <w:pPr>
        <w:spacing w:after="0" w:line="360" w:lineRule="auto"/>
        <w:jc w:val="both"/>
        <w:sectPr>
          <w:pgSz w:w="12240" w:h="15840"/>
          <w:pgMar w:header="0" w:footer="1476" w:top="1400" w:bottom="1660" w:left="1580" w:right="1580"/>
        </w:sectPr>
      </w:pPr>
    </w:p>
    <w:p>
      <w:pPr>
        <w:pStyle w:val="BodyText"/>
        <w:spacing w:line="355" w:lineRule="auto" w:before="52"/>
        <w:ind w:left="119" w:right="128"/>
        <w:jc w:val="both"/>
      </w:pPr>
      <w:r>
        <w:rPr/>
        <w:t>submuestras representativas para los posteriores análisis y los dos experimentos realizados.</w:t>
      </w:r>
    </w:p>
    <w:p>
      <w:pPr>
        <w:pStyle w:val="BodyText"/>
        <w:spacing w:before="7"/>
        <w:rPr>
          <w:sz w:val="21"/>
        </w:rPr>
      </w:pPr>
    </w:p>
    <w:p>
      <w:pPr>
        <w:pStyle w:val="Heading1"/>
        <w:numPr>
          <w:ilvl w:val="1"/>
          <w:numId w:val="8"/>
        </w:numPr>
        <w:tabs>
          <w:tab w:pos="553" w:val="left" w:leader="none"/>
        </w:tabs>
        <w:spacing w:line="240" w:lineRule="auto" w:before="0" w:after="0"/>
        <w:ind w:left="552" w:right="0" w:hanging="433"/>
        <w:jc w:val="both"/>
      </w:pPr>
      <w:bookmarkStart w:name="_bookmark14" w:id="27"/>
      <w:bookmarkEnd w:id="27"/>
      <w:r>
        <w:rPr>
          <w:b w:val="0"/>
        </w:rPr>
      </w:r>
      <w:bookmarkStart w:name="_bookmark14" w:id="28"/>
      <w:bookmarkEnd w:id="28"/>
      <w:r>
        <w:rPr/>
        <w:t>Dete</w:t>
      </w:r>
      <w:r>
        <w:rPr/>
        <w:t>rminación de metabólitos</w:t>
      </w:r>
      <w:r>
        <w:rPr>
          <w:spacing w:val="-9"/>
        </w:rPr>
        <w:t> </w:t>
      </w:r>
      <w:r>
        <w:rPr/>
        <w:t>secundarios</w:t>
      </w:r>
    </w:p>
    <w:p>
      <w:pPr>
        <w:pStyle w:val="BodyText"/>
        <w:spacing w:line="357" w:lineRule="auto" w:before="219"/>
        <w:ind w:left="119" w:right="114"/>
        <w:jc w:val="both"/>
      </w:pPr>
      <w:r>
        <w:rPr/>
        <w:t>Las especies taníferas se evaluaron para obtener el contenido de fenoles totales (FT), taninos no fenólicos (TNF) y taninos totales (TT), este último utilizando Polyvinyl polypyrrolidone (PVPP).Todos los análisis se realizaron por el método Folin-Ciocalteu (Makkar, 2003b). El contenido de fenoles totales y taninos no fenólicos fue expresado como el equivalente de acido tánico con la respectiva curva de calibración y la cantidad de taninos totales se obtuvo por diferencia entre los fenoles totales y taninos no fenólicos. Además, se evaluó el contenido de taninos condensados (TC) y taninos condensados ligados a la fibra (TCLF) por el ensayo de Butanol-HCI/Fe</w:t>
      </w:r>
      <w:r>
        <w:rPr>
          <w:position w:val="11"/>
          <w:sz w:val="16"/>
        </w:rPr>
        <w:t>3+ </w:t>
      </w:r>
      <w:r>
        <w:rPr/>
        <w:t>(Makkar </w:t>
      </w:r>
      <w:r>
        <w:rPr>
          <w:i/>
        </w:rPr>
        <w:t>et al</w:t>
      </w:r>
      <w:r>
        <w:rPr/>
        <w:t>., 2007). La cantidad de taninos condensados y taninos condensados ligados a la fibra fueron calculados  por medio de un valor constante y el factor de dilución</w:t>
      </w:r>
      <w:r>
        <w:rPr>
          <w:spacing w:val="-15"/>
        </w:rPr>
        <w:t> </w:t>
      </w:r>
      <w:r>
        <w:rPr/>
        <w:t>utilizado.</w:t>
      </w:r>
    </w:p>
    <w:p>
      <w:pPr>
        <w:pStyle w:val="BodyText"/>
        <w:spacing w:before="4"/>
        <w:rPr>
          <w:sz w:val="21"/>
        </w:rPr>
      </w:pPr>
    </w:p>
    <w:p>
      <w:pPr>
        <w:pStyle w:val="Heading1"/>
        <w:numPr>
          <w:ilvl w:val="1"/>
          <w:numId w:val="8"/>
        </w:numPr>
        <w:tabs>
          <w:tab w:pos="557" w:val="left" w:leader="none"/>
        </w:tabs>
        <w:spacing w:line="240" w:lineRule="auto" w:before="1" w:after="0"/>
        <w:ind w:left="556" w:right="0" w:hanging="437"/>
        <w:jc w:val="both"/>
      </w:pPr>
      <w:bookmarkStart w:name="_bookmark15" w:id="29"/>
      <w:bookmarkEnd w:id="29"/>
      <w:r>
        <w:rPr>
          <w:b w:val="0"/>
        </w:rPr>
      </w:r>
      <w:bookmarkStart w:name="_bookmark15" w:id="30"/>
      <w:bookmarkEnd w:id="30"/>
      <w:r>
        <w:rPr/>
        <w:t>A</w:t>
      </w:r>
      <w:r>
        <w:rPr/>
        <w:t>nálisis químico</w:t>
      </w:r>
      <w:r>
        <w:rPr>
          <w:spacing w:val="-15"/>
        </w:rPr>
        <w:t> </w:t>
      </w:r>
      <w:r>
        <w:rPr/>
        <w:t>proximal</w:t>
      </w:r>
    </w:p>
    <w:p>
      <w:pPr>
        <w:pStyle w:val="BodyText"/>
        <w:spacing w:line="360" w:lineRule="auto" w:before="214"/>
        <w:ind w:left="119" w:right="118"/>
        <w:jc w:val="both"/>
      </w:pPr>
      <w:r>
        <w:rPr/>
        <w:t>Las especies taníferas y la dieta base fueron evaluadas para determinar: a) su contenido de N por el método Kjeldhal (Digestor BÜCHI B435 y Destilador  BÜCHI</w:t>
      </w:r>
    </w:p>
    <w:p>
      <w:pPr>
        <w:pStyle w:val="BodyText"/>
        <w:spacing w:before="8"/>
        <w:ind w:left="119"/>
        <w:jc w:val="both"/>
      </w:pPr>
      <w:r>
        <w:rPr/>
        <w:t>323) multiplicado por 6.25 para expresarlo en proteína cruda (PC) (AOAC,   1990),</w:t>
      </w:r>
    </w:p>
    <w:p>
      <w:pPr>
        <w:pStyle w:val="ListParagraph"/>
        <w:numPr>
          <w:ilvl w:val="0"/>
          <w:numId w:val="9"/>
        </w:numPr>
        <w:tabs>
          <w:tab w:pos="409" w:val="left" w:leader="none"/>
        </w:tabs>
        <w:spacing w:line="240" w:lineRule="auto" w:before="137" w:after="0"/>
        <w:ind w:left="119" w:right="0" w:firstLine="0"/>
        <w:jc w:val="both"/>
        <w:rPr>
          <w:sz w:val="24"/>
        </w:rPr>
      </w:pPr>
      <w:r>
        <w:rPr>
          <w:sz w:val="24"/>
        </w:rPr>
        <w:t>fibra detergente neutro (FDN) y fibra detergente ácido (FDA) (Van Soest,</w:t>
      </w:r>
      <w:r>
        <w:rPr>
          <w:spacing w:val="24"/>
          <w:sz w:val="24"/>
        </w:rPr>
        <w:t> </w:t>
      </w:r>
      <w:r>
        <w:rPr>
          <w:sz w:val="24"/>
        </w:rPr>
        <w:t>1991),</w:t>
      </w:r>
    </w:p>
    <w:p>
      <w:pPr>
        <w:pStyle w:val="ListParagraph"/>
        <w:numPr>
          <w:ilvl w:val="0"/>
          <w:numId w:val="9"/>
        </w:numPr>
        <w:tabs>
          <w:tab w:pos="409" w:val="left" w:leader="none"/>
        </w:tabs>
        <w:spacing w:line="360" w:lineRule="auto" w:before="137" w:after="0"/>
        <w:ind w:left="119" w:right="117" w:firstLine="0"/>
        <w:jc w:val="both"/>
        <w:rPr>
          <w:sz w:val="24"/>
        </w:rPr>
      </w:pPr>
      <w:r>
        <w:rPr>
          <w:sz w:val="24"/>
        </w:rPr>
        <w:t>extracto etéreo (NMX-F-615-NORMEX-2004), d) cenizas por incineración de la muestra en una mufla a 550ºC durante 3 horas y e) energía metabolizable (EM, MJ/kg MS) a las 24 horas de fermentación de la muestra utilizando la técnica de producción de gas </w:t>
      </w:r>
      <w:r>
        <w:rPr>
          <w:i/>
          <w:spacing w:val="-3"/>
          <w:sz w:val="24"/>
        </w:rPr>
        <w:t>in </w:t>
      </w:r>
      <w:r>
        <w:rPr>
          <w:i/>
          <w:sz w:val="24"/>
        </w:rPr>
        <w:t>vitro </w:t>
      </w:r>
      <w:r>
        <w:rPr>
          <w:sz w:val="24"/>
        </w:rPr>
        <w:t>propuesta por Menke and Steingass (1988) para el primer experimento y la también sugerida por Theodorou (1994) para el segundo experimento.</w:t>
      </w:r>
    </w:p>
    <w:p>
      <w:pPr>
        <w:spacing w:after="0" w:line="360" w:lineRule="auto"/>
        <w:jc w:val="both"/>
        <w:rPr>
          <w:sz w:val="24"/>
        </w:rPr>
        <w:sectPr>
          <w:pgSz w:w="12240" w:h="15840"/>
          <w:pgMar w:header="0" w:footer="1476" w:top="1360" w:bottom="1660" w:left="1580" w:right="1580"/>
        </w:sectPr>
      </w:pPr>
    </w:p>
    <w:p>
      <w:pPr>
        <w:pStyle w:val="Heading1"/>
        <w:numPr>
          <w:ilvl w:val="1"/>
          <w:numId w:val="8"/>
        </w:numPr>
        <w:tabs>
          <w:tab w:pos="730" w:val="left" w:leader="none"/>
        </w:tabs>
        <w:spacing w:line="357" w:lineRule="auto" w:before="47" w:after="0"/>
        <w:ind w:left="119" w:right="129" w:firstLine="0"/>
        <w:jc w:val="both"/>
      </w:pPr>
      <w:bookmarkStart w:name="_bookmark16" w:id="31"/>
      <w:bookmarkEnd w:id="31"/>
      <w:r>
        <w:rPr>
          <w:b w:val="0"/>
        </w:rPr>
      </w:r>
      <w:bookmarkStart w:name="_bookmark16" w:id="32"/>
      <w:bookmarkEnd w:id="32"/>
      <w:r>
        <w:rPr/>
        <w:t>Efecto</w:t>
      </w:r>
      <w:r>
        <w:rPr/>
        <w:t> del Polietilen glicol (PEG) sobre la fermentación ruminal con especies abundantes en</w:t>
      </w:r>
      <w:r>
        <w:rPr>
          <w:spacing w:val="-23"/>
        </w:rPr>
        <w:t> </w:t>
      </w:r>
      <w:r>
        <w:rPr/>
        <w:t>taninos.</w:t>
      </w:r>
    </w:p>
    <w:p>
      <w:pPr>
        <w:pStyle w:val="BodyText"/>
        <w:spacing w:line="360" w:lineRule="auto" w:before="77"/>
        <w:ind w:left="119" w:right="114"/>
        <w:jc w:val="both"/>
      </w:pPr>
      <w:r>
        <w:rPr/>
        <w:t>Se evaluó el efecto de los taninos sobre la fermentación ruminal para  cada especie tanífera de manera individual. Se utilizó polietilen glicol (PEG-6000) como bloqueador de taninos y se evaluaron dos tratamientos (+PEG, -PEG). Se aplicó la técnica de producción de gas </w:t>
      </w:r>
      <w:r>
        <w:rPr>
          <w:i/>
          <w:spacing w:val="-3"/>
        </w:rPr>
        <w:t>in </w:t>
      </w:r>
      <w:r>
        <w:rPr>
          <w:i/>
        </w:rPr>
        <w:t>vitro </w:t>
      </w:r>
      <w:r>
        <w:rPr/>
        <w:t>propuesta por Menke y Steingass (1988), modificada por Nagadi </w:t>
      </w:r>
      <w:r>
        <w:rPr>
          <w:i/>
        </w:rPr>
        <w:t>et al</w:t>
      </w:r>
      <w:r>
        <w:rPr/>
        <w:t>. (2000a y 2000b), utilizando una dilución 1:2 (líquido ruminal/solución</w:t>
      </w:r>
      <w:r>
        <w:rPr>
          <w:spacing w:val="-8"/>
        </w:rPr>
        <w:t> </w:t>
      </w:r>
      <w:r>
        <w:rPr/>
        <w:t>buffer).</w:t>
      </w:r>
    </w:p>
    <w:p>
      <w:pPr>
        <w:pStyle w:val="BodyText"/>
        <w:spacing w:line="360" w:lineRule="auto" w:before="209"/>
        <w:ind w:left="119" w:right="113"/>
        <w:jc w:val="both"/>
      </w:pPr>
      <w:r>
        <w:rPr/>
        <w:t>El líquido ruminal se colectó de dos bovinos fistulados (550 kg PV) en la mañana antes de ser alimentados, su dieta consistió en 60% de forraje (avena, 40% y alfalfa, 20%) y 40% de concentrado (maíz, 68%; melaza, 10%; urea, 2% y canola, 20%). Se utilizaron jeringas de 100 ml graduadas, en cada jeringa se pesó 0.500 g MS de cada especie tanífera, mas 1 g de PEG (+PEG) o 0 g de PEG (-PEG), y 50 ml de la solución buffer más líquido ruminal. Las jeringas se incubaron a 39°C en baño de agua. Se colocaron tres replicas por tratamiento para cada especie y las lecturas se efectuaron a 0, 1, 2, 3, 4, 5, 6, 7, 8, 12, 24, 36, 48, 72 y 96 h de incubación.</w:t>
      </w:r>
    </w:p>
    <w:p>
      <w:pPr>
        <w:pStyle w:val="BodyText"/>
        <w:spacing w:before="2"/>
        <w:rPr>
          <w:sz w:val="21"/>
        </w:rPr>
      </w:pPr>
    </w:p>
    <w:p>
      <w:pPr>
        <w:pStyle w:val="Heading1"/>
        <w:numPr>
          <w:ilvl w:val="1"/>
          <w:numId w:val="8"/>
        </w:numPr>
        <w:tabs>
          <w:tab w:pos="586" w:val="left" w:leader="none"/>
        </w:tabs>
        <w:spacing w:line="355" w:lineRule="auto" w:before="0" w:after="0"/>
        <w:ind w:left="119" w:right="131" w:firstLine="0"/>
        <w:jc w:val="both"/>
      </w:pPr>
      <w:bookmarkStart w:name="_bookmark17" w:id="33"/>
      <w:bookmarkEnd w:id="33"/>
      <w:r>
        <w:rPr>
          <w:b w:val="0"/>
        </w:rPr>
      </w:r>
      <w:bookmarkStart w:name="_bookmark17" w:id="34"/>
      <w:bookmarkEnd w:id="34"/>
      <w:r>
        <w:rPr/>
        <w:t>E</w:t>
      </w:r>
      <w:r>
        <w:rPr/>
        <w:t>fecto en la fermentación ruminal de tres niveles de inclusión de extracto de taninos en una dieta base para ganado</w:t>
      </w:r>
      <w:r>
        <w:rPr>
          <w:spacing w:val="-12"/>
        </w:rPr>
        <w:t> </w:t>
      </w:r>
      <w:r>
        <w:rPr/>
        <w:t>lechero.</w:t>
      </w:r>
    </w:p>
    <w:p>
      <w:pPr>
        <w:pStyle w:val="BodyText"/>
        <w:spacing w:line="360" w:lineRule="auto" w:before="79"/>
        <w:ind w:left="119" w:right="115"/>
        <w:jc w:val="both"/>
      </w:pPr>
      <w:r>
        <w:rPr/>
        <w:t>Una vez comprobado el efecto de los taninos sobre la fermentación ruminal se inicio la obtención del extracto de los taninos por especie. El método de extracción fue por maceración; se pesaron 40 g de la planta y se colocó en un vaso de precipitado de 500 ml, se agregaron 100 </w:t>
      </w:r>
      <w:r>
        <w:rPr>
          <w:spacing w:val="-4"/>
        </w:rPr>
        <w:t>ml </w:t>
      </w:r>
      <w:r>
        <w:rPr/>
        <w:t>de metanol-agua destilada (disolvente) en una proporción 70:30, se </w:t>
      </w:r>
      <w:r>
        <w:rPr>
          <w:spacing w:val="-3"/>
        </w:rPr>
        <w:t>dejó </w:t>
      </w:r>
      <w:r>
        <w:rPr/>
        <w:t>en reposo durante tres semanas a temperatura ambiente y a la sombra (Isaza, 2007). Posteriormente se filtró el extracto con  papel filtro (número 40) y se guardó en frascos ámbar a 4°C hasta </w:t>
      </w:r>
      <w:r>
        <w:rPr>
          <w:spacing w:val="-3"/>
        </w:rPr>
        <w:t>su </w:t>
      </w:r>
      <w:r>
        <w:rPr/>
        <w:t>uso (Sabas, 2010).</w:t>
      </w:r>
    </w:p>
    <w:p>
      <w:pPr>
        <w:spacing w:after="0" w:line="360" w:lineRule="auto"/>
        <w:jc w:val="both"/>
        <w:sectPr>
          <w:footerReference w:type="default" r:id="rId9"/>
          <w:pgSz w:w="12240" w:h="15840"/>
          <w:pgMar w:footer="1478" w:header="0" w:top="1360" w:bottom="1660" w:left="1580" w:right="1580"/>
        </w:sectPr>
      </w:pPr>
    </w:p>
    <w:p>
      <w:pPr>
        <w:pStyle w:val="BodyText"/>
        <w:spacing w:line="360" w:lineRule="auto" w:before="52"/>
        <w:ind w:left="119" w:right="115"/>
        <w:jc w:val="both"/>
      </w:pPr>
      <w:r>
        <w:rPr/>
        <w:t>Se evaluó el efecto de tres niveles de inclusión de extracto de taninos de cada especie tanífera de manera individual en una dieta base, esta consistió en 60% de forraje de pasto estrella y 40 % de concentrado (maíz, 68%; melaza, 10%; urea, 2% y canola, 20%). Los niveles de inclusión se determinaron por la cantidad de materia seca que se colocó a macerar en el disolvente, el volumen obtenido de extracto, la cantidad de taninos presentes en la especie y la cantidad de taninos que puede resistir un rumiante en su alimentación en materia seca (Otero e Hidalgo, 2004). Con base a este valor se utilizaron tres niveles de inclusión 1, 3 y 6% de inclusión de extracto correspondientes al nivel bajo, medio y alto. Se colocó una muestra sin extracto (control) para poder apreciar los efectos de cada extracto sobre la dieta base.</w:t>
      </w:r>
    </w:p>
    <w:p>
      <w:pPr>
        <w:pStyle w:val="BodyText"/>
        <w:spacing w:line="360" w:lineRule="auto" w:before="209"/>
        <w:ind w:left="119" w:right="114"/>
        <w:jc w:val="both"/>
      </w:pPr>
      <w:r>
        <w:rPr/>
        <w:t>Se utilizó la técnica de producción de gas </w:t>
      </w:r>
      <w:r>
        <w:rPr>
          <w:i/>
        </w:rPr>
        <w:t>in vitro </w:t>
      </w:r>
      <w:r>
        <w:rPr/>
        <w:t>propuesta por Theodorou </w:t>
      </w:r>
      <w:r>
        <w:rPr>
          <w:i/>
        </w:rPr>
        <w:t>et al., </w:t>
      </w:r>
      <w:r>
        <w:rPr/>
        <w:t>(1994), para ello, se pesaron aproximadamente 0.999 g de la dieta base  en botellas Wolf, se agregó el nivel de inclusión correspondiente para cada especie, 90 ml de solución buffer y 10 ml de líquido ruminal. Se incubaron a 39 °C en baño de agua y se colocaron tres replicas por tratamiento para cada extracto de cada especie tanífera. Las lecturas se realizaron con un transductor de presión (Delta OHM) a 0, 1, 2, 3, 4, 5, 6, 7, 8, 12, 24, 36, 48, 72 y 96 h de incubación.</w:t>
      </w:r>
    </w:p>
    <w:p>
      <w:pPr>
        <w:pStyle w:val="BodyText"/>
        <w:spacing w:before="2"/>
        <w:rPr>
          <w:sz w:val="21"/>
        </w:rPr>
      </w:pPr>
    </w:p>
    <w:p>
      <w:pPr>
        <w:pStyle w:val="Heading1"/>
        <w:numPr>
          <w:ilvl w:val="1"/>
          <w:numId w:val="8"/>
        </w:numPr>
        <w:tabs>
          <w:tab w:pos="553" w:val="left" w:leader="none"/>
        </w:tabs>
        <w:spacing w:line="240" w:lineRule="auto" w:before="0" w:after="0"/>
        <w:ind w:left="552" w:right="0" w:hanging="433"/>
        <w:jc w:val="both"/>
      </w:pPr>
      <w:bookmarkStart w:name="_bookmark18" w:id="35"/>
      <w:bookmarkEnd w:id="35"/>
      <w:r>
        <w:rPr>
          <w:b w:val="0"/>
        </w:rPr>
      </w:r>
      <w:bookmarkStart w:name="_bookmark18" w:id="36"/>
      <w:bookmarkEnd w:id="36"/>
      <w:r>
        <w:rPr/>
        <w:t>Cálculo</w:t>
      </w:r>
      <w:r>
        <w:rPr/>
        <w:t>s.</w:t>
      </w:r>
    </w:p>
    <w:p>
      <w:pPr>
        <w:pStyle w:val="BodyText"/>
        <w:spacing w:line="360" w:lineRule="auto" w:before="214"/>
        <w:ind w:left="119" w:right="118"/>
        <w:jc w:val="both"/>
      </w:pPr>
      <w:r>
        <w:rPr/>
        <w:t>Finalizado el periodo de incubación, en ambos experimentos se aplicó la microtécnica de Pell y Shofield (1993) a los residuos sobrantes para determinar la digestibilidad de la materia seca (dMS), materia orgánica (dMO) y la digestibilidad de la fibra detergente neutro (dFDN).</w:t>
      </w:r>
    </w:p>
    <w:p>
      <w:pPr>
        <w:pStyle w:val="BodyText"/>
        <w:spacing w:line="360" w:lineRule="auto" w:before="209"/>
        <w:ind w:left="119" w:right="120"/>
        <w:jc w:val="both"/>
      </w:pPr>
      <w:r>
        <w:rPr/>
        <w:t>Para la dMS y dMO los residuos de una jeringa y/o botella Wolf por tratamiento por muestra (especie tanífera) se removieron con agua destilada y se colocaron en frascos. Para obtener la dFDN los residuos de dos jeringas y/o botellas por tratamiento por muestra (especie tanífera) se removieron con 25 y 50 ml de solución  de  fibra  detergente  neutro  para  el   primer  y  segundo     experimento</w:t>
      </w:r>
    </w:p>
    <w:p>
      <w:pPr>
        <w:spacing w:after="0" w:line="360" w:lineRule="auto"/>
        <w:jc w:val="both"/>
        <w:sectPr>
          <w:footerReference w:type="default" r:id="rId10"/>
          <w:pgSz w:w="12240" w:h="15840"/>
          <w:pgMar w:footer="1478" w:header="0" w:top="1360" w:bottom="1660" w:left="1580" w:right="1580"/>
          <w:pgNumType w:start="21"/>
        </w:sectPr>
      </w:pPr>
    </w:p>
    <w:p>
      <w:pPr>
        <w:pStyle w:val="BodyText"/>
        <w:spacing w:line="355" w:lineRule="auto" w:before="52"/>
        <w:ind w:left="119" w:right="129"/>
        <w:jc w:val="both"/>
      </w:pPr>
      <w:r>
        <w:rPr/>
        <w:t>respectivamente y se colocaron en frascos. Todas las muestras sin distinción se llevaron a la autoclave  por una hora a 105ºC.</w:t>
      </w:r>
    </w:p>
    <w:p>
      <w:pPr>
        <w:pStyle w:val="BodyText"/>
        <w:spacing w:line="360" w:lineRule="auto" w:before="215"/>
        <w:ind w:left="119" w:right="114"/>
        <w:jc w:val="both"/>
      </w:pPr>
      <w:r>
        <w:rPr/>
        <w:t>Posteriormente se filtraron en crisoles gooch (previamente colocados a peso constante y pesados) y se depositaron en una estufa a 105ºC por 24-48 h, se enfriaron en un desecador y se registró su peso. Se distribuyeron en una mufla para incinerar a 450º C por 4 h. Se enfriaron en un desecador y se registró el peso final.</w:t>
      </w:r>
    </w:p>
    <w:p>
      <w:pPr>
        <w:pStyle w:val="BodyText"/>
        <w:spacing w:line="355" w:lineRule="auto" w:before="209"/>
        <w:ind w:left="119" w:right="127"/>
        <w:jc w:val="both"/>
      </w:pPr>
      <w:r>
        <w:rPr/>
        <w:t>La energía metabolizable se calculó con ecuaciones diferentes de acuerdo a la técnica de producción de gas utilizada.</w:t>
      </w:r>
    </w:p>
    <w:p>
      <w:pPr>
        <w:pStyle w:val="BodyText"/>
        <w:spacing w:before="210"/>
        <w:ind w:left="119"/>
        <w:jc w:val="both"/>
      </w:pPr>
      <w:r>
        <w:rPr/>
        <w:t>Experimento 1:</w:t>
      </w:r>
    </w:p>
    <w:p>
      <w:pPr>
        <w:pStyle w:val="BodyText"/>
        <w:spacing w:before="9"/>
        <w:rPr>
          <w:sz w:val="29"/>
        </w:rPr>
      </w:pPr>
    </w:p>
    <w:p>
      <w:pPr>
        <w:pStyle w:val="BodyText"/>
        <w:spacing w:line="362" w:lineRule="auto"/>
        <w:ind w:left="119" w:right="122"/>
        <w:jc w:val="both"/>
      </w:pPr>
      <w:r>
        <w:rPr/>
        <w:t>La energía metabolizable (EM: MJ/kg MS) se determinó con la siguiente ecuación (Steingass, 1983):</w:t>
      </w:r>
    </w:p>
    <w:p>
      <w:pPr>
        <w:pStyle w:val="BodyText"/>
        <w:spacing w:before="5"/>
        <w:rPr>
          <w:sz w:val="32"/>
        </w:rPr>
      </w:pPr>
    </w:p>
    <w:p>
      <w:pPr>
        <w:pStyle w:val="Heading2"/>
        <w:spacing w:before="0"/>
      </w:pPr>
      <w:r>
        <w:rPr/>
        <w:t>EM: 3.16+0.0695GP + 0.000730GP</w:t>
      </w:r>
      <w:r>
        <w:rPr>
          <w:position w:val="11"/>
          <w:sz w:val="16"/>
        </w:rPr>
        <w:t>2 </w:t>
      </w:r>
      <w:r>
        <w:rPr/>
        <w:t>+ 0.00732XP + 0.02052XL   [1]</w:t>
      </w:r>
    </w:p>
    <w:p>
      <w:pPr>
        <w:pStyle w:val="BodyText"/>
        <w:spacing w:line="360" w:lineRule="auto" w:before="141"/>
        <w:ind w:left="119" w:right="129"/>
        <w:jc w:val="both"/>
      </w:pPr>
      <w:r>
        <w:rPr/>
        <w:t>Dónde: GP: producción de gas a las 24 horas (ml gas/200 mg MS/ 24 h), XP: proteína cruda de la muestra (g/kg MS), XL: extracto etéreo de la muestra (g/kg MS).</w:t>
      </w:r>
    </w:p>
    <w:p>
      <w:pPr>
        <w:pStyle w:val="BodyText"/>
      </w:pPr>
    </w:p>
    <w:p>
      <w:pPr>
        <w:pStyle w:val="BodyText"/>
        <w:spacing w:before="140"/>
        <w:ind w:left="119"/>
        <w:jc w:val="both"/>
      </w:pPr>
      <w:r>
        <w:rPr/>
        <w:t>Experimento 2:</w:t>
      </w:r>
    </w:p>
    <w:p>
      <w:pPr>
        <w:pStyle w:val="BodyText"/>
        <w:spacing w:line="360" w:lineRule="auto" w:before="137"/>
        <w:ind w:left="119" w:right="129"/>
        <w:jc w:val="both"/>
      </w:pPr>
      <w:r>
        <w:rPr/>
        <w:t>La energía metabolizable ((EM) MJ/kg MS)) se determinó a partir de la siguiente fórmula (AFRC, 1993):</w:t>
      </w:r>
    </w:p>
    <w:p>
      <w:pPr>
        <w:pStyle w:val="Heading2"/>
        <w:spacing w:before="205"/>
      </w:pPr>
      <w:r>
        <w:rPr/>
        <w:t>EM (MJ/kgMS): 0.0157*dMO </w:t>
      </w:r>
      <w:r>
        <w:rPr>
          <w:spacing w:val="58"/>
        </w:rPr>
        <w:t> </w:t>
      </w:r>
      <w:r>
        <w:rPr/>
        <w:t>[2]</w:t>
      </w:r>
    </w:p>
    <w:p>
      <w:pPr>
        <w:pStyle w:val="BodyText"/>
        <w:spacing w:before="141"/>
        <w:ind w:left="119"/>
        <w:jc w:val="both"/>
      </w:pPr>
      <w:r>
        <w:rPr/>
        <w:t>Dónde: dMO: digestibilidad de la materia orgánica (g/kg MS).</w:t>
      </w:r>
    </w:p>
    <w:p>
      <w:pPr>
        <w:pStyle w:val="BodyText"/>
      </w:pPr>
    </w:p>
    <w:p>
      <w:pPr>
        <w:pStyle w:val="BodyText"/>
      </w:pPr>
    </w:p>
    <w:p>
      <w:pPr>
        <w:pStyle w:val="BodyText"/>
        <w:spacing w:line="355" w:lineRule="auto" w:before="199"/>
        <w:ind w:left="119" w:right="118"/>
        <w:jc w:val="both"/>
      </w:pPr>
      <w:r>
        <w:rPr/>
        <w:t>La cinética de la fermentación ruminal en ambos experimentos se estimó a partir del ajuste de la producción de gas propuesto por Jessop y Herrero (1996).</w:t>
      </w:r>
    </w:p>
    <w:p>
      <w:pPr>
        <w:spacing w:before="205"/>
        <w:ind w:left="119" w:right="0" w:firstLine="0"/>
        <w:jc w:val="both"/>
        <w:rPr>
          <w:b/>
          <w:sz w:val="24"/>
        </w:rPr>
      </w:pPr>
      <w:r>
        <w:rPr>
          <w:b/>
          <w:sz w:val="24"/>
        </w:rPr>
        <w:t>GP=</w:t>
      </w:r>
      <w:r>
        <w:rPr>
          <w:b/>
          <w:i/>
          <w:sz w:val="24"/>
        </w:rPr>
        <w:t>a </w:t>
      </w:r>
      <w:r>
        <w:rPr>
          <w:b/>
          <w:sz w:val="24"/>
        </w:rPr>
        <w:t>x (1-exp (-</w:t>
      </w:r>
      <w:r>
        <w:rPr>
          <w:b/>
          <w:i/>
          <w:sz w:val="24"/>
        </w:rPr>
        <w:t>ca</w:t>
      </w:r>
      <w:r>
        <w:rPr>
          <w:b/>
          <w:sz w:val="24"/>
        </w:rPr>
        <w:t>+t)) + </w:t>
      </w:r>
      <w:r>
        <w:rPr>
          <w:b/>
          <w:i/>
          <w:sz w:val="24"/>
        </w:rPr>
        <w:t>b </w:t>
      </w:r>
      <w:r>
        <w:rPr>
          <w:b/>
          <w:sz w:val="24"/>
        </w:rPr>
        <w:t>x (1-exp (-</w:t>
      </w:r>
      <w:r>
        <w:rPr>
          <w:b/>
          <w:i/>
          <w:sz w:val="24"/>
        </w:rPr>
        <w:t>cb </w:t>
      </w:r>
      <w:r>
        <w:rPr>
          <w:b/>
          <w:sz w:val="24"/>
        </w:rPr>
        <w:t>x (t-</w:t>
      </w:r>
      <w:r>
        <w:rPr>
          <w:b/>
          <w:i/>
          <w:sz w:val="24"/>
        </w:rPr>
        <w:t>lag</w:t>
      </w:r>
      <w:r>
        <w:rPr>
          <w:b/>
          <w:sz w:val="24"/>
        </w:rPr>
        <w:t>))) x (t&gt;</w:t>
      </w:r>
      <w:r>
        <w:rPr>
          <w:b/>
          <w:i/>
          <w:sz w:val="24"/>
        </w:rPr>
        <w:t>lag</w:t>
      </w:r>
      <w:r>
        <w:rPr>
          <w:b/>
          <w:sz w:val="24"/>
        </w:rPr>
        <w:t>) x -1.   [3]</w:t>
      </w:r>
    </w:p>
    <w:p>
      <w:pPr>
        <w:spacing w:after="0"/>
        <w:jc w:val="both"/>
        <w:rPr>
          <w:sz w:val="24"/>
        </w:rPr>
        <w:sectPr>
          <w:pgSz w:w="12240" w:h="15840"/>
          <w:pgMar w:header="0" w:footer="1478" w:top="1360" w:bottom="1660" w:left="1580" w:right="1580"/>
        </w:sectPr>
      </w:pPr>
    </w:p>
    <w:p>
      <w:pPr>
        <w:pStyle w:val="BodyText"/>
        <w:spacing w:line="360" w:lineRule="auto" w:before="52"/>
        <w:ind w:left="119" w:right="117"/>
        <w:jc w:val="both"/>
      </w:pPr>
      <w:r>
        <w:rPr/>
        <w:t>Dónde: PG: es la producción acumulada de gas (ml gas/g MS), </w:t>
      </w:r>
      <w:r>
        <w:rPr>
          <w:i/>
        </w:rPr>
        <w:t>a</w:t>
      </w:r>
      <w:r>
        <w:rPr/>
        <w:t>: es la producción de gas a partir de la fermentación (ml gas/g MS) de la fracción soluble de los carbohidratos, </w:t>
      </w:r>
      <w:r>
        <w:rPr>
          <w:i/>
        </w:rPr>
        <w:t>b</w:t>
      </w:r>
      <w:r>
        <w:rPr/>
        <w:t>: es la producción potencial de gas (ml gas/g MS) a partir de la fracción insoluble pero potencialmente degradable, </w:t>
      </w:r>
      <w:r>
        <w:rPr>
          <w:i/>
        </w:rPr>
        <w:t>ca</w:t>
      </w:r>
      <w:r>
        <w:rPr/>
        <w:t>: es la tasa de fermentación (ml gas/g MS) de la fracción a, </w:t>
      </w:r>
      <w:r>
        <w:rPr>
          <w:i/>
        </w:rPr>
        <w:t>cb</w:t>
      </w:r>
      <w:r>
        <w:rPr/>
        <w:t>: la tasa de fermentación (ml gas/g MS) de la fracción </w:t>
      </w:r>
      <w:r>
        <w:rPr>
          <w:i/>
        </w:rPr>
        <w:t>b </w:t>
      </w:r>
      <w:r>
        <w:rPr/>
        <w:t>y lag: es el tiempo en horas (ml gas/g MS) antes de iniciar la fermentación de la FDN.</w:t>
      </w:r>
    </w:p>
    <w:p>
      <w:pPr>
        <w:pStyle w:val="BodyText"/>
        <w:spacing w:before="209"/>
        <w:ind w:left="119"/>
        <w:jc w:val="both"/>
      </w:pPr>
      <w:r>
        <w:rPr/>
        <w:t>El ajuste de la producción de gas se realizó en el programa Grafit v3 (1992).</w:t>
      </w:r>
    </w:p>
    <w:p>
      <w:pPr>
        <w:pStyle w:val="BodyText"/>
        <w:spacing w:before="11"/>
        <w:rPr>
          <w:sz w:val="31"/>
        </w:rPr>
      </w:pPr>
    </w:p>
    <w:p>
      <w:pPr>
        <w:pStyle w:val="Heading1"/>
        <w:numPr>
          <w:ilvl w:val="1"/>
          <w:numId w:val="8"/>
        </w:numPr>
        <w:tabs>
          <w:tab w:pos="553" w:val="left" w:leader="none"/>
        </w:tabs>
        <w:spacing w:line="240" w:lineRule="auto" w:before="0" w:after="0"/>
        <w:ind w:left="552" w:right="0" w:hanging="433"/>
        <w:jc w:val="both"/>
      </w:pPr>
      <w:bookmarkStart w:name="_bookmark19" w:id="37"/>
      <w:bookmarkEnd w:id="37"/>
      <w:r>
        <w:rPr>
          <w:b w:val="0"/>
        </w:rPr>
      </w:r>
      <w:bookmarkStart w:name="_bookmark19" w:id="38"/>
      <w:bookmarkEnd w:id="38"/>
      <w:r>
        <w:rPr/>
        <w:t>D</w:t>
      </w:r>
      <w:r>
        <w:rPr/>
        <w:t>iseño</w:t>
      </w:r>
      <w:r>
        <w:rPr>
          <w:spacing w:val="-10"/>
        </w:rPr>
        <w:t> </w:t>
      </w:r>
      <w:r>
        <w:rPr/>
        <w:t>experimental</w:t>
      </w:r>
    </w:p>
    <w:p>
      <w:pPr>
        <w:pStyle w:val="BodyText"/>
        <w:spacing w:line="360" w:lineRule="auto" w:before="219"/>
        <w:ind w:left="119" w:right="116"/>
        <w:jc w:val="both"/>
      </w:pPr>
      <w:r>
        <w:rPr/>
        <w:t>En el experimento 1 se evaluó el efecto del polietilen glicol (PEG) sobre la fermentación ruminal donde los tratamientos fueron + PEG y – PEG para cada especie tanífera (bloques) con tres repeticiones.</w:t>
      </w:r>
    </w:p>
    <w:p>
      <w:pPr>
        <w:pStyle w:val="BodyText"/>
      </w:pPr>
    </w:p>
    <w:p>
      <w:pPr>
        <w:pStyle w:val="BodyText"/>
        <w:spacing w:line="360" w:lineRule="auto" w:before="144"/>
        <w:ind w:left="119" w:right="115"/>
        <w:jc w:val="both"/>
      </w:pPr>
      <w:r>
        <w:rPr/>
        <w:t>En el experimento 2 donde se evaluó el efecto en la fermentación ruminal de tres niveles de inclusión de extracto sobre la fermentación ruminal. Los tratamientos fueron nivel alto, medio y bajo de extracto de especie tanífera (bloques) con tres repeticiones. En ambos experimentos se utilizó el siguiente modelo general lineal:</w:t>
      </w:r>
    </w:p>
    <w:p>
      <w:pPr>
        <w:pStyle w:val="BodyText"/>
      </w:pPr>
    </w:p>
    <w:p>
      <w:pPr>
        <w:spacing w:before="143"/>
        <w:ind w:left="186" w:right="0" w:firstLine="0"/>
        <w:jc w:val="both"/>
        <w:rPr>
          <w:sz w:val="16"/>
        </w:rPr>
      </w:pPr>
      <w:r>
        <w:rPr>
          <w:sz w:val="24"/>
        </w:rPr>
        <w:t>Y</w:t>
      </w:r>
      <w:r>
        <w:rPr>
          <w:position w:val="-2"/>
          <w:sz w:val="16"/>
        </w:rPr>
        <w:t>ij </w:t>
      </w:r>
      <w:r>
        <w:rPr>
          <w:sz w:val="24"/>
        </w:rPr>
        <w:t>= </w:t>
      </w:r>
      <w:r>
        <w:rPr>
          <w:rFonts w:ascii="Symbol" w:hAnsi="Symbol"/>
          <w:sz w:val="24"/>
        </w:rPr>
        <w:t></w:t>
      </w:r>
      <w:r>
        <w:rPr>
          <w:rFonts w:ascii="Times New Roman" w:hAnsi="Times New Roman"/>
          <w:sz w:val="24"/>
        </w:rPr>
        <w:t> </w:t>
      </w:r>
      <w:r>
        <w:rPr>
          <w:sz w:val="24"/>
        </w:rPr>
        <w:t>+ </w:t>
      </w:r>
      <w:r>
        <w:rPr>
          <w:rFonts w:ascii="Symbol" w:hAnsi="Symbol"/>
          <w:sz w:val="24"/>
        </w:rPr>
        <w:t></w:t>
      </w:r>
      <w:r>
        <w:rPr>
          <w:sz w:val="24"/>
        </w:rPr>
        <w:t>i + </w:t>
      </w:r>
      <w:r>
        <w:rPr>
          <w:rFonts w:ascii="Symbol" w:hAnsi="Symbol"/>
          <w:sz w:val="24"/>
        </w:rPr>
        <w:t></w:t>
      </w:r>
      <w:r>
        <w:rPr>
          <w:position w:val="-2"/>
          <w:sz w:val="16"/>
        </w:rPr>
        <w:t>j </w:t>
      </w:r>
      <w:r>
        <w:rPr>
          <w:sz w:val="24"/>
        </w:rPr>
        <w:t>+ </w:t>
      </w:r>
      <w:r>
        <w:rPr>
          <w:rFonts w:ascii="Symbol" w:hAnsi="Symbol"/>
          <w:sz w:val="24"/>
        </w:rPr>
        <w:t></w:t>
      </w:r>
      <w:r>
        <w:rPr>
          <w:position w:val="-2"/>
          <w:sz w:val="16"/>
        </w:rPr>
        <w:t>ij;</w:t>
      </w:r>
    </w:p>
    <w:p>
      <w:pPr>
        <w:pStyle w:val="BodyText"/>
        <w:rPr>
          <w:sz w:val="26"/>
        </w:rPr>
      </w:pPr>
    </w:p>
    <w:p>
      <w:pPr>
        <w:pStyle w:val="BodyText"/>
        <w:spacing w:before="3"/>
        <w:rPr>
          <w:sz w:val="21"/>
        </w:rPr>
      </w:pPr>
    </w:p>
    <w:p>
      <w:pPr>
        <w:pStyle w:val="BodyText"/>
        <w:spacing w:line="355" w:lineRule="auto" w:before="1"/>
        <w:ind w:left="119" w:right="114"/>
        <w:jc w:val="both"/>
      </w:pPr>
      <w:r>
        <w:rPr/>
        <w:t>Dónde</w:t>
      </w:r>
      <w:r>
        <w:rPr>
          <w:b/>
        </w:rPr>
        <w:t>: </w:t>
      </w:r>
      <w:r>
        <w:rPr/>
        <w:t>Y</w:t>
      </w:r>
      <w:r>
        <w:rPr>
          <w:position w:val="-2"/>
          <w:sz w:val="16"/>
        </w:rPr>
        <w:t>ij </w:t>
      </w:r>
      <w:r>
        <w:rPr/>
        <w:t>= Respuesta en la unidad experimental con el tratamiento, </w:t>
      </w:r>
      <w:r>
        <w:rPr>
          <w:rFonts w:ascii="Symbol" w:hAnsi="Symbol"/>
        </w:rPr>
        <w:t></w:t>
      </w:r>
      <w:r>
        <w:rPr>
          <w:rFonts w:ascii="Times New Roman" w:hAnsi="Times New Roman"/>
        </w:rPr>
        <w:t> </w:t>
      </w:r>
      <w:r>
        <w:rPr/>
        <w:t>= Media general, </w:t>
      </w:r>
      <w:r>
        <w:rPr>
          <w:rFonts w:ascii="Symbol" w:hAnsi="Symbol"/>
        </w:rPr>
        <w:t></w:t>
      </w:r>
      <w:r>
        <w:rPr/>
        <w:t>i = Efecto del tratamiento (i=1,2), </w:t>
      </w:r>
      <w:r>
        <w:rPr>
          <w:rFonts w:ascii="Symbol" w:hAnsi="Symbol"/>
        </w:rPr>
        <w:t></w:t>
      </w:r>
      <w:r>
        <w:rPr>
          <w:position w:val="-2"/>
          <w:sz w:val="16"/>
        </w:rPr>
        <w:t>j </w:t>
      </w:r>
      <w:r>
        <w:rPr/>
        <w:t>= Efecto del bloque (j=1, …6) </w:t>
      </w:r>
      <w:r>
        <w:rPr>
          <w:rFonts w:ascii="Symbol" w:hAnsi="Symbol"/>
        </w:rPr>
        <w:t></w:t>
      </w:r>
      <w:r>
        <w:rPr>
          <w:position w:val="-2"/>
          <w:sz w:val="16"/>
        </w:rPr>
        <w:t>ij </w:t>
      </w:r>
      <w:r>
        <w:rPr/>
        <w:t>= Error residual.</w:t>
      </w:r>
    </w:p>
    <w:p>
      <w:pPr>
        <w:pStyle w:val="BodyText"/>
      </w:pPr>
    </w:p>
    <w:p>
      <w:pPr>
        <w:pStyle w:val="BodyText"/>
        <w:spacing w:line="362" w:lineRule="auto" w:before="145"/>
        <w:ind w:left="119" w:right="123"/>
        <w:jc w:val="both"/>
      </w:pPr>
      <w:r>
        <w:rPr/>
        <w:t>Finalmente, se realizó un análisis de regresión del efecto de los compuestos secundarios sobre los parámetros de la fermentación ruminal, las digestibilidades  y la EM mediante el siguiente</w:t>
      </w:r>
      <w:r>
        <w:rPr>
          <w:spacing w:val="-13"/>
        </w:rPr>
        <w:t> </w:t>
      </w:r>
      <w:r>
        <w:rPr/>
        <w:t>modelo:</w:t>
      </w:r>
    </w:p>
    <w:p>
      <w:pPr>
        <w:pStyle w:val="BodyText"/>
        <w:spacing w:before="8"/>
        <w:rPr>
          <w:sz w:val="35"/>
        </w:rPr>
      </w:pPr>
    </w:p>
    <w:p>
      <w:pPr>
        <w:pStyle w:val="BodyText"/>
        <w:ind w:left="186"/>
        <w:jc w:val="both"/>
      </w:pPr>
      <w:r>
        <w:rPr/>
        <w:t>Yi = </w:t>
      </w:r>
      <w:r>
        <w:rPr>
          <w:rFonts w:ascii="Symbol" w:hAnsi="Symbol"/>
        </w:rPr>
        <w:t></w:t>
      </w:r>
      <w:r>
        <w:rPr/>
        <w:t>o + </w:t>
      </w:r>
      <w:r>
        <w:rPr>
          <w:rFonts w:ascii="Symbol" w:hAnsi="Symbol"/>
        </w:rPr>
        <w:t></w:t>
      </w:r>
      <w:r>
        <w:rPr/>
        <w:t>1 X1+ </w:t>
      </w:r>
      <w:r>
        <w:rPr>
          <w:rFonts w:ascii="Symbol" w:hAnsi="Symbol"/>
        </w:rPr>
        <w:t></w:t>
      </w:r>
      <w:r>
        <w:rPr/>
        <w:t>2 X2 + </w:t>
      </w:r>
      <w:r>
        <w:rPr>
          <w:rFonts w:ascii="Symbol" w:hAnsi="Symbol"/>
        </w:rPr>
        <w:t></w:t>
      </w:r>
      <w:r>
        <w:rPr/>
        <w:t>3 X3 + </w:t>
      </w:r>
      <w:r>
        <w:rPr>
          <w:rFonts w:ascii="Symbol" w:hAnsi="Symbol"/>
        </w:rPr>
        <w:t></w:t>
      </w:r>
      <w:r>
        <w:rPr/>
        <w:t>4 X4 + … </w:t>
      </w:r>
      <w:r>
        <w:rPr>
          <w:rFonts w:ascii="Symbol" w:hAnsi="Symbol"/>
        </w:rPr>
        <w:t></w:t>
      </w:r>
      <w:r>
        <w:rPr/>
        <w:t>p Xp + </w:t>
      </w:r>
      <w:r>
        <w:rPr>
          <w:rFonts w:ascii="Symbol" w:hAnsi="Symbol"/>
        </w:rPr>
        <w:t></w:t>
      </w:r>
      <w:r>
        <w:rPr/>
        <w:t>i</w:t>
      </w:r>
    </w:p>
    <w:p>
      <w:pPr>
        <w:spacing w:after="0"/>
        <w:jc w:val="both"/>
        <w:sectPr>
          <w:pgSz w:w="12240" w:h="15840"/>
          <w:pgMar w:header="0" w:footer="1478" w:top="1360" w:bottom="1660" w:left="1580" w:right="1580"/>
        </w:sectPr>
      </w:pPr>
    </w:p>
    <w:p>
      <w:pPr>
        <w:pStyle w:val="BodyText"/>
        <w:spacing w:before="2"/>
        <w:rPr>
          <w:sz w:val="22"/>
        </w:rPr>
      </w:pPr>
    </w:p>
    <w:p>
      <w:pPr>
        <w:pStyle w:val="BodyText"/>
        <w:spacing w:line="360" w:lineRule="auto" w:before="70"/>
        <w:ind w:left="119" w:right="115"/>
        <w:jc w:val="both"/>
      </w:pPr>
      <w:r>
        <w:rPr/>
        <w:t>Dónde: Yi: variable dependiente (dMS, dMO, dFDN, EM y parámetros de la cinética de fermentación ruminal), X1, X2, X3, X4, …, Xp: Variables  independientes (FT, TNF, TT, TC, TCLF), </w:t>
      </w:r>
      <w:r>
        <w:rPr>
          <w:rFonts w:ascii="Symbol" w:hAnsi="Symbol"/>
        </w:rPr>
        <w:t></w:t>
      </w:r>
      <w:r>
        <w:rPr/>
        <w:t>o, </w:t>
      </w:r>
      <w:r>
        <w:rPr>
          <w:rFonts w:ascii="Symbol" w:hAnsi="Symbol"/>
        </w:rPr>
        <w:t></w:t>
      </w:r>
      <w:r>
        <w:rPr/>
        <w:t>1 , </w:t>
      </w:r>
      <w:r>
        <w:rPr>
          <w:rFonts w:ascii="Symbol" w:hAnsi="Symbol"/>
        </w:rPr>
        <w:t></w:t>
      </w:r>
      <w:r>
        <w:rPr/>
        <w:t>2 , </w:t>
      </w:r>
      <w:r>
        <w:rPr>
          <w:rFonts w:ascii="Symbol" w:hAnsi="Symbol"/>
        </w:rPr>
        <w:t></w:t>
      </w:r>
      <w:r>
        <w:rPr/>
        <w:t>3 , </w:t>
      </w:r>
      <w:r>
        <w:rPr>
          <w:rFonts w:ascii="Symbol" w:hAnsi="Symbol"/>
        </w:rPr>
        <w:t></w:t>
      </w:r>
      <w:r>
        <w:rPr/>
        <w:t>4 , …, </w:t>
      </w:r>
      <w:r>
        <w:rPr>
          <w:rFonts w:ascii="Symbol" w:hAnsi="Symbol"/>
        </w:rPr>
        <w:t></w:t>
      </w:r>
      <w:r>
        <w:rPr/>
        <w:t>p: Parámetros de la ecuación de regresión lineal, </w:t>
      </w:r>
      <w:r>
        <w:rPr>
          <w:rFonts w:ascii="Symbol" w:hAnsi="Symbol"/>
        </w:rPr>
        <w:t></w:t>
      </w:r>
      <w:r>
        <w:rPr/>
        <w:t>I: Error aleatorio </w:t>
      </w:r>
      <w:r>
        <w:rPr>
          <w:spacing w:val="-3"/>
        </w:rPr>
        <w:t>del </w:t>
      </w:r>
      <w:r>
        <w:rPr/>
        <w:t>i-esimo</w:t>
      </w:r>
      <w:r>
        <w:rPr>
          <w:spacing w:val="-9"/>
        </w:rPr>
        <w:t> </w:t>
      </w:r>
      <w:r>
        <w:rPr/>
        <w:t>individuo.</w:t>
      </w:r>
    </w:p>
    <w:p>
      <w:pPr>
        <w:pStyle w:val="BodyText"/>
        <w:spacing w:before="3"/>
        <w:rPr>
          <w:sz w:val="20"/>
        </w:rPr>
      </w:pPr>
    </w:p>
    <w:p>
      <w:pPr>
        <w:pStyle w:val="Heading1"/>
      </w:pPr>
      <w:bookmarkStart w:name="_bookmark20" w:id="39"/>
      <w:bookmarkEnd w:id="39"/>
      <w:r>
        <w:rPr>
          <w:b w:val="0"/>
        </w:rPr>
      </w:r>
      <w:r>
        <w:rPr/>
        <w:t>7.8. Análisis estadístico</w:t>
      </w:r>
    </w:p>
    <w:p>
      <w:pPr>
        <w:pStyle w:val="BodyText"/>
        <w:spacing w:line="360" w:lineRule="auto" w:before="219"/>
        <w:ind w:left="119" w:right="115"/>
        <w:jc w:val="both"/>
      </w:pPr>
      <w:r>
        <w:rPr/>
        <w:t>Los resultados se analizaron mediante un análisis de varianza y cuando se observaron diferencias estadísticas (P&lt;0.05) se aplicó una prueba de comparación de medias de Tukey (Minitab V14, 2000).</w:t>
      </w:r>
    </w:p>
    <w:p>
      <w:pPr>
        <w:spacing w:after="0" w:line="360" w:lineRule="auto"/>
        <w:jc w:val="both"/>
        <w:sectPr>
          <w:pgSz w:w="12240" w:h="15840"/>
          <w:pgMar w:header="0" w:footer="1478" w:top="1500" w:bottom="1660" w:left="1580" w:right="1580"/>
        </w:sectPr>
      </w:pPr>
    </w:p>
    <w:p>
      <w:pPr>
        <w:pStyle w:val="Heading1"/>
        <w:spacing w:before="46"/>
        <w:ind w:right="49"/>
        <w:jc w:val="left"/>
      </w:pPr>
      <w:bookmarkStart w:name="_bookmark21" w:id="40"/>
      <w:bookmarkEnd w:id="40"/>
      <w:r>
        <w:rPr>
          <w:b w:val="0"/>
        </w:rPr>
      </w:r>
      <w:r>
        <w:rPr/>
        <w:t>VIIl. RESULTADOS</w:t>
      </w:r>
    </w:p>
    <w:p>
      <w:pPr>
        <w:pStyle w:val="BodyText"/>
        <w:spacing w:before="7"/>
        <w:rPr>
          <w:b/>
          <w:sz w:val="33"/>
        </w:rPr>
      </w:pPr>
    </w:p>
    <w:p>
      <w:pPr>
        <w:pStyle w:val="Heading1"/>
        <w:numPr>
          <w:ilvl w:val="1"/>
          <w:numId w:val="10"/>
        </w:numPr>
        <w:tabs>
          <w:tab w:pos="552" w:val="left" w:leader="none"/>
        </w:tabs>
        <w:spacing w:line="240" w:lineRule="auto" w:before="1" w:after="0"/>
        <w:ind w:left="551" w:right="0" w:hanging="432"/>
        <w:jc w:val="left"/>
      </w:pPr>
      <w:bookmarkStart w:name="_bookmark22" w:id="41"/>
      <w:bookmarkEnd w:id="41"/>
      <w:r>
        <w:rPr>
          <w:b w:val="0"/>
        </w:rPr>
      </w:r>
      <w:bookmarkStart w:name="_bookmark22" w:id="42"/>
      <w:bookmarkEnd w:id="42"/>
      <w:r>
        <w:rPr/>
        <w:t>Cart</w:t>
      </w:r>
      <w:r>
        <w:rPr/>
        <w:t>a de recepción de</w:t>
      </w:r>
      <w:r>
        <w:rPr>
          <w:spacing w:val="-26"/>
        </w:rPr>
        <w:t> </w:t>
      </w:r>
      <w:r>
        <w:rPr/>
        <w:t>artículo</w:t>
      </w:r>
    </w:p>
    <w:p>
      <w:pPr>
        <w:pStyle w:val="BodyText"/>
        <w:rPr>
          <w:b/>
          <w:sz w:val="26"/>
        </w:rPr>
      </w:pPr>
    </w:p>
    <w:p>
      <w:pPr>
        <w:spacing w:line="290" w:lineRule="auto" w:before="194"/>
        <w:ind w:left="119" w:right="49" w:firstLine="0"/>
        <w:jc w:val="left"/>
        <w:rPr>
          <w:rFonts w:ascii="Courier New"/>
          <w:sz w:val="23"/>
        </w:rPr>
      </w:pPr>
      <w:r>
        <w:rPr>
          <w:rFonts w:ascii="Courier New"/>
          <w:color w:val="444444"/>
          <w:sz w:val="23"/>
        </w:rPr>
        <w:t>De: </w:t>
      </w:r>
      <w:hyperlink r:id="rId11">
        <w:r>
          <w:rPr>
            <w:rFonts w:ascii="Courier New"/>
            <w:color w:val="444444"/>
            <w:sz w:val="23"/>
          </w:rPr>
          <w:t>ees.anifee.0.23bd22.76b61652@eesmail.elsevier.com</w:t>
        </w:r>
      </w:hyperlink>
      <w:r>
        <w:rPr>
          <w:rFonts w:ascii="Courier New"/>
          <w:color w:val="444444"/>
          <w:sz w:val="23"/>
        </w:rPr>
        <w:t> [</w:t>
      </w:r>
      <w:hyperlink r:id="rId11">
        <w:r>
          <w:rPr>
            <w:rFonts w:ascii="Courier New"/>
            <w:color w:val="444444"/>
            <w:sz w:val="23"/>
          </w:rPr>
          <w:t>ees.anifee.0.23bd22.76b61652@eesmail.elsevier.com</w:t>
        </w:r>
      </w:hyperlink>
      <w:r>
        <w:rPr>
          <w:rFonts w:ascii="Courier New"/>
          <w:color w:val="444444"/>
          <w:sz w:val="23"/>
        </w:rPr>
        <w:t>] En nombre de ANIFEE [</w:t>
      </w:r>
      <w:hyperlink r:id="rId12">
        <w:r>
          <w:rPr>
            <w:rFonts w:ascii="Courier New"/>
            <w:color w:val="444444"/>
            <w:sz w:val="23"/>
          </w:rPr>
          <w:t>anifee@elsevier.com</w:t>
        </w:r>
      </w:hyperlink>
      <w:r>
        <w:rPr>
          <w:rFonts w:ascii="Courier New"/>
          <w:color w:val="444444"/>
          <w:sz w:val="23"/>
        </w:rPr>
        <w:t>]</w:t>
      </w:r>
    </w:p>
    <w:p>
      <w:pPr>
        <w:spacing w:line="290" w:lineRule="auto" w:before="1"/>
        <w:ind w:left="119" w:right="512" w:firstLine="0"/>
        <w:jc w:val="left"/>
        <w:rPr>
          <w:rFonts w:ascii="Courier New"/>
          <w:sz w:val="23"/>
        </w:rPr>
      </w:pPr>
      <w:r>
        <w:rPr>
          <w:rFonts w:ascii="Courier New"/>
          <w:color w:val="444444"/>
          <w:sz w:val="23"/>
        </w:rPr>
        <w:t>Enviado el: viernes, 06 de septiembre de 2013 08:02 p.m. Para: Julieta Gertrudis Estrada Flores; </w:t>
      </w:r>
      <w:hyperlink r:id="rId13">
        <w:r>
          <w:rPr>
            <w:rFonts w:ascii="Courier New"/>
            <w:color w:val="444444"/>
            <w:sz w:val="23"/>
          </w:rPr>
          <w:t>efjulissa@hotmail.com</w:t>
        </w:r>
      </w:hyperlink>
      <w:r>
        <w:rPr>
          <w:rFonts w:ascii="Courier New"/>
          <w:color w:val="444444"/>
          <w:sz w:val="23"/>
        </w:rPr>
        <w:t> Asunto: A manuscript number has been assigned:</w:t>
      </w:r>
      <w:r>
        <w:rPr>
          <w:rFonts w:ascii="Courier New"/>
          <w:color w:val="444444"/>
          <w:spacing w:val="-22"/>
          <w:sz w:val="23"/>
        </w:rPr>
        <w:t> </w:t>
      </w:r>
      <w:r>
        <w:rPr>
          <w:rFonts w:ascii="Courier New"/>
          <w:color w:val="444444"/>
          <w:sz w:val="23"/>
        </w:rPr>
        <w:t>ANIFEE-13-5157</w:t>
      </w:r>
    </w:p>
    <w:p>
      <w:pPr>
        <w:pStyle w:val="BodyText"/>
        <w:spacing w:before="7"/>
        <w:rPr>
          <w:rFonts w:ascii="Courier New"/>
          <w:sz w:val="27"/>
        </w:rPr>
      </w:pPr>
    </w:p>
    <w:p>
      <w:pPr>
        <w:spacing w:before="0"/>
        <w:ind w:left="119" w:right="49" w:firstLine="0"/>
        <w:jc w:val="left"/>
        <w:rPr>
          <w:rFonts w:ascii="Courier New"/>
          <w:sz w:val="23"/>
        </w:rPr>
      </w:pPr>
      <w:r>
        <w:rPr>
          <w:rFonts w:ascii="Courier New"/>
          <w:color w:val="444444"/>
          <w:sz w:val="23"/>
        </w:rPr>
        <w:t>Ms. No. ANIFEE-13-5157</w:t>
      </w:r>
    </w:p>
    <w:p>
      <w:pPr>
        <w:spacing w:line="288" w:lineRule="auto" w:before="56"/>
        <w:ind w:left="119" w:right="49" w:firstLine="0"/>
        <w:jc w:val="left"/>
        <w:rPr>
          <w:rFonts w:ascii="Courier New"/>
          <w:sz w:val="23"/>
        </w:rPr>
      </w:pPr>
      <w:r>
        <w:rPr>
          <w:rFonts w:ascii="Courier New"/>
          <w:color w:val="444444"/>
          <w:sz w:val="23"/>
        </w:rPr>
        <w:t>Effect on ruminal fermentation of diets used for dairy cattle with tannin-rich species added</w:t>
      </w:r>
    </w:p>
    <w:p>
      <w:pPr>
        <w:pStyle w:val="BodyText"/>
        <w:spacing w:before="3"/>
        <w:rPr>
          <w:rFonts w:ascii="Courier New"/>
          <w:sz w:val="28"/>
        </w:rPr>
      </w:pPr>
    </w:p>
    <w:p>
      <w:pPr>
        <w:spacing w:before="0"/>
        <w:ind w:left="119" w:right="49" w:firstLine="0"/>
        <w:jc w:val="left"/>
        <w:rPr>
          <w:rFonts w:ascii="Courier New"/>
          <w:sz w:val="23"/>
        </w:rPr>
      </w:pPr>
      <w:r>
        <w:rPr>
          <w:rFonts w:ascii="Courier New"/>
          <w:color w:val="444444"/>
          <w:sz w:val="23"/>
        </w:rPr>
        <w:t>Dear Dr. Estrada,</w:t>
      </w:r>
    </w:p>
    <w:p>
      <w:pPr>
        <w:pStyle w:val="BodyText"/>
        <w:spacing w:before="5"/>
        <w:rPr>
          <w:rFonts w:ascii="Courier New"/>
          <w:sz w:val="32"/>
        </w:rPr>
      </w:pPr>
    </w:p>
    <w:p>
      <w:pPr>
        <w:spacing w:line="288" w:lineRule="auto" w:before="0"/>
        <w:ind w:left="119" w:right="127" w:firstLine="0"/>
        <w:jc w:val="left"/>
        <w:rPr>
          <w:rFonts w:ascii="Courier New"/>
          <w:sz w:val="23"/>
        </w:rPr>
      </w:pPr>
      <w:r>
        <w:rPr>
          <w:rFonts w:ascii="Courier New"/>
          <w:color w:val="444444"/>
          <w:sz w:val="23"/>
        </w:rPr>
        <w:t>Your manuscript has been assigned the following reference number: ANIFEE-13-5157</w:t>
      </w:r>
    </w:p>
    <w:p>
      <w:pPr>
        <w:pStyle w:val="BodyText"/>
        <w:spacing w:before="4"/>
        <w:rPr>
          <w:rFonts w:ascii="Courier New"/>
          <w:sz w:val="28"/>
        </w:rPr>
      </w:pPr>
    </w:p>
    <w:p>
      <w:pPr>
        <w:spacing w:line="288" w:lineRule="auto" w:before="0"/>
        <w:ind w:left="119" w:right="49" w:firstLine="0"/>
        <w:jc w:val="left"/>
        <w:rPr>
          <w:rFonts w:ascii="Courier New"/>
          <w:sz w:val="23"/>
        </w:rPr>
      </w:pPr>
      <w:r>
        <w:rPr>
          <w:rFonts w:ascii="Courier New"/>
          <w:color w:val="444444"/>
          <w:sz w:val="23"/>
        </w:rPr>
        <w:t>You will be able to check the progress of your paper by logging in as Author at </w:t>
      </w:r>
      <w:hyperlink r:id="rId14">
        <w:r>
          <w:rPr>
            <w:rFonts w:ascii="Courier New"/>
            <w:color w:val="0068CF"/>
            <w:sz w:val="23"/>
            <w:u w:val="single" w:color="0068CF"/>
          </w:rPr>
          <w:t>http://ees.elsevier.com/anifee/</w:t>
        </w:r>
      </w:hyperlink>
    </w:p>
    <w:p>
      <w:pPr>
        <w:pStyle w:val="BodyText"/>
        <w:spacing w:before="5"/>
        <w:rPr>
          <w:rFonts w:ascii="Courier New"/>
          <w:sz w:val="21"/>
        </w:rPr>
      </w:pPr>
    </w:p>
    <w:p>
      <w:pPr>
        <w:spacing w:line="290" w:lineRule="auto" w:before="78"/>
        <w:ind w:left="119" w:right="115" w:firstLine="0"/>
        <w:jc w:val="left"/>
        <w:rPr>
          <w:rFonts w:ascii="Courier New"/>
          <w:sz w:val="23"/>
        </w:rPr>
      </w:pPr>
      <w:r>
        <w:rPr>
          <w:rFonts w:ascii="Courier New"/>
          <w:color w:val="444444"/>
          <w:sz w:val="23"/>
        </w:rPr>
        <w:t>Please note that submission of an article is understood to</w:t>
      </w:r>
      <w:r>
        <w:rPr>
          <w:rFonts w:ascii="Courier New"/>
          <w:color w:val="444444"/>
          <w:spacing w:val="-41"/>
          <w:sz w:val="23"/>
        </w:rPr>
        <w:t> </w:t>
      </w:r>
      <w:r>
        <w:rPr>
          <w:rFonts w:ascii="Courier New"/>
          <w:color w:val="444444"/>
          <w:sz w:val="23"/>
        </w:rPr>
        <w:t>imply that the article is original and is not being considered for publication elsewhere. Submission also implies that all authors have approved the paper for release and are in agreement with its</w:t>
      </w:r>
      <w:r>
        <w:rPr>
          <w:rFonts w:ascii="Courier New"/>
          <w:color w:val="444444"/>
          <w:spacing w:val="-4"/>
          <w:sz w:val="23"/>
        </w:rPr>
        <w:t> </w:t>
      </w:r>
      <w:r>
        <w:rPr>
          <w:rFonts w:ascii="Courier New"/>
          <w:color w:val="444444"/>
          <w:sz w:val="23"/>
        </w:rPr>
        <w:t>content.</w:t>
      </w:r>
    </w:p>
    <w:p>
      <w:pPr>
        <w:pStyle w:val="BodyText"/>
        <w:spacing w:before="8"/>
        <w:rPr>
          <w:rFonts w:ascii="Courier New"/>
          <w:sz w:val="27"/>
        </w:rPr>
      </w:pPr>
    </w:p>
    <w:p>
      <w:pPr>
        <w:spacing w:line="292" w:lineRule="auto" w:before="0"/>
        <w:ind w:left="119" w:right="49" w:firstLine="0"/>
        <w:jc w:val="left"/>
        <w:rPr>
          <w:rFonts w:ascii="Courier New"/>
          <w:sz w:val="23"/>
        </w:rPr>
      </w:pPr>
      <w:r>
        <w:rPr>
          <w:rFonts w:ascii="Courier New"/>
          <w:color w:val="444444"/>
          <w:sz w:val="23"/>
        </w:rPr>
        <w:t>Thank you for submitting your manuscript to Animal Feed Science and Technology.</w:t>
      </w:r>
    </w:p>
    <w:p>
      <w:pPr>
        <w:pStyle w:val="BodyText"/>
        <w:spacing w:before="5"/>
        <w:rPr>
          <w:rFonts w:ascii="Courier New"/>
          <w:sz w:val="27"/>
        </w:rPr>
      </w:pPr>
    </w:p>
    <w:p>
      <w:pPr>
        <w:spacing w:before="0"/>
        <w:ind w:left="119" w:right="49" w:firstLine="0"/>
        <w:jc w:val="left"/>
        <w:rPr>
          <w:rFonts w:ascii="Courier New"/>
          <w:sz w:val="23"/>
        </w:rPr>
      </w:pPr>
      <w:r>
        <w:rPr>
          <w:rFonts w:ascii="Courier New"/>
          <w:color w:val="444444"/>
          <w:sz w:val="23"/>
        </w:rPr>
        <w:t>Kind regards,</w:t>
      </w:r>
    </w:p>
    <w:p>
      <w:pPr>
        <w:pStyle w:val="BodyText"/>
        <w:spacing w:before="5"/>
        <w:rPr>
          <w:rFonts w:ascii="Courier New"/>
          <w:sz w:val="32"/>
        </w:rPr>
      </w:pPr>
    </w:p>
    <w:p>
      <w:pPr>
        <w:spacing w:before="0"/>
        <w:ind w:left="119" w:right="49" w:firstLine="0"/>
        <w:jc w:val="left"/>
        <w:rPr>
          <w:rFonts w:ascii="Courier New"/>
          <w:sz w:val="23"/>
        </w:rPr>
      </w:pPr>
      <w:r>
        <w:rPr>
          <w:rFonts w:ascii="Courier New"/>
          <w:color w:val="444444"/>
          <w:sz w:val="23"/>
        </w:rPr>
        <w:t>Editorial Office</w:t>
      </w:r>
    </w:p>
    <w:p>
      <w:pPr>
        <w:spacing w:before="56"/>
        <w:ind w:left="119" w:right="49" w:firstLine="0"/>
        <w:jc w:val="left"/>
        <w:rPr>
          <w:rFonts w:ascii="Courier New"/>
          <w:sz w:val="23"/>
        </w:rPr>
      </w:pPr>
      <w:r>
        <w:rPr>
          <w:rFonts w:ascii="Courier New"/>
          <w:color w:val="444444"/>
          <w:sz w:val="23"/>
        </w:rPr>
        <w:t>Animal Feed Science and Technology</w:t>
      </w:r>
    </w:p>
    <w:p>
      <w:pPr>
        <w:spacing w:before="56"/>
        <w:ind w:left="119" w:right="49" w:firstLine="0"/>
        <w:jc w:val="left"/>
        <w:rPr>
          <w:rFonts w:ascii="Courier New"/>
          <w:sz w:val="23"/>
        </w:rPr>
      </w:pPr>
      <w:r>
        <w:rPr>
          <w:rFonts w:ascii="Courier New"/>
          <w:color w:val="444444"/>
          <w:sz w:val="23"/>
        </w:rPr>
        <w:t>***********************************************************</w:t>
      </w:r>
    </w:p>
    <w:p>
      <w:pPr>
        <w:spacing w:after="0"/>
        <w:jc w:val="left"/>
        <w:rPr>
          <w:rFonts w:ascii="Courier New"/>
          <w:sz w:val="23"/>
        </w:rPr>
        <w:sectPr>
          <w:pgSz w:w="12240" w:h="15840"/>
          <w:pgMar w:header="0" w:footer="1478" w:top="1400" w:bottom="1660" w:left="1580" w:right="1600"/>
        </w:sectPr>
      </w:pPr>
    </w:p>
    <w:p>
      <w:pPr>
        <w:pStyle w:val="BodyText"/>
        <w:rPr>
          <w:rFonts w:ascii="Courier New"/>
          <w:sz w:val="20"/>
        </w:rPr>
      </w:pPr>
    </w:p>
    <w:p>
      <w:pPr>
        <w:pStyle w:val="BodyText"/>
        <w:rPr>
          <w:rFonts w:ascii="Courier New"/>
          <w:sz w:val="21"/>
        </w:rPr>
      </w:pPr>
    </w:p>
    <w:p>
      <w:pPr>
        <w:pStyle w:val="Heading1"/>
        <w:numPr>
          <w:ilvl w:val="1"/>
          <w:numId w:val="10"/>
        </w:numPr>
        <w:tabs>
          <w:tab w:pos="557" w:val="left" w:leader="none"/>
        </w:tabs>
        <w:spacing w:line="240" w:lineRule="auto" w:before="0" w:after="0"/>
        <w:ind w:left="556" w:right="0" w:hanging="437"/>
        <w:jc w:val="left"/>
      </w:pPr>
      <w:bookmarkStart w:name="_bookmark23" w:id="43"/>
      <w:bookmarkEnd w:id="43"/>
      <w:r>
        <w:rPr>
          <w:b w:val="0"/>
        </w:rPr>
      </w:r>
      <w:bookmarkStart w:name="_bookmark23" w:id="44"/>
      <w:bookmarkEnd w:id="44"/>
      <w:r>
        <w:rPr/>
        <w:t>A</w:t>
      </w:r>
      <w:r>
        <w:rPr/>
        <w:t>rtículo</w:t>
      </w:r>
      <w:r>
        <w:rPr>
          <w:spacing w:val="-9"/>
        </w:rPr>
        <w:t> </w:t>
      </w:r>
      <w:r>
        <w:rPr/>
        <w:t>enviado</w:t>
      </w:r>
    </w:p>
    <w:p>
      <w:pPr>
        <w:pStyle w:val="BodyText"/>
        <w:rPr>
          <w:b/>
          <w:sz w:val="26"/>
        </w:rPr>
      </w:pPr>
    </w:p>
    <w:p>
      <w:pPr>
        <w:pStyle w:val="BodyText"/>
        <w:rPr>
          <w:b/>
          <w:sz w:val="26"/>
        </w:rPr>
      </w:pPr>
    </w:p>
    <w:p>
      <w:pPr>
        <w:pStyle w:val="BodyText"/>
        <w:spacing w:before="6"/>
        <w:rPr>
          <w:b/>
          <w:sz w:val="26"/>
        </w:rPr>
      </w:pPr>
    </w:p>
    <w:p>
      <w:pPr>
        <w:spacing w:line="480" w:lineRule="auto" w:before="0"/>
        <w:ind w:left="2251" w:right="0" w:hanging="2109"/>
        <w:jc w:val="left"/>
        <w:rPr>
          <w:sz w:val="34"/>
        </w:rPr>
      </w:pPr>
      <w:r>
        <w:rPr>
          <w:sz w:val="34"/>
        </w:rPr>
        <w:t>Effect on ruminal fermentation of diets used for dairy cattle with tannin-rich species added</w:t>
      </w:r>
    </w:p>
    <w:p>
      <w:pPr>
        <w:pStyle w:val="BodyText"/>
        <w:rPr>
          <w:sz w:val="34"/>
        </w:rPr>
      </w:pPr>
    </w:p>
    <w:p>
      <w:pPr>
        <w:pStyle w:val="BodyText"/>
        <w:rPr>
          <w:sz w:val="34"/>
        </w:rPr>
      </w:pPr>
    </w:p>
    <w:p>
      <w:pPr>
        <w:spacing w:before="287"/>
        <w:ind w:left="201" w:right="0" w:firstLine="0"/>
        <w:jc w:val="left"/>
        <w:rPr>
          <w:sz w:val="18"/>
        </w:rPr>
      </w:pPr>
      <w:r>
        <w:rPr>
          <w:sz w:val="28"/>
        </w:rPr>
        <w:t>B. Matías-González,</w:t>
      </w:r>
      <w:r>
        <w:rPr>
          <w:position w:val="13"/>
          <w:sz w:val="18"/>
        </w:rPr>
        <w:t>a </w:t>
      </w:r>
      <w:r>
        <w:rPr>
          <w:sz w:val="28"/>
        </w:rPr>
        <w:t>O.A. Castelán-Ortega,</w:t>
      </w:r>
      <w:r>
        <w:rPr>
          <w:position w:val="13"/>
          <w:sz w:val="18"/>
        </w:rPr>
        <w:t>b </w:t>
      </w:r>
      <w:r>
        <w:rPr>
          <w:sz w:val="28"/>
        </w:rPr>
        <w:t>M. González-Ronquillo,</w:t>
      </w:r>
      <w:r>
        <w:rPr>
          <w:position w:val="13"/>
          <w:sz w:val="18"/>
        </w:rPr>
        <w:t>b</w:t>
      </w:r>
    </w:p>
    <w:p>
      <w:pPr>
        <w:spacing w:before="285"/>
        <w:ind w:left="3241" w:right="0" w:firstLine="0"/>
        <w:jc w:val="left"/>
        <w:rPr>
          <w:sz w:val="18"/>
        </w:rPr>
      </w:pPr>
      <w:r>
        <w:rPr>
          <w:sz w:val="28"/>
        </w:rPr>
        <w:t>J.G. Estrada-Flores</w:t>
      </w:r>
      <w:r>
        <w:rPr>
          <w:position w:val="13"/>
          <w:sz w:val="18"/>
        </w:rPr>
        <w:t>a*</w:t>
      </w:r>
    </w:p>
    <w:p>
      <w:pPr>
        <w:pStyle w:val="BodyText"/>
        <w:rPr>
          <w:sz w:val="32"/>
        </w:rPr>
      </w:pPr>
    </w:p>
    <w:p>
      <w:pPr>
        <w:pStyle w:val="BodyText"/>
        <w:rPr>
          <w:sz w:val="32"/>
        </w:rPr>
      </w:pPr>
    </w:p>
    <w:p>
      <w:pPr>
        <w:spacing w:line="480" w:lineRule="auto" w:before="250"/>
        <w:ind w:left="427" w:right="393" w:firstLine="8"/>
        <w:jc w:val="center"/>
        <w:rPr>
          <w:sz w:val="26"/>
        </w:rPr>
      </w:pPr>
      <w:r>
        <w:rPr>
          <w:position w:val="12"/>
          <w:sz w:val="16"/>
        </w:rPr>
        <w:t>a</w:t>
      </w:r>
      <w:r>
        <w:rPr>
          <w:sz w:val="26"/>
        </w:rPr>
        <w:t>Instituto de Ciencias Agropecuarias y Rurales (ICAR). </w:t>
      </w:r>
      <w:r>
        <w:rPr>
          <w:position w:val="12"/>
          <w:sz w:val="16"/>
        </w:rPr>
        <w:t>b</w:t>
      </w:r>
      <w:r>
        <w:rPr>
          <w:sz w:val="26"/>
        </w:rPr>
        <w:t>Facultad de Medicina Veterinaria y Zootecnia, Universidad Autónoma del Estado</w:t>
      </w:r>
      <w:r>
        <w:rPr>
          <w:spacing w:val="-19"/>
          <w:sz w:val="26"/>
        </w:rPr>
        <w:t> </w:t>
      </w:r>
      <w:r>
        <w:rPr>
          <w:sz w:val="26"/>
        </w:rPr>
        <w:t>de México, Instituto Literario No. 100, Col Centro, Toluca, state of Mexico, Mexico.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26"/>
        </w:rPr>
      </w:pPr>
    </w:p>
    <w:p>
      <w:pPr>
        <w:pStyle w:val="Heading2"/>
        <w:spacing w:before="0"/>
        <w:jc w:val="left"/>
      </w:pPr>
      <w:r>
        <w:rPr/>
        <w:t>Artículo enviado al Animal Feed Sicience and Technology</w:t>
      </w:r>
    </w:p>
    <w:p>
      <w:pPr>
        <w:spacing w:after="0"/>
        <w:jc w:val="left"/>
        <w:sectPr>
          <w:pgSz w:w="12240" w:h="15840"/>
          <w:pgMar w:header="0" w:footer="1478" w:top="1500" w:bottom="1660" w:left="1580" w:right="1620"/>
        </w:sectPr>
      </w:pPr>
    </w:p>
    <w:p>
      <w:pPr>
        <w:pStyle w:val="Heading2"/>
      </w:pPr>
      <w:r>
        <w:rPr/>
        <w:t>Abstract</w:t>
      </w:r>
    </w:p>
    <w:p>
      <w:pPr>
        <w:pStyle w:val="BodyText"/>
        <w:rPr>
          <w:b/>
        </w:rPr>
      </w:pPr>
    </w:p>
    <w:p>
      <w:pPr>
        <w:pStyle w:val="BodyText"/>
        <w:spacing w:line="480" w:lineRule="auto" w:before="206"/>
        <w:ind w:left="119" w:right="112"/>
        <w:jc w:val="both"/>
      </w:pPr>
      <w:r>
        <w:rPr/>
        <w:t>In recent years, research studies on ruminant nutrition have promoted the use of native, wild and cultivated forage plants as a feed supplement, due to their high protein content. However, these plants may contain secondary metabolites with a significant antimicrobial effect. They may modify ruminal fermentation and may increase the efficiency of forage use, and tannins are among these secondary compounds. The objective of this study was to evaluate the effect of tannins on ruminal fermentation kinetics in a base diet with tanniferous species  (</w:t>
      </w:r>
      <w:r>
        <w:rPr>
          <w:i/>
        </w:rPr>
        <w:t>C. </w:t>
      </w:r>
      <w:r>
        <w:rPr>
          <w:i/>
        </w:rPr>
        <w:t>sulphureus</w:t>
      </w:r>
      <w:r>
        <w:rPr/>
        <w:t>, </w:t>
      </w:r>
      <w:r>
        <w:rPr>
          <w:i/>
        </w:rPr>
        <w:t>C. bipinnatus</w:t>
      </w:r>
      <w:r>
        <w:rPr/>
        <w:t>, </w:t>
      </w:r>
      <w:r>
        <w:rPr>
          <w:i/>
        </w:rPr>
        <w:t>T. lucida, T. erecta, M. divaricatum </w:t>
      </w:r>
      <w:r>
        <w:rPr/>
        <w:t>and </w:t>
      </w:r>
      <w:r>
        <w:rPr>
          <w:i/>
        </w:rPr>
        <w:t>M. diplotricha). </w:t>
      </w:r>
      <w:r>
        <w:rPr/>
        <w:t>Two experiments were conducted: the first to test the effect of tannins on ruminal fermentation, using polyethylene glycol (PEG) as a tannin blocker, and the second experiment consisted of evaluating a base diet with an extract from tanniferous species added (on an individual basis) with three levels of inclusion (high, medium and low). In both experiments, a random block design was used, and the variables evaluated were ruminal fermentation kinetics parameters; digestibility of dry matter (dDM), of organic matter (dOM) and of neutral detergent fiber (dNDF); and metabolizable energy (ME). With the addition of PEG to the tanniferous species, differences (p&lt;0.05) were observed at 24 and 96 hours of fermentation, between treatments (+PEG, -PEG) and among species, with an increase in gas production, and improvements in the dNDF and the contribution of ME (between treatments), and in the dDM, dOM, dNDF and ME (among species). In the case of ruminal fermentation kinetics parameters, no differences (p&gt;0.05) were noted. When an</w:t>
      </w:r>
    </w:p>
    <w:p>
      <w:pPr>
        <w:pStyle w:val="BodyText"/>
        <w:spacing w:before="8"/>
        <w:ind w:left="119"/>
        <w:jc w:val="both"/>
      </w:pPr>
      <w:r>
        <w:rPr/>
        <w:t>extract of tannins was added at the three levels of inclusion (high, medium and</w:t>
      </w:r>
    </w:p>
    <w:p>
      <w:pPr>
        <w:spacing w:after="0"/>
        <w:jc w:val="both"/>
        <w:sectPr>
          <w:pgSz w:w="12240" w:h="15840"/>
          <w:pgMar w:header="0" w:footer="1478" w:top="1360" w:bottom="1660" w:left="1580" w:right="1580"/>
        </w:sectPr>
      </w:pPr>
    </w:p>
    <w:p>
      <w:pPr>
        <w:pStyle w:val="BodyText"/>
        <w:spacing w:line="480" w:lineRule="auto" w:before="52"/>
        <w:ind w:left="119" w:right="120"/>
        <w:jc w:val="both"/>
      </w:pPr>
      <w:r>
        <w:rPr/>
        <w:t>low) to a base diet, no differences (p&gt;0.05) were noted in fermentation kinetics parameters, in the dDM, dOM, dNDF or the </w:t>
      </w:r>
      <w:r>
        <w:rPr>
          <w:spacing w:val="-2"/>
        </w:rPr>
        <w:t>ME. </w:t>
      </w:r>
      <w:r>
        <w:rPr/>
        <w:t>The only differences (p&gt;0.05) observed among species were in fraction </w:t>
      </w:r>
      <w:r>
        <w:rPr>
          <w:i/>
        </w:rPr>
        <w:t>b </w:t>
      </w:r>
      <w:r>
        <w:rPr/>
        <w:t>and in the dNDF. However, improvements were noted in all the variables evaluated at the low level of  inclusion. The addition of PEG to tanniferous species demonstrates the negative effect of tannins on ruminal fermentation. There was a favorable response in all the variables evaluated at the low level of</w:t>
      </w:r>
      <w:r>
        <w:rPr>
          <w:spacing w:val="-15"/>
        </w:rPr>
        <w:t> </w:t>
      </w:r>
      <w:r>
        <w:rPr/>
        <w:t>inclusion.</w:t>
      </w:r>
    </w:p>
    <w:p>
      <w:pPr>
        <w:pStyle w:val="BodyText"/>
        <w:spacing w:before="209"/>
        <w:ind w:left="119"/>
        <w:jc w:val="both"/>
      </w:pPr>
      <w:r>
        <w:rPr/>
        <w:t>Key words: extract, tannins, ruminal fermentation, polyethylene glycol.</w:t>
      </w:r>
    </w:p>
    <w:p>
      <w:pPr>
        <w:pStyle w:val="BodyText"/>
      </w:pPr>
    </w:p>
    <w:p>
      <w:pPr>
        <w:spacing w:line="482" w:lineRule="auto" w:before="191"/>
        <w:ind w:left="119" w:right="114" w:firstLine="0"/>
        <w:jc w:val="both"/>
        <w:rPr>
          <w:sz w:val="20"/>
        </w:rPr>
      </w:pPr>
      <w:r>
        <w:rPr>
          <w:sz w:val="20"/>
        </w:rPr>
        <w:t>Abbreviations: </w:t>
      </w:r>
      <w:r>
        <w:rPr>
          <w:i/>
          <w:sz w:val="20"/>
        </w:rPr>
        <w:t>C. sulphureus </w:t>
      </w:r>
      <w:r>
        <w:rPr>
          <w:sz w:val="20"/>
        </w:rPr>
        <w:t>(</w:t>
      </w:r>
      <w:r>
        <w:rPr>
          <w:i/>
          <w:sz w:val="20"/>
        </w:rPr>
        <w:t>Cosmos sulphureus)</w:t>
      </w:r>
      <w:r>
        <w:rPr>
          <w:sz w:val="20"/>
        </w:rPr>
        <w:t>, </w:t>
      </w:r>
      <w:r>
        <w:rPr>
          <w:i/>
          <w:sz w:val="20"/>
        </w:rPr>
        <w:t>C. bipinnatus </w:t>
      </w:r>
      <w:r>
        <w:rPr>
          <w:sz w:val="20"/>
        </w:rPr>
        <w:t>(</w:t>
      </w:r>
      <w:r>
        <w:rPr>
          <w:i/>
          <w:sz w:val="20"/>
        </w:rPr>
        <w:t>Cosmos bipinnatus</w:t>
      </w:r>
      <w:r>
        <w:rPr>
          <w:sz w:val="20"/>
        </w:rPr>
        <w:t>), </w:t>
      </w:r>
      <w:r>
        <w:rPr>
          <w:i/>
          <w:sz w:val="20"/>
        </w:rPr>
        <w:t>T. lucida </w:t>
      </w:r>
      <w:r>
        <w:rPr>
          <w:sz w:val="20"/>
        </w:rPr>
        <w:t>(</w:t>
      </w:r>
      <w:r>
        <w:rPr>
          <w:i/>
          <w:sz w:val="20"/>
        </w:rPr>
        <w:t>Tagetes lucida</w:t>
      </w:r>
      <w:r>
        <w:rPr>
          <w:sz w:val="20"/>
        </w:rPr>
        <w:t>), </w:t>
      </w:r>
      <w:r>
        <w:rPr>
          <w:i/>
          <w:sz w:val="20"/>
        </w:rPr>
        <w:t>T. erecta </w:t>
      </w:r>
      <w:r>
        <w:rPr>
          <w:sz w:val="20"/>
        </w:rPr>
        <w:t>(</w:t>
      </w:r>
      <w:r>
        <w:rPr>
          <w:i/>
          <w:sz w:val="20"/>
        </w:rPr>
        <w:t>Tagetes erecta</w:t>
      </w:r>
      <w:r>
        <w:rPr>
          <w:sz w:val="20"/>
        </w:rPr>
        <w:t>), </w:t>
      </w:r>
      <w:r>
        <w:rPr>
          <w:i/>
          <w:sz w:val="20"/>
        </w:rPr>
        <w:t>M. divaricatum </w:t>
      </w:r>
      <w:r>
        <w:rPr>
          <w:sz w:val="20"/>
        </w:rPr>
        <w:t>(</w:t>
      </w:r>
      <w:r>
        <w:rPr>
          <w:i/>
          <w:sz w:val="20"/>
        </w:rPr>
        <w:t>Melampodium divaricatum</w:t>
      </w:r>
      <w:r>
        <w:rPr>
          <w:sz w:val="20"/>
        </w:rPr>
        <w:t>), </w:t>
      </w:r>
      <w:r>
        <w:rPr>
          <w:i/>
          <w:sz w:val="20"/>
        </w:rPr>
        <w:t>M. </w:t>
      </w:r>
      <w:r>
        <w:rPr>
          <w:i/>
          <w:sz w:val="20"/>
        </w:rPr>
        <w:t>diplotricha </w:t>
      </w:r>
      <w:r>
        <w:rPr>
          <w:sz w:val="20"/>
        </w:rPr>
        <w:t>(</w:t>
      </w:r>
      <w:r>
        <w:rPr>
          <w:i/>
          <w:sz w:val="20"/>
        </w:rPr>
        <w:t>Mimosa diplotricha</w:t>
      </w:r>
      <w:r>
        <w:rPr>
          <w:sz w:val="20"/>
        </w:rPr>
        <w:t>), PEG (polyethylene glycol), dDM (digestibility of dry matter), dOM (digestibility of organic matter), dNDF (digestibility of neutral detergent fiber), ME (metabolizable energy).</w:t>
      </w:r>
    </w:p>
    <w:p>
      <w:pPr>
        <w:pStyle w:val="BodyText"/>
        <w:rPr>
          <w:sz w:val="20"/>
        </w:rPr>
      </w:pPr>
    </w:p>
    <w:p>
      <w:pPr>
        <w:pStyle w:val="BodyText"/>
        <w:spacing w:before="3"/>
        <w:rPr>
          <w:sz w:val="20"/>
        </w:rPr>
      </w:pPr>
    </w:p>
    <w:p>
      <w:pPr>
        <w:spacing w:line="480" w:lineRule="auto" w:before="0"/>
        <w:ind w:left="119" w:right="123" w:firstLine="0"/>
        <w:jc w:val="both"/>
        <w:rPr>
          <w:sz w:val="20"/>
        </w:rPr>
      </w:pPr>
      <w:r>
        <w:rPr>
          <w:rFonts w:ascii="Cambria Math" w:hAnsi="Cambria Math"/>
          <w:sz w:val="20"/>
        </w:rPr>
        <w:t>∗ </w:t>
      </w:r>
      <w:r>
        <w:rPr>
          <w:sz w:val="20"/>
        </w:rPr>
        <w:t>Corresponding author: Instituto de Ciencias Agropecuarias y Rurales, Universidad Autónoma del Estado de México, Mexico. Tel. and Fax: +52 722 296 55 52.</w:t>
      </w:r>
    </w:p>
    <w:p>
      <w:pPr>
        <w:spacing w:before="7"/>
        <w:ind w:left="119" w:right="0" w:firstLine="0"/>
        <w:jc w:val="both"/>
        <w:rPr>
          <w:sz w:val="20"/>
        </w:rPr>
      </w:pPr>
      <w:r>
        <w:rPr>
          <w:sz w:val="20"/>
        </w:rPr>
        <w:t>E-mail address: </w:t>
      </w:r>
      <w:hyperlink r:id="rId15">
        <w:r>
          <w:rPr>
            <w:color w:val="0000FF"/>
            <w:sz w:val="20"/>
            <w:u w:val="single" w:color="0000FF"/>
          </w:rPr>
          <w:t>jgestradaf@uaemex.mx  </w:t>
        </w:r>
      </w:hyperlink>
      <w:r>
        <w:rPr>
          <w:sz w:val="20"/>
        </w:rPr>
        <w:t>(J.G. Estrada-Flores).</w:t>
      </w:r>
    </w:p>
    <w:p>
      <w:pPr>
        <w:spacing w:after="0"/>
        <w:jc w:val="both"/>
        <w:rPr>
          <w:sz w:val="20"/>
        </w:rPr>
        <w:sectPr>
          <w:pgSz w:w="12240" w:h="15840"/>
          <w:pgMar w:header="0" w:footer="1478" w:top="1360" w:bottom="1660" w:left="1580" w:right="1580"/>
        </w:sectPr>
      </w:pPr>
    </w:p>
    <w:p>
      <w:pPr>
        <w:pStyle w:val="Heading2"/>
        <w:numPr>
          <w:ilvl w:val="0"/>
          <w:numId w:val="11"/>
        </w:numPr>
        <w:tabs>
          <w:tab w:pos="388" w:val="left" w:leader="none"/>
        </w:tabs>
        <w:spacing w:line="240" w:lineRule="auto" w:before="47" w:after="0"/>
        <w:ind w:left="388" w:right="0" w:hanging="269"/>
        <w:jc w:val="both"/>
      </w:pPr>
      <w:r>
        <w:rPr/>
        <w:t>Introduction</w:t>
      </w:r>
    </w:p>
    <w:p>
      <w:pPr>
        <w:pStyle w:val="BodyText"/>
        <w:spacing w:before="4"/>
        <w:rPr>
          <w:b/>
        </w:rPr>
      </w:pPr>
    </w:p>
    <w:p>
      <w:pPr>
        <w:pStyle w:val="BodyText"/>
        <w:spacing w:line="480" w:lineRule="auto" w:before="1"/>
        <w:ind w:left="119" w:right="121"/>
        <w:jc w:val="both"/>
      </w:pPr>
      <w:r>
        <w:rPr/>
        <w:t>In recent years, research studies on ruminant nutrition have promoted the use of native, wild and cultivated forage plants as a feed supplement, due to their high protein content (Pinto-Ruiz </w:t>
      </w:r>
      <w:r>
        <w:rPr>
          <w:i/>
        </w:rPr>
        <w:t>et al., </w:t>
      </w:r>
      <w:r>
        <w:rPr/>
        <w:t>2009). However, these plants may contain secondary metabolites with a significant antimicrobial effect. They may modify ruminal fermentation and may increase the efficiency of forage use (Greathead, 2003), and tannins are among these secondary compounds (Makkar </w:t>
      </w:r>
      <w:r>
        <w:rPr>
          <w:i/>
        </w:rPr>
        <w:t>et al</w:t>
      </w:r>
      <w:r>
        <w:rPr/>
        <w:t>., 2007).</w:t>
      </w:r>
    </w:p>
    <w:p>
      <w:pPr>
        <w:pStyle w:val="BodyText"/>
        <w:spacing w:line="480" w:lineRule="auto" w:before="209"/>
        <w:ind w:left="119" w:right="114"/>
        <w:jc w:val="both"/>
      </w:pPr>
      <w:r>
        <w:rPr/>
        <w:t>Condensed tannins negatively affect ruminants at high concentrations, while they benefit them at low concentrations (Torres-Acosta </w:t>
      </w:r>
      <w:r>
        <w:rPr>
          <w:i/>
        </w:rPr>
        <w:t>et al., </w:t>
      </w:r>
      <w:r>
        <w:rPr/>
        <w:t>2008). A positive effect occurs when a tannin protects a plant protein (tannin-protein complex) from microbial degradation in the </w:t>
      </w:r>
      <w:r>
        <w:rPr>
          <w:spacing w:val="-2"/>
        </w:rPr>
        <w:t>rumen. </w:t>
      </w:r>
      <w:r>
        <w:rPr/>
        <w:t>It can then be broken down in the abomasum, thus leading to the absorption of nitrogen in the intestine (Givens </w:t>
      </w:r>
      <w:r>
        <w:rPr>
          <w:i/>
        </w:rPr>
        <w:t>et al., </w:t>
      </w:r>
      <w:r>
        <w:rPr/>
        <w:t>2000).  They have an antihelminthic (Salem </w:t>
      </w:r>
      <w:r>
        <w:rPr>
          <w:i/>
        </w:rPr>
        <w:t>et al</w:t>
      </w:r>
      <w:r>
        <w:rPr/>
        <w:t>., 2012) and antitympanic (Torres-Acosta </w:t>
      </w:r>
      <w:r>
        <w:rPr>
          <w:i/>
        </w:rPr>
        <w:t>et al., </w:t>
      </w:r>
      <w:r>
        <w:rPr/>
        <w:t>2008) effect. The negative effects are manifested when there are high levels of condensed tannins, through a reduction in the digestibility of forages, the production of volatile fatty acids (Pinto-Ruiz </w:t>
      </w:r>
      <w:r>
        <w:rPr>
          <w:i/>
        </w:rPr>
        <w:t>et al., </w:t>
      </w:r>
      <w:r>
        <w:rPr/>
        <w:t>2009) and animal performance, depending on the amount and the biological activity of the tannins present (Schofield, 2001). It has been reported that tannins inactivate some digestive enzymes, and in some cases, diminish the population of microorganisms in the rumen, with the probability of inhibiting fermentation in the rumen (Givens </w:t>
      </w:r>
      <w:r>
        <w:rPr>
          <w:i/>
        </w:rPr>
        <w:t>et al., </w:t>
      </w:r>
      <w:r>
        <w:rPr/>
        <w:t>2000; Ramirez </w:t>
      </w:r>
      <w:r>
        <w:rPr>
          <w:i/>
        </w:rPr>
        <w:t>et al., </w:t>
      </w:r>
      <w:r>
        <w:rPr/>
        <w:t>2002). Recently, it has been suggested that the negative effect</w:t>
      </w:r>
      <w:r>
        <w:rPr>
          <w:spacing w:val="27"/>
        </w:rPr>
        <w:t> </w:t>
      </w:r>
      <w:r>
        <w:rPr/>
        <w:t>of</w:t>
      </w:r>
      <w:r>
        <w:rPr>
          <w:spacing w:val="27"/>
        </w:rPr>
        <w:t> </w:t>
      </w:r>
      <w:r>
        <w:rPr/>
        <w:t>tannins</w:t>
      </w:r>
      <w:r>
        <w:rPr>
          <w:spacing w:val="27"/>
        </w:rPr>
        <w:t> </w:t>
      </w:r>
      <w:r>
        <w:rPr/>
        <w:t>present</w:t>
      </w:r>
      <w:r>
        <w:rPr>
          <w:spacing w:val="27"/>
        </w:rPr>
        <w:t> </w:t>
      </w:r>
      <w:r>
        <w:rPr/>
        <w:t>in</w:t>
      </w:r>
      <w:r>
        <w:rPr>
          <w:spacing w:val="27"/>
        </w:rPr>
        <w:t> </w:t>
      </w:r>
      <w:r>
        <w:rPr/>
        <w:t>some</w:t>
      </w:r>
      <w:r>
        <w:rPr>
          <w:spacing w:val="35"/>
        </w:rPr>
        <w:t> </w:t>
      </w:r>
      <w:r>
        <w:rPr/>
        <w:t>forages</w:t>
      </w:r>
      <w:r>
        <w:rPr>
          <w:spacing w:val="27"/>
        </w:rPr>
        <w:t> </w:t>
      </w:r>
      <w:r>
        <w:rPr/>
        <w:t>may</w:t>
      </w:r>
      <w:r>
        <w:rPr>
          <w:spacing w:val="27"/>
        </w:rPr>
        <w:t> </w:t>
      </w:r>
      <w:r>
        <w:rPr/>
        <w:t>be</w:t>
      </w:r>
      <w:r>
        <w:rPr>
          <w:spacing w:val="27"/>
        </w:rPr>
        <w:t> </w:t>
      </w:r>
      <w:r>
        <w:rPr/>
        <w:t>diminished</w:t>
      </w:r>
      <w:r>
        <w:rPr>
          <w:spacing w:val="23"/>
        </w:rPr>
        <w:t> </w:t>
      </w:r>
      <w:r>
        <w:rPr/>
        <w:t>if</w:t>
      </w:r>
      <w:r>
        <w:rPr>
          <w:spacing w:val="27"/>
        </w:rPr>
        <w:t> </w:t>
      </w:r>
      <w:r>
        <w:rPr/>
        <w:t>such</w:t>
      </w:r>
      <w:r>
        <w:rPr>
          <w:spacing w:val="27"/>
        </w:rPr>
        <w:t> </w:t>
      </w:r>
      <w:r>
        <w:rPr/>
        <w:t>forages</w:t>
      </w:r>
      <w:r>
        <w:rPr>
          <w:spacing w:val="27"/>
        </w:rPr>
        <w:t> </w:t>
      </w:r>
      <w:r>
        <w:rPr/>
        <w:t>are</w:t>
      </w:r>
    </w:p>
    <w:p>
      <w:pPr>
        <w:spacing w:after="0" w:line="480" w:lineRule="auto"/>
        <w:jc w:val="both"/>
        <w:sectPr>
          <w:pgSz w:w="12240" w:h="15840"/>
          <w:pgMar w:header="0" w:footer="1478" w:top="1360" w:bottom="1660" w:left="1580" w:right="1580"/>
        </w:sectPr>
      </w:pPr>
    </w:p>
    <w:p>
      <w:pPr>
        <w:pStyle w:val="BodyText"/>
        <w:spacing w:line="480" w:lineRule="auto" w:before="52"/>
        <w:ind w:left="119" w:right="113"/>
        <w:jc w:val="both"/>
      </w:pPr>
      <w:r>
        <w:rPr/>
        <w:t>consumed in small amounts and mixed with other forages (Torres-Acosta </w:t>
      </w:r>
      <w:r>
        <w:rPr>
          <w:i/>
        </w:rPr>
        <w:t>et al</w:t>
      </w:r>
      <w:r>
        <w:rPr/>
        <w:t>., 2008).</w:t>
      </w:r>
    </w:p>
    <w:p>
      <w:pPr>
        <w:pStyle w:val="BodyText"/>
        <w:spacing w:line="480" w:lineRule="auto" w:before="210"/>
        <w:ind w:left="119" w:right="120"/>
        <w:jc w:val="both"/>
      </w:pPr>
      <w:r>
        <w:rPr/>
        <w:t>The effect of tannins on ruminal fermentation is not yet clear from these studies. Clausen </w:t>
      </w:r>
      <w:r>
        <w:rPr>
          <w:i/>
        </w:rPr>
        <w:t>et al. </w:t>
      </w:r>
      <w:r>
        <w:rPr/>
        <w:t>(1990) states that the condensed tannins of different plant species have physical and chemical properties that determine variations in terms of possible effects on ruminants. The objective of the present study was to evaluate the </w:t>
      </w:r>
      <w:r>
        <w:rPr>
          <w:i/>
          <w:spacing w:val="-3"/>
        </w:rPr>
        <w:t>in </w:t>
      </w:r>
      <w:r>
        <w:rPr>
          <w:i/>
        </w:rPr>
        <w:t>vitro </w:t>
      </w:r>
      <w:r>
        <w:rPr/>
        <w:t>ruminal fermentation kinetics in six tanniferous species used in diets for dairy cattle.</w:t>
      </w:r>
    </w:p>
    <w:p>
      <w:pPr>
        <w:spacing w:after="0" w:line="480" w:lineRule="auto"/>
        <w:jc w:val="both"/>
        <w:sectPr>
          <w:footerReference w:type="default" r:id="rId16"/>
          <w:pgSz w:w="12240" w:h="15840"/>
          <w:pgMar w:footer="1478" w:header="0" w:top="1360" w:bottom="1660" w:left="1580" w:right="1580"/>
        </w:sectPr>
      </w:pPr>
    </w:p>
    <w:p>
      <w:pPr>
        <w:pStyle w:val="Heading2"/>
        <w:numPr>
          <w:ilvl w:val="0"/>
          <w:numId w:val="11"/>
        </w:numPr>
        <w:tabs>
          <w:tab w:pos="388" w:val="left" w:leader="none"/>
        </w:tabs>
        <w:spacing w:line="240" w:lineRule="auto" w:before="47" w:after="0"/>
        <w:ind w:left="388" w:right="0" w:hanging="269"/>
        <w:jc w:val="both"/>
      </w:pPr>
      <w:r>
        <w:rPr/>
        <w:t>Materials and</w:t>
      </w:r>
      <w:r>
        <w:rPr>
          <w:spacing w:val="-11"/>
        </w:rPr>
        <w:t> </w:t>
      </w:r>
      <w:r>
        <w:rPr/>
        <w:t>methods</w:t>
      </w:r>
    </w:p>
    <w:p>
      <w:pPr>
        <w:pStyle w:val="BodyText"/>
        <w:spacing w:before="4"/>
        <w:rPr>
          <w:b/>
        </w:rPr>
      </w:pPr>
    </w:p>
    <w:p>
      <w:pPr>
        <w:pStyle w:val="ListParagraph"/>
        <w:numPr>
          <w:ilvl w:val="1"/>
          <w:numId w:val="11"/>
        </w:numPr>
        <w:tabs>
          <w:tab w:pos="590" w:val="left" w:leader="none"/>
        </w:tabs>
        <w:spacing w:line="240" w:lineRule="auto" w:before="1" w:after="0"/>
        <w:ind w:left="589" w:right="0" w:hanging="470"/>
        <w:jc w:val="both"/>
        <w:rPr>
          <w:i/>
          <w:sz w:val="24"/>
        </w:rPr>
      </w:pPr>
      <w:r>
        <w:rPr>
          <w:i/>
          <w:sz w:val="24"/>
        </w:rPr>
        <w:t>Selection of tanniferous</w:t>
      </w:r>
      <w:r>
        <w:rPr>
          <w:i/>
          <w:spacing w:val="-22"/>
          <w:sz w:val="24"/>
        </w:rPr>
        <w:t> </w:t>
      </w:r>
      <w:r>
        <w:rPr>
          <w:i/>
          <w:sz w:val="24"/>
        </w:rPr>
        <w:t>species</w:t>
      </w:r>
    </w:p>
    <w:p>
      <w:pPr>
        <w:pStyle w:val="BodyText"/>
        <w:rPr>
          <w:i/>
        </w:rPr>
      </w:pPr>
    </w:p>
    <w:p>
      <w:pPr>
        <w:pStyle w:val="BodyText"/>
        <w:spacing w:line="480" w:lineRule="auto"/>
        <w:ind w:left="119" w:right="122"/>
        <w:jc w:val="both"/>
      </w:pPr>
      <w:r>
        <w:rPr/>
        <w:t>Six tanniferous species were selected, some derived from the study conducted in the Valle de Toluca by Martínez-Loperena et al. (2011), who evaluated ruminal fermentation kinetics by combining different weeds (with tannins) eaten by livestock, one at a time, with corn stover. The species selected for that study </w:t>
      </w:r>
      <w:r>
        <w:rPr>
          <w:spacing w:val="54"/>
        </w:rPr>
        <w:t> </w:t>
      </w:r>
      <w:r>
        <w:rPr/>
        <w:t>were</w:t>
      </w:r>
    </w:p>
    <w:p>
      <w:pPr>
        <w:pStyle w:val="BodyText"/>
        <w:spacing w:line="480" w:lineRule="auto" w:before="8"/>
        <w:ind w:left="119" w:right="116"/>
        <w:jc w:val="both"/>
      </w:pPr>
      <w:r>
        <w:rPr>
          <w:i/>
        </w:rPr>
        <w:t>C. bipinnatus </w:t>
      </w:r>
      <w:r>
        <w:rPr/>
        <w:t>and </w:t>
      </w:r>
      <w:r>
        <w:rPr>
          <w:i/>
        </w:rPr>
        <w:t>T. lucida</w:t>
      </w:r>
      <w:r>
        <w:rPr/>
        <w:t>. In addition, Figueroa-Medina </w:t>
      </w:r>
      <w:r>
        <w:rPr>
          <w:i/>
        </w:rPr>
        <w:t>et al. </w:t>
      </w:r>
      <w:r>
        <w:rPr/>
        <w:t>(2013) (unpublished data) evaluated the concentration of condensed tannins in 98 species eaten by livestock in native grasslands in the southern part of the state of Mexico. The species selected for that study were </w:t>
      </w:r>
      <w:r>
        <w:rPr>
          <w:i/>
        </w:rPr>
        <w:t>C. sulphureus, T. erecta, M. diplotricha </w:t>
      </w:r>
      <w:r>
        <w:rPr/>
        <w:t>and </w:t>
      </w:r>
      <w:r>
        <w:rPr>
          <w:i/>
        </w:rPr>
        <w:t>M. </w:t>
      </w:r>
      <w:r>
        <w:rPr>
          <w:i/>
        </w:rPr>
        <w:t>divaricatum</w:t>
      </w:r>
      <w:r>
        <w:rPr/>
        <w:t>. All of these species were selected due to their high concentrations of condensed tannins and because they are widely eaten by livestock.</w:t>
      </w:r>
    </w:p>
    <w:p>
      <w:pPr>
        <w:pStyle w:val="BodyText"/>
        <w:spacing w:line="480" w:lineRule="auto" w:before="8"/>
        <w:ind w:left="119" w:right="112"/>
        <w:jc w:val="both"/>
      </w:pPr>
      <w:r>
        <w:rPr>
          <w:i/>
        </w:rPr>
        <w:t>C. bipinnatus </w:t>
      </w:r>
      <w:r>
        <w:rPr/>
        <w:t>and </w:t>
      </w:r>
      <w:r>
        <w:rPr>
          <w:i/>
        </w:rPr>
        <w:t>T. lucida </w:t>
      </w:r>
      <w:r>
        <w:rPr/>
        <w:t>were collected in the Valle de Toluca, while </w:t>
      </w:r>
      <w:r>
        <w:rPr>
          <w:i/>
        </w:rPr>
        <w:t>C. </w:t>
      </w:r>
      <w:r>
        <w:rPr>
          <w:i/>
        </w:rPr>
        <w:t>sulphureus, T. erecta, M. diplotricha </w:t>
      </w:r>
      <w:r>
        <w:rPr/>
        <w:t>and </w:t>
      </w:r>
      <w:r>
        <w:rPr>
          <w:i/>
        </w:rPr>
        <w:t>M. divaricatum </w:t>
      </w:r>
      <w:r>
        <w:rPr/>
        <w:t>were collected in  Tejupilco, in the state of Mexico, between September and November 2010. During those months these species were flowering, and specimens of each species were collected in three different samplings. Each specimen was placed in a dryer at 30º C/72 hours, then ground to 1 mm in a Willey mill, and stored individually in plastic bags. Of what was collected in the three samplings of each species, three representative samples were taken, and of each one of them, three sub-samples were taken for their subsequent analysis and use in</w:t>
      </w:r>
      <w:r>
        <w:rPr>
          <w:spacing w:val="-39"/>
        </w:rPr>
        <w:t> </w:t>
      </w:r>
      <w:r>
        <w:rPr/>
        <w:t>experiments.</w:t>
      </w:r>
    </w:p>
    <w:p>
      <w:pPr>
        <w:pStyle w:val="ListParagraph"/>
        <w:numPr>
          <w:ilvl w:val="1"/>
          <w:numId w:val="11"/>
        </w:numPr>
        <w:tabs>
          <w:tab w:pos="590" w:val="left" w:leader="none"/>
        </w:tabs>
        <w:spacing w:line="240" w:lineRule="auto" w:before="209" w:after="0"/>
        <w:ind w:left="589" w:right="0" w:hanging="470"/>
        <w:jc w:val="both"/>
        <w:rPr>
          <w:i/>
          <w:sz w:val="24"/>
        </w:rPr>
      </w:pPr>
      <w:r>
        <w:rPr>
          <w:i/>
          <w:sz w:val="24"/>
        </w:rPr>
        <w:t>Determination of secondary metabolites and chemical</w:t>
      </w:r>
      <w:r>
        <w:rPr>
          <w:i/>
          <w:spacing w:val="-40"/>
          <w:sz w:val="24"/>
        </w:rPr>
        <w:t> </w:t>
      </w:r>
      <w:r>
        <w:rPr>
          <w:i/>
          <w:sz w:val="24"/>
        </w:rPr>
        <w:t>composition</w:t>
      </w:r>
    </w:p>
    <w:p>
      <w:pPr>
        <w:spacing w:after="0" w:line="240" w:lineRule="auto"/>
        <w:jc w:val="both"/>
        <w:rPr>
          <w:sz w:val="24"/>
        </w:rPr>
        <w:sectPr>
          <w:footerReference w:type="default" r:id="rId17"/>
          <w:pgSz w:w="12240" w:h="15840"/>
          <w:pgMar w:footer="1478" w:header="0" w:top="1360" w:bottom="1660" w:left="1580" w:right="1580"/>
          <w:pgNumType w:start="31"/>
        </w:sectPr>
      </w:pPr>
    </w:p>
    <w:p>
      <w:pPr>
        <w:pStyle w:val="BodyText"/>
        <w:spacing w:line="480" w:lineRule="auto" w:before="52"/>
        <w:ind w:left="119" w:right="114"/>
        <w:jc w:val="both"/>
      </w:pPr>
      <w:r>
        <w:rPr/>
        <w:t>The tanniferous species were evaluated to determine the content of total phenols (TPs), non-phenolic tannins (NPTs) and total tannins (TTs), the latter by using Polyvinyl-Polypyrrolidone (PVPP). All the analyses were conducted using the Folin- Ciocalteu method (Makkar, 2003b). The TP and NPT content was expressed as a tannic acid equivalent with its respective calibration curve, and the TT amount was obtained by  calculating the  difference  between  TPs  and  NPTs.  In addition </w:t>
      </w:r>
      <w:r>
        <w:rPr>
          <w:spacing w:val="62"/>
        </w:rPr>
        <w:t> </w:t>
      </w:r>
      <w:r>
        <w:rPr/>
        <w:t>the</w:t>
      </w:r>
    </w:p>
    <w:p>
      <w:pPr>
        <w:pStyle w:val="BodyText"/>
        <w:spacing w:line="470" w:lineRule="auto" w:before="8"/>
        <w:ind w:left="119" w:right="120"/>
        <w:jc w:val="both"/>
      </w:pPr>
      <w:r>
        <w:rPr/>
        <w:t>content of condensed tannins (CTs) and fiber-bound condensed tannins (FBCTs) was determined using the Butanol-HCI/Fe</w:t>
      </w:r>
      <w:r>
        <w:rPr>
          <w:position w:val="11"/>
          <w:sz w:val="16"/>
        </w:rPr>
        <w:t>3+ </w:t>
      </w:r>
      <w:r>
        <w:rPr/>
        <w:t>test (Makkar et al., 2007). The amounts of CTs and FBCTs were calculated by way of a constant value and the dilution factor</w:t>
      </w:r>
      <w:r>
        <w:rPr>
          <w:spacing w:val="-5"/>
        </w:rPr>
        <w:t> </w:t>
      </w:r>
      <w:r>
        <w:rPr/>
        <w:t>used.</w:t>
      </w:r>
    </w:p>
    <w:p>
      <w:pPr>
        <w:pStyle w:val="BodyText"/>
        <w:spacing w:line="480" w:lineRule="auto" w:before="18"/>
        <w:ind w:left="119" w:right="117"/>
        <w:jc w:val="both"/>
      </w:pPr>
      <w:r>
        <w:rPr/>
        <w:t>Based on the tanniferous species and diet, the N content was determined, using the Kjeldhal method (BÜCHI B435 digestion unit and BÜCHI 323 distiller), multiplied by 6.25 to express the results in crude protein (CP) (AOAC, 1990), neutral detergent fiber (NDFom) and acid detergent fiber (ADFom) (Van Soest, 1991), etereo extract (NMX-F-615-NORMEX-2004), ash from incineration (550ºC/3 hours) and metabolizable energy (ME, MJ/kg DM) at 24 hours of fermentation, using the </w:t>
      </w:r>
      <w:r>
        <w:rPr>
          <w:i/>
          <w:spacing w:val="-3"/>
        </w:rPr>
        <w:t>in </w:t>
      </w:r>
      <w:r>
        <w:rPr>
          <w:i/>
        </w:rPr>
        <w:t>vitro </w:t>
      </w:r>
      <w:r>
        <w:rPr/>
        <w:t>gas production technique (Menke and Steingass,</w:t>
      </w:r>
      <w:r>
        <w:rPr>
          <w:spacing w:val="-20"/>
        </w:rPr>
        <w:t> </w:t>
      </w:r>
      <w:r>
        <w:rPr/>
        <w:t>1988).</w:t>
      </w:r>
    </w:p>
    <w:p>
      <w:pPr>
        <w:pStyle w:val="ListParagraph"/>
        <w:numPr>
          <w:ilvl w:val="1"/>
          <w:numId w:val="11"/>
        </w:numPr>
        <w:tabs>
          <w:tab w:pos="591" w:val="left" w:leader="none"/>
        </w:tabs>
        <w:spacing w:line="240" w:lineRule="auto" w:before="210" w:after="0"/>
        <w:ind w:left="590" w:right="0" w:hanging="471"/>
        <w:jc w:val="both"/>
        <w:rPr>
          <w:i/>
          <w:sz w:val="24"/>
        </w:rPr>
      </w:pPr>
      <w:r>
        <w:rPr>
          <w:i/>
          <w:sz w:val="24"/>
        </w:rPr>
        <w:t>Experiment</w:t>
      </w:r>
      <w:r>
        <w:rPr>
          <w:i/>
          <w:spacing w:val="-12"/>
          <w:sz w:val="24"/>
        </w:rPr>
        <w:t> </w:t>
      </w:r>
      <w:r>
        <w:rPr>
          <w:i/>
          <w:sz w:val="24"/>
        </w:rPr>
        <w:t>1</w:t>
      </w:r>
    </w:p>
    <w:p>
      <w:pPr>
        <w:pStyle w:val="BodyText"/>
        <w:rPr>
          <w:i/>
        </w:rPr>
      </w:pPr>
    </w:p>
    <w:p>
      <w:pPr>
        <w:spacing w:before="0"/>
        <w:ind w:left="119" w:right="0" w:firstLine="0"/>
        <w:jc w:val="both"/>
        <w:rPr>
          <w:i/>
          <w:sz w:val="24"/>
        </w:rPr>
      </w:pPr>
      <w:r>
        <w:rPr>
          <w:i/>
          <w:sz w:val="24"/>
        </w:rPr>
        <w:t>Effect of Polyethylene glycol (PEG) on ruminal fermentation</w:t>
      </w:r>
    </w:p>
    <w:p>
      <w:pPr>
        <w:pStyle w:val="BodyText"/>
        <w:rPr>
          <w:i/>
        </w:rPr>
      </w:pPr>
    </w:p>
    <w:p>
      <w:pPr>
        <w:pStyle w:val="BodyText"/>
        <w:spacing w:line="480" w:lineRule="auto"/>
        <w:ind w:left="119" w:right="113"/>
        <w:jc w:val="both"/>
      </w:pPr>
      <w:r>
        <w:rPr/>
        <w:t>The effect of tannins on ruminal fermentation was evaluated individually for each tanniferous species. Polyethylene glycol (PEG-6000) was used as a tannin- blocker,  and  two  treatments  (+PEG,  -PEG)  were  evaluated.  The  </w:t>
      </w:r>
      <w:r>
        <w:rPr>
          <w:i/>
          <w:spacing w:val="-3"/>
        </w:rPr>
        <w:t>in  </w:t>
      </w:r>
      <w:r>
        <w:rPr>
          <w:i/>
        </w:rPr>
        <w:t>vitro  </w:t>
      </w:r>
      <w:r>
        <w:rPr>
          <w:i/>
          <w:spacing w:val="21"/>
        </w:rPr>
        <w:t> </w:t>
      </w:r>
      <w:r>
        <w:rPr/>
        <w:t>gas</w:t>
      </w:r>
    </w:p>
    <w:p>
      <w:pPr>
        <w:pStyle w:val="BodyText"/>
        <w:spacing w:before="8"/>
        <w:ind w:left="119"/>
        <w:jc w:val="both"/>
      </w:pPr>
      <w:r>
        <w:rPr/>
        <w:t>production technique proposed by Menke and Steingass (1988) and modified by</w:t>
      </w:r>
    </w:p>
    <w:p>
      <w:pPr>
        <w:spacing w:after="0"/>
        <w:jc w:val="both"/>
        <w:sectPr>
          <w:pgSz w:w="12240" w:h="15840"/>
          <w:pgMar w:header="0" w:footer="1478" w:top="1360" w:bottom="1660" w:left="1580" w:right="1580"/>
        </w:sectPr>
      </w:pPr>
    </w:p>
    <w:p>
      <w:pPr>
        <w:pStyle w:val="BodyText"/>
        <w:spacing w:line="480" w:lineRule="auto" w:before="52"/>
        <w:ind w:left="119" w:right="130"/>
        <w:jc w:val="both"/>
      </w:pPr>
      <w:r>
        <w:rPr/>
        <w:t>Nagadi </w:t>
      </w:r>
      <w:r>
        <w:rPr>
          <w:i/>
        </w:rPr>
        <w:t>et al</w:t>
      </w:r>
      <w:r>
        <w:rPr/>
        <w:t>. (2000a and 2000b) was applied, using a 1:2 dilution (ruminal liquid/buffer solution).</w:t>
      </w:r>
    </w:p>
    <w:p>
      <w:pPr>
        <w:pStyle w:val="BodyText"/>
        <w:spacing w:line="480" w:lineRule="auto" w:before="8"/>
        <w:ind w:left="119" w:right="113"/>
        <w:jc w:val="both"/>
      </w:pPr>
      <w:r>
        <w:rPr/>
        <w:t>Ruminal liquid was collected from two fistulated cows at 08:00 hours before the morning feeding. Their diet consisted of 60% forage (40% oats and 20% alfalfa) and 40% concentrate (68% corn, 10% molasses, 2% urea and 20% canola). Graduated glass syringes (100 ml) were used, and 0.500 g DM of each tanniferous species was measured into each syringe, together with 1 g of PEG (+PEG) or 0 g of PEG (-PEG), and 50 </w:t>
      </w:r>
      <w:r>
        <w:rPr>
          <w:spacing w:val="-4"/>
        </w:rPr>
        <w:t>ml </w:t>
      </w:r>
      <w:r>
        <w:rPr/>
        <w:t>of buffer solution/ruminal liquid. The syringes were incubated at 39ºC in a bain-marie. Three samples for each treatment for each species were incubated, and readings were taken at 0, 1, 2, 3, 4, 5, 6, 7, 8, 12,</w:t>
      </w:r>
      <w:r>
        <w:rPr>
          <w:spacing w:val="51"/>
        </w:rPr>
        <w:t> </w:t>
      </w:r>
      <w:r>
        <w:rPr/>
        <w:t>24,</w:t>
      </w:r>
    </w:p>
    <w:p>
      <w:pPr>
        <w:pStyle w:val="BodyText"/>
        <w:spacing w:before="8"/>
        <w:ind w:left="119"/>
        <w:jc w:val="both"/>
      </w:pPr>
      <w:r>
        <w:rPr/>
        <w:t>36, 48, 72 and 96 hours of incubation.</w:t>
      </w:r>
    </w:p>
    <w:p>
      <w:pPr>
        <w:pStyle w:val="BodyText"/>
      </w:pPr>
    </w:p>
    <w:p>
      <w:pPr>
        <w:pStyle w:val="ListParagraph"/>
        <w:numPr>
          <w:ilvl w:val="1"/>
          <w:numId w:val="11"/>
        </w:numPr>
        <w:tabs>
          <w:tab w:pos="590" w:val="left" w:leader="none"/>
        </w:tabs>
        <w:spacing w:line="240" w:lineRule="auto" w:before="202" w:after="0"/>
        <w:ind w:left="589" w:right="0" w:hanging="470"/>
        <w:jc w:val="both"/>
        <w:rPr>
          <w:i/>
          <w:sz w:val="24"/>
        </w:rPr>
      </w:pPr>
      <w:r>
        <w:rPr>
          <w:i/>
          <w:sz w:val="24"/>
        </w:rPr>
        <w:t>Experiment</w:t>
      </w:r>
      <w:r>
        <w:rPr>
          <w:i/>
          <w:spacing w:val="-12"/>
          <w:sz w:val="24"/>
        </w:rPr>
        <w:t> </w:t>
      </w:r>
      <w:r>
        <w:rPr>
          <w:i/>
          <w:sz w:val="24"/>
        </w:rPr>
        <w:t>2</w:t>
      </w:r>
    </w:p>
    <w:p>
      <w:pPr>
        <w:pStyle w:val="BodyText"/>
        <w:rPr>
          <w:i/>
        </w:rPr>
      </w:pPr>
    </w:p>
    <w:p>
      <w:pPr>
        <w:spacing w:line="480" w:lineRule="auto" w:before="0"/>
        <w:ind w:left="119" w:right="138" w:firstLine="0"/>
        <w:jc w:val="both"/>
        <w:rPr>
          <w:i/>
          <w:sz w:val="24"/>
        </w:rPr>
      </w:pPr>
      <w:r>
        <w:rPr>
          <w:i/>
          <w:sz w:val="24"/>
        </w:rPr>
        <w:t>Effect on ruminal fermentation from a tannin extract, at three levels of inclusion, </w:t>
      </w:r>
      <w:r>
        <w:rPr>
          <w:i/>
          <w:spacing w:val="-3"/>
          <w:sz w:val="24"/>
        </w:rPr>
        <w:t>in </w:t>
      </w:r>
      <w:r>
        <w:rPr>
          <w:i/>
          <w:sz w:val="24"/>
        </w:rPr>
        <w:t>a base diet for dairy</w:t>
      </w:r>
      <w:r>
        <w:rPr>
          <w:i/>
          <w:spacing w:val="-11"/>
          <w:sz w:val="24"/>
        </w:rPr>
        <w:t> </w:t>
      </w:r>
      <w:r>
        <w:rPr>
          <w:i/>
          <w:sz w:val="24"/>
        </w:rPr>
        <w:t>cattle</w:t>
      </w:r>
    </w:p>
    <w:p>
      <w:pPr>
        <w:pStyle w:val="BodyText"/>
        <w:spacing w:line="480" w:lineRule="auto" w:before="8"/>
        <w:ind w:left="119" w:right="123"/>
        <w:jc w:val="both"/>
      </w:pPr>
      <w:r>
        <w:rPr/>
        <w:t>After the effect of tannins on ruminal fermentation had been tested, the next step was to obtain the tannin extract for each species. The method of extraction was by maceration: 40 g of the plant was measured and placed in a beaker (500 ml), then 100 ml of distilled methanol-water (dissolvent) was added at a 70:30 ratio, and then it was left to rest for three weeks in a dark room at room temperature (Isaza, 2007). Subsequently, the extract was filtered using no. 40 filter paper, and it was stored in amber-colored jars at 4°C until it was used.</w:t>
      </w:r>
    </w:p>
    <w:p>
      <w:pPr>
        <w:spacing w:after="0" w:line="480" w:lineRule="auto"/>
        <w:jc w:val="both"/>
        <w:sectPr>
          <w:pgSz w:w="12240" w:h="15840"/>
          <w:pgMar w:header="0" w:footer="1478" w:top="1360" w:bottom="1660" w:left="1580" w:right="1580"/>
        </w:sectPr>
      </w:pPr>
    </w:p>
    <w:p>
      <w:pPr>
        <w:pStyle w:val="BodyText"/>
        <w:spacing w:line="480" w:lineRule="auto" w:before="52"/>
        <w:ind w:left="119" w:right="116"/>
        <w:jc w:val="both"/>
      </w:pPr>
      <w:r>
        <w:rPr/>
        <w:t>The effect from the three inclusion levels of the extract from tannins from each tanniferous species was evaluated individually in a base diet consisting of 60% star grass forage and 40% concentrate (68% corn, 10% molasses, 2% urea and 20% canola). The inclusion levels were determined by the amount of dry matter placed to be macerated in the dissolvent, the volume of extract obtained, the amount of tannins in the species, and the amount of tannins that a ruminant can tolerate in  the dry matter it consumes (Otero and Hidalgo, 2004). Based on this value, the inclusion levels of the extract used were 1, 3 and 6%, corresponding to low, medium and high levels. A control sample was also</w:t>
      </w:r>
      <w:r>
        <w:rPr>
          <w:spacing w:val="-18"/>
        </w:rPr>
        <w:t> </w:t>
      </w:r>
      <w:r>
        <w:rPr/>
        <w:t>used.</w:t>
      </w:r>
    </w:p>
    <w:p>
      <w:pPr>
        <w:pStyle w:val="BodyText"/>
        <w:spacing w:line="480" w:lineRule="auto" w:before="209"/>
        <w:ind w:left="119" w:right="114"/>
        <w:jc w:val="both"/>
      </w:pPr>
      <w:r>
        <w:rPr/>
        <w:t>The </w:t>
      </w:r>
      <w:r>
        <w:rPr>
          <w:i/>
          <w:spacing w:val="-3"/>
        </w:rPr>
        <w:t>in </w:t>
      </w:r>
      <w:r>
        <w:rPr>
          <w:i/>
        </w:rPr>
        <w:t>vitro </w:t>
      </w:r>
      <w:r>
        <w:rPr/>
        <w:t>gas production technique was used, in accordance with Theodorou </w:t>
      </w:r>
      <w:r>
        <w:rPr>
          <w:i/>
        </w:rPr>
        <w:t>et </w:t>
      </w:r>
      <w:r>
        <w:rPr>
          <w:i/>
        </w:rPr>
        <w:t>al</w:t>
      </w:r>
      <w:r>
        <w:rPr/>
        <w:t>. (1994). Approximately 0.999 g of the base diet was measured into wolf bottles, together with the inclusion level corresponding to each species, 90 </w:t>
      </w:r>
      <w:r>
        <w:rPr>
          <w:spacing w:val="-4"/>
        </w:rPr>
        <w:t>ml </w:t>
      </w:r>
      <w:r>
        <w:rPr/>
        <w:t>of buffer solution and 10 </w:t>
      </w:r>
      <w:r>
        <w:rPr>
          <w:spacing w:val="-4"/>
        </w:rPr>
        <w:t>ml </w:t>
      </w:r>
      <w:r>
        <w:rPr/>
        <w:t>of ruminal liquid. The bottles were incubated at 39ºC in a </w:t>
      </w:r>
      <w:r>
        <w:rPr>
          <w:spacing w:val="2"/>
        </w:rPr>
        <w:t>bain- </w:t>
      </w:r>
      <w:r>
        <w:rPr/>
        <w:t>marie, with three samples per treatment for each extract for each tanniferous species. Readings were taken with a pressure transductor (Delta Hom) at 0, 1, 2,  3, 4, 5, 6, 7, 8, 12, 24, 36, 48, 72 and 96 hours of</w:t>
      </w:r>
      <w:r>
        <w:rPr>
          <w:spacing w:val="-35"/>
        </w:rPr>
        <w:t> </w:t>
      </w:r>
      <w:r>
        <w:rPr/>
        <w:t>incubation.</w:t>
      </w:r>
    </w:p>
    <w:p>
      <w:pPr>
        <w:pStyle w:val="ListParagraph"/>
        <w:numPr>
          <w:ilvl w:val="1"/>
          <w:numId w:val="11"/>
        </w:numPr>
        <w:tabs>
          <w:tab w:pos="590" w:val="left" w:leader="none"/>
        </w:tabs>
        <w:spacing w:line="240" w:lineRule="auto" w:before="204" w:after="0"/>
        <w:ind w:left="589" w:right="0" w:hanging="470"/>
        <w:jc w:val="both"/>
        <w:rPr>
          <w:i/>
          <w:sz w:val="24"/>
        </w:rPr>
      </w:pPr>
      <w:r>
        <w:rPr>
          <w:i/>
          <w:sz w:val="24"/>
        </w:rPr>
        <w:t>Calculations</w:t>
      </w:r>
    </w:p>
    <w:p>
      <w:pPr>
        <w:pStyle w:val="BodyText"/>
        <w:rPr>
          <w:i/>
        </w:rPr>
      </w:pPr>
    </w:p>
    <w:p>
      <w:pPr>
        <w:pStyle w:val="BodyText"/>
        <w:spacing w:line="480" w:lineRule="auto"/>
        <w:ind w:left="119" w:right="116"/>
        <w:jc w:val="both"/>
      </w:pPr>
      <w:r>
        <w:rPr/>
        <w:t>At the end of the incubation period, the technique proposed by Pell and Schofield (1993) was used to determine the digestibility of dry matter (dDM), of  organic matter (dOM) and of neutral detergent fiber (dNDF). Metabolizable energy (ME) was determined in different ways in the two experiments.</w:t>
      </w:r>
    </w:p>
    <w:p>
      <w:pPr>
        <w:spacing w:after="0" w:line="480" w:lineRule="auto"/>
        <w:jc w:val="both"/>
        <w:sectPr>
          <w:pgSz w:w="12240" w:h="15840"/>
          <w:pgMar w:header="0" w:footer="1478" w:top="1360" w:bottom="1660" w:left="1580" w:right="1580"/>
        </w:sectPr>
      </w:pPr>
    </w:p>
    <w:p>
      <w:pPr>
        <w:pStyle w:val="ListParagraph"/>
        <w:numPr>
          <w:ilvl w:val="2"/>
          <w:numId w:val="11"/>
        </w:numPr>
        <w:tabs>
          <w:tab w:pos="791" w:val="left" w:leader="none"/>
        </w:tabs>
        <w:spacing w:line="240" w:lineRule="auto" w:before="52" w:after="0"/>
        <w:ind w:left="790" w:right="0" w:hanging="671"/>
        <w:jc w:val="both"/>
        <w:rPr>
          <w:i/>
          <w:sz w:val="24"/>
        </w:rPr>
      </w:pPr>
      <w:r>
        <w:rPr>
          <w:i/>
          <w:sz w:val="24"/>
        </w:rPr>
        <w:t>Experiment</w:t>
      </w:r>
      <w:r>
        <w:rPr>
          <w:i/>
          <w:spacing w:val="-12"/>
          <w:sz w:val="24"/>
        </w:rPr>
        <w:t> </w:t>
      </w:r>
      <w:r>
        <w:rPr>
          <w:i/>
          <w:sz w:val="24"/>
        </w:rPr>
        <w:t>1:</w:t>
      </w:r>
    </w:p>
    <w:p>
      <w:pPr>
        <w:pStyle w:val="BodyText"/>
        <w:rPr>
          <w:i/>
        </w:rPr>
      </w:pPr>
    </w:p>
    <w:p>
      <w:pPr>
        <w:pStyle w:val="BodyText"/>
        <w:spacing w:line="480" w:lineRule="auto"/>
        <w:ind w:left="119" w:right="99"/>
      </w:pPr>
      <w:r>
        <w:rPr/>
        <w:t>Metabolizable energy ((ME) MJ/kg DM)) was determined through the following equation (Steingass, 1983):</w:t>
      </w:r>
    </w:p>
    <w:p>
      <w:pPr>
        <w:pStyle w:val="Heading2"/>
        <w:spacing w:line="279" w:lineRule="exact" w:before="0"/>
      </w:pPr>
      <w:r>
        <w:rPr/>
        <w:t>ME: 3.16+0.0695GP + 0.000730GP</w:t>
      </w:r>
      <w:r>
        <w:rPr>
          <w:position w:val="11"/>
          <w:sz w:val="16"/>
        </w:rPr>
        <w:t>2 </w:t>
      </w:r>
      <w:r>
        <w:rPr/>
        <w:t>+ 0.00732XP + 0.02052XL   [1]</w:t>
      </w:r>
    </w:p>
    <w:p>
      <w:pPr>
        <w:pStyle w:val="BodyText"/>
        <w:spacing w:before="4"/>
        <w:rPr>
          <w:b/>
        </w:rPr>
      </w:pPr>
    </w:p>
    <w:p>
      <w:pPr>
        <w:pStyle w:val="BodyText"/>
        <w:spacing w:line="480" w:lineRule="auto" w:before="1"/>
        <w:ind w:left="119" w:right="99"/>
      </w:pPr>
      <w:r>
        <w:rPr/>
        <w:t>Where: GP: gas production at 24 hours (ml gas/200 mg DM/ 24 h), XP: crude protein from the sample (g/kg DM), XL: etereo extract from the sample (g/kg DM).</w:t>
      </w:r>
    </w:p>
    <w:p>
      <w:pPr>
        <w:pStyle w:val="ListParagraph"/>
        <w:numPr>
          <w:ilvl w:val="2"/>
          <w:numId w:val="11"/>
        </w:numPr>
        <w:tabs>
          <w:tab w:pos="791" w:val="left" w:leader="none"/>
        </w:tabs>
        <w:spacing w:line="240" w:lineRule="auto" w:before="8" w:after="0"/>
        <w:ind w:left="790" w:right="0" w:hanging="671"/>
        <w:jc w:val="both"/>
        <w:rPr>
          <w:i/>
          <w:sz w:val="24"/>
        </w:rPr>
      </w:pPr>
      <w:r>
        <w:rPr>
          <w:i/>
          <w:sz w:val="24"/>
        </w:rPr>
        <w:t>Experiment</w:t>
      </w:r>
      <w:r>
        <w:rPr>
          <w:i/>
          <w:spacing w:val="-12"/>
          <w:sz w:val="24"/>
        </w:rPr>
        <w:t> </w:t>
      </w:r>
      <w:r>
        <w:rPr>
          <w:i/>
          <w:sz w:val="24"/>
        </w:rPr>
        <w:t>2:</w:t>
      </w:r>
    </w:p>
    <w:p>
      <w:pPr>
        <w:pStyle w:val="BodyText"/>
        <w:rPr>
          <w:i/>
        </w:rPr>
      </w:pPr>
    </w:p>
    <w:p>
      <w:pPr>
        <w:pStyle w:val="BodyText"/>
        <w:spacing w:line="480" w:lineRule="auto"/>
        <w:ind w:left="119" w:right="152"/>
      </w:pPr>
      <w:r>
        <w:rPr/>
        <w:t>Metabolizable energy ((ME) MJ/kg DM)) was determined using the following formula (AFRC, 1993):</w:t>
      </w:r>
    </w:p>
    <w:p>
      <w:pPr>
        <w:pStyle w:val="Heading2"/>
        <w:spacing w:before="204"/>
      </w:pPr>
      <w:r>
        <w:rPr/>
        <w:t>ME (MJ/kgDM): 0.0157*dOM </w:t>
      </w:r>
      <w:r>
        <w:rPr>
          <w:spacing w:val="62"/>
        </w:rPr>
        <w:t> </w:t>
      </w:r>
      <w:r>
        <w:rPr>
          <w:spacing w:val="-3"/>
        </w:rPr>
        <w:t>[2]</w:t>
      </w:r>
    </w:p>
    <w:p>
      <w:pPr>
        <w:pStyle w:val="BodyText"/>
        <w:spacing w:before="4"/>
        <w:rPr>
          <w:b/>
        </w:rPr>
      </w:pPr>
    </w:p>
    <w:p>
      <w:pPr>
        <w:pStyle w:val="BodyText"/>
        <w:spacing w:before="1"/>
        <w:ind w:left="119"/>
        <w:jc w:val="both"/>
      </w:pPr>
      <w:r>
        <w:rPr/>
        <w:t>Where: dOM: digestibility of organic matter (g/kg DM).</w:t>
      </w:r>
    </w:p>
    <w:p>
      <w:pPr>
        <w:pStyle w:val="BodyText"/>
      </w:pPr>
    </w:p>
    <w:p>
      <w:pPr>
        <w:pStyle w:val="BodyText"/>
        <w:spacing w:line="480" w:lineRule="auto"/>
        <w:ind w:left="119" w:right="152"/>
      </w:pPr>
      <w:r>
        <w:rPr/>
        <w:t>Ruminal fermentation kinetics was estimated in both experiments on the basis of the adjustment in gas production proposed by Jessop and Herrero (1996).</w:t>
      </w:r>
    </w:p>
    <w:p>
      <w:pPr>
        <w:spacing w:before="200"/>
        <w:ind w:left="119" w:right="0" w:firstLine="0"/>
        <w:jc w:val="both"/>
        <w:rPr>
          <w:b/>
          <w:sz w:val="24"/>
        </w:rPr>
      </w:pPr>
      <w:r>
        <w:rPr>
          <w:b/>
          <w:sz w:val="24"/>
        </w:rPr>
        <w:t>GP=</w:t>
      </w:r>
      <w:r>
        <w:rPr>
          <w:b/>
          <w:i/>
          <w:sz w:val="24"/>
        </w:rPr>
        <w:t>a </w:t>
      </w:r>
      <w:r>
        <w:rPr>
          <w:b/>
          <w:sz w:val="24"/>
        </w:rPr>
        <w:t>x (1-exp (-</w:t>
      </w:r>
      <w:r>
        <w:rPr>
          <w:b/>
          <w:i/>
          <w:sz w:val="24"/>
        </w:rPr>
        <w:t>ca</w:t>
      </w:r>
      <w:r>
        <w:rPr>
          <w:b/>
          <w:sz w:val="24"/>
        </w:rPr>
        <w:t>+t)) + </w:t>
      </w:r>
      <w:r>
        <w:rPr>
          <w:b/>
          <w:i/>
          <w:sz w:val="24"/>
        </w:rPr>
        <w:t>b </w:t>
      </w:r>
      <w:r>
        <w:rPr>
          <w:b/>
          <w:sz w:val="24"/>
        </w:rPr>
        <w:t>x (1-exp (-</w:t>
      </w:r>
      <w:r>
        <w:rPr>
          <w:b/>
          <w:i/>
          <w:sz w:val="24"/>
        </w:rPr>
        <w:t>cb </w:t>
      </w:r>
      <w:r>
        <w:rPr>
          <w:b/>
          <w:sz w:val="24"/>
        </w:rPr>
        <w:t>x (t-</w:t>
      </w:r>
      <w:r>
        <w:rPr>
          <w:b/>
          <w:i/>
          <w:sz w:val="24"/>
        </w:rPr>
        <w:t>lag</w:t>
      </w:r>
      <w:r>
        <w:rPr>
          <w:b/>
          <w:sz w:val="24"/>
        </w:rPr>
        <w:t>))) x (t&gt;</w:t>
      </w:r>
      <w:r>
        <w:rPr>
          <w:b/>
          <w:i/>
          <w:sz w:val="24"/>
        </w:rPr>
        <w:t>lag</w:t>
      </w:r>
      <w:r>
        <w:rPr>
          <w:b/>
          <w:sz w:val="24"/>
        </w:rPr>
        <w:t>) x -1   [3]</w:t>
      </w:r>
    </w:p>
    <w:p>
      <w:pPr>
        <w:pStyle w:val="BodyText"/>
        <w:rPr>
          <w:b/>
        </w:rPr>
      </w:pPr>
    </w:p>
    <w:p>
      <w:pPr>
        <w:pStyle w:val="BodyText"/>
        <w:spacing w:line="480" w:lineRule="auto" w:before="207"/>
        <w:ind w:left="119" w:right="113"/>
        <w:jc w:val="both"/>
      </w:pPr>
      <w:r>
        <w:rPr/>
        <w:t>Where: GP: is accumulated gas production </w:t>
      </w:r>
      <w:r>
        <w:rPr>
          <w:spacing w:val="-3"/>
        </w:rPr>
        <w:t>(ml </w:t>
      </w:r>
      <w:r>
        <w:rPr/>
        <w:t>gas/g DM); </w:t>
      </w:r>
      <w:r>
        <w:rPr>
          <w:i/>
        </w:rPr>
        <w:t>a</w:t>
      </w:r>
      <w:r>
        <w:rPr/>
        <w:t>: is gas production based on fermentation </w:t>
      </w:r>
      <w:r>
        <w:rPr>
          <w:spacing w:val="-3"/>
        </w:rPr>
        <w:t>(ml </w:t>
      </w:r>
      <w:r>
        <w:rPr/>
        <w:t>gas/g DM) of the soluble fraction of the carbohydrates; </w:t>
      </w:r>
      <w:r>
        <w:rPr>
          <w:i/>
        </w:rPr>
        <w:t>b</w:t>
      </w:r>
      <w:r>
        <w:rPr/>
        <w:t>: is potential gas production </w:t>
      </w:r>
      <w:r>
        <w:rPr>
          <w:spacing w:val="-3"/>
        </w:rPr>
        <w:t>(ml </w:t>
      </w:r>
      <w:r>
        <w:rPr/>
        <w:t>gas/g DM) based on the insoluble but potentially degradable fraction; </w:t>
      </w:r>
      <w:r>
        <w:rPr>
          <w:i/>
        </w:rPr>
        <w:t>ca</w:t>
      </w:r>
      <w:r>
        <w:rPr/>
        <w:t>: is the fermentation rate </w:t>
      </w:r>
      <w:r>
        <w:rPr>
          <w:spacing w:val="-3"/>
        </w:rPr>
        <w:t>(ml </w:t>
      </w:r>
      <w:r>
        <w:rPr/>
        <w:t>gas/g DM) of fraction </w:t>
      </w:r>
      <w:r>
        <w:rPr>
          <w:i/>
        </w:rPr>
        <w:t>a</w:t>
      </w:r>
      <w:r>
        <w:rPr/>
        <w:t>; </w:t>
      </w:r>
      <w:r>
        <w:rPr>
          <w:i/>
        </w:rPr>
        <w:t>cb</w:t>
      </w:r>
      <w:r>
        <w:rPr/>
        <w:t>: is the fermentation rate </w:t>
      </w:r>
      <w:r>
        <w:rPr>
          <w:spacing w:val="-3"/>
        </w:rPr>
        <w:t>(ml </w:t>
      </w:r>
      <w:r>
        <w:rPr/>
        <w:t>gas/g DM) of fraction </w:t>
      </w:r>
      <w:r>
        <w:rPr>
          <w:i/>
        </w:rPr>
        <w:t>b</w:t>
      </w:r>
      <w:r>
        <w:rPr/>
        <w:t>; and lag: is the </w:t>
      </w:r>
      <w:r>
        <w:rPr>
          <w:spacing w:val="-3"/>
        </w:rPr>
        <w:t>time </w:t>
      </w:r>
      <w:r>
        <w:rPr/>
        <w:t>in hours </w:t>
      </w:r>
      <w:r>
        <w:rPr>
          <w:spacing w:val="-3"/>
        </w:rPr>
        <w:t>(ml </w:t>
      </w:r>
      <w:r>
        <w:rPr/>
        <w:t>gas/g DM) prior to initiating the fermentation of the NDF. The adjustment in gas production was carried out in the Grafit </w:t>
      </w:r>
      <w:r>
        <w:rPr>
          <w:spacing w:val="-3"/>
        </w:rPr>
        <w:t>v3 </w:t>
      </w:r>
      <w:r>
        <w:rPr/>
        <w:t>program</w:t>
      </w:r>
      <w:r>
        <w:rPr>
          <w:spacing w:val="-18"/>
        </w:rPr>
        <w:t> </w:t>
      </w:r>
      <w:r>
        <w:rPr/>
        <w:t>(1992).</w:t>
      </w:r>
    </w:p>
    <w:p>
      <w:pPr>
        <w:spacing w:after="0" w:line="480" w:lineRule="auto"/>
        <w:jc w:val="both"/>
        <w:sectPr>
          <w:pgSz w:w="12240" w:h="15840"/>
          <w:pgMar w:header="0" w:footer="1478" w:top="1360" w:bottom="1660" w:left="1580" w:right="1580"/>
        </w:sectPr>
      </w:pPr>
    </w:p>
    <w:p>
      <w:pPr>
        <w:pStyle w:val="ListParagraph"/>
        <w:numPr>
          <w:ilvl w:val="1"/>
          <w:numId w:val="11"/>
        </w:numPr>
        <w:tabs>
          <w:tab w:pos="590" w:val="left" w:leader="none"/>
        </w:tabs>
        <w:spacing w:line="240" w:lineRule="auto" w:before="52" w:after="0"/>
        <w:ind w:left="589" w:right="0" w:hanging="470"/>
        <w:jc w:val="both"/>
        <w:rPr>
          <w:i/>
          <w:sz w:val="24"/>
        </w:rPr>
      </w:pPr>
      <w:r>
        <w:rPr>
          <w:i/>
          <w:sz w:val="24"/>
        </w:rPr>
        <w:t>Experiment</w:t>
      </w:r>
      <w:r>
        <w:rPr>
          <w:i/>
          <w:spacing w:val="-18"/>
          <w:sz w:val="24"/>
        </w:rPr>
        <w:t> </w:t>
      </w:r>
      <w:r>
        <w:rPr>
          <w:i/>
          <w:sz w:val="24"/>
        </w:rPr>
        <w:t>design</w:t>
      </w:r>
    </w:p>
    <w:p>
      <w:pPr>
        <w:pStyle w:val="BodyText"/>
        <w:rPr>
          <w:i/>
        </w:rPr>
      </w:pPr>
    </w:p>
    <w:p>
      <w:pPr>
        <w:pStyle w:val="BodyText"/>
        <w:spacing w:line="480" w:lineRule="auto"/>
        <w:ind w:left="119" w:right="120"/>
        <w:jc w:val="both"/>
      </w:pPr>
      <w:r>
        <w:rPr/>
        <w:t>The effect of polyethylene glycol (PEG) on ruminal fermentation was evaluated in experiment 1, with the + PEG and – PEG treatments for each tanniferous species (blocks), with three repetitions. And what was evaluated in experiment 2 was the effect on ruminal fermentation by the three inclusion levels of extract, specifically high, medium and low levels of extract from tanniferous species (blocks), with three repetitions. In both experiments the following general linear statistical model was used:</w:t>
      </w:r>
    </w:p>
    <w:p>
      <w:pPr>
        <w:spacing w:before="11"/>
        <w:ind w:left="186" w:right="0" w:firstLine="0"/>
        <w:jc w:val="both"/>
        <w:rPr>
          <w:sz w:val="16"/>
        </w:rPr>
      </w:pPr>
      <w:r>
        <w:rPr>
          <w:sz w:val="24"/>
        </w:rPr>
        <w:t>Y</w:t>
      </w:r>
      <w:r>
        <w:rPr>
          <w:position w:val="-2"/>
          <w:sz w:val="16"/>
        </w:rPr>
        <w:t>ij </w:t>
      </w:r>
      <w:r>
        <w:rPr>
          <w:sz w:val="24"/>
        </w:rPr>
        <w:t>= </w:t>
      </w:r>
      <w:r>
        <w:rPr>
          <w:rFonts w:ascii="Symbol" w:hAnsi="Symbol"/>
          <w:sz w:val="24"/>
        </w:rPr>
        <w:t></w:t>
      </w:r>
      <w:r>
        <w:rPr>
          <w:rFonts w:ascii="Times New Roman" w:hAnsi="Times New Roman"/>
          <w:sz w:val="24"/>
        </w:rPr>
        <w:t> </w:t>
      </w:r>
      <w:r>
        <w:rPr>
          <w:sz w:val="24"/>
        </w:rPr>
        <w:t>+ </w:t>
      </w:r>
      <w:r>
        <w:rPr>
          <w:rFonts w:ascii="Symbol" w:hAnsi="Symbol"/>
          <w:sz w:val="24"/>
        </w:rPr>
        <w:t></w:t>
      </w:r>
      <w:r>
        <w:rPr>
          <w:sz w:val="24"/>
        </w:rPr>
        <w:t>i + </w:t>
      </w:r>
      <w:r>
        <w:rPr>
          <w:rFonts w:ascii="Symbol" w:hAnsi="Symbol"/>
          <w:sz w:val="24"/>
        </w:rPr>
        <w:t></w:t>
      </w:r>
      <w:r>
        <w:rPr>
          <w:position w:val="-2"/>
          <w:sz w:val="16"/>
        </w:rPr>
        <w:t>j </w:t>
      </w:r>
      <w:r>
        <w:rPr>
          <w:sz w:val="24"/>
        </w:rPr>
        <w:t>+ </w:t>
      </w:r>
      <w:r>
        <w:rPr>
          <w:rFonts w:ascii="Symbol" w:hAnsi="Symbol"/>
          <w:sz w:val="24"/>
        </w:rPr>
        <w:t></w:t>
      </w:r>
      <w:r>
        <w:rPr>
          <w:position w:val="-2"/>
          <w:sz w:val="16"/>
        </w:rPr>
        <w:t>ij;</w:t>
      </w:r>
    </w:p>
    <w:p>
      <w:pPr>
        <w:pStyle w:val="BodyText"/>
        <w:spacing w:before="4"/>
      </w:pPr>
    </w:p>
    <w:p>
      <w:pPr>
        <w:pStyle w:val="BodyText"/>
        <w:ind w:left="119"/>
        <w:jc w:val="both"/>
      </w:pPr>
      <w:r>
        <w:rPr/>
        <w:t>Where</w:t>
      </w:r>
      <w:r>
        <w:rPr>
          <w:b/>
        </w:rPr>
        <w:t>: </w:t>
      </w:r>
      <w:r>
        <w:rPr/>
        <w:t>Y</w:t>
      </w:r>
      <w:r>
        <w:rPr>
          <w:position w:val="-2"/>
          <w:sz w:val="16"/>
        </w:rPr>
        <w:t>ij</w:t>
      </w:r>
      <w:r>
        <w:rPr/>
        <w:t>: Response in the experimental unit with the treatment; </w:t>
      </w:r>
      <w:r>
        <w:rPr>
          <w:rFonts w:ascii="Symbol" w:hAnsi="Symbol"/>
        </w:rPr>
        <w:t></w:t>
      </w:r>
      <w:r>
        <w:rPr/>
        <w:t>: General mean;</w:t>
      </w:r>
    </w:p>
    <w:p>
      <w:pPr>
        <w:pStyle w:val="BodyText"/>
        <w:spacing w:before="9"/>
      </w:pPr>
    </w:p>
    <w:p>
      <w:pPr>
        <w:pStyle w:val="BodyText"/>
        <w:spacing w:line="475" w:lineRule="auto"/>
        <w:ind w:left="119" w:right="99"/>
      </w:pPr>
      <w:r>
        <w:rPr>
          <w:rFonts w:ascii="Symbol" w:hAnsi="Symbol"/>
        </w:rPr>
        <w:t></w:t>
      </w:r>
      <w:r>
        <w:rPr/>
        <w:t>i: Effect of treatment (i=1,2); </w:t>
      </w:r>
      <w:r>
        <w:rPr>
          <w:rFonts w:ascii="Symbol" w:hAnsi="Symbol"/>
        </w:rPr>
        <w:t></w:t>
      </w:r>
      <w:r>
        <w:rPr>
          <w:position w:val="-2"/>
          <w:sz w:val="16"/>
        </w:rPr>
        <w:t>j</w:t>
      </w:r>
      <w:r>
        <w:rPr/>
        <w:t>: Effect of block (j=1, …6); and </w:t>
      </w:r>
      <w:r>
        <w:rPr>
          <w:rFonts w:ascii="Symbol" w:hAnsi="Symbol"/>
        </w:rPr>
        <w:t></w:t>
      </w:r>
      <w:r>
        <w:rPr>
          <w:position w:val="-2"/>
          <w:sz w:val="16"/>
        </w:rPr>
        <w:t>ij</w:t>
      </w:r>
      <w:r>
        <w:rPr/>
        <w:t>: Residual error. When significant differences (P&lt;0.05) were observed, a test was applied for comparing Tukey means (Minitab V14, 2000).</w:t>
      </w:r>
    </w:p>
    <w:p>
      <w:pPr>
        <w:pStyle w:val="BodyText"/>
        <w:spacing w:line="480" w:lineRule="auto" w:before="13"/>
        <w:ind w:left="119" w:right="113"/>
        <w:jc w:val="both"/>
      </w:pPr>
      <w:r>
        <w:rPr/>
        <w:t>Lastly, a regression analysis was conducted of the effect from secondary compounds on the ruminal fermentation parameters, digestibilities and ME, by using the following model:</w:t>
      </w:r>
    </w:p>
    <w:p>
      <w:pPr>
        <w:pStyle w:val="BodyText"/>
        <w:spacing w:before="11"/>
        <w:ind w:left="186"/>
        <w:jc w:val="both"/>
      </w:pPr>
      <w:r>
        <w:rPr/>
        <w:t>Yi = </w:t>
      </w:r>
      <w:r>
        <w:rPr>
          <w:rFonts w:ascii="Symbol" w:hAnsi="Symbol"/>
        </w:rPr>
        <w:t></w:t>
      </w:r>
      <w:r>
        <w:rPr/>
        <w:t>o + </w:t>
      </w:r>
      <w:r>
        <w:rPr>
          <w:rFonts w:ascii="Symbol" w:hAnsi="Symbol"/>
        </w:rPr>
        <w:t></w:t>
      </w:r>
      <w:r>
        <w:rPr/>
        <w:t>1 X1+ </w:t>
      </w:r>
      <w:r>
        <w:rPr>
          <w:rFonts w:ascii="Symbol" w:hAnsi="Symbol"/>
        </w:rPr>
        <w:t></w:t>
      </w:r>
      <w:r>
        <w:rPr/>
        <w:t>2 X2 + </w:t>
      </w:r>
      <w:r>
        <w:rPr>
          <w:rFonts w:ascii="Symbol" w:hAnsi="Symbol"/>
        </w:rPr>
        <w:t></w:t>
      </w:r>
      <w:r>
        <w:rPr/>
        <w:t>3 X3 + </w:t>
      </w:r>
      <w:r>
        <w:rPr>
          <w:rFonts w:ascii="Symbol" w:hAnsi="Symbol"/>
        </w:rPr>
        <w:t></w:t>
      </w:r>
      <w:r>
        <w:rPr/>
        <w:t>4 X4 + … </w:t>
      </w:r>
      <w:r>
        <w:rPr>
          <w:rFonts w:ascii="Symbol" w:hAnsi="Symbol"/>
        </w:rPr>
        <w:t></w:t>
      </w:r>
      <w:r>
        <w:rPr/>
        <w:t>p Xp + </w:t>
      </w:r>
      <w:r>
        <w:rPr>
          <w:rFonts w:ascii="Symbol" w:hAnsi="Symbol"/>
        </w:rPr>
        <w:t></w:t>
      </w:r>
      <w:r>
        <w:rPr/>
        <w:t>i</w:t>
      </w:r>
    </w:p>
    <w:p>
      <w:pPr>
        <w:pStyle w:val="BodyText"/>
        <w:spacing w:before="1"/>
        <w:rPr>
          <w:sz w:val="25"/>
        </w:rPr>
      </w:pPr>
    </w:p>
    <w:p>
      <w:pPr>
        <w:pStyle w:val="BodyText"/>
        <w:spacing w:line="482" w:lineRule="auto"/>
        <w:ind w:left="119" w:right="121"/>
        <w:jc w:val="both"/>
      </w:pPr>
      <w:r>
        <w:rPr/>
        <w:t>Where: Yi: dependent variable (dDM, dOM, dNDF, ME and ruminal fermentation kinetics parameters), X1, X2, X3, X4, …; Xp: independent variables (TP, NPT, TT, CT, FBCT), </w:t>
      </w:r>
      <w:r>
        <w:rPr>
          <w:rFonts w:ascii="Symbol" w:hAnsi="Symbol"/>
        </w:rPr>
        <w:t></w:t>
      </w:r>
      <w:r>
        <w:rPr/>
        <w:t>o, </w:t>
      </w:r>
      <w:r>
        <w:rPr>
          <w:rFonts w:ascii="Symbol" w:hAnsi="Symbol"/>
        </w:rPr>
        <w:t></w:t>
      </w:r>
      <w:r>
        <w:rPr/>
        <w:t>1 , </w:t>
      </w:r>
      <w:r>
        <w:rPr>
          <w:rFonts w:ascii="Symbol" w:hAnsi="Symbol"/>
        </w:rPr>
        <w:t></w:t>
      </w:r>
      <w:r>
        <w:rPr/>
        <w:t>2 , </w:t>
      </w:r>
      <w:r>
        <w:rPr>
          <w:rFonts w:ascii="Symbol" w:hAnsi="Symbol"/>
        </w:rPr>
        <w:t></w:t>
      </w:r>
      <w:r>
        <w:rPr/>
        <w:t>3 , </w:t>
      </w:r>
      <w:r>
        <w:rPr>
          <w:rFonts w:ascii="Symbol" w:hAnsi="Symbol"/>
        </w:rPr>
        <w:t></w:t>
      </w:r>
      <w:r>
        <w:rPr/>
        <w:t>4 , …; </w:t>
      </w:r>
      <w:r>
        <w:rPr>
          <w:rFonts w:ascii="Symbol" w:hAnsi="Symbol"/>
        </w:rPr>
        <w:t></w:t>
      </w:r>
      <w:r>
        <w:rPr/>
        <w:t>p: Parameters of the linear regression equation; </w:t>
      </w:r>
      <w:r>
        <w:rPr>
          <w:rFonts w:ascii="Symbol" w:hAnsi="Symbol"/>
        </w:rPr>
        <w:t></w:t>
      </w:r>
      <w:r>
        <w:rPr/>
        <w:t>i: Random error of the ith observation.</w:t>
      </w:r>
    </w:p>
    <w:p>
      <w:pPr>
        <w:spacing w:after="0" w:line="482" w:lineRule="auto"/>
        <w:jc w:val="both"/>
        <w:sectPr>
          <w:pgSz w:w="12240" w:h="15840"/>
          <w:pgMar w:header="0" w:footer="1478" w:top="1360" w:bottom="1660" w:left="1580" w:right="1580"/>
        </w:sectPr>
      </w:pPr>
    </w:p>
    <w:p>
      <w:pPr>
        <w:pStyle w:val="Heading2"/>
        <w:numPr>
          <w:ilvl w:val="0"/>
          <w:numId w:val="11"/>
        </w:numPr>
        <w:tabs>
          <w:tab w:pos="388" w:val="left" w:leader="none"/>
        </w:tabs>
        <w:spacing w:line="240" w:lineRule="auto" w:before="47" w:after="0"/>
        <w:ind w:left="388" w:right="0" w:hanging="269"/>
        <w:jc w:val="both"/>
      </w:pPr>
      <w:r>
        <w:rPr/>
        <w:t>Results</w:t>
      </w:r>
    </w:p>
    <w:p>
      <w:pPr>
        <w:pStyle w:val="BodyText"/>
        <w:spacing w:before="4"/>
        <w:rPr>
          <w:b/>
        </w:rPr>
      </w:pPr>
    </w:p>
    <w:p>
      <w:pPr>
        <w:spacing w:before="1"/>
        <w:ind w:left="119" w:right="0" w:firstLine="0"/>
        <w:jc w:val="both"/>
        <w:rPr>
          <w:i/>
          <w:sz w:val="24"/>
        </w:rPr>
      </w:pPr>
      <w:r>
        <w:rPr>
          <w:i/>
          <w:sz w:val="24"/>
        </w:rPr>
        <w:t>3.1 Secondary metabolites and chemical composition</w:t>
      </w:r>
    </w:p>
    <w:p>
      <w:pPr>
        <w:pStyle w:val="BodyText"/>
        <w:rPr>
          <w:i/>
        </w:rPr>
      </w:pPr>
    </w:p>
    <w:p>
      <w:pPr>
        <w:pStyle w:val="BodyText"/>
        <w:spacing w:line="480" w:lineRule="auto"/>
        <w:ind w:left="119" w:right="117"/>
        <w:jc w:val="both"/>
      </w:pPr>
      <w:r>
        <w:rPr>
          <w:i/>
        </w:rPr>
        <w:t>C. sulphureus </w:t>
      </w:r>
      <w:r>
        <w:rPr/>
        <w:t>was the species with the highest concentration of total phenols, total tannins, condensed tannins and fiber-bound tannins, while </w:t>
      </w:r>
      <w:r>
        <w:rPr>
          <w:i/>
        </w:rPr>
        <w:t>T. erecta </w:t>
      </w:r>
      <w:r>
        <w:rPr/>
        <w:t>and </w:t>
      </w:r>
      <w:r>
        <w:rPr>
          <w:i/>
        </w:rPr>
        <w:t>T. lucida </w:t>
      </w:r>
      <w:r>
        <w:rPr/>
        <w:t>presented significant levels of concentration for only total phenols and condensed tannins. In addition, </w:t>
      </w:r>
      <w:r>
        <w:rPr>
          <w:i/>
        </w:rPr>
        <w:t>C. bipinnatus</w:t>
      </w:r>
      <w:r>
        <w:rPr/>
        <w:t>, </w:t>
      </w:r>
      <w:r>
        <w:rPr>
          <w:i/>
        </w:rPr>
        <w:t>M. diplotricha </w:t>
      </w:r>
      <w:r>
        <w:rPr/>
        <w:t>and </w:t>
      </w:r>
      <w:r>
        <w:rPr>
          <w:i/>
        </w:rPr>
        <w:t>M. divaricatum </w:t>
      </w:r>
      <w:r>
        <w:rPr/>
        <w:t>were the species with limited concentrations of total phenols and total tannins (Table 1).</w:t>
      </w:r>
    </w:p>
    <w:p>
      <w:pPr>
        <w:pStyle w:val="BodyText"/>
        <w:spacing w:line="480" w:lineRule="auto" w:before="8"/>
        <w:ind w:left="119" w:right="118"/>
        <w:jc w:val="both"/>
      </w:pPr>
      <w:r>
        <w:rPr>
          <w:i/>
        </w:rPr>
        <w:t>C. sulphureus</w:t>
      </w:r>
      <w:r>
        <w:rPr/>
        <w:t>, </w:t>
      </w:r>
      <w:r>
        <w:rPr>
          <w:i/>
        </w:rPr>
        <w:t>C. bipinnatus </w:t>
      </w:r>
      <w:r>
        <w:rPr/>
        <w:t>and </w:t>
      </w:r>
      <w:r>
        <w:rPr>
          <w:i/>
        </w:rPr>
        <w:t>T. erecta </w:t>
      </w:r>
      <w:r>
        <w:rPr/>
        <w:t>presented the best nutritional characteristics, contributing a significant amount of protein, in addition to limited amounts of soluble carbohydrates. </w:t>
      </w:r>
      <w:r>
        <w:rPr>
          <w:i/>
        </w:rPr>
        <w:t>M. diplotricha </w:t>
      </w:r>
      <w:r>
        <w:rPr/>
        <w:t>is also a significant source of protein, and the amount of fiber from this species was greater, at 510 g. The species that presented low nutritional quality was </w:t>
      </w:r>
      <w:r>
        <w:rPr>
          <w:i/>
        </w:rPr>
        <w:t>T. lucida, </w:t>
      </w:r>
      <w:r>
        <w:rPr/>
        <w:t>since it is deficient in protein. The values for protein and fiber in the base diet and </w:t>
      </w:r>
      <w:r>
        <w:rPr>
          <w:i/>
        </w:rPr>
        <w:t>M. divaricatum </w:t>
      </w:r>
      <w:r>
        <w:rPr/>
        <w:t>were adequate for forages. The etereo extract in the base diet and the species ranges from 10 to 30 g, and the amount of ashes was between 60 and 110 g.</w:t>
      </w:r>
    </w:p>
    <w:p>
      <w:pPr>
        <w:pStyle w:val="ListParagraph"/>
        <w:numPr>
          <w:ilvl w:val="1"/>
          <w:numId w:val="12"/>
        </w:numPr>
        <w:tabs>
          <w:tab w:pos="590" w:val="left" w:leader="none"/>
        </w:tabs>
        <w:spacing w:line="240" w:lineRule="auto" w:before="8" w:after="0"/>
        <w:ind w:left="589" w:right="0" w:hanging="470"/>
        <w:jc w:val="both"/>
        <w:rPr>
          <w:i/>
          <w:sz w:val="24"/>
        </w:rPr>
      </w:pPr>
      <w:r>
        <w:rPr>
          <w:i/>
          <w:sz w:val="24"/>
        </w:rPr>
        <w:t>Experiment</w:t>
      </w:r>
      <w:r>
        <w:rPr>
          <w:i/>
          <w:spacing w:val="-12"/>
          <w:sz w:val="24"/>
        </w:rPr>
        <w:t> </w:t>
      </w:r>
      <w:r>
        <w:rPr>
          <w:i/>
          <w:sz w:val="24"/>
        </w:rPr>
        <w:t>1</w:t>
      </w:r>
    </w:p>
    <w:p>
      <w:pPr>
        <w:pStyle w:val="BodyText"/>
        <w:rPr>
          <w:i/>
        </w:rPr>
      </w:pPr>
    </w:p>
    <w:p>
      <w:pPr>
        <w:spacing w:before="0"/>
        <w:ind w:left="119" w:right="0" w:firstLine="0"/>
        <w:jc w:val="both"/>
        <w:rPr>
          <w:i/>
          <w:sz w:val="24"/>
        </w:rPr>
      </w:pPr>
      <w:r>
        <w:rPr>
          <w:i/>
          <w:sz w:val="24"/>
        </w:rPr>
        <w:t>Effect of polyethylene glycol on ruminal fermentation</w:t>
      </w:r>
    </w:p>
    <w:p>
      <w:pPr>
        <w:pStyle w:val="BodyText"/>
        <w:rPr>
          <w:i/>
        </w:rPr>
      </w:pPr>
    </w:p>
    <w:p>
      <w:pPr>
        <w:pStyle w:val="BodyText"/>
        <w:spacing w:line="480" w:lineRule="auto"/>
        <w:ind w:left="119" w:right="112"/>
        <w:jc w:val="both"/>
      </w:pPr>
      <w:r>
        <w:rPr/>
        <w:t>A positive effect was observed at 24 hours of fermentation in </w:t>
      </w:r>
      <w:r>
        <w:rPr>
          <w:i/>
        </w:rPr>
        <w:t>C. sulphureus, T. </w:t>
      </w:r>
      <w:r>
        <w:rPr>
          <w:i/>
        </w:rPr>
        <w:t>lucida </w:t>
      </w:r>
      <w:r>
        <w:rPr/>
        <w:t>and </w:t>
      </w:r>
      <w:r>
        <w:rPr>
          <w:i/>
        </w:rPr>
        <w:t>M. divaricatum </w:t>
      </w:r>
      <w:r>
        <w:rPr/>
        <w:t>(Tables 3 and 4). The other species did not respond favorably to the inclusion of PEG (Table 3). Therefore, significant differences (P&lt;0.05) were observed at 24 and 96 hours of fermentation between treatments (- PEG, + PEG) and among species (Table 4). In these two variables, only </w:t>
      </w:r>
      <w:r>
        <w:rPr>
          <w:i/>
        </w:rPr>
        <w:t>C. </w:t>
      </w:r>
      <w:r>
        <w:rPr>
          <w:i/>
        </w:rPr>
        <w:t>bipinnatus </w:t>
      </w:r>
      <w:r>
        <w:rPr/>
        <w:t>and </w:t>
      </w:r>
      <w:r>
        <w:rPr>
          <w:i/>
        </w:rPr>
        <w:t>T. erecta </w:t>
      </w:r>
      <w:r>
        <w:rPr/>
        <w:t>generated a volume of    GP greater than 100 and 125 ml,</w:t>
      </w:r>
    </w:p>
    <w:p>
      <w:pPr>
        <w:spacing w:after="0" w:line="480" w:lineRule="auto"/>
        <w:jc w:val="both"/>
        <w:sectPr>
          <w:pgSz w:w="12240" w:h="15840"/>
          <w:pgMar w:header="0" w:footer="1478" w:top="1360" w:bottom="1660" w:left="1580" w:right="1580"/>
        </w:sectPr>
      </w:pPr>
    </w:p>
    <w:p>
      <w:pPr>
        <w:pStyle w:val="BodyText"/>
        <w:spacing w:line="480" w:lineRule="auto" w:before="52"/>
        <w:ind w:left="119" w:right="127"/>
        <w:jc w:val="both"/>
      </w:pPr>
      <w:r>
        <w:rPr/>
        <w:t>at 24 and 96 hours of fermentation, respectively, with regard to the other species (Table 4). </w:t>
      </w:r>
      <w:r>
        <w:rPr>
          <w:i/>
        </w:rPr>
        <w:t>T. lucida </w:t>
      </w:r>
      <w:r>
        <w:rPr/>
        <w:t>was the only species that recuperated GP from 24 to 96 hours of fermentation, with respect to the remaining species, since 40 ml was generated and this is reflected in the dDM and dOM (Table 4).</w:t>
      </w:r>
    </w:p>
    <w:p>
      <w:pPr>
        <w:spacing w:line="480" w:lineRule="auto" w:before="8"/>
        <w:ind w:left="119" w:right="113" w:firstLine="0"/>
        <w:jc w:val="both"/>
        <w:rPr>
          <w:sz w:val="24"/>
        </w:rPr>
      </w:pPr>
      <w:r>
        <w:rPr>
          <w:sz w:val="24"/>
        </w:rPr>
        <w:t>In fermentation parameters, there was an increase in fraction </w:t>
      </w:r>
      <w:r>
        <w:rPr>
          <w:i/>
          <w:sz w:val="24"/>
        </w:rPr>
        <w:t>a </w:t>
      </w:r>
      <w:r>
        <w:rPr>
          <w:sz w:val="24"/>
        </w:rPr>
        <w:t>in </w:t>
      </w:r>
      <w:r>
        <w:rPr>
          <w:i/>
          <w:sz w:val="24"/>
        </w:rPr>
        <w:t>C. bipinnatus</w:t>
      </w:r>
      <w:r>
        <w:rPr>
          <w:sz w:val="24"/>
        </w:rPr>
        <w:t>, </w:t>
      </w:r>
      <w:r>
        <w:rPr>
          <w:i/>
          <w:sz w:val="24"/>
        </w:rPr>
        <w:t>T. </w:t>
      </w:r>
      <w:r>
        <w:rPr>
          <w:i/>
          <w:sz w:val="24"/>
        </w:rPr>
        <w:t>lucida </w:t>
      </w:r>
      <w:r>
        <w:rPr>
          <w:sz w:val="24"/>
        </w:rPr>
        <w:t>and </w:t>
      </w:r>
      <w:r>
        <w:rPr>
          <w:i/>
          <w:sz w:val="24"/>
        </w:rPr>
        <w:t>M. diplotricha </w:t>
      </w:r>
      <w:r>
        <w:rPr>
          <w:sz w:val="24"/>
        </w:rPr>
        <w:t>(Table 3). </w:t>
      </w:r>
      <w:r>
        <w:rPr>
          <w:i/>
          <w:sz w:val="24"/>
        </w:rPr>
        <w:t>T. lucida </w:t>
      </w:r>
      <w:r>
        <w:rPr>
          <w:sz w:val="24"/>
        </w:rPr>
        <w:t>presented a fermentation rate (</w:t>
      </w:r>
      <w:r>
        <w:rPr>
          <w:i/>
          <w:sz w:val="24"/>
        </w:rPr>
        <w:t>ca</w:t>
      </w:r>
      <w:r>
        <w:rPr>
          <w:sz w:val="24"/>
        </w:rPr>
        <w:t>) in this fraction of 0.5, and in the other species the fermentation rates observed were below 0.5 (Table 4). In fraction </w:t>
      </w:r>
      <w:r>
        <w:rPr>
          <w:i/>
          <w:sz w:val="24"/>
        </w:rPr>
        <w:t>b, T. lucida</w:t>
      </w:r>
      <w:r>
        <w:rPr>
          <w:sz w:val="24"/>
        </w:rPr>
        <w:t>, </w:t>
      </w:r>
      <w:r>
        <w:rPr>
          <w:i/>
          <w:sz w:val="24"/>
        </w:rPr>
        <w:t>T. erecta </w:t>
      </w:r>
      <w:r>
        <w:rPr>
          <w:sz w:val="24"/>
        </w:rPr>
        <w:t>and </w:t>
      </w:r>
      <w:r>
        <w:rPr>
          <w:i/>
          <w:sz w:val="24"/>
        </w:rPr>
        <w:t>C. sulphureus </w:t>
      </w:r>
      <w:r>
        <w:rPr>
          <w:sz w:val="24"/>
        </w:rPr>
        <w:t>presented greater availability of structural carbohydrates, and the last two species had a </w:t>
      </w:r>
      <w:r>
        <w:rPr>
          <w:i/>
          <w:sz w:val="24"/>
        </w:rPr>
        <w:t>cb </w:t>
      </w:r>
      <w:r>
        <w:rPr>
          <w:sz w:val="24"/>
        </w:rPr>
        <w:t>of 0.07, while the rest of the species had a </w:t>
      </w:r>
      <w:r>
        <w:rPr>
          <w:i/>
          <w:sz w:val="24"/>
        </w:rPr>
        <w:t>cb </w:t>
      </w:r>
      <w:r>
        <w:rPr>
          <w:sz w:val="24"/>
        </w:rPr>
        <w:t>below this value (Table 4). </w:t>
      </w:r>
      <w:r>
        <w:rPr>
          <w:spacing w:val="-3"/>
          <w:sz w:val="24"/>
        </w:rPr>
        <w:t>In </w:t>
      </w:r>
      <w:r>
        <w:rPr>
          <w:sz w:val="24"/>
        </w:rPr>
        <w:t>most of the species, the </w:t>
      </w:r>
      <w:r>
        <w:rPr>
          <w:i/>
          <w:sz w:val="24"/>
        </w:rPr>
        <w:t>lag </w:t>
      </w:r>
      <w:r>
        <w:rPr>
          <w:spacing w:val="-3"/>
          <w:sz w:val="24"/>
        </w:rPr>
        <w:t>time </w:t>
      </w:r>
      <w:r>
        <w:rPr>
          <w:sz w:val="24"/>
        </w:rPr>
        <w:t>fluctuated; it diminished in </w:t>
      </w:r>
      <w:r>
        <w:rPr>
          <w:i/>
          <w:sz w:val="24"/>
        </w:rPr>
        <w:t>C. sulphureus </w:t>
      </w:r>
      <w:r>
        <w:rPr>
          <w:sz w:val="24"/>
        </w:rPr>
        <w:t>and </w:t>
      </w:r>
      <w:r>
        <w:rPr>
          <w:i/>
          <w:sz w:val="24"/>
        </w:rPr>
        <w:t>M. </w:t>
      </w:r>
      <w:r>
        <w:rPr>
          <w:i/>
          <w:sz w:val="24"/>
        </w:rPr>
        <w:t>divaricatum</w:t>
      </w:r>
      <w:r>
        <w:rPr>
          <w:sz w:val="24"/>
        </w:rPr>
        <w:t>, and it increased in </w:t>
      </w:r>
      <w:r>
        <w:rPr>
          <w:i/>
          <w:sz w:val="24"/>
        </w:rPr>
        <w:t>C. bipinnatus</w:t>
      </w:r>
      <w:r>
        <w:rPr>
          <w:sz w:val="24"/>
        </w:rPr>
        <w:t>, </w:t>
      </w:r>
      <w:r>
        <w:rPr>
          <w:i/>
          <w:sz w:val="24"/>
        </w:rPr>
        <w:t>M. diplotricha </w:t>
      </w:r>
      <w:r>
        <w:rPr>
          <w:sz w:val="24"/>
        </w:rPr>
        <w:t>and </w:t>
      </w:r>
      <w:r>
        <w:rPr>
          <w:i/>
          <w:sz w:val="24"/>
        </w:rPr>
        <w:t>T. lucida </w:t>
      </w:r>
      <w:r>
        <w:rPr>
          <w:sz w:val="24"/>
        </w:rPr>
        <w:t>(Table  3). No differences (P&gt;0.05) were observed in any of the fermentation parameters between treatments or among species (Table</w:t>
      </w:r>
      <w:r>
        <w:rPr>
          <w:spacing w:val="-24"/>
          <w:sz w:val="24"/>
        </w:rPr>
        <w:t> </w:t>
      </w:r>
      <w:r>
        <w:rPr>
          <w:sz w:val="24"/>
        </w:rPr>
        <w:t>4).</w:t>
      </w:r>
    </w:p>
    <w:p>
      <w:pPr>
        <w:pStyle w:val="BodyText"/>
        <w:spacing w:line="480" w:lineRule="auto" w:before="8"/>
        <w:ind w:left="119" w:right="114"/>
        <w:jc w:val="both"/>
      </w:pPr>
      <w:r>
        <w:rPr/>
        <w:t>The dDM and dOM improved in the </w:t>
      </w:r>
      <w:r>
        <w:rPr>
          <w:i/>
        </w:rPr>
        <w:t>C. bipinnatus, T. lucida </w:t>
      </w:r>
      <w:r>
        <w:rPr/>
        <w:t>and </w:t>
      </w:r>
      <w:r>
        <w:rPr>
          <w:i/>
        </w:rPr>
        <w:t>T. erecta </w:t>
      </w:r>
      <w:r>
        <w:rPr/>
        <w:t>species, while no improvement was observed in the other species. The dNDF improved in  all the species, especially in </w:t>
      </w:r>
      <w:r>
        <w:rPr>
          <w:i/>
        </w:rPr>
        <w:t>C. sulphureus, C. bipinnatus, T. lucida </w:t>
      </w:r>
      <w:r>
        <w:rPr/>
        <w:t>and </w:t>
      </w:r>
      <w:r>
        <w:rPr>
          <w:i/>
        </w:rPr>
        <w:t>M. </w:t>
      </w:r>
      <w:r>
        <w:rPr>
          <w:i/>
        </w:rPr>
        <w:t>divaricatum </w:t>
      </w:r>
      <w:r>
        <w:rPr/>
        <w:t>(Table 3). Consequently, there were significant differences (P&lt;0.05) among species, but not between treatments (Table 4). There was an increase in the ME contributed in all the species, and </w:t>
      </w:r>
      <w:r>
        <w:rPr>
          <w:i/>
        </w:rPr>
        <w:t>T. lucida </w:t>
      </w:r>
      <w:r>
        <w:rPr/>
        <w:t>was the species that  contributed the most ME (Table 3). Therefore, the ME contribution was significant (P&lt;0.05) both between treatments and among species (Table</w:t>
      </w:r>
      <w:r>
        <w:rPr>
          <w:spacing w:val="-33"/>
        </w:rPr>
        <w:t> </w:t>
      </w:r>
      <w:r>
        <w:rPr/>
        <w:t>4).</w:t>
      </w:r>
    </w:p>
    <w:p>
      <w:pPr>
        <w:spacing w:after="0" w:line="480" w:lineRule="auto"/>
        <w:jc w:val="both"/>
        <w:sectPr>
          <w:pgSz w:w="12240" w:h="15840"/>
          <w:pgMar w:header="0" w:footer="1478" w:top="1360" w:bottom="1660" w:left="1580" w:right="1580"/>
        </w:sectPr>
      </w:pPr>
    </w:p>
    <w:p>
      <w:pPr>
        <w:pStyle w:val="ListParagraph"/>
        <w:numPr>
          <w:ilvl w:val="1"/>
          <w:numId w:val="12"/>
        </w:numPr>
        <w:tabs>
          <w:tab w:pos="590" w:val="left" w:leader="none"/>
        </w:tabs>
        <w:spacing w:line="240" w:lineRule="auto" w:before="52" w:after="0"/>
        <w:ind w:left="589" w:right="0" w:hanging="470"/>
        <w:jc w:val="both"/>
        <w:rPr>
          <w:i/>
          <w:sz w:val="24"/>
        </w:rPr>
      </w:pPr>
      <w:r>
        <w:rPr>
          <w:i/>
          <w:sz w:val="24"/>
        </w:rPr>
        <w:t>Experiment</w:t>
      </w:r>
      <w:r>
        <w:rPr>
          <w:i/>
          <w:spacing w:val="-12"/>
          <w:sz w:val="24"/>
        </w:rPr>
        <w:t> </w:t>
      </w:r>
      <w:r>
        <w:rPr>
          <w:i/>
          <w:sz w:val="24"/>
        </w:rPr>
        <w:t>2</w:t>
      </w:r>
    </w:p>
    <w:p>
      <w:pPr>
        <w:pStyle w:val="BodyText"/>
        <w:rPr>
          <w:i/>
        </w:rPr>
      </w:pPr>
    </w:p>
    <w:p>
      <w:pPr>
        <w:spacing w:line="480" w:lineRule="auto" w:before="0"/>
        <w:ind w:left="119" w:right="121" w:firstLine="0"/>
        <w:jc w:val="both"/>
        <w:rPr>
          <w:i/>
          <w:sz w:val="24"/>
        </w:rPr>
      </w:pPr>
      <w:r>
        <w:rPr>
          <w:i/>
          <w:sz w:val="24"/>
        </w:rPr>
        <w:t>Effect on ruminal fermentation from three levels of inclusion of tannin extract in a </w:t>
      </w:r>
      <w:r>
        <w:rPr>
          <w:i/>
          <w:sz w:val="24"/>
        </w:rPr>
        <w:t>base diet for dairy cattle</w:t>
      </w:r>
    </w:p>
    <w:p>
      <w:pPr>
        <w:pStyle w:val="BodyText"/>
        <w:spacing w:line="480" w:lineRule="auto" w:before="8"/>
        <w:ind w:left="119" w:right="113"/>
        <w:jc w:val="both"/>
      </w:pPr>
      <w:r>
        <w:rPr/>
        <w:t>When three inclusion levels of tannin extract were added, a positive effect was observed through the increase in the availability of fraction </w:t>
      </w:r>
      <w:r>
        <w:rPr>
          <w:i/>
        </w:rPr>
        <w:t>a </w:t>
      </w:r>
      <w:r>
        <w:rPr/>
        <w:t>at a high level (</w:t>
      </w:r>
      <w:r>
        <w:rPr>
          <w:i/>
        </w:rPr>
        <w:t>T. </w:t>
      </w:r>
      <w:r>
        <w:rPr>
          <w:i/>
        </w:rPr>
        <w:t>lucida</w:t>
      </w:r>
      <w:r>
        <w:rPr/>
        <w:t>, </w:t>
      </w:r>
      <w:r>
        <w:rPr>
          <w:i/>
        </w:rPr>
        <w:t>M. divaricatum</w:t>
      </w:r>
      <w:r>
        <w:rPr/>
        <w:t>), a medium level </w:t>
      </w:r>
      <w:r>
        <w:rPr>
          <w:spacing w:val="2"/>
        </w:rPr>
        <w:t>(</w:t>
      </w:r>
      <w:r>
        <w:rPr>
          <w:i/>
          <w:spacing w:val="2"/>
        </w:rPr>
        <w:t>T. </w:t>
      </w:r>
      <w:r>
        <w:rPr>
          <w:i/>
        </w:rPr>
        <w:t>erecta</w:t>
      </w:r>
      <w:r>
        <w:rPr/>
        <w:t>) and a low level (</w:t>
      </w:r>
      <w:r>
        <w:rPr>
          <w:i/>
        </w:rPr>
        <w:t>M. diplotricha</w:t>
      </w:r>
      <w:r>
        <w:rPr/>
        <w:t>). At the three inclusion levels, the fermentation rate of this fraction </w:t>
      </w:r>
      <w:r>
        <w:rPr>
          <w:spacing w:val="2"/>
        </w:rPr>
        <w:t>(</w:t>
      </w:r>
      <w:r>
        <w:rPr>
          <w:i/>
          <w:spacing w:val="2"/>
        </w:rPr>
        <w:t>ca</w:t>
      </w:r>
      <w:r>
        <w:rPr>
          <w:spacing w:val="2"/>
        </w:rPr>
        <w:t>) </w:t>
      </w:r>
      <w:r>
        <w:rPr/>
        <w:t>increased in most of the species, with the exception of </w:t>
      </w:r>
      <w:r>
        <w:rPr>
          <w:i/>
        </w:rPr>
        <w:t>T. lucida</w:t>
      </w:r>
      <w:r>
        <w:rPr/>
        <w:t>, in which case the </w:t>
      </w:r>
      <w:r>
        <w:rPr>
          <w:i/>
        </w:rPr>
        <w:t>ca  </w:t>
      </w:r>
      <w:r>
        <w:rPr/>
        <w:t>diminished (Table 5). Even so, no differences (P&gt;0.05) were observed in these two parameters among the three inclusion levels or among species (Table 6). No increases in GP were observed in the three levels of inclusion in fraction </w:t>
      </w:r>
      <w:r>
        <w:rPr>
          <w:i/>
        </w:rPr>
        <w:t>b</w:t>
      </w:r>
      <w:r>
        <w:rPr/>
        <w:t>. However, in </w:t>
      </w:r>
      <w:r>
        <w:rPr>
          <w:i/>
        </w:rPr>
        <w:t>C. sulphureus</w:t>
      </w:r>
      <w:r>
        <w:rPr/>
        <w:t>, </w:t>
      </w:r>
      <w:r>
        <w:rPr>
          <w:i/>
        </w:rPr>
        <w:t>T. lucida</w:t>
      </w:r>
      <w:r>
        <w:rPr/>
        <w:t>, </w:t>
      </w:r>
      <w:r>
        <w:rPr>
          <w:i/>
        </w:rPr>
        <w:t>M. divaricatum </w:t>
      </w:r>
      <w:r>
        <w:rPr/>
        <w:t>(Tables 5 and 6) and </w:t>
      </w:r>
      <w:r>
        <w:rPr>
          <w:i/>
        </w:rPr>
        <w:t>T.  </w:t>
      </w:r>
      <w:r>
        <w:rPr>
          <w:i/>
        </w:rPr>
        <w:t>erecta </w:t>
      </w:r>
      <w:r>
        <w:rPr/>
        <w:t>(Table 5), greater availability was observed in this fraction. GP in  this fraction (</w:t>
      </w:r>
      <w:r>
        <w:rPr>
          <w:i/>
        </w:rPr>
        <w:t>b</w:t>
      </w:r>
      <w:r>
        <w:rPr/>
        <w:t>) in </w:t>
      </w:r>
      <w:r>
        <w:rPr>
          <w:i/>
        </w:rPr>
        <w:t>M. diplotricha </w:t>
      </w:r>
      <w:r>
        <w:rPr/>
        <w:t>was different (P&lt;0.05) with respect to the other species, since GP diminished (Table 6) and </w:t>
      </w:r>
      <w:r>
        <w:rPr>
          <w:spacing w:val="-3"/>
        </w:rPr>
        <w:t>so </w:t>
      </w:r>
      <w:r>
        <w:rPr/>
        <w:t>did dNDF (Tables 5 and 6). </w:t>
      </w:r>
      <w:r>
        <w:rPr>
          <w:spacing w:val="-3"/>
        </w:rPr>
        <w:t>In </w:t>
      </w:r>
      <w:r>
        <w:rPr/>
        <w:t>most of the species, the lag </w:t>
      </w:r>
      <w:r>
        <w:rPr>
          <w:spacing w:val="-3"/>
        </w:rPr>
        <w:t>time </w:t>
      </w:r>
      <w:r>
        <w:rPr/>
        <w:t>diminished with respect to the base diet (Table 5). Differences (P&gt;0.005) were not observed </w:t>
      </w:r>
      <w:r>
        <w:rPr>
          <w:spacing w:val="-3"/>
        </w:rPr>
        <w:t>among </w:t>
      </w:r>
      <w:r>
        <w:rPr/>
        <w:t>the inclusion levels or among species (Table 6). At a low level of inclusion for </w:t>
      </w:r>
      <w:r>
        <w:rPr>
          <w:i/>
        </w:rPr>
        <w:t>C. sulphureus, C. bipinnatus </w:t>
      </w:r>
      <w:r>
        <w:rPr/>
        <w:t>and </w:t>
      </w:r>
      <w:r>
        <w:rPr>
          <w:i/>
        </w:rPr>
        <w:t>T. </w:t>
      </w:r>
      <w:r>
        <w:rPr>
          <w:i/>
        </w:rPr>
        <w:t>lucida</w:t>
      </w:r>
      <w:r>
        <w:rPr/>
        <w:t>, the dDM, dOM, dNDF and ME improved, and this was also true for the high level when </w:t>
      </w:r>
      <w:r>
        <w:rPr>
          <w:i/>
        </w:rPr>
        <w:t>T. erecta </w:t>
      </w:r>
      <w:r>
        <w:rPr/>
        <w:t>was included (Table 5). Even so, these digestibilities and the ME were not different (P&gt;0.05) at the three inclusion levels, or among species (P&gt;0.05)  (Table  6).  At  the  low  level  of  inclusion,  all  the  variables  </w:t>
      </w:r>
      <w:r>
        <w:rPr>
          <w:spacing w:val="61"/>
        </w:rPr>
        <w:t> </w:t>
      </w:r>
      <w:r>
        <w:rPr/>
        <w:t>evaluated</w:t>
      </w:r>
    </w:p>
    <w:p>
      <w:pPr>
        <w:spacing w:after="0" w:line="480" w:lineRule="auto"/>
        <w:jc w:val="both"/>
        <w:sectPr>
          <w:pgSz w:w="12240" w:h="15840"/>
          <w:pgMar w:header="0" w:footer="1478" w:top="1360" w:bottom="1660" w:left="1580" w:right="1580"/>
        </w:sectPr>
      </w:pPr>
    </w:p>
    <w:p>
      <w:pPr>
        <w:pStyle w:val="BodyText"/>
        <w:spacing w:line="480" w:lineRule="auto" w:before="52"/>
        <w:ind w:left="119" w:right="134"/>
        <w:jc w:val="both"/>
      </w:pPr>
      <w:r>
        <w:rPr/>
        <w:t>improved with respect to the base diet, however no improvement was noted when medium and high levels of the extract were included (Table 6).</w:t>
      </w:r>
    </w:p>
    <w:p>
      <w:pPr>
        <w:pStyle w:val="BodyText"/>
        <w:spacing w:line="480" w:lineRule="auto" w:before="8"/>
        <w:ind w:left="119" w:right="113"/>
        <w:jc w:val="both"/>
      </w:pPr>
      <w:r>
        <w:rPr/>
        <w:t>The effect of secondary metabolites on fermentation kinetics parameters and digestibilities can be observed in Table 7. There was a positive effect on fraction </w:t>
      </w:r>
      <w:r>
        <w:rPr>
          <w:i/>
        </w:rPr>
        <w:t>a </w:t>
      </w:r>
      <w:r>
        <w:rPr/>
        <w:t>and on the dDM when TPs, NPTs, TTs, CTs and FBCTs were found in the extracts evaluated, and only in the fermentation rate of fraction </w:t>
      </w:r>
      <w:r>
        <w:rPr>
          <w:i/>
        </w:rPr>
        <w:t>a </w:t>
      </w:r>
      <w:r>
        <w:rPr/>
        <w:t>(</w:t>
      </w:r>
      <w:r>
        <w:rPr>
          <w:i/>
        </w:rPr>
        <w:t>ca</w:t>
      </w:r>
      <w:r>
        <w:rPr/>
        <w:t>) when FBCTs were present.</w:t>
      </w:r>
    </w:p>
    <w:p>
      <w:pPr>
        <w:spacing w:after="0" w:line="480" w:lineRule="auto"/>
        <w:jc w:val="both"/>
        <w:sectPr>
          <w:footerReference w:type="default" r:id="rId18"/>
          <w:pgSz w:w="12240" w:h="15840"/>
          <w:pgMar w:footer="1478" w:header="0" w:top="1360" w:bottom="1660" w:left="1580" w:right="1580"/>
        </w:sectPr>
      </w:pPr>
    </w:p>
    <w:p>
      <w:pPr>
        <w:pStyle w:val="Heading3"/>
        <w:numPr>
          <w:ilvl w:val="0"/>
          <w:numId w:val="11"/>
        </w:numPr>
        <w:tabs>
          <w:tab w:pos="388" w:val="left" w:leader="none"/>
        </w:tabs>
        <w:spacing w:line="240" w:lineRule="auto" w:before="52" w:after="0"/>
        <w:ind w:left="388" w:right="0" w:hanging="269"/>
        <w:jc w:val="both"/>
        <w:rPr>
          <w:i/>
        </w:rPr>
      </w:pPr>
      <w:r>
        <w:rPr>
          <w:i/>
        </w:rPr>
        <w:t>Discussion</w:t>
      </w:r>
    </w:p>
    <w:p>
      <w:pPr>
        <w:pStyle w:val="BodyText"/>
        <w:rPr>
          <w:b/>
          <w:i/>
        </w:rPr>
      </w:pPr>
    </w:p>
    <w:p>
      <w:pPr>
        <w:pStyle w:val="BodyText"/>
        <w:spacing w:line="480" w:lineRule="auto"/>
        <w:ind w:left="119" w:right="114"/>
        <w:jc w:val="both"/>
      </w:pPr>
      <w:r>
        <w:rPr/>
        <w:t>Variations in the CT concentration for each species, according to Lanyasunya </w:t>
      </w:r>
      <w:r>
        <w:rPr>
          <w:i/>
        </w:rPr>
        <w:t>et al. </w:t>
      </w:r>
      <w:r>
        <w:rPr/>
        <w:t>(2008), are due to the plant’s degree of maturity, as well as environmental factors in a species’ location (López </w:t>
      </w:r>
      <w:r>
        <w:rPr>
          <w:i/>
        </w:rPr>
        <w:t>et al</w:t>
      </w:r>
      <w:r>
        <w:rPr/>
        <w:t>., 2006). In addition, Clausen </w:t>
      </w:r>
      <w:r>
        <w:rPr>
          <w:i/>
        </w:rPr>
        <w:t>et al. </w:t>
      </w:r>
      <w:r>
        <w:rPr/>
        <w:t>(1990) mentions that the CTs of different species have different physical and chemical properties that determine variations in terms of possible effects on</w:t>
      </w:r>
      <w:r>
        <w:rPr>
          <w:spacing w:val="-37"/>
        </w:rPr>
        <w:t> </w:t>
      </w:r>
      <w:r>
        <w:rPr/>
        <w:t>ruminants.</w:t>
      </w:r>
    </w:p>
    <w:p>
      <w:pPr>
        <w:pStyle w:val="BodyText"/>
        <w:spacing w:line="480" w:lineRule="auto" w:before="8"/>
        <w:ind w:left="119" w:right="112"/>
        <w:jc w:val="both"/>
      </w:pPr>
      <w:r>
        <w:rPr/>
        <w:t>In the experiment in which PEG was used, the inhibitory effect of CTs on ruminal fermentation was observed. Various studies reach the same conclusion that when this blocker is added to species with high tannin concentrations, GP increases, and dOM and ME improve significantly (Getachew </w:t>
      </w:r>
      <w:r>
        <w:rPr>
          <w:i/>
        </w:rPr>
        <w:t>et al</w:t>
      </w:r>
      <w:r>
        <w:rPr/>
        <w:t>., 2001; Kamalak </w:t>
      </w:r>
      <w:r>
        <w:rPr>
          <w:i/>
        </w:rPr>
        <w:t>et al., </w:t>
      </w:r>
      <w:r>
        <w:rPr/>
        <w:t>2005; Makkar </w:t>
      </w:r>
      <w:r>
        <w:rPr>
          <w:i/>
        </w:rPr>
        <w:t>et al., </w:t>
      </w:r>
      <w:r>
        <w:rPr/>
        <w:t>1995). There are species that have a limited amount of tannins, and also have a significant effect on ruminal fermentation. In this case </w:t>
      </w:r>
      <w:r>
        <w:rPr>
          <w:i/>
        </w:rPr>
        <w:t>T. lucida </w:t>
      </w:r>
      <w:r>
        <w:rPr/>
        <w:t>was the species that best responded to the inclusion of PEG, with improvement in dDM, dOM, dNDF, ME contribution and also the availability of fractions </w:t>
      </w:r>
      <w:r>
        <w:rPr>
          <w:i/>
        </w:rPr>
        <w:t>a </w:t>
      </w:r>
      <w:r>
        <w:rPr/>
        <w:t>and b, and their respective fermentation rates </w:t>
      </w:r>
      <w:r>
        <w:rPr>
          <w:spacing w:val="2"/>
        </w:rPr>
        <w:t>(</w:t>
      </w:r>
      <w:r>
        <w:rPr>
          <w:i/>
          <w:spacing w:val="2"/>
        </w:rPr>
        <w:t>cb </w:t>
      </w:r>
      <w:r>
        <w:rPr/>
        <w:t>and </w:t>
      </w:r>
      <w:r>
        <w:rPr>
          <w:i/>
        </w:rPr>
        <w:t>ca</w:t>
      </w:r>
      <w:r>
        <w:rPr/>
        <w:t>). This is due to the type of plant, its chemical composition (Benchaar </w:t>
      </w:r>
      <w:r>
        <w:rPr>
          <w:i/>
        </w:rPr>
        <w:t>et al</w:t>
      </w:r>
      <w:r>
        <w:rPr/>
        <w:t>., 2008) and the pH of the ruminal liquid (Patra and Saxena, 2009). Although it is a species of low nutritional quality, its low CT content works in its favor (Givens </w:t>
      </w:r>
      <w:r>
        <w:rPr>
          <w:i/>
        </w:rPr>
        <w:t>et al., </w:t>
      </w:r>
      <w:r>
        <w:rPr/>
        <w:t>2000). The increase in the availability  of ME in all the species, particularly in </w:t>
      </w:r>
      <w:r>
        <w:rPr>
          <w:i/>
        </w:rPr>
        <w:t>C. bipinnatus </w:t>
      </w:r>
      <w:r>
        <w:rPr/>
        <w:t>and </w:t>
      </w:r>
      <w:r>
        <w:rPr>
          <w:i/>
        </w:rPr>
        <w:t>T. erecta</w:t>
      </w:r>
      <w:r>
        <w:rPr/>
        <w:t>, coincides with the results reported by Kamalak </w:t>
      </w:r>
      <w:r>
        <w:rPr>
          <w:i/>
        </w:rPr>
        <w:t>et al. </w:t>
      </w:r>
      <w:r>
        <w:rPr/>
        <w:t>(2005), who state that using a tannin blocker will make the nutrients in the diet more available for microorganisms. The addition of PEG demonstrated an increase in all fermentation kinetics parameters. According to Makkar (2003a), the addition  of PEG diminishes microbial   </w:t>
      </w:r>
      <w:r>
        <w:rPr>
          <w:spacing w:val="5"/>
        </w:rPr>
        <w:t> </w:t>
      </w:r>
      <w:r>
        <w:rPr/>
        <w:t>inhibition</w:t>
      </w:r>
    </w:p>
    <w:p>
      <w:pPr>
        <w:spacing w:after="0" w:line="480" w:lineRule="auto"/>
        <w:jc w:val="both"/>
        <w:sectPr>
          <w:footerReference w:type="default" r:id="rId19"/>
          <w:pgSz w:w="12240" w:h="15840"/>
          <w:pgMar w:footer="1478" w:header="0" w:top="1360" w:bottom="1660" w:left="1580" w:right="1580"/>
          <w:pgNumType w:start="41"/>
        </w:sectPr>
      </w:pPr>
    </w:p>
    <w:p>
      <w:pPr>
        <w:pStyle w:val="BodyText"/>
        <w:spacing w:line="480" w:lineRule="auto" w:before="47"/>
        <w:ind w:left="119" w:right="113"/>
        <w:jc w:val="both"/>
      </w:pPr>
      <w:r>
        <w:rPr/>
        <w:t>and reduces antinutritive effects </w:t>
      </w:r>
      <w:r>
        <w:rPr>
          <w:b/>
        </w:rPr>
        <w:t>(</w:t>
      </w:r>
      <w:r>
        <w:rPr/>
        <w:t>Khazaal </w:t>
      </w:r>
      <w:r>
        <w:rPr>
          <w:i/>
        </w:rPr>
        <w:t>et al</w:t>
      </w:r>
      <w:r>
        <w:rPr/>
        <w:t>., 1996)</w:t>
      </w:r>
      <w:r>
        <w:rPr>
          <w:b/>
        </w:rPr>
        <w:t>, </w:t>
      </w:r>
      <w:r>
        <w:rPr/>
        <w:t>mitigating the adverse effects of secondary compounds on ruminal fermentation, and increasing the availability and degradability of nutrients. Makkar (2003a) also comments that the different PEGs (2000, 3000, 4000, 6000 and 35,000) act under certain conditions, and that CTs have inhibitory effects on cellulose digestion. This is not only due to the inactivation of extracellular enzymes, but also may be due to interference in the adhesion of bacteria on cellulose (Ferme </w:t>
      </w:r>
      <w:r>
        <w:rPr>
          <w:i/>
        </w:rPr>
        <w:t>et al., </w:t>
      </w:r>
      <w:r>
        <w:rPr/>
        <w:t>2004). It has been demonstrated in some studies that adding tannins to forage does not modify ruminal fermentation, dDM, dOM or NDF. These variations may be caused by different types of tannins (hydrolyzable, condensed) and by their origin (Cieslak </w:t>
      </w:r>
      <w:r>
        <w:rPr>
          <w:i/>
        </w:rPr>
        <w:t>et al</w:t>
      </w:r>
      <w:r>
        <w:rPr/>
        <w:t>., 2012).</w:t>
      </w:r>
    </w:p>
    <w:p>
      <w:pPr>
        <w:pStyle w:val="BodyText"/>
        <w:spacing w:line="480" w:lineRule="auto" w:before="8"/>
        <w:ind w:left="119" w:right="117"/>
        <w:jc w:val="both"/>
      </w:pPr>
      <w:r>
        <w:rPr/>
        <w:t>In the second experiment the availability of fraction </w:t>
      </w:r>
      <w:r>
        <w:rPr>
          <w:i/>
        </w:rPr>
        <w:t>b </w:t>
      </w:r>
      <w:r>
        <w:rPr/>
        <w:t>was improved at the three levels of inclusion. This was due to the amount of FBCTs in these species. When the FBCTs are low, there is no inhibition in the availability of this fraction in the rumen. However, Ramirez </w:t>
      </w:r>
      <w:r>
        <w:rPr>
          <w:i/>
        </w:rPr>
        <w:t>et al</w:t>
      </w:r>
      <w:r>
        <w:rPr/>
        <w:t>. (2002) states that fiber-bound tannins can resist their degradation by ruminal microorganisms, and furthermore free tannins may inactivate some microorganisms and their enzymes, thereby inhibiting fermentation in the rumen. At the low inclusion level, improvement was observed in the values in </w:t>
      </w:r>
      <w:r>
        <w:rPr>
          <w:i/>
        </w:rPr>
        <w:t>a</w:t>
      </w:r>
      <w:r>
        <w:rPr/>
        <w:t>, </w:t>
      </w:r>
      <w:r>
        <w:rPr>
          <w:i/>
        </w:rPr>
        <w:t>b </w:t>
      </w:r>
      <w:r>
        <w:rPr/>
        <w:t>and </w:t>
      </w:r>
      <w:r>
        <w:rPr>
          <w:i/>
        </w:rPr>
        <w:t>cb</w:t>
      </w:r>
      <w:r>
        <w:rPr/>
        <w:t>. This was due to the minimum amount of CTs at this inclusion level, since if ruminants eat plants with high CT levels, the utilization of nutrients diminishes (Hoste </w:t>
      </w:r>
      <w:r>
        <w:rPr>
          <w:i/>
        </w:rPr>
        <w:t>et al., </w:t>
      </w:r>
      <w:r>
        <w:rPr/>
        <w:t>2006), the population and activity of ruminal microorganisms decreases (Priolo </w:t>
      </w:r>
      <w:r>
        <w:rPr>
          <w:i/>
        </w:rPr>
        <w:t>et al</w:t>
      </w:r>
      <w:r>
        <w:rPr/>
        <w:t>., 2000), the number of protozoa diminishes (Animut </w:t>
      </w:r>
      <w:r>
        <w:rPr>
          <w:i/>
        </w:rPr>
        <w:t>et al</w:t>
      </w:r>
      <w:r>
        <w:rPr/>
        <w:t>., 2008; Cieslak </w:t>
      </w:r>
      <w:r>
        <w:rPr>
          <w:i/>
        </w:rPr>
        <w:t>et al</w:t>
      </w:r>
      <w:r>
        <w:rPr/>
        <w:t>., 2012) and cellulolytic and proteolytic bacteria increase (McSweeney </w:t>
      </w:r>
      <w:r>
        <w:rPr>
          <w:i/>
        </w:rPr>
        <w:t>et al</w:t>
      </w:r>
      <w:r>
        <w:rPr/>
        <w:t>., 2001). Makkar (2003a) agrees, stating that tannins</w:t>
      </w:r>
    </w:p>
    <w:p>
      <w:pPr>
        <w:spacing w:after="0" w:line="480" w:lineRule="auto"/>
        <w:jc w:val="both"/>
        <w:sectPr>
          <w:pgSz w:w="12240" w:h="15840"/>
          <w:pgMar w:header="0" w:footer="1478" w:top="1360" w:bottom="1660" w:left="1580" w:right="1580"/>
        </w:sectPr>
      </w:pPr>
    </w:p>
    <w:p>
      <w:pPr>
        <w:pStyle w:val="BodyText"/>
        <w:spacing w:line="480" w:lineRule="auto" w:before="52"/>
        <w:ind w:left="119" w:right="115"/>
        <w:jc w:val="both"/>
      </w:pPr>
      <w:r>
        <w:rPr/>
        <w:t>inactivate some digestive enzymes, and in some cases, diminish the microorganism population in the rumen. All of this occurs when there are excessive amounts of CTs, thus confirming a positive or negative effect of tannins on fermentation kinetics parameters. Patra and Saxena (2011), for their part, state  that the effects of tannins are variable. In the current experiment, the three inclusion levels were different for each species, and consequently, the effects of certain secondary compounds are determined by the amounts of condensed tannins added to the diet and the type of forage in the diet (Salem </w:t>
      </w:r>
      <w:r>
        <w:rPr>
          <w:i/>
        </w:rPr>
        <w:t>et al</w:t>
      </w:r>
      <w:r>
        <w:rPr/>
        <w:t>., 2012). No benefits were observed at any inclusion level in the dDM, dOM, dNDF and </w:t>
      </w:r>
      <w:r>
        <w:rPr>
          <w:spacing w:val="-2"/>
        </w:rPr>
        <w:t>ME,</w:t>
      </w:r>
      <w:r>
        <w:rPr>
          <w:spacing w:val="62"/>
        </w:rPr>
        <w:t> </w:t>
      </w:r>
      <w:r>
        <w:rPr/>
        <w:t>with respect to the base diet. Dawson </w:t>
      </w:r>
      <w:r>
        <w:rPr>
          <w:i/>
        </w:rPr>
        <w:t>et al</w:t>
      </w:r>
      <w:r>
        <w:rPr/>
        <w:t>. (1999) comment that tannins </w:t>
      </w:r>
      <w:r>
        <w:rPr>
          <w:spacing w:val="-3"/>
        </w:rPr>
        <w:t>may </w:t>
      </w:r>
      <w:r>
        <w:rPr/>
        <w:t>cause a decrease in plant digestibility as well as inadequate functioning of the rumen. In addition high levels of condensed tannins reduce </w:t>
      </w:r>
      <w:r>
        <w:rPr>
          <w:spacing w:val="2"/>
        </w:rPr>
        <w:t>plant </w:t>
      </w:r>
      <w:r>
        <w:rPr/>
        <w:t>digestibility (Ramírez </w:t>
      </w:r>
      <w:r>
        <w:rPr>
          <w:i/>
        </w:rPr>
        <w:t>et al</w:t>
      </w:r>
      <w:r>
        <w:rPr/>
        <w:t>., 2002), and in this case of the base diet, when the extract is added. According to Patra and Saxena (2011), the effects of tannins on bacteria, fungi, rumen protozoa and methanogens are variable and depend particularly on the type of tannin, its origin and supplementation level. </w:t>
      </w:r>
      <w:r>
        <w:rPr>
          <w:spacing w:val="-3"/>
        </w:rPr>
        <w:t>In </w:t>
      </w:r>
      <w:r>
        <w:rPr/>
        <w:t>addition, Patra  and  Saxena (2009) state that methanol is produced naturally in the rumen and in minimal amounts, and it does not have antimicrobial properties. Tannins act  as antimicrobial agents (Cieslak </w:t>
      </w:r>
      <w:r>
        <w:rPr>
          <w:i/>
        </w:rPr>
        <w:t>et al</w:t>
      </w:r>
      <w:r>
        <w:rPr/>
        <w:t>., 2012; García </w:t>
      </w:r>
      <w:r>
        <w:rPr>
          <w:i/>
        </w:rPr>
        <w:t>et al., </w:t>
      </w:r>
      <w:r>
        <w:rPr/>
        <w:t>2008; Makkar, 2003a; Pinto-Ruiz </w:t>
      </w:r>
      <w:r>
        <w:rPr>
          <w:i/>
        </w:rPr>
        <w:t>et al</w:t>
      </w:r>
      <w:r>
        <w:rPr/>
        <w:t>., 2009; Salem </w:t>
      </w:r>
      <w:r>
        <w:rPr>
          <w:i/>
        </w:rPr>
        <w:t>et al</w:t>
      </w:r>
      <w:r>
        <w:rPr/>
        <w:t>., 2012). It is important to mention that low values in ruminal digestibility, according to Jackson </w:t>
      </w:r>
      <w:r>
        <w:rPr>
          <w:i/>
        </w:rPr>
        <w:t>et al</w:t>
      </w:r>
      <w:r>
        <w:rPr/>
        <w:t>. (1996), </w:t>
      </w:r>
      <w:r>
        <w:rPr>
          <w:spacing w:val="-3"/>
        </w:rPr>
        <w:t>may </w:t>
      </w:r>
      <w:r>
        <w:rPr/>
        <w:t>be associated with the plant’s age and </w:t>
      </w:r>
      <w:r>
        <w:rPr>
          <w:spacing w:val="3"/>
        </w:rPr>
        <w:t>the </w:t>
      </w:r>
      <w:r>
        <w:rPr/>
        <w:t>presence of lignified material. In general  the</w:t>
      </w:r>
      <w:r>
        <w:rPr>
          <w:spacing w:val="43"/>
        </w:rPr>
        <w:t> </w:t>
      </w:r>
      <w:r>
        <w:rPr/>
        <w:t>discrepancies</w:t>
      </w:r>
      <w:r>
        <w:rPr>
          <w:spacing w:val="38"/>
        </w:rPr>
        <w:t> </w:t>
      </w:r>
      <w:r>
        <w:rPr/>
        <w:t>in</w:t>
      </w:r>
      <w:r>
        <w:rPr>
          <w:spacing w:val="43"/>
        </w:rPr>
        <w:t> </w:t>
      </w:r>
      <w:r>
        <w:rPr/>
        <w:t>the</w:t>
      </w:r>
      <w:r>
        <w:rPr>
          <w:spacing w:val="43"/>
        </w:rPr>
        <w:t> </w:t>
      </w:r>
      <w:r>
        <w:rPr/>
        <w:t>values</w:t>
      </w:r>
      <w:r>
        <w:rPr>
          <w:spacing w:val="42"/>
        </w:rPr>
        <w:t> </w:t>
      </w:r>
      <w:r>
        <w:rPr/>
        <w:t>reported</w:t>
      </w:r>
      <w:r>
        <w:rPr>
          <w:spacing w:val="43"/>
        </w:rPr>
        <w:t> </w:t>
      </w:r>
      <w:r>
        <w:rPr/>
        <w:t>for</w:t>
      </w:r>
      <w:r>
        <w:rPr>
          <w:spacing w:val="39"/>
        </w:rPr>
        <w:t> </w:t>
      </w:r>
      <w:r>
        <w:rPr/>
        <w:t>the</w:t>
      </w:r>
      <w:r>
        <w:rPr>
          <w:spacing w:val="43"/>
        </w:rPr>
        <w:t> </w:t>
      </w:r>
      <w:r>
        <w:rPr/>
        <w:t>three</w:t>
      </w:r>
      <w:r>
        <w:rPr>
          <w:spacing w:val="43"/>
        </w:rPr>
        <w:t> </w:t>
      </w:r>
      <w:r>
        <w:rPr/>
        <w:t>inclusion</w:t>
      </w:r>
      <w:r>
        <w:rPr>
          <w:spacing w:val="43"/>
        </w:rPr>
        <w:t> </w:t>
      </w:r>
      <w:r>
        <w:rPr/>
        <w:t>levels</w:t>
      </w:r>
      <w:r>
        <w:rPr>
          <w:spacing w:val="42"/>
        </w:rPr>
        <w:t> </w:t>
      </w:r>
      <w:r>
        <w:rPr/>
        <w:t>in</w:t>
      </w:r>
      <w:r>
        <w:rPr>
          <w:spacing w:val="43"/>
        </w:rPr>
        <w:t> </w:t>
      </w:r>
      <w:r>
        <w:rPr/>
        <w:t>all</w:t>
      </w:r>
      <w:r>
        <w:rPr>
          <w:spacing w:val="46"/>
        </w:rPr>
        <w:t> </w:t>
      </w:r>
      <w:r>
        <w:rPr/>
        <w:t>the</w:t>
      </w:r>
    </w:p>
    <w:p>
      <w:pPr>
        <w:spacing w:after="0" w:line="480" w:lineRule="auto"/>
        <w:jc w:val="both"/>
        <w:sectPr>
          <w:pgSz w:w="12240" w:h="15840"/>
          <w:pgMar w:header="0" w:footer="1478" w:top="1360" w:bottom="1660" w:left="1580" w:right="1580"/>
        </w:sectPr>
      </w:pPr>
    </w:p>
    <w:p>
      <w:pPr>
        <w:pStyle w:val="BodyText"/>
        <w:spacing w:line="480" w:lineRule="auto" w:before="52"/>
        <w:ind w:left="119" w:right="49"/>
      </w:pPr>
      <w:r>
        <w:rPr/>
        <w:t>variables evaluated in this experiment may be a result of the type of tannin and its origin, according to Cieslak </w:t>
      </w:r>
      <w:r>
        <w:rPr>
          <w:i/>
        </w:rPr>
        <w:t>et al</w:t>
      </w:r>
      <w:r>
        <w:rPr/>
        <w:t>. (2012).</w:t>
      </w:r>
    </w:p>
    <w:p>
      <w:pPr>
        <w:spacing w:after="0" w:line="480" w:lineRule="auto"/>
        <w:sectPr>
          <w:pgSz w:w="12240" w:h="15840"/>
          <w:pgMar w:header="0" w:footer="1478" w:top="1360" w:bottom="1660" w:left="1580" w:right="1600"/>
        </w:sectPr>
      </w:pPr>
    </w:p>
    <w:p>
      <w:pPr>
        <w:pStyle w:val="Heading3"/>
        <w:numPr>
          <w:ilvl w:val="0"/>
          <w:numId w:val="11"/>
        </w:numPr>
        <w:tabs>
          <w:tab w:pos="389" w:val="left" w:leader="none"/>
        </w:tabs>
        <w:spacing w:line="240" w:lineRule="auto" w:before="52" w:after="0"/>
        <w:ind w:left="388" w:right="0" w:hanging="269"/>
        <w:jc w:val="both"/>
        <w:rPr>
          <w:i/>
        </w:rPr>
      </w:pPr>
      <w:r>
        <w:rPr>
          <w:i/>
        </w:rPr>
        <w:t>Conclusion</w:t>
      </w:r>
    </w:p>
    <w:p>
      <w:pPr>
        <w:pStyle w:val="BodyText"/>
        <w:rPr>
          <w:b/>
          <w:i/>
        </w:rPr>
      </w:pPr>
    </w:p>
    <w:p>
      <w:pPr>
        <w:pStyle w:val="BodyText"/>
        <w:spacing w:line="480" w:lineRule="auto"/>
        <w:ind w:left="119" w:right="109"/>
        <w:jc w:val="both"/>
      </w:pPr>
      <w:r>
        <w:rPr/>
        <w:t>The addition of PEG to tanniferous species demonstrated the negative effect of condensed tannins on ruminal fermentation. High and medium levels of inclusion negatively affected fermentation kinetics parameters and dNDF, dDM and dOM. The low level of inclusion moderately benefited these variables evaluated, and therefore tannins in low concentrations suggest beneficial effects for ruminants.</w:t>
      </w:r>
    </w:p>
    <w:p>
      <w:pPr>
        <w:spacing w:after="0" w:line="480" w:lineRule="auto"/>
        <w:jc w:val="both"/>
        <w:sectPr>
          <w:pgSz w:w="12240" w:h="15840"/>
          <w:pgMar w:header="0" w:footer="1478" w:top="1360" w:bottom="1660" w:left="1580" w:right="1600"/>
        </w:sectPr>
      </w:pPr>
    </w:p>
    <w:p>
      <w:pPr>
        <w:pStyle w:val="Heading3"/>
        <w:numPr>
          <w:ilvl w:val="0"/>
          <w:numId w:val="11"/>
        </w:numPr>
        <w:tabs>
          <w:tab w:pos="388" w:val="left" w:leader="none"/>
        </w:tabs>
        <w:spacing w:line="240" w:lineRule="auto" w:before="52" w:after="0"/>
        <w:ind w:left="388" w:right="0" w:hanging="269"/>
        <w:jc w:val="both"/>
        <w:rPr>
          <w:i/>
        </w:rPr>
      </w:pPr>
      <w:r>
        <w:rPr>
          <w:i/>
        </w:rPr>
        <w:t>Acknowledgements</w:t>
      </w:r>
    </w:p>
    <w:p>
      <w:pPr>
        <w:pStyle w:val="BodyText"/>
        <w:rPr>
          <w:b/>
          <w:i/>
        </w:rPr>
      </w:pPr>
    </w:p>
    <w:p>
      <w:pPr>
        <w:pStyle w:val="BodyText"/>
        <w:spacing w:line="480" w:lineRule="auto"/>
        <w:ind w:left="119" w:right="116"/>
        <w:jc w:val="both"/>
      </w:pPr>
      <w:r>
        <w:rPr/>
        <w:t>The authors wish to express their appreciation to the Universidad Autónoma del Estado de México, through the Technology Transfer Project for standardizing and improving the productive processes for </w:t>
      </w:r>
      <w:r>
        <w:rPr>
          <w:i/>
        </w:rPr>
        <w:t>ranchero </w:t>
      </w:r>
      <w:r>
        <w:rPr/>
        <w:t>and Zacazonapan cheese. Financing: UAEM:1873/2009C CONACYT:CON-2008. They also thank the  Consejo Nacional de Ciencia y Tecnología (CONACYT) for the  scholarship  granted during the 2010-2012 period, and the Consejo Mexiquense de Ciencia y Tecnología (COMECYT) for the scholarship granted for the completion of this study, under code 11BTM0256. And they express their appreciation </w:t>
      </w:r>
      <w:r>
        <w:rPr>
          <w:spacing w:val="-3"/>
        </w:rPr>
        <w:t>to </w:t>
      </w:r>
      <w:r>
        <w:rPr/>
        <w:t>the Instituto de Ciencias Agropecuarias y Rurales (ICAR) at the Universidad Autónoma del Estado de México for the support and materials provided to make this project possible.</w:t>
      </w:r>
    </w:p>
    <w:p>
      <w:pPr>
        <w:spacing w:after="0" w:line="480" w:lineRule="auto"/>
        <w:jc w:val="both"/>
        <w:sectPr>
          <w:pgSz w:w="12240" w:h="15840"/>
          <w:pgMar w:header="0" w:footer="1478" w:top="1360" w:bottom="1660" w:left="1580" w:right="1580"/>
        </w:sectPr>
      </w:pPr>
    </w:p>
    <w:p>
      <w:pPr>
        <w:pStyle w:val="Heading3"/>
        <w:numPr>
          <w:ilvl w:val="0"/>
          <w:numId w:val="11"/>
        </w:numPr>
        <w:tabs>
          <w:tab w:pos="388" w:val="left" w:leader="none"/>
        </w:tabs>
        <w:spacing w:line="240" w:lineRule="auto" w:before="52" w:after="0"/>
        <w:ind w:left="388" w:right="0" w:hanging="269"/>
        <w:jc w:val="left"/>
        <w:rPr>
          <w:i/>
        </w:rPr>
      </w:pPr>
      <w:r>
        <w:rPr>
          <w:i/>
        </w:rPr>
        <w:t>References</w:t>
      </w:r>
    </w:p>
    <w:p>
      <w:pPr>
        <w:pStyle w:val="BodyText"/>
        <w:rPr>
          <w:b/>
          <w:i/>
        </w:rPr>
      </w:pPr>
    </w:p>
    <w:p>
      <w:pPr>
        <w:pStyle w:val="BodyText"/>
        <w:spacing w:line="480" w:lineRule="auto"/>
        <w:ind w:left="830" w:right="116" w:hanging="711"/>
        <w:jc w:val="both"/>
      </w:pPr>
      <w:r>
        <w:rPr/>
        <w:t>Agricultural and Food Research Council (AFRC), 1993. Energy and protein requirements of ruminants. CAB International, Wallingford, UK.</w:t>
      </w:r>
    </w:p>
    <w:p>
      <w:pPr>
        <w:pStyle w:val="BodyText"/>
        <w:spacing w:line="480" w:lineRule="auto" w:before="8"/>
        <w:ind w:left="830" w:right="126" w:hanging="711"/>
        <w:jc w:val="both"/>
      </w:pPr>
      <w:r>
        <w:rPr/>
        <w:t>Animut, G., Puchala, R., Goetsch, A.L., Patra, A.K., Sahlu, T., Varel, V.H., Wells, J., 2008. Methane emission by goats consuming diets with different levels of condensed tannins from lespedeza. Anim. Feed Sci. Tech. 144,</w:t>
      </w:r>
      <w:r>
        <w:rPr>
          <w:spacing w:val="-27"/>
        </w:rPr>
        <w:t> </w:t>
      </w:r>
      <w:r>
        <w:rPr/>
        <w:t>212–227.</w:t>
      </w:r>
    </w:p>
    <w:p>
      <w:pPr>
        <w:pStyle w:val="BodyText"/>
        <w:spacing w:line="480" w:lineRule="auto" w:before="8"/>
        <w:ind w:left="830" w:right="126" w:hanging="711"/>
        <w:jc w:val="both"/>
      </w:pPr>
      <w:r>
        <w:rPr/>
        <w:t>Association of Official Analytical Chemists (AOAC), 1990. Official Methods of Analysis, 15th ed. AOAC, Arlington, VA, USA.</w:t>
      </w:r>
    </w:p>
    <w:p>
      <w:pPr>
        <w:pStyle w:val="BodyText"/>
        <w:spacing w:line="480" w:lineRule="auto" w:before="8"/>
        <w:ind w:left="830" w:right="113" w:hanging="711"/>
        <w:jc w:val="both"/>
      </w:pPr>
      <w:r>
        <w:rPr/>
        <w:t>Benchaar, C., Calsamiglia, S., Chaves, A.V., Fraser, G.R., Colombatto, D., McAllister, T.A., Beauchemin, K.A., 2008. A review of plant-derived essential oils in ruminant nutrition and production. Anim. Feed Sci. Tech. 145, 209– 228.</w:t>
      </w:r>
    </w:p>
    <w:p>
      <w:pPr>
        <w:pStyle w:val="BodyText"/>
        <w:spacing w:line="480" w:lineRule="auto" w:before="8"/>
        <w:ind w:left="830" w:right="122" w:hanging="711"/>
        <w:jc w:val="both"/>
      </w:pPr>
      <w:r>
        <w:rPr/>
        <w:t>Cieslak, A., Zmora, P., Pers-Kamczyc, E., Szumacher-Strabel, M., 2012. Effects of tannins source (</w:t>
      </w:r>
      <w:r>
        <w:rPr>
          <w:i/>
        </w:rPr>
        <w:t>Vaccinium vitis idaea </w:t>
      </w:r>
      <w:r>
        <w:rPr/>
        <w:t>L.) on rumen microbial fermentation in vivo. Anim. Feed Sci. Tech. 176, 102-106.</w:t>
      </w:r>
    </w:p>
    <w:p>
      <w:pPr>
        <w:pStyle w:val="BodyText"/>
        <w:spacing w:line="480" w:lineRule="auto" w:before="8"/>
        <w:ind w:left="830" w:right="125" w:hanging="711"/>
        <w:jc w:val="both"/>
      </w:pPr>
      <w:r>
        <w:rPr/>
        <w:t>Clausen, T.P., Provenza, F.D., Burritt, E.A., Reichardt, P.B., Bryant, J.P., 1990. Ecological implications of condensed tannin structure: a case study. J. Chem. Ecol. 16, 2381-2392.</w:t>
      </w:r>
    </w:p>
    <w:p>
      <w:pPr>
        <w:pStyle w:val="BodyText"/>
        <w:spacing w:line="480" w:lineRule="auto" w:before="8"/>
        <w:ind w:left="830" w:right="125" w:hanging="711"/>
        <w:jc w:val="both"/>
      </w:pPr>
      <w:r>
        <w:rPr/>
        <w:t>Dawson, J.M., Buttery, P.J., Jenkins, D., Wood, C.D., Gill, M., 1999. Effects of dietary Quebracho tannin on nutrient utilization and tissue metabolism in sheep and rats. J. Sci. Food Agric. 79, 1423-1430.</w:t>
      </w:r>
    </w:p>
    <w:p>
      <w:pPr>
        <w:pStyle w:val="BodyText"/>
        <w:spacing w:line="480" w:lineRule="auto" w:before="8"/>
        <w:ind w:left="830" w:right="125" w:hanging="711"/>
        <w:jc w:val="both"/>
      </w:pPr>
      <w:r>
        <w:rPr/>
        <w:t>Ferme, D., Banjac, M., Calsamiglia, S., Busquet, M., Kamel, C., Avgustin, G.,  2004. The  effects  of plant  extracts on  microbial  community  structure in</w:t>
      </w:r>
      <w:r>
        <w:rPr>
          <w:spacing w:val="40"/>
        </w:rPr>
        <w:t> </w:t>
      </w:r>
      <w:r>
        <w:rPr/>
        <w:t>a</w:t>
      </w:r>
    </w:p>
    <w:p>
      <w:pPr>
        <w:spacing w:after="0" w:line="480" w:lineRule="auto"/>
        <w:jc w:val="both"/>
        <w:sectPr>
          <w:pgSz w:w="12240" w:h="15840"/>
          <w:pgMar w:header="0" w:footer="1478" w:top="1360" w:bottom="1660" w:left="1580" w:right="1580"/>
        </w:sectPr>
      </w:pPr>
    </w:p>
    <w:p>
      <w:pPr>
        <w:pStyle w:val="BodyText"/>
        <w:spacing w:line="480" w:lineRule="auto" w:before="52"/>
        <w:ind w:left="830" w:right="99"/>
      </w:pPr>
      <w:r>
        <w:rPr/>
        <w:t>rumen-simulating continuous-culture system as revealed by molecular profiling. Folia Microbiol. (Praha) 49, 151–155.</w:t>
      </w:r>
    </w:p>
    <w:p>
      <w:pPr>
        <w:pStyle w:val="BodyText"/>
        <w:spacing w:line="480" w:lineRule="auto" w:before="8"/>
        <w:ind w:left="830" w:right="117" w:hanging="711"/>
        <w:jc w:val="both"/>
      </w:pPr>
      <w:r>
        <w:rPr/>
        <w:t>García, M.D., Wencomo, G.H., González, C.M., Medina, R.M., Cova, O.L., 2008. Caracterización de diez cultivares forrajeros de </w:t>
      </w:r>
      <w:r>
        <w:rPr>
          <w:i/>
        </w:rPr>
        <w:t>Leucaena leucocephala </w:t>
      </w:r>
      <w:r>
        <w:rPr/>
        <w:t>basada en la composición química y la degradabilidad ruminal. Rev. MVZ Córdoba. 13 (2), 1294-1303.</w:t>
      </w:r>
    </w:p>
    <w:p>
      <w:pPr>
        <w:pStyle w:val="BodyText"/>
        <w:spacing w:line="480" w:lineRule="auto" w:before="8"/>
        <w:ind w:left="830" w:right="116" w:hanging="711"/>
        <w:jc w:val="both"/>
      </w:pPr>
      <w:r>
        <w:rPr/>
        <w:t>Getachew, G., Makkar, H.P.S., Becker, K., 2001. Method of polyethylene glycol application to tannin-containing browses to improve microbial fermentation and efficiency of microbial protein synthesis from tannin-containing browses. Anim. Feed Sci. Tech. 92, 51-57.</w:t>
      </w:r>
    </w:p>
    <w:p>
      <w:pPr>
        <w:pStyle w:val="BodyText"/>
        <w:spacing w:line="480" w:lineRule="auto" w:before="8"/>
        <w:ind w:left="830" w:right="125" w:hanging="711"/>
        <w:jc w:val="both"/>
      </w:pPr>
      <w:r>
        <w:rPr/>
        <w:t>Givens, D.I., Owen, E., Oxford, R.F.E., Omed, H.M., 2000. Forage evaluation in rumiant nutrition. CABI Publishing, New York, E.U.</w:t>
      </w:r>
    </w:p>
    <w:p>
      <w:pPr>
        <w:pStyle w:val="BodyText"/>
        <w:spacing w:line="480" w:lineRule="auto" w:before="8"/>
        <w:ind w:left="119" w:right="99"/>
      </w:pPr>
      <w:r>
        <w:rPr/>
        <w:t>Grafit, 1992. Data Analysis and Graphics Program Ver 3. Erithacus Software Ltd. Greathead, H., 2003. Plants and plant extracts for improving    animal  productivity.</w:t>
      </w:r>
    </w:p>
    <w:p>
      <w:pPr>
        <w:pStyle w:val="BodyText"/>
        <w:spacing w:before="8"/>
        <w:ind w:left="830" w:right="896"/>
      </w:pPr>
      <w:r>
        <w:rPr/>
        <w:t>Proc. Nutr. Soc. 62:279-290.</w:t>
      </w:r>
    </w:p>
    <w:p>
      <w:pPr>
        <w:pStyle w:val="BodyText"/>
      </w:pPr>
    </w:p>
    <w:p>
      <w:pPr>
        <w:pStyle w:val="BodyText"/>
        <w:spacing w:line="480" w:lineRule="auto"/>
        <w:ind w:left="830" w:right="123" w:hanging="711"/>
        <w:jc w:val="both"/>
      </w:pPr>
      <w:r>
        <w:rPr/>
        <w:t>Hoste, H., Jackson, F., Athanasiadou, S., Thamsborg, S.M., Hoskin, S.O., 2006. The effects of tannin-rich plants on parasitic nematodes in ruminants.  Trends Parasitol. 22,</w:t>
      </w:r>
      <w:r>
        <w:rPr>
          <w:spacing w:val="-9"/>
        </w:rPr>
        <w:t> </w:t>
      </w:r>
      <w:r>
        <w:rPr/>
        <w:t>253-261.</w:t>
      </w:r>
    </w:p>
    <w:p>
      <w:pPr>
        <w:pStyle w:val="BodyText"/>
        <w:spacing w:line="480" w:lineRule="auto" w:before="8"/>
        <w:ind w:left="830" w:right="118" w:hanging="711"/>
        <w:jc w:val="both"/>
      </w:pPr>
      <w:r>
        <w:rPr/>
        <w:t>Isaza, M.J.H., 2007. Taninos o polifenoles vegetales. Scientia Et. Technica. 33 (13), 13-18.</w:t>
      </w:r>
    </w:p>
    <w:p>
      <w:pPr>
        <w:pStyle w:val="BodyText"/>
        <w:spacing w:line="480" w:lineRule="auto" w:before="8"/>
        <w:ind w:left="830" w:right="128" w:hanging="711"/>
        <w:jc w:val="both"/>
      </w:pPr>
      <w:r>
        <w:rPr/>
        <w:t>Jackson, F.S., Barry, T.N., Lascano, C., Palmer, B., 1996. The extractable and bound condensed tannin content of leaves from tropical tree, shurb and forages legumes. J. Sci. Food Agric. 17 (1), 103-110.</w:t>
      </w:r>
    </w:p>
    <w:p>
      <w:pPr>
        <w:spacing w:after="0" w:line="480" w:lineRule="auto"/>
        <w:jc w:val="both"/>
        <w:sectPr>
          <w:pgSz w:w="12240" w:h="15840"/>
          <w:pgMar w:header="0" w:footer="1478" w:top="1360" w:bottom="1660" w:left="1580" w:right="1580"/>
        </w:sectPr>
      </w:pPr>
    </w:p>
    <w:p>
      <w:pPr>
        <w:pStyle w:val="BodyText"/>
        <w:spacing w:line="480" w:lineRule="auto" w:before="52"/>
        <w:ind w:left="830" w:right="109" w:hanging="711"/>
        <w:jc w:val="both"/>
      </w:pPr>
      <w:r>
        <w:rPr/>
        <w:t>Jessop, N.S., Herrero, M., 1996. Influence of soluble components on parameter estimation using the </w:t>
      </w:r>
      <w:r>
        <w:rPr>
          <w:i/>
        </w:rPr>
        <w:t>in vitro </w:t>
      </w:r>
      <w:r>
        <w:rPr/>
        <w:t>gas production technique. Anim. Sci. 62, 626- 627.</w:t>
      </w:r>
    </w:p>
    <w:p>
      <w:pPr>
        <w:pStyle w:val="BodyText"/>
        <w:spacing w:line="480" w:lineRule="auto" w:before="8"/>
        <w:ind w:left="830" w:right="114" w:hanging="711"/>
        <w:jc w:val="both"/>
      </w:pPr>
      <w:r>
        <w:rPr/>
        <w:t>Jiménez-Peralta, F.S., Salem, A.Z.M., Mejía-Hernández, P., González-Ronquillo, M., Albarrán-Portillo, B., Rojo-Rubio, R., Tinoco-Jaramillo, J.L., 2011. Influence of individual and mixed extracts of two tree species on in vitro gas production kinetics of a high concentrate diet fed to growing lambs. Livest. Sci. 136, 192–200.</w:t>
      </w:r>
    </w:p>
    <w:p>
      <w:pPr>
        <w:pStyle w:val="BodyText"/>
        <w:spacing w:line="480" w:lineRule="auto" w:before="8"/>
        <w:ind w:left="830" w:right="114" w:hanging="711"/>
        <w:jc w:val="both"/>
      </w:pPr>
      <w:r>
        <w:rPr/>
        <w:t>Kamalak, A., Canbolat, O., Sahin, M., Gurbuz, Y., Ozkose, E., Ozkan, C.O., 2005. The effect of polyethylene glycol (PEG 8000) supplementation on </w:t>
      </w:r>
      <w:r>
        <w:rPr>
          <w:i/>
          <w:spacing w:val="-3"/>
        </w:rPr>
        <w:t>in </w:t>
      </w:r>
      <w:r>
        <w:rPr>
          <w:i/>
        </w:rPr>
        <w:t>vitro  </w:t>
      </w:r>
      <w:r>
        <w:rPr/>
        <w:t>gas production kinetics of leaves from tannin containing trees. S. Afr. J. Anim. Sci. 35 (4),</w:t>
      </w:r>
      <w:r>
        <w:rPr>
          <w:spacing w:val="-6"/>
        </w:rPr>
        <w:t> </w:t>
      </w:r>
      <w:r>
        <w:rPr/>
        <w:t>229-237.</w:t>
      </w:r>
    </w:p>
    <w:p>
      <w:pPr>
        <w:pStyle w:val="BodyText"/>
        <w:spacing w:line="480" w:lineRule="auto" w:before="8"/>
        <w:ind w:left="830" w:right="122" w:hanging="711"/>
        <w:jc w:val="both"/>
      </w:pPr>
      <w:r>
        <w:rPr/>
        <w:t>Khazaal, K.A., Parissi, Z., Tsiouvaras, C., Nastis, A., Ørskov, E.R., 1996. Assessment of phenolics-related antinutritive levels using the in vitro gas production technique: a comparison between different types of polyvinylpyrrolidone or polyethylene glycol. J. Sci. Food Agric. 71, 405–414.</w:t>
      </w:r>
    </w:p>
    <w:p>
      <w:pPr>
        <w:pStyle w:val="BodyText"/>
        <w:spacing w:line="480" w:lineRule="auto" w:before="8"/>
        <w:ind w:left="830" w:right="116" w:hanging="711"/>
        <w:jc w:val="both"/>
      </w:pPr>
      <w:r>
        <w:rPr/>
        <w:t>Lanyasunya, T.P., Hongrong, W., Kariuki, S.T., Mukisira, E.A., Abdulrazak, S.A., Kibitok, N.K., Ondiek, J.O., 2008. The potencial of </w:t>
      </w:r>
      <w:r>
        <w:rPr>
          <w:i/>
        </w:rPr>
        <w:t>Commelina benghalensis </w:t>
      </w:r>
      <w:r>
        <w:rPr/>
        <w:t>as a forage for ruminants</w:t>
      </w:r>
      <w:r>
        <w:rPr>
          <w:i/>
        </w:rPr>
        <w:t>. </w:t>
      </w:r>
      <w:r>
        <w:rPr/>
        <w:t>Anim. Feed Sci. Tech. 144, 185-195.</w:t>
      </w:r>
    </w:p>
    <w:p>
      <w:pPr>
        <w:pStyle w:val="BodyText"/>
        <w:spacing w:line="480" w:lineRule="auto" w:before="8"/>
        <w:ind w:left="830" w:right="123" w:hanging="711"/>
        <w:jc w:val="both"/>
      </w:pPr>
      <w:r>
        <w:rPr/>
        <w:t>López, S., García-González, R., Fernández, M., Bodas, R., González, J.S., 2006. Medicinal plants as feed additives in animal nutrition. In: Singh, K.K., Govil, J.N., Ahmad, K., Sharma, R.Kr. (Eds.), Recent Progress in Medicinal Plants,</w:t>
      </w:r>
    </w:p>
    <w:p>
      <w:pPr>
        <w:spacing w:after="0" w:line="480" w:lineRule="auto"/>
        <w:jc w:val="both"/>
        <w:sectPr>
          <w:pgSz w:w="12240" w:h="15840"/>
          <w:pgMar w:header="0" w:footer="1478" w:top="1360" w:bottom="1660" w:left="1580" w:right="1580"/>
        </w:sectPr>
      </w:pPr>
    </w:p>
    <w:p>
      <w:pPr>
        <w:pStyle w:val="BodyText"/>
        <w:spacing w:line="480" w:lineRule="auto" w:before="52"/>
        <w:ind w:left="830" w:right="99"/>
      </w:pPr>
      <w:r>
        <w:rPr/>
        <w:t>Vol: 15. Natural Products. Studium Press LLC, Houston, TX, USA, pp. 309– 333.</w:t>
      </w:r>
    </w:p>
    <w:p>
      <w:pPr>
        <w:pStyle w:val="BodyText"/>
        <w:spacing w:line="480" w:lineRule="auto" w:before="8"/>
        <w:ind w:left="830" w:right="114" w:hanging="711"/>
        <w:jc w:val="both"/>
      </w:pPr>
      <w:r>
        <w:rPr/>
        <w:t>Makkar, H.P.S., 2003a. Effects and fate of tannins in ruminant animals, adaptation to tannins, and strategies to overcome detrimental effects of feeding tannin- rich feeds. Small Ruminant. Res. 49, 241–256.</w:t>
      </w:r>
    </w:p>
    <w:p>
      <w:pPr>
        <w:pStyle w:val="BodyText"/>
        <w:spacing w:line="480" w:lineRule="auto" w:before="8"/>
        <w:ind w:left="830" w:right="125" w:hanging="711"/>
        <w:jc w:val="both"/>
      </w:pPr>
      <w:r>
        <w:rPr/>
        <w:t>Makkar, H.P.S., 2003b. Chemical, protein precipitation and bioassays for tannins, tannin levels and activity in unconventional feeds, and effects and fate of tannins. Quantification of Tannins in Tree and Shrub Foliage. Kluwer Academis Publischers, Netherlands, pp. 1-42.</w:t>
      </w:r>
    </w:p>
    <w:p>
      <w:pPr>
        <w:pStyle w:val="BodyText"/>
        <w:spacing w:line="480" w:lineRule="auto" w:before="8"/>
        <w:ind w:left="830" w:right="118" w:hanging="711"/>
        <w:jc w:val="both"/>
      </w:pPr>
      <w:r>
        <w:rPr/>
        <w:t>Makkar, H.P.S., Blummel, M., Becker, K., 1995. Formation of complexes between plyvinil pyrrolidones or polyethylene glycols and tannins and their implication in gas production and true digestibility </w:t>
      </w:r>
      <w:r>
        <w:rPr>
          <w:i/>
        </w:rPr>
        <w:t>in vitro </w:t>
      </w:r>
      <w:r>
        <w:rPr/>
        <w:t>techniques. Br.J. Nutr. 73, 897-913.</w:t>
      </w:r>
    </w:p>
    <w:p>
      <w:pPr>
        <w:pStyle w:val="BodyText"/>
        <w:spacing w:before="8"/>
        <w:ind w:left="119" w:right="99"/>
      </w:pPr>
      <w:r>
        <w:rPr/>
        <w:t>Makkar, H.P.S., Siddhuraju, P., Becker, C., 2007. Plant Secondary Metabolites.</w:t>
      </w:r>
    </w:p>
    <w:p>
      <w:pPr>
        <w:pStyle w:val="BodyText"/>
      </w:pPr>
    </w:p>
    <w:p>
      <w:pPr>
        <w:pStyle w:val="BodyText"/>
        <w:ind w:left="830" w:right="896"/>
      </w:pPr>
      <w:r>
        <w:rPr/>
        <w:t>Human Press. Stuttgart, Germany.</w:t>
      </w:r>
    </w:p>
    <w:p>
      <w:pPr>
        <w:pStyle w:val="BodyText"/>
      </w:pPr>
    </w:p>
    <w:p>
      <w:pPr>
        <w:pStyle w:val="BodyText"/>
        <w:spacing w:line="480" w:lineRule="auto"/>
        <w:ind w:left="830" w:right="114" w:hanging="711"/>
        <w:jc w:val="both"/>
      </w:pPr>
      <w:r>
        <w:rPr/>
        <w:t>Martínez-Loperena, R., Castelán-Ortega, O. A., González-Ronquillo, M., Estrada- Flores, J. G., 2011. Nutritive value, i</w:t>
      </w:r>
      <w:r>
        <w:rPr>
          <w:i/>
        </w:rPr>
        <w:t>n vitro </w:t>
      </w:r>
      <w:r>
        <w:rPr/>
        <w:t>fermentation and secondary metabolites of weeds and maize straw used for feeding dairy cattle. Trop. Subtrop. Agroecosyst. 14, 525-536.</w:t>
      </w:r>
    </w:p>
    <w:p>
      <w:pPr>
        <w:pStyle w:val="BodyText"/>
        <w:spacing w:line="480" w:lineRule="auto" w:before="8"/>
        <w:ind w:left="830" w:right="121" w:hanging="711"/>
        <w:jc w:val="both"/>
      </w:pPr>
      <w:r>
        <w:rPr/>
        <w:t>McSweeney, C., Palmer, B., Bunch, R., Krause, D., 2001. Effect of the tropical forage calliandra on microbial protein synthesis and ecology in the rumen. J. Appl. Microbiol. 90, 78–88.</w:t>
      </w:r>
    </w:p>
    <w:p>
      <w:pPr>
        <w:spacing w:after="0" w:line="480" w:lineRule="auto"/>
        <w:jc w:val="both"/>
        <w:sectPr>
          <w:footerReference w:type="default" r:id="rId20"/>
          <w:pgSz w:w="12240" w:h="15840"/>
          <w:pgMar w:footer="1478" w:header="0" w:top="1360" w:bottom="1660" w:left="1580" w:right="1580"/>
        </w:sectPr>
      </w:pPr>
    </w:p>
    <w:p>
      <w:pPr>
        <w:pStyle w:val="BodyText"/>
        <w:spacing w:line="480" w:lineRule="auto" w:before="52"/>
        <w:ind w:left="830" w:right="125" w:hanging="711"/>
        <w:jc w:val="both"/>
      </w:pPr>
      <w:r>
        <w:rPr/>
        <w:t>Menke, H.H., Steingass, H., 1988. Estimation of the energetic feed value obtained from chemical analysis and </w:t>
      </w:r>
      <w:r>
        <w:rPr>
          <w:i/>
        </w:rPr>
        <w:t>in vitro </w:t>
      </w:r>
      <w:r>
        <w:rPr/>
        <w:t>gas production using rumen fluid. Anim. Res. Dev. 28, 7-55.</w:t>
      </w:r>
    </w:p>
    <w:p>
      <w:pPr>
        <w:pStyle w:val="BodyText"/>
        <w:spacing w:before="8"/>
        <w:ind w:left="119" w:right="99"/>
      </w:pPr>
      <w:r>
        <w:rPr/>
        <w:t>Minitab, 2000. Statistical software. User´s guide 1: Data graphics, and macros  Ver</w:t>
      </w:r>
    </w:p>
    <w:p>
      <w:pPr>
        <w:pStyle w:val="BodyText"/>
      </w:pPr>
    </w:p>
    <w:p>
      <w:pPr>
        <w:pStyle w:val="BodyText"/>
        <w:ind w:left="830" w:right="896"/>
      </w:pPr>
      <w:r>
        <w:rPr/>
        <w:t>14. USA.</w:t>
      </w:r>
    </w:p>
    <w:p>
      <w:pPr>
        <w:pStyle w:val="BodyText"/>
      </w:pPr>
    </w:p>
    <w:p>
      <w:pPr>
        <w:pStyle w:val="BodyText"/>
        <w:spacing w:line="480" w:lineRule="auto"/>
        <w:ind w:left="830" w:right="127" w:hanging="711"/>
        <w:jc w:val="both"/>
      </w:pPr>
      <w:r>
        <w:rPr/>
        <w:t>Nagadi, S., Herrero, M., Jessop, N.S., 2000a. The effect of fermentable nitrogen availability on in vitro gas production and degradability of NDF. Anim. Feed Sci. Tech. 87, 241-251.</w:t>
      </w:r>
    </w:p>
    <w:p>
      <w:pPr>
        <w:pStyle w:val="BodyText"/>
        <w:spacing w:line="480" w:lineRule="auto" w:before="8"/>
        <w:ind w:left="830" w:right="121" w:hanging="711"/>
        <w:jc w:val="both"/>
      </w:pPr>
      <w:r>
        <w:rPr/>
        <w:t>Nagadi, S., Herrero, M., Jessop, N.S., 2000b. The influence of diet of the donar animal on the initial bacterial concentration of ruminal fluid and in vitro gas production degradability parameters. Anim. Feed Sci. Tech. 87, 231-239.</w:t>
      </w:r>
    </w:p>
    <w:p>
      <w:pPr>
        <w:pStyle w:val="BodyText"/>
        <w:spacing w:line="480" w:lineRule="auto" w:before="8"/>
        <w:ind w:left="830" w:right="121" w:hanging="711"/>
        <w:jc w:val="both"/>
      </w:pPr>
      <w:r>
        <w:rPr/>
        <w:t>NMX-F-615-NORMEX-2004. Alimentos. Determinación de extracto etéreo en alimentos. Método de prueba, (Método SOXHLET).</w:t>
      </w:r>
    </w:p>
    <w:p>
      <w:pPr>
        <w:pStyle w:val="BodyText"/>
        <w:spacing w:line="360" w:lineRule="auto" w:before="8"/>
        <w:ind w:left="830" w:right="115" w:hanging="711"/>
        <w:jc w:val="both"/>
      </w:pPr>
      <w:r>
        <w:rPr/>
        <w:t>Otero, M.J., Hidalgo, L.G., 2004. Condensed tannins in temperate forage species: effects on the productivity of ruminants infected with internal parasites (a review). Livest. Res. Rural Dev. 16(2), 1-17.</w:t>
      </w:r>
    </w:p>
    <w:p>
      <w:pPr>
        <w:pStyle w:val="BodyText"/>
        <w:spacing w:line="480" w:lineRule="auto" w:before="204"/>
        <w:ind w:left="830" w:right="114" w:hanging="711"/>
        <w:jc w:val="both"/>
      </w:pPr>
      <w:r>
        <w:rPr/>
        <w:t>Patra, A.K., Saxena, J., 2009. Dietary phytochemicals as </w:t>
      </w:r>
      <w:r>
        <w:rPr>
          <w:spacing w:val="-3"/>
        </w:rPr>
        <w:t>rumen </w:t>
      </w:r>
      <w:r>
        <w:rPr/>
        <w:t>modifiers:  a  review of the effects on microbial populations. Anton. Van Leeuw. 96, </w:t>
      </w:r>
      <w:r>
        <w:rPr>
          <w:spacing w:val="3"/>
        </w:rPr>
        <w:t>363- </w:t>
      </w:r>
      <w:r>
        <w:rPr/>
        <w:t>375.</w:t>
      </w:r>
    </w:p>
    <w:p>
      <w:pPr>
        <w:pStyle w:val="BodyText"/>
        <w:spacing w:line="480" w:lineRule="auto" w:before="8"/>
        <w:ind w:left="830" w:right="125" w:hanging="711"/>
        <w:jc w:val="both"/>
      </w:pPr>
      <w:r>
        <w:rPr/>
        <w:t>Patra, A.K., Saxena, J., 2011. Exploitation of dietary tannins to improve rumen metabolism and ruminant nutrition. J. Sci. Food Agric. 91, 24–37.</w:t>
      </w:r>
    </w:p>
    <w:p>
      <w:pPr>
        <w:pStyle w:val="BodyText"/>
        <w:spacing w:line="480" w:lineRule="auto" w:before="8"/>
        <w:ind w:left="830" w:right="129" w:hanging="711"/>
        <w:jc w:val="both"/>
      </w:pPr>
      <w:r>
        <w:rPr/>
        <w:t>Pell, A.N., Schofield, P., 1993. Computerised monitoring of gas production to mesure forage digestion </w:t>
      </w:r>
      <w:r>
        <w:rPr>
          <w:i/>
        </w:rPr>
        <w:t>in vitro</w:t>
      </w:r>
      <w:r>
        <w:rPr/>
        <w:t>. J. Dairy Sci. 76, 1063-1073.</w:t>
      </w:r>
    </w:p>
    <w:p>
      <w:pPr>
        <w:spacing w:after="0" w:line="480" w:lineRule="auto"/>
        <w:jc w:val="both"/>
        <w:sectPr>
          <w:footerReference w:type="default" r:id="rId21"/>
          <w:pgSz w:w="12240" w:h="15840"/>
          <w:pgMar w:footer="1478" w:header="0" w:top="1360" w:bottom="1660" w:left="1580" w:right="1580"/>
          <w:pgNumType w:start="51"/>
        </w:sectPr>
      </w:pPr>
    </w:p>
    <w:p>
      <w:pPr>
        <w:pStyle w:val="BodyText"/>
        <w:spacing w:line="480" w:lineRule="auto" w:before="52"/>
        <w:ind w:left="830" w:right="114" w:hanging="711"/>
        <w:jc w:val="both"/>
      </w:pPr>
      <w:r>
        <w:rPr/>
        <w:t>Pinto-Ruiz, R., Hernández-Sánchez, D., Ramírez-Avilés, L., Sandoval-Castro, C. A., Cobos-Peralta, M., Gómez-Castro, H., 2009. Taninos y fenoles en la fermentación </w:t>
      </w:r>
      <w:r>
        <w:rPr>
          <w:i/>
        </w:rPr>
        <w:t>in vitro </w:t>
      </w:r>
      <w:r>
        <w:rPr/>
        <w:t>de leñosas forrajeras tropicales. Agronomía Mesoamericana. 20 (1), 81-89.</w:t>
      </w:r>
    </w:p>
    <w:p>
      <w:pPr>
        <w:pStyle w:val="BodyText"/>
        <w:spacing w:line="480" w:lineRule="auto" w:before="8"/>
        <w:ind w:left="830" w:right="115" w:hanging="711"/>
        <w:jc w:val="both"/>
      </w:pPr>
      <w:r>
        <w:rPr/>
        <w:t>Priolo, A., Waghorn, G.C., Lanza, M., Biondi, </w:t>
      </w:r>
      <w:r>
        <w:rPr>
          <w:spacing w:val="3"/>
        </w:rPr>
        <w:t>L., </w:t>
      </w:r>
      <w:r>
        <w:rPr/>
        <w:t>Pennisi, P., 2000. Polyethylene glycol as a means for reducing the impact of condensed tannins in carob pulp: Effects on lamb growth performance and meat quality. J. Anim. Sci.  78,</w:t>
      </w:r>
      <w:r>
        <w:rPr>
          <w:spacing w:val="-3"/>
        </w:rPr>
        <w:t> </w:t>
      </w:r>
      <w:r>
        <w:rPr/>
        <w:t>810-816.</w:t>
      </w:r>
    </w:p>
    <w:p>
      <w:pPr>
        <w:pStyle w:val="BodyText"/>
        <w:spacing w:line="480" w:lineRule="auto" w:before="8"/>
        <w:ind w:left="830" w:right="116" w:hanging="711"/>
        <w:jc w:val="both"/>
      </w:pPr>
      <w:r>
        <w:rPr/>
        <w:t>Ramírez, O.R., Ramírez, L.R.G., López, G.F., 2002. Factores estructurales de la pared celular del forraje que afectan su digestibilidad. Ciencia UANL. 5 (2), 180-189.</w:t>
      </w:r>
    </w:p>
    <w:p>
      <w:pPr>
        <w:pStyle w:val="BodyText"/>
        <w:spacing w:line="480" w:lineRule="auto" w:before="8"/>
        <w:ind w:left="830" w:right="119" w:hanging="711"/>
        <w:jc w:val="both"/>
      </w:pPr>
      <w:r>
        <w:rPr/>
        <w:t>Salem, A.Z.M., López, S., Robinson, P.H., 2012. Plant bioactive compounds in ruminant agriculture–Impacts and opportunities. Anim. Feed Sci. Tech. 176, 1-4 (special issue).</w:t>
      </w:r>
    </w:p>
    <w:p>
      <w:pPr>
        <w:pStyle w:val="BodyText"/>
        <w:spacing w:line="480" w:lineRule="auto" w:before="8"/>
        <w:ind w:left="830" w:right="127" w:hanging="711"/>
        <w:jc w:val="both"/>
      </w:pPr>
      <w:r>
        <w:rPr/>
        <w:t>Schofield, P., Mbugua, D.M., Pell, A.N., 2001. Analysis of condensed tannins: a review. Anim. Feed Sci. Tech. 91, 21-40.</w:t>
      </w:r>
    </w:p>
    <w:p>
      <w:pPr>
        <w:pStyle w:val="BodyText"/>
        <w:spacing w:line="480" w:lineRule="auto" w:before="8"/>
        <w:ind w:left="830" w:right="117" w:hanging="711"/>
        <w:jc w:val="both"/>
      </w:pPr>
      <w:r>
        <w:rPr/>
        <w:t>Steingass, H., 1983. Bestommung des energetischen futterwertes von wirtschaftseigenen futtermitteln aus der gasbildung bei der panserfermentation in vitro. Hohenheim, Univ., Fak. IV, Diss.</w:t>
      </w:r>
    </w:p>
    <w:p>
      <w:pPr>
        <w:pStyle w:val="BodyText"/>
        <w:spacing w:line="480" w:lineRule="auto" w:before="8"/>
        <w:ind w:left="830" w:right="128" w:hanging="711"/>
        <w:jc w:val="both"/>
      </w:pPr>
      <w:r>
        <w:rPr/>
        <w:t>Theodorou, M.K., Williams, B.A., Dhanoa, M.S., McAllan, A.B., France, J., 1994. A Simple gas production method using a pressure transducer to determine the fermentation kinetics of ruminant feeds. Anim. Feed Sci. Tech. 48, 185-197.</w:t>
      </w:r>
    </w:p>
    <w:p>
      <w:pPr>
        <w:spacing w:after="0" w:line="480" w:lineRule="auto"/>
        <w:jc w:val="both"/>
        <w:sectPr>
          <w:pgSz w:w="12240" w:h="15840"/>
          <w:pgMar w:header="0" w:footer="1478" w:top="1360" w:bottom="1660" w:left="1580" w:right="1580"/>
        </w:sectPr>
      </w:pPr>
    </w:p>
    <w:p>
      <w:pPr>
        <w:pStyle w:val="BodyText"/>
        <w:spacing w:line="480" w:lineRule="auto" w:before="52"/>
        <w:ind w:left="830" w:right="115" w:hanging="711"/>
        <w:jc w:val="both"/>
      </w:pPr>
      <w:r>
        <w:rPr/>
        <w:t>Torres-Acosta, J.F.J., Alonso-Díaz, M.A., Hoste, H., Sandoval-Castro, C.A., Aguilar-Caballero, A.J., 2008. Efectos negativos y positivos del consumo de forrajes ricos en taninos en la producción de caprinos. Trop. Subtrop. Agroecosyst. 9 (1), 83-90.</w:t>
      </w:r>
    </w:p>
    <w:p>
      <w:pPr>
        <w:pStyle w:val="BodyText"/>
        <w:spacing w:line="480" w:lineRule="auto" w:before="8"/>
        <w:ind w:left="830" w:right="129" w:hanging="711"/>
        <w:jc w:val="both"/>
      </w:pPr>
      <w:r>
        <w:rPr/>
        <w:t>Van Soest, P.J., Robertson, J.B., Lewis, B.A., 1991. Methods for dietary fiber, neutral detergent fiber and nonstarch polysaccharides in relation to animal nutrition. J. Dairy Sci. 74, 3583-3597.</w:t>
      </w:r>
    </w:p>
    <w:p>
      <w:pPr>
        <w:spacing w:after="0" w:line="480" w:lineRule="auto"/>
        <w:jc w:val="both"/>
        <w:sectPr>
          <w:pgSz w:w="12240" w:h="15840"/>
          <w:pgMar w:header="0" w:footer="1478" w:top="1360" w:bottom="1660" w:left="1580" w:right="1580"/>
        </w:sectPr>
      </w:pPr>
    </w:p>
    <w:p>
      <w:pPr>
        <w:pStyle w:val="BodyText"/>
        <w:spacing w:before="52"/>
        <w:ind w:left="139" w:right="295"/>
      </w:pPr>
      <w:r>
        <w:rPr/>
        <w:t>TABLES</w:t>
      </w:r>
    </w:p>
    <w:p>
      <w:pPr>
        <w:pStyle w:val="BodyText"/>
      </w:pPr>
    </w:p>
    <w:p>
      <w:pPr>
        <w:pStyle w:val="BodyText"/>
        <w:spacing w:before="11"/>
        <w:rPr>
          <w:sz w:val="35"/>
        </w:rPr>
      </w:pPr>
    </w:p>
    <w:p>
      <w:pPr>
        <w:pStyle w:val="BodyText"/>
        <w:ind w:left="139" w:right="295"/>
      </w:pPr>
      <w:r>
        <w:rPr/>
        <w:t>Table 1. Concentration of secondary metabolites, by tanniferous species.</w:t>
      </w:r>
    </w:p>
    <w:p>
      <w:pPr>
        <w:pStyle w:val="BodyText"/>
        <w:spacing w:before="4"/>
      </w:pPr>
    </w:p>
    <w:tbl>
      <w:tblPr>
        <w:tblW w:w="0" w:type="auto"/>
        <w:jc w:val="left"/>
        <w:tblInd w:w="11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149"/>
        <w:gridCol w:w="1487"/>
        <w:gridCol w:w="1355"/>
        <w:gridCol w:w="1358"/>
        <w:gridCol w:w="1318"/>
        <w:gridCol w:w="1394"/>
      </w:tblGrid>
      <w:tr>
        <w:trPr>
          <w:trHeight w:val="396" w:hRule="exact"/>
        </w:trPr>
        <w:tc>
          <w:tcPr>
            <w:tcW w:w="2149" w:type="dxa"/>
            <w:tcBorders>
              <w:left w:val="nil"/>
              <w:bottom w:val="nil"/>
              <w:right w:val="nil"/>
            </w:tcBorders>
          </w:tcPr>
          <w:p>
            <w:pPr/>
          </w:p>
        </w:tc>
        <w:tc>
          <w:tcPr>
            <w:tcW w:w="1487" w:type="dxa"/>
            <w:tcBorders>
              <w:left w:val="nil"/>
              <w:bottom w:val="nil"/>
              <w:right w:val="nil"/>
            </w:tcBorders>
          </w:tcPr>
          <w:p>
            <w:pPr>
              <w:pStyle w:val="TableParagraph"/>
              <w:spacing w:before="58"/>
              <w:ind w:left="484" w:right="359"/>
              <w:rPr>
                <w:sz w:val="24"/>
              </w:rPr>
            </w:pPr>
            <w:r>
              <w:rPr>
                <w:sz w:val="24"/>
              </w:rPr>
              <w:t>TPs</w:t>
            </w:r>
          </w:p>
        </w:tc>
        <w:tc>
          <w:tcPr>
            <w:tcW w:w="1355" w:type="dxa"/>
            <w:tcBorders>
              <w:left w:val="nil"/>
              <w:bottom w:val="nil"/>
              <w:right w:val="nil"/>
            </w:tcBorders>
          </w:tcPr>
          <w:p>
            <w:pPr>
              <w:pStyle w:val="TableParagraph"/>
              <w:spacing w:before="58"/>
              <w:ind w:left="357" w:right="357"/>
              <w:rPr>
                <w:sz w:val="24"/>
              </w:rPr>
            </w:pPr>
            <w:r>
              <w:rPr>
                <w:sz w:val="24"/>
              </w:rPr>
              <w:t>NPTs</w:t>
            </w:r>
          </w:p>
        </w:tc>
        <w:tc>
          <w:tcPr>
            <w:tcW w:w="1358" w:type="dxa"/>
            <w:tcBorders>
              <w:left w:val="nil"/>
              <w:bottom w:val="nil"/>
              <w:right w:val="nil"/>
            </w:tcBorders>
          </w:tcPr>
          <w:p>
            <w:pPr>
              <w:pStyle w:val="TableParagraph"/>
              <w:spacing w:before="58"/>
              <w:ind w:left="358" w:right="359"/>
              <w:rPr>
                <w:sz w:val="24"/>
              </w:rPr>
            </w:pPr>
            <w:r>
              <w:rPr>
                <w:sz w:val="24"/>
              </w:rPr>
              <w:t>TTs</w:t>
            </w:r>
          </w:p>
        </w:tc>
        <w:tc>
          <w:tcPr>
            <w:tcW w:w="1318" w:type="dxa"/>
            <w:tcBorders>
              <w:left w:val="nil"/>
              <w:bottom w:val="nil"/>
              <w:right w:val="nil"/>
            </w:tcBorders>
          </w:tcPr>
          <w:p>
            <w:pPr>
              <w:pStyle w:val="TableParagraph"/>
              <w:spacing w:before="58"/>
              <w:ind w:left="351" w:right="318"/>
              <w:rPr>
                <w:sz w:val="24"/>
              </w:rPr>
            </w:pPr>
            <w:r>
              <w:rPr>
                <w:sz w:val="24"/>
              </w:rPr>
              <w:t>CTs</w:t>
            </w:r>
          </w:p>
        </w:tc>
        <w:tc>
          <w:tcPr>
            <w:tcW w:w="1394" w:type="dxa"/>
            <w:tcBorders>
              <w:left w:val="nil"/>
              <w:bottom w:val="nil"/>
              <w:right w:val="nil"/>
            </w:tcBorders>
          </w:tcPr>
          <w:p>
            <w:pPr>
              <w:pStyle w:val="TableParagraph"/>
              <w:spacing w:before="58"/>
              <w:ind w:left="318" w:right="289"/>
              <w:rPr>
                <w:sz w:val="24"/>
              </w:rPr>
            </w:pPr>
            <w:r>
              <w:rPr>
                <w:sz w:val="24"/>
              </w:rPr>
              <w:t>FBCTs</w:t>
            </w:r>
          </w:p>
        </w:tc>
      </w:tr>
      <w:tr>
        <w:trPr>
          <w:trHeight w:val="338" w:hRule="exact"/>
        </w:trPr>
        <w:tc>
          <w:tcPr>
            <w:tcW w:w="9061" w:type="dxa"/>
            <w:gridSpan w:val="6"/>
            <w:tcBorders>
              <w:top w:val="nil"/>
              <w:left w:val="nil"/>
              <w:bottom w:val="nil"/>
              <w:right w:val="nil"/>
            </w:tcBorders>
          </w:tcPr>
          <w:p>
            <w:pPr>
              <w:pStyle w:val="TableParagraph"/>
              <w:tabs>
                <w:tab w:pos="5186" w:val="left" w:leader="none"/>
                <w:tab w:pos="9061" w:val="left" w:leader="none"/>
              </w:tabs>
              <w:spacing w:before="15"/>
              <w:ind w:left="14"/>
              <w:jc w:val="left"/>
              <w:rPr>
                <w:sz w:val="24"/>
              </w:rPr>
            </w:pPr>
            <w:r>
              <w:rPr>
                <w:w w:val="100"/>
                <w:sz w:val="24"/>
                <w:u w:val="single"/>
              </w:rPr>
              <w:t> </w:t>
            </w:r>
            <w:r>
              <w:rPr>
                <w:sz w:val="24"/>
                <w:u w:val="single"/>
              </w:rPr>
              <w:tab/>
              <w:t>g/ kg</w:t>
            </w:r>
            <w:r>
              <w:rPr>
                <w:spacing w:val="-1"/>
                <w:sz w:val="24"/>
                <w:u w:val="single"/>
              </w:rPr>
              <w:t> </w:t>
            </w:r>
            <w:r>
              <w:rPr>
                <w:sz w:val="24"/>
                <w:u w:val="single"/>
              </w:rPr>
              <w:t>DM</w:t>
              <w:tab/>
            </w:r>
          </w:p>
        </w:tc>
      </w:tr>
      <w:tr>
        <w:trPr>
          <w:trHeight w:val="334" w:hRule="exact"/>
        </w:trPr>
        <w:tc>
          <w:tcPr>
            <w:tcW w:w="2149" w:type="dxa"/>
            <w:tcBorders>
              <w:top w:val="nil"/>
              <w:left w:val="nil"/>
              <w:bottom w:val="nil"/>
              <w:right w:val="nil"/>
            </w:tcBorders>
          </w:tcPr>
          <w:p>
            <w:pPr>
              <w:pStyle w:val="TableParagraph"/>
              <w:spacing w:before="22"/>
              <w:ind w:left="86"/>
              <w:jc w:val="left"/>
              <w:rPr>
                <w:i/>
                <w:sz w:val="24"/>
              </w:rPr>
            </w:pPr>
            <w:r>
              <w:rPr>
                <w:i/>
                <w:sz w:val="24"/>
              </w:rPr>
              <w:t>C. sulphureus</w:t>
            </w:r>
          </w:p>
        </w:tc>
        <w:tc>
          <w:tcPr>
            <w:tcW w:w="1487" w:type="dxa"/>
            <w:tcBorders>
              <w:top w:val="nil"/>
              <w:left w:val="nil"/>
              <w:bottom w:val="nil"/>
              <w:right w:val="nil"/>
            </w:tcBorders>
          </w:tcPr>
          <w:p>
            <w:pPr>
              <w:pStyle w:val="TableParagraph"/>
              <w:spacing w:before="22"/>
              <w:ind w:left="487" w:right="359"/>
              <w:rPr>
                <w:sz w:val="24"/>
              </w:rPr>
            </w:pPr>
            <w:r>
              <w:rPr>
                <w:sz w:val="24"/>
              </w:rPr>
              <w:t>142.2</w:t>
            </w:r>
          </w:p>
        </w:tc>
        <w:tc>
          <w:tcPr>
            <w:tcW w:w="1355" w:type="dxa"/>
            <w:tcBorders>
              <w:top w:val="nil"/>
              <w:left w:val="nil"/>
              <w:bottom w:val="nil"/>
              <w:right w:val="nil"/>
            </w:tcBorders>
          </w:tcPr>
          <w:p>
            <w:pPr>
              <w:pStyle w:val="TableParagraph"/>
              <w:spacing w:before="22"/>
              <w:ind w:left="357" w:right="353"/>
              <w:rPr>
                <w:sz w:val="24"/>
              </w:rPr>
            </w:pPr>
            <w:r>
              <w:rPr>
                <w:sz w:val="24"/>
              </w:rPr>
              <w:t>4.4</w:t>
            </w:r>
          </w:p>
        </w:tc>
        <w:tc>
          <w:tcPr>
            <w:tcW w:w="1358" w:type="dxa"/>
            <w:tcBorders>
              <w:top w:val="nil"/>
              <w:left w:val="nil"/>
              <w:bottom w:val="nil"/>
              <w:right w:val="nil"/>
            </w:tcBorders>
          </w:tcPr>
          <w:p>
            <w:pPr>
              <w:pStyle w:val="TableParagraph"/>
              <w:spacing w:before="22"/>
              <w:ind w:left="358" w:right="359"/>
              <w:rPr>
                <w:sz w:val="24"/>
              </w:rPr>
            </w:pPr>
            <w:r>
              <w:rPr>
                <w:sz w:val="24"/>
              </w:rPr>
              <w:t>137.9</w:t>
            </w:r>
          </w:p>
        </w:tc>
        <w:tc>
          <w:tcPr>
            <w:tcW w:w="1318" w:type="dxa"/>
            <w:tcBorders>
              <w:top w:val="nil"/>
              <w:left w:val="nil"/>
              <w:bottom w:val="nil"/>
              <w:right w:val="nil"/>
            </w:tcBorders>
          </w:tcPr>
          <w:p>
            <w:pPr>
              <w:pStyle w:val="TableParagraph"/>
              <w:spacing w:before="22"/>
              <w:ind w:left="358" w:right="318"/>
              <w:rPr>
                <w:sz w:val="24"/>
              </w:rPr>
            </w:pPr>
            <w:r>
              <w:rPr>
                <w:sz w:val="24"/>
              </w:rPr>
              <w:t>111.4</w:t>
            </w:r>
          </w:p>
        </w:tc>
        <w:tc>
          <w:tcPr>
            <w:tcW w:w="1394" w:type="dxa"/>
            <w:tcBorders>
              <w:top w:val="nil"/>
              <w:left w:val="nil"/>
              <w:bottom w:val="nil"/>
              <w:right w:val="nil"/>
            </w:tcBorders>
          </w:tcPr>
          <w:p>
            <w:pPr>
              <w:pStyle w:val="TableParagraph"/>
              <w:spacing w:before="22"/>
              <w:ind w:left="318" w:right="281"/>
              <w:rPr>
                <w:sz w:val="24"/>
              </w:rPr>
            </w:pPr>
            <w:r>
              <w:rPr>
                <w:sz w:val="24"/>
              </w:rPr>
              <w:t>10.9</w:t>
            </w:r>
          </w:p>
        </w:tc>
      </w:tr>
      <w:tr>
        <w:trPr>
          <w:trHeight w:val="319" w:hRule="exact"/>
        </w:trPr>
        <w:tc>
          <w:tcPr>
            <w:tcW w:w="2149" w:type="dxa"/>
            <w:tcBorders>
              <w:top w:val="nil"/>
              <w:left w:val="nil"/>
              <w:bottom w:val="nil"/>
              <w:right w:val="nil"/>
            </w:tcBorders>
          </w:tcPr>
          <w:p>
            <w:pPr>
              <w:pStyle w:val="TableParagraph"/>
              <w:spacing w:before="10"/>
              <w:ind w:left="86"/>
              <w:jc w:val="left"/>
              <w:rPr>
                <w:i/>
                <w:sz w:val="24"/>
              </w:rPr>
            </w:pPr>
            <w:r>
              <w:rPr>
                <w:i/>
                <w:sz w:val="24"/>
              </w:rPr>
              <w:t>C. bipinnatus</w:t>
            </w:r>
          </w:p>
        </w:tc>
        <w:tc>
          <w:tcPr>
            <w:tcW w:w="1487" w:type="dxa"/>
            <w:tcBorders>
              <w:top w:val="nil"/>
              <w:left w:val="nil"/>
              <w:bottom w:val="nil"/>
              <w:right w:val="nil"/>
            </w:tcBorders>
          </w:tcPr>
          <w:p>
            <w:pPr>
              <w:pStyle w:val="TableParagraph"/>
              <w:spacing w:before="10"/>
              <w:ind w:left="487" w:right="359"/>
              <w:rPr>
                <w:sz w:val="24"/>
              </w:rPr>
            </w:pPr>
            <w:r>
              <w:rPr>
                <w:sz w:val="24"/>
              </w:rPr>
              <w:t>36.7</w:t>
            </w:r>
          </w:p>
        </w:tc>
        <w:tc>
          <w:tcPr>
            <w:tcW w:w="1355" w:type="dxa"/>
            <w:tcBorders>
              <w:top w:val="nil"/>
              <w:left w:val="nil"/>
              <w:bottom w:val="nil"/>
              <w:right w:val="nil"/>
            </w:tcBorders>
          </w:tcPr>
          <w:p>
            <w:pPr>
              <w:pStyle w:val="TableParagraph"/>
              <w:spacing w:before="10"/>
              <w:ind w:left="357" w:right="353"/>
              <w:rPr>
                <w:sz w:val="24"/>
              </w:rPr>
            </w:pPr>
            <w:r>
              <w:rPr>
                <w:sz w:val="24"/>
              </w:rPr>
              <w:t>1.3</w:t>
            </w:r>
          </w:p>
        </w:tc>
        <w:tc>
          <w:tcPr>
            <w:tcW w:w="1358" w:type="dxa"/>
            <w:tcBorders>
              <w:top w:val="nil"/>
              <w:left w:val="nil"/>
              <w:bottom w:val="nil"/>
              <w:right w:val="nil"/>
            </w:tcBorders>
          </w:tcPr>
          <w:p>
            <w:pPr>
              <w:pStyle w:val="TableParagraph"/>
              <w:spacing w:before="10"/>
              <w:ind w:left="358" w:right="358"/>
              <w:rPr>
                <w:sz w:val="24"/>
              </w:rPr>
            </w:pPr>
            <w:r>
              <w:rPr>
                <w:sz w:val="24"/>
              </w:rPr>
              <w:t>35.5</w:t>
            </w:r>
          </w:p>
        </w:tc>
        <w:tc>
          <w:tcPr>
            <w:tcW w:w="1318" w:type="dxa"/>
            <w:tcBorders>
              <w:top w:val="nil"/>
              <w:left w:val="nil"/>
              <w:bottom w:val="nil"/>
              <w:right w:val="nil"/>
            </w:tcBorders>
          </w:tcPr>
          <w:p>
            <w:pPr>
              <w:pStyle w:val="TableParagraph"/>
              <w:spacing w:before="10"/>
              <w:ind w:left="358" w:right="317"/>
              <w:rPr>
                <w:sz w:val="24"/>
              </w:rPr>
            </w:pPr>
            <w:r>
              <w:rPr>
                <w:sz w:val="24"/>
              </w:rPr>
              <w:t>12.6</w:t>
            </w:r>
          </w:p>
        </w:tc>
        <w:tc>
          <w:tcPr>
            <w:tcW w:w="1394" w:type="dxa"/>
            <w:tcBorders>
              <w:top w:val="nil"/>
              <w:left w:val="nil"/>
              <w:bottom w:val="nil"/>
              <w:right w:val="nil"/>
            </w:tcBorders>
          </w:tcPr>
          <w:p>
            <w:pPr>
              <w:pStyle w:val="TableParagraph"/>
              <w:spacing w:before="10"/>
              <w:ind w:left="318" w:right="281"/>
              <w:rPr>
                <w:sz w:val="24"/>
              </w:rPr>
            </w:pPr>
            <w:r>
              <w:rPr>
                <w:sz w:val="24"/>
              </w:rPr>
              <w:t>3.6</w:t>
            </w:r>
          </w:p>
        </w:tc>
      </w:tr>
      <w:tr>
        <w:trPr>
          <w:trHeight w:val="319" w:hRule="exact"/>
        </w:trPr>
        <w:tc>
          <w:tcPr>
            <w:tcW w:w="2149" w:type="dxa"/>
            <w:tcBorders>
              <w:top w:val="nil"/>
              <w:left w:val="nil"/>
              <w:bottom w:val="nil"/>
              <w:right w:val="nil"/>
            </w:tcBorders>
          </w:tcPr>
          <w:p>
            <w:pPr>
              <w:pStyle w:val="TableParagraph"/>
              <w:spacing w:before="7"/>
              <w:ind w:left="86"/>
              <w:jc w:val="left"/>
              <w:rPr>
                <w:i/>
                <w:sz w:val="24"/>
              </w:rPr>
            </w:pPr>
            <w:r>
              <w:rPr>
                <w:i/>
                <w:sz w:val="24"/>
              </w:rPr>
              <w:t>T. lucida</w:t>
            </w:r>
          </w:p>
        </w:tc>
        <w:tc>
          <w:tcPr>
            <w:tcW w:w="1487" w:type="dxa"/>
            <w:tcBorders>
              <w:top w:val="nil"/>
              <w:left w:val="nil"/>
              <w:bottom w:val="nil"/>
              <w:right w:val="nil"/>
            </w:tcBorders>
          </w:tcPr>
          <w:p>
            <w:pPr>
              <w:pStyle w:val="TableParagraph"/>
              <w:spacing w:before="7"/>
              <w:ind w:left="487" w:right="359"/>
              <w:rPr>
                <w:sz w:val="24"/>
              </w:rPr>
            </w:pPr>
            <w:r>
              <w:rPr>
                <w:sz w:val="24"/>
              </w:rPr>
              <w:t>68.1</w:t>
            </w:r>
          </w:p>
        </w:tc>
        <w:tc>
          <w:tcPr>
            <w:tcW w:w="1355" w:type="dxa"/>
            <w:tcBorders>
              <w:top w:val="nil"/>
              <w:left w:val="nil"/>
              <w:bottom w:val="nil"/>
              <w:right w:val="nil"/>
            </w:tcBorders>
          </w:tcPr>
          <w:p>
            <w:pPr>
              <w:pStyle w:val="TableParagraph"/>
              <w:spacing w:before="7"/>
              <w:ind w:left="357" w:right="353"/>
              <w:rPr>
                <w:sz w:val="24"/>
              </w:rPr>
            </w:pPr>
            <w:r>
              <w:rPr>
                <w:sz w:val="24"/>
              </w:rPr>
              <w:t>2.3</w:t>
            </w:r>
          </w:p>
        </w:tc>
        <w:tc>
          <w:tcPr>
            <w:tcW w:w="1358" w:type="dxa"/>
            <w:tcBorders>
              <w:top w:val="nil"/>
              <w:left w:val="nil"/>
              <w:bottom w:val="nil"/>
              <w:right w:val="nil"/>
            </w:tcBorders>
          </w:tcPr>
          <w:p>
            <w:pPr>
              <w:pStyle w:val="TableParagraph"/>
              <w:spacing w:before="7"/>
              <w:ind w:left="358" w:right="358"/>
              <w:rPr>
                <w:sz w:val="24"/>
              </w:rPr>
            </w:pPr>
            <w:r>
              <w:rPr>
                <w:sz w:val="24"/>
              </w:rPr>
              <w:t>65.8</w:t>
            </w:r>
          </w:p>
        </w:tc>
        <w:tc>
          <w:tcPr>
            <w:tcW w:w="1318" w:type="dxa"/>
            <w:tcBorders>
              <w:top w:val="nil"/>
              <w:left w:val="nil"/>
              <w:bottom w:val="nil"/>
              <w:right w:val="nil"/>
            </w:tcBorders>
          </w:tcPr>
          <w:p>
            <w:pPr>
              <w:pStyle w:val="TableParagraph"/>
              <w:spacing w:before="7"/>
              <w:ind w:left="358" w:right="317"/>
              <w:rPr>
                <w:sz w:val="24"/>
              </w:rPr>
            </w:pPr>
            <w:r>
              <w:rPr>
                <w:sz w:val="24"/>
              </w:rPr>
              <w:t>0.6</w:t>
            </w:r>
          </w:p>
        </w:tc>
        <w:tc>
          <w:tcPr>
            <w:tcW w:w="1394" w:type="dxa"/>
            <w:tcBorders>
              <w:top w:val="nil"/>
              <w:left w:val="nil"/>
              <w:bottom w:val="nil"/>
              <w:right w:val="nil"/>
            </w:tcBorders>
          </w:tcPr>
          <w:p>
            <w:pPr>
              <w:pStyle w:val="TableParagraph"/>
              <w:spacing w:before="7"/>
              <w:ind w:left="318" w:right="281"/>
              <w:rPr>
                <w:sz w:val="24"/>
              </w:rPr>
            </w:pPr>
            <w:r>
              <w:rPr>
                <w:sz w:val="24"/>
              </w:rPr>
              <w:t>1.1</w:t>
            </w:r>
          </w:p>
        </w:tc>
      </w:tr>
      <w:tr>
        <w:trPr>
          <w:trHeight w:val="319" w:hRule="exact"/>
        </w:trPr>
        <w:tc>
          <w:tcPr>
            <w:tcW w:w="2149" w:type="dxa"/>
            <w:tcBorders>
              <w:top w:val="nil"/>
              <w:left w:val="nil"/>
              <w:bottom w:val="nil"/>
              <w:right w:val="nil"/>
            </w:tcBorders>
          </w:tcPr>
          <w:p>
            <w:pPr>
              <w:pStyle w:val="TableParagraph"/>
              <w:spacing w:before="10"/>
              <w:ind w:left="86"/>
              <w:jc w:val="left"/>
              <w:rPr>
                <w:i/>
                <w:sz w:val="24"/>
              </w:rPr>
            </w:pPr>
            <w:r>
              <w:rPr>
                <w:i/>
                <w:sz w:val="24"/>
              </w:rPr>
              <w:t>T. erecta</w:t>
            </w:r>
          </w:p>
        </w:tc>
        <w:tc>
          <w:tcPr>
            <w:tcW w:w="1487" w:type="dxa"/>
            <w:tcBorders>
              <w:top w:val="nil"/>
              <w:left w:val="nil"/>
              <w:bottom w:val="nil"/>
              <w:right w:val="nil"/>
            </w:tcBorders>
          </w:tcPr>
          <w:p>
            <w:pPr>
              <w:pStyle w:val="TableParagraph"/>
              <w:spacing w:before="10"/>
              <w:ind w:left="487" w:right="359"/>
              <w:rPr>
                <w:sz w:val="24"/>
              </w:rPr>
            </w:pPr>
            <w:r>
              <w:rPr>
                <w:sz w:val="24"/>
              </w:rPr>
              <w:t>89.4</w:t>
            </w:r>
          </w:p>
        </w:tc>
        <w:tc>
          <w:tcPr>
            <w:tcW w:w="1355" w:type="dxa"/>
            <w:tcBorders>
              <w:top w:val="nil"/>
              <w:left w:val="nil"/>
              <w:bottom w:val="nil"/>
              <w:right w:val="nil"/>
            </w:tcBorders>
          </w:tcPr>
          <w:p>
            <w:pPr>
              <w:pStyle w:val="TableParagraph"/>
              <w:spacing w:before="10"/>
              <w:ind w:left="357" w:right="353"/>
              <w:rPr>
                <w:sz w:val="24"/>
              </w:rPr>
            </w:pPr>
            <w:r>
              <w:rPr>
                <w:sz w:val="24"/>
              </w:rPr>
              <w:t>2.2</w:t>
            </w:r>
          </w:p>
        </w:tc>
        <w:tc>
          <w:tcPr>
            <w:tcW w:w="1358" w:type="dxa"/>
            <w:tcBorders>
              <w:top w:val="nil"/>
              <w:left w:val="nil"/>
              <w:bottom w:val="nil"/>
              <w:right w:val="nil"/>
            </w:tcBorders>
          </w:tcPr>
          <w:p>
            <w:pPr>
              <w:pStyle w:val="TableParagraph"/>
              <w:spacing w:before="10"/>
              <w:ind w:left="358" w:right="358"/>
              <w:rPr>
                <w:sz w:val="24"/>
              </w:rPr>
            </w:pPr>
            <w:r>
              <w:rPr>
                <w:sz w:val="24"/>
              </w:rPr>
              <w:t>87.2</w:t>
            </w:r>
          </w:p>
        </w:tc>
        <w:tc>
          <w:tcPr>
            <w:tcW w:w="1318" w:type="dxa"/>
            <w:tcBorders>
              <w:top w:val="nil"/>
              <w:left w:val="nil"/>
              <w:bottom w:val="nil"/>
              <w:right w:val="nil"/>
            </w:tcBorders>
          </w:tcPr>
          <w:p>
            <w:pPr>
              <w:pStyle w:val="TableParagraph"/>
              <w:spacing w:before="10"/>
              <w:ind w:left="358" w:right="317"/>
              <w:rPr>
                <w:sz w:val="24"/>
              </w:rPr>
            </w:pPr>
            <w:r>
              <w:rPr>
                <w:sz w:val="24"/>
              </w:rPr>
              <w:t>2.5</w:t>
            </w:r>
          </w:p>
        </w:tc>
        <w:tc>
          <w:tcPr>
            <w:tcW w:w="1394" w:type="dxa"/>
            <w:tcBorders>
              <w:top w:val="nil"/>
              <w:left w:val="nil"/>
              <w:bottom w:val="nil"/>
              <w:right w:val="nil"/>
            </w:tcBorders>
          </w:tcPr>
          <w:p>
            <w:pPr>
              <w:pStyle w:val="TableParagraph"/>
              <w:spacing w:before="10"/>
              <w:ind w:left="318" w:right="281"/>
              <w:rPr>
                <w:sz w:val="24"/>
              </w:rPr>
            </w:pPr>
            <w:r>
              <w:rPr>
                <w:sz w:val="24"/>
              </w:rPr>
              <w:t>1.8</w:t>
            </w:r>
          </w:p>
        </w:tc>
      </w:tr>
      <w:tr>
        <w:trPr>
          <w:trHeight w:val="317" w:hRule="exact"/>
        </w:trPr>
        <w:tc>
          <w:tcPr>
            <w:tcW w:w="2149" w:type="dxa"/>
            <w:tcBorders>
              <w:top w:val="nil"/>
              <w:left w:val="nil"/>
              <w:bottom w:val="nil"/>
              <w:right w:val="nil"/>
            </w:tcBorders>
          </w:tcPr>
          <w:p>
            <w:pPr>
              <w:pStyle w:val="TableParagraph"/>
              <w:spacing w:before="7"/>
              <w:ind w:left="86"/>
              <w:jc w:val="left"/>
              <w:rPr>
                <w:i/>
                <w:sz w:val="24"/>
              </w:rPr>
            </w:pPr>
            <w:r>
              <w:rPr>
                <w:i/>
                <w:sz w:val="24"/>
              </w:rPr>
              <w:t>M. diplotricha</w:t>
            </w:r>
          </w:p>
        </w:tc>
        <w:tc>
          <w:tcPr>
            <w:tcW w:w="1487" w:type="dxa"/>
            <w:tcBorders>
              <w:top w:val="nil"/>
              <w:left w:val="nil"/>
              <w:bottom w:val="nil"/>
              <w:right w:val="nil"/>
            </w:tcBorders>
          </w:tcPr>
          <w:p>
            <w:pPr>
              <w:pStyle w:val="TableParagraph"/>
              <w:spacing w:before="7"/>
              <w:ind w:left="487" w:right="359"/>
              <w:rPr>
                <w:sz w:val="24"/>
              </w:rPr>
            </w:pPr>
            <w:r>
              <w:rPr>
                <w:sz w:val="24"/>
              </w:rPr>
              <w:t>19.7</w:t>
            </w:r>
          </w:p>
        </w:tc>
        <w:tc>
          <w:tcPr>
            <w:tcW w:w="1355" w:type="dxa"/>
            <w:tcBorders>
              <w:top w:val="nil"/>
              <w:left w:val="nil"/>
              <w:bottom w:val="nil"/>
              <w:right w:val="nil"/>
            </w:tcBorders>
          </w:tcPr>
          <w:p>
            <w:pPr>
              <w:pStyle w:val="TableParagraph"/>
              <w:spacing w:before="7"/>
              <w:ind w:left="357" w:right="353"/>
              <w:rPr>
                <w:sz w:val="24"/>
              </w:rPr>
            </w:pPr>
            <w:r>
              <w:rPr>
                <w:sz w:val="24"/>
              </w:rPr>
              <w:t>1.9</w:t>
            </w:r>
          </w:p>
        </w:tc>
        <w:tc>
          <w:tcPr>
            <w:tcW w:w="1358" w:type="dxa"/>
            <w:tcBorders>
              <w:top w:val="nil"/>
              <w:left w:val="nil"/>
              <w:bottom w:val="nil"/>
              <w:right w:val="nil"/>
            </w:tcBorders>
          </w:tcPr>
          <w:p>
            <w:pPr>
              <w:pStyle w:val="TableParagraph"/>
              <w:spacing w:before="7"/>
              <w:ind w:left="358" w:right="358"/>
              <w:rPr>
                <w:sz w:val="24"/>
              </w:rPr>
            </w:pPr>
            <w:r>
              <w:rPr>
                <w:sz w:val="24"/>
              </w:rPr>
              <w:t>17.8</w:t>
            </w:r>
          </w:p>
        </w:tc>
        <w:tc>
          <w:tcPr>
            <w:tcW w:w="1318" w:type="dxa"/>
            <w:tcBorders>
              <w:top w:val="nil"/>
              <w:left w:val="nil"/>
              <w:bottom w:val="nil"/>
              <w:right w:val="nil"/>
            </w:tcBorders>
          </w:tcPr>
          <w:p>
            <w:pPr>
              <w:pStyle w:val="TableParagraph"/>
              <w:spacing w:before="7"/>
              <w:ind w:left="358" w:right="317"/>
              <w:rPr>
                <w:sz w:val="24"/>
              </w:rPr>
            </w:pPr>
            <w:r>
              <w:rPr>
                <w:sz w:val="24"/>
              </w:rPr>
              <w:t>5.2</w:t>
            </w:r>
          </w:p>
        </w:tc>
        <w:tc>
          <w:tcPr>
            <w:tcW w:w="1394" w:type="dxa"/>
            <w:tcBorders>
              <w:top w:val="nil"/>
              <w:left w:val="nil"/>
              <w:bottom w:val="nil"/>
              <w:right w:val="nil"/>
            </w:tcBorders>
          </w:tcPr>
          <w:p>
            <w:pPr>
              <w:pStyle w:val="TableParagraph"/>
              <w:spacing w:before="7"/>
              <w:ind w:left="318" w:right="281"/>
              <w:rPr>
                <w:sz w:val="24"/>
              </w:rPr>
            </w:pPr>
            <w:r>
              <w:rPr>
                <w:sz w:val="24"/>
              </w:rPr>
              <w:t>7.8</w:t>
            </w:r>
          </w:p>
        </w:tc>
      </w:tr>
      <w:tr>
        <w:trPr>
          <w:trHeight w:val="305" w:hRule="exact"/>
        </w:trPr>
        <w:tc>
          <w:tcPr>
            <w:tcW w:w="2149" w:type="dxa"/>
            <w:tcBorders>
              <w:top w:val="nil"/>
              <w:left w:val="nil"/>
              <w:bottom w:val="double" w:sz="4" w:space="0" w:color="000000"/>
              <w:right w:val="nil"/>
            </w:tcBorders>
          </w:tcPr>
          <w:p>
            <w:pPr>
              <w:pStyle w:val="TableParagraph"/>
              <w:spacing w:before="7"/>
              <w:ind w:left="86"/>
              <w:jc w:val="left"/>
              <w:rPr>
                <w:i/>
                <w:sz w:val="24"/>
              </w:rPr>
            </w:pPr>
            <w:r>
              <w:rPr>
                <w:i/>
                <w:sz w:val="24"/>
              </w:rPr>
              <w:t>M. divaricatum</w:t>
            </w:r>
          </w:p>
        </w:tc>
        <w:tc>
          <w:tcPr>
            <w:tcW w:w="1487" w:type="dxa"/>
            <w:tcBorders>
              <w:top w:val="nil"/>
              <w:left w:val="nil"/>
              <w:bottom w:val="double" w:sz="4" w:space="0" w:color="000000"/>
              <w:right w:val="nil"/>
            </w:tcBorders>
          </w:tcPr>
          <w:p>
            <w:pPr>
              <w:pStyle w:val="TableParagraph"/>
              <w:spacing w:before="7"/>
              <w:ind w:left="479" w:right="359"/>
              <w:rPr>
                <w:sz w:val="24"/>
              </w:rPr>
            </w:pPr>
            <w:r>
              <w:rPr>
                <w:sz w:val="24"/>
              </w:rPr>
              <w:t>39</w:t>
            </w:r>
          </w:p>
        </w:tc>
        <w:tc>
          <w:tcPr>
            <w:tcW w:w="1355" w:type="dxa"/>
            <w:tcBorders>
              <w:top w:val="nil"/>
              <w:left w:val="nil"/>
              <w:bottom w:val="double" w:sz="4" w:space="0" w:color="000000"/>
              <w:right w:val="nil"/>
            </w:tcBorders>
          </w:tcPr>
          <w:p>
            <w:pPr>
              <w:pStyle w:val="TableParagraph"/>
              <w:spacing w:before="7"/>
              <w:ind w:left="357" w:right="353"/>
              <w:rPr>
                <w:sz w:val="24"/>
              </w:rPr>
            </w:pPr>
            <w:r>
              <w:rPr>
                <w:sz w:val="24"/>
              </w:rPr>
              <w:t>2.1</w:t>
            </w:r>
          </w:p>
        </w:tc>
        <w:tc>
          <w:tcPr>
            <w:tcW w:w="1358" w:type="dxa"/>
            <w:tcBorders>
              <w:top w:val="nil"/>
              <w:left w:val="nil"/>
              <w:bottom w:val="double" w:sz="4" w:space="0" w:color="000000"/>
              <w:right w:val="nil"/>
            </w:tcBorders>
          </w:tcPr>
          <w:p>
            <w:pPr>
              <w:pStyle w:val="TableParagraph"/>
              <w:spacing w:before="7"/>
              <w:ind w:left="358" w:right="358"/>
              <w:rPr>
                <w:sz w:val="24"/>
              </w:rPr>
            </w:pPr>
            <w:r>
              <w:rPr>
                <w:sz w:val="24"/>
              </w:rPr>
              <w:t>36.9</w:t>
            </w:r>
          </w:p>
        </w:tc>
        <w:tc>
          <w:tcPr>
            <w:tcW w:w="1318" w:type="dxa"/>
            <w:tcBorders>
              <w:top w:val="nil"/>
              <w:left w:val="nil"/>
              <w:bottom w:val="double" w:sz="4" w:space="0" w:color="000000"/>
              <w:right w:val="nil"/>
            </w:tcBorders>
          </w:tcPr>
          <w:p>
            <w:pPr>
              <w:pStyle w:val="TableParagraph"/>
              <w:spacing w:before="7"/>
              <w:ind w:left="358" w:right="317"/>
              <w:rPr>
                <w:sz w:val="24"/>
              </w:rPr>
            </w:pPr>
            <w:r>
              <w:rPr>
                <w:sz w:val="24"/>
              </w:rPr>
              <w:t>1.2</w:t>
            </w:r>
          </w:p>
        </w:tc>
        <w:tc>
          <w:tcPr>
            <w:tcW w:w="1394" w:type="dxa"/>
            <w:tcBorders>
              <w:top w:val="nil"/>
              <w:left w:val="nil"/>
              <w:bottom w:val="double" w:sz="4" w:space="0" w:color="000000"/>
              <w:right w:val="nil"/>
            </w:tcBorders>
          </w:tcPr>
          <w:p>
            <w:pPr>
              <w:pStyle w:val="TableParagraph"/>
              <w:spacing w:before="7"/>
              <w:ind w:left="318" w:right="281"/>
              <w:rPr>
                <w:sz w:val="24"/>
              </w:rPr>
            </w:pPr>
            <w:r>
              <w:rPr>
                <w:sz w:val="24"/>
              </w:rPr>
              <w:t>0.6</w:t>
            </w:r>
          </w:p>
        </w:tc>
      </w:tr>
    </w:tbl>
    <w:p>
      <w:pPr>
        <w:spacing w:line="480" w:lineRule="auto" w:before="0"/>
        <w:ind w:left="139" w:right="295" w:firstLine="0"/>
        <w:jc w:val="left"/>
        <w:rPr>
          <w:sz w:val="18"/>
        </w:rPr>
      </w:pPr>
      <w:r>
        <w:rPr>
          <w:sz w:val="18"/>
        </w:rPr>
        <w:t>TPs: total phenols, </w:t>
      </w:r>
      <w:r>
        <w:rPr>
          <w:spacing w:val="-3"/>
          <w:sz w:val="18"/>
        </w:rPr>
        <w:t>NPTs: </w:t>
      </w:r>
      <w:r>
        <w:rPr>
          <w:sz w:val="18"/>
        </w:rPr>
        <w:t>non-phenolic tannins, </w:t>
      </w:r>
      <w:r>
        <w:rPr>
          <w:spacing w:val="-3"/>
          <w:sz w:val="18"/>
        </w:rPr>
        <w:t>TTs: </w:t>
      </w:r>
      <w:r>
        <w:rPr>
          <w:sz w:val="18"/>
        </w:rPr>
        <w:t>total tannins, </w:t>
      </w:r>
      <w:r>
        <w:rPr>
          <w:spacing w:val="-3"/>
          <w:sz w:val="18"/>
        </w:rPr>
        <w:t>CTs: condensed </w:t>
      </w:r>
      <w:r>
        <w:rPr>
          <w:sz w:val="18"/>
        </w:rPr>
        <w:t>tannins, </w:t>
      </w:r>
      <w:r>
        <w:rPr>
          <w:spacing w:val="-3"/>
          <w:sz w:val="18"/>
        </w:rPr>
        <w:t>FBCTs: </w:t>
      </w:r>
      <w:r>
        <w:rPr>
          <w:sz w:val="18"/>
        </w:rPr>
        <w:t>fiber- bound condensed</w:t>
      </w:r>
      <w:r>
        <w:rPr>
          <w:spacing w:val="-7"/>
          <w:sz w:val="18"/>
        </w:rPr>
        <w:t> </w:t>
      </w:r>
      <w:r>
        <w:rPr>
          <w:sz w:val="18"/>
        </w:rPr>
        <w:t>tannins.</w:t>
      </w:r>
    </w:p>
    <w:p>
      <w:pPr>
        <w:spacing w:after="0" w:line="480" w:lineRule="auto"/>
        <w:jc w:val="left"/>
        <w:rPr>
          <w:sz w:val="18"/>
        </w:rPr>
        <w:sectPr>
          <w:pgSz w:w="12240" w:h="15840"/>
          <w:pgMar w:header="0" w:footer="1478" w:top="1360" w:bottom="1660" w:left="1560" w:right="1400"/>
        </w:sectPr>
      </w:pPr>
    </w:p>
    <w:p>
      <w:pPr>
        <w:pStyle w:val="BodyText"/>
        <w:spacing w:before="52"/>
        <w:ind w:left="179" w:right="99"/>
      </w:pPr>
      <w:r>
        <w:rPr/>
        <w:t>Table 2. Chemical composition of the six tanniferous species and the base diet.</w:t>
      </w:r>
    </w:p>
    <w:p>
      <w:pPr>
        <w:pStyle w:val="BodyText"/>
        <w:rPr>
          <w:sz w:val="20"/>
        </w:rPr>
      </w:pPr>
    </w:p>
    <w:p>
      <w:pPr>
        <w:pStyle w:val="BodyText"/>
        <w:spacing w:before="6"/>
        <w:rPr>
          <w:sz w:val="18"/>
        </w:rPr>
      </w:pPr>
    </w:p>
    <w:tbl>
      <w:tblPr>
        <w:tblW w:w="0" w:type="auto"/>
        <w:jc w:val="left"/>
        <w:tblInd w:w="10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849"/>
        <w:gridCol w:w="1261"/>
        <w:gridCol w:w="1443"/>
        <w:gridCol w:w="1491"/>
        <w:gridCol w:w="1355"/>
        <w:gridCol w:w="1470"/>
      </w:tblGrid>
      <w:tr>
        <w:trPr>
          <w:trHeight w:val="478" w:hRule="exact"/>
        </w:trPr>
        <w:tc>
          <w:tcPr>
            <w:tcW w:w="1849" w:type="dxa"/>
            <w:tcBorders>
              <w:left w:val="nil"/>
              <w:bottom w:val="nil"/>
              <w:right w:val="nil"/>
            </w:tcBorders>
          </w:tcPr>
          <w:p>
            <w:pPr/>
          </w:p>
        </w:tc>
        <w:tc>
          <w:tcPr>
            <w:tcW w:w="1261" w:type="dxa"/>
            <w:tcBorders>
              <w:left w:val="nil"/>
              <w:bottom w:val="nil"/>
              <w:right w:val="nil"/>
            </w:tcBorders>
          </w:tcPr>
          <w:p>
            <w:pPr>
              <w:pStyle w:val="TableParagraph"/>
              <w:spacing w:before="111"/>
              <w:ind w:left="403" w:right="485"/>
              <w:rPr>
                <w:sz w:val="24"/>
              </w:rPr>
            </w:pPr>
            <w:r>
              <w:rPr>
                <w:sz w:val="24"/>
              </w:rPr>
              <w:t>CP</w:t>
            </w:r>
          </w:p>
        </w:tc>
        <w:tc>
          <w:tcPr>
            <w:tcW w:w="1443" w:type="dxa"/>
            <w:tcBorders>
              <w:left w:val="nil"/>
              <w:bottom w:val="nil"/>
              <w:right w:val="nil"/>
            </w:tcBorders>
          </w:tcPr>
          <w:p>
            <w:pPr>
              <w:pStyle w:val="TableParagraph"/>
              <w:spacing w:before="111"/>
              <w:ind w:left="285" w:right="290"/>
              <w:rPr>
                <w:sz w:val="24"/>
              </w:rPr>
            </w:pPr>
            <w:r>
              <w:rPr>
                <w:sz w:val="24"/>
              </w:rPr>
              <w:t>NDFom</w:t>
            </w:r>
          </w:p>
        </w:tc>
        <w:tc>
          <w:tcPr>
            <w:tcW w:w="1491" w:type="dxa"/>
            <w:tcBorders>
              <w:left w:val="nil"/>
              <w:bottom w:val="nil"/>
              <w:right w:val="nil"/>
            </w:tcBorders>
          </w:tcPr>
          <w:p>
            <w:pPr>
              <w:pStyle w:val="TableParagraph"/>
              <w:spacing w:before="111"/>
              <w:ind w:left="310"/>
              <w:jc w:val="left"/>
              <w:rPr>
                <w:sz w:val="24"/>
              </w:rPr>
            </w:pPr>
            <w:r>
              <w:rPr>
                <w:sz w:val="24"/>
              </w:rPr>
              <w:t>ADFom</w:t>
            </w:r>
          </w:p>
        </w:tc>
        <w:tc>
          <w:tcPr>
            <w:tcW w:w="1355" w:type="dxa"/>
            <w:tcBorders>
              <w:left w:val="nil"/>
              <w:bottom w:val="nil"/>
              <w:right w:val="nil"/>
            </w:tcBorders>
          </w:tcPr>
          <w:p>
            <w:pPr>
              <w:pStyle w:val="TableParagraph"/>
              <w:spacing w:before="111"/>
              <w:ind w:left="340" w:right="364"/>
              <w:rPr>
                <w:sz w:val="24"/>
              </w:rPr>
            </w:pPr>
            <w:r>
              <w:rPr>
                <w:sz w:val="24"/>
              </w:rPr>
              <w:t>EE</w:t>
            </w:r>
          </w:p>
        </w:tc>
        <w:tc>
          <w:tcPr>
            <w:tcW w:w="1470" w:type="dxa"/>
            <w:tcBorders>
              <w:left w:val="nil"/>
              <w:bottom w:val="nil"/>
              <w:right w:val="nil"/>
            </w:tcBorders>
          </w:tcPr>
          <w:p>
            <w:pPr>
              <w:pStyle w:val="TableParagraph"/>
              <w:spacing w:before="111"/>
              <w:ind w:left="362" w:right="329"/>
              <w:rPr>
                <w:sz w:val="24"/>
              </w:rPr>
            </w:pPr>
            <w:r>
              <w:rPr>
                <w:sz w:val="24"/>
              </w:rPr>
              <w:t>Ashes</w:t>
            </w:r>
          </w:p>
        </w:tc>
      </w:tr>
      <w:tr>
        <w:trPr>
          <w:trHeight w:val="358" w:hRule="exact"/>
        </w:trPr>
        <w:tc>
          <w:tcPr>
            <w:tcW w:w="6045" w:type="dxa"/>
            <w:gridSpan w:val="4"/>
            <w:tcBorders>
              <w:top w:val="nil"/>
              <w:left w:val="nil"/>
              <w:bottom w:val="nil"/>
              <w:right w:val="nil"/>
            </w:tcBorders>
          </w:tcPr>
          <w:p>
            <w:pPr>
              <w:pStyle w:val="TableParagraph"/>
              <w:tabs>
                <w:tab w:pos="4878" w:val="left" w:leader="none"/>
                <w:tab w:pos="8869" w:val="left" w:leader="none"/>
              </w:tabs>
              <w:spacing w:before="44"/>
              <w:ind w:right="-2825"/>
              <w:jc w:val="left"/>
              <w:rPr>
                <w:sz w:val="24"/>
              </w:rPr>
            </w:pPr>
            <w:r>
              <w:rPr>
                <w:w w:val="100"/>
                <w:sz w:val="24"/>
                <w:u w:val="single"/>
              </w:rPr>
              <w:t> </w:t>
            </w:r>
            <w:r>
              <w:rPr>
                <w:sz w:val="24"/>
                <w:u w:val="single"/>
              </w:rPr>
              <w:tab/>
              <w:t>g/kg</w:t>
            </w:r>
            <w:r>
              <w:rPr>
                <w:spacing w:val="-3"/>
                <w:sz w:val="24"/>
                <w:u w:val="single"/>
              </w:rPr>
              <w:t> </w:t>
            </w:r>
            <w:r>
              <w:rPr>
                <w:sz w:val="24"/>
                <w:u w:val="single"/>
              </w:rPr>
              <w:t>MS</w:t>
              <w:tab/>
            </w:r>
          </w:p>
        </w:tc>
        <w:tc>
          <w:tcPr>
            <w:tcW w:w="1355" w:type="dxa"/>
            <w:tcBorders>
              <w:top w:val="nil"/>
              <w:left w:val="nil"/>
              <w:bottom w:val="nil"/>
              <w:right w:val="nil"/>
            </w:tcBorders>
          </w:tcPr>
          <w:p>
            <w:pPr/>
          </w:p>
        </w:tc>
        <w:tc>
          <w:tcPr>
            <w:tcW w:w="1470" w:type="dxa"/>
            <w:tcBorders>
              <w:top w:val="nil"/>
              <w:left w:val="nil"/>
              <w:bottom w:val="nil"/>
              <w:right w:val="nil"/>
            </w:tcBorders>
          </w:tcPr>
          <w:p>
            <w:pPr/>
          </w:p>
        </w:tc>
      </w:tr>
      <w:tr>
        <w:trPr>
          <w:trHeight w:val="314" w:hRule="exact"/>
        </w:trPr>
        <w:tc>
          <w:tcPr>
            <w:tcW w:w="1849" w:type="dxa"/>
            <w:tcBorders>
              <w:top w:val="nil"/>
              <w:left w:val="nil"/>
              <w:bottom w:val="nil"/>
              <w:right w:val="nil"/>
            </w:tcBorders>
          </w:tcPr>
          <w:p>
            <w:pPr>
              <w:pStyle w:val="TableParagraph"/>
              <w:spacing w:before="12"/>
              <w:ind w:left="71"/>
              <w:jc w:val="left"/>
              <w:rPr>
                <w:sz w:val="24"/>
              </w:rPr>
            </w:pPr>
            <w:r>
              <w:rPr>
                <w:sz w:val="24"/>
              </w:rPr>
              <w:t>Base diet</w:t>
            </w:r>
          </w:p>
        </w:tc>
        <w:tc>
          <w:tcPr>
            <w:tcW w:w="1261" w:type="dxa"/>
            <w:tcBorders>
              <w:top w:val="nil"/>
              <w:left w:val="nil"/>
              <w:bottom w:val="nil"/>
              <w:right w:val="nil"/>
            </w:tcBorders>
          </w:tcPr>
          <w:p>
            <w:pPr>
              <w:pStyle w:val="TableParagraph"/>
              <w:spacing w:before="12"/>
              <w:ind w:right="301"/>
              <w:jc w:val="right"/>
              <w:rPr>
                <w:sz w:val="24"/>
              </w:rPr>
            </w:pPr>
            <w:r>
              <w:rPr>
                <w:sz w:val="24"/>
              </w:rPr>
              <w:t>106.13</w:t>
            </w:r>
          </w:p>
        </w:tc>
        <w:tc>
          <w:tcPr>
            <w:tcW w:w="1443" w:type="dxa"/>
            <w:tcBorders>
              <w:top w:val="nil"/>
              <w:left w:val="nil"/>
              <w:bottom w:val="nil"/>
              <w:right w:val="nil"/>
            </w:tcBorders>
          </w:tcPr>
          <w:p>
            <w:pPr>
              <w:pStyle w:val="TableParagraph"/>
              <w:spacing w:before="12"/>
              <w:ind w:left="285" w:right="285"/>
              <w:rPr>
                <w:sz w:val="24"/>
              </w:rPr>
            </w:pPr>
            <w:r>
              <w:rPr>
                <w:sz w:val="24"/>
              </w:rPr>
              <w:t>444.69</w:t>
            </w:r>
          </w:p>
        </w:tc>
        <w:tc>
          <w:tcPr>
            <w:tcW w:w="1491" w:type="dxa"/>
            <w:tcBorders>
              <w:top w:val="nil"/>
              <w:left w:val="nil"/>
              <w:bottom w:val="nil"/>
              <w:right w:val="nil"/>
            </w:tcBorders>
          </w:tcPr>
          <w:p>
            <w:pPr>
              <w:pStyle w:val="TableParagraph"/>
              <w:spacing w:before="12"/>
              <w:ind w:left="349"/>
              <w:jc w:val="left"/>
              <w:rPr>
                <w:sz w:val="24"/>
              </w:rPr>
            </w:pPr>
            <w:r>
              <w:rPr>
                <w:sz w:val="24"/>
              </w:rPr>
              <w:t>195.24</w:t>
            </w:r>
          </w:p>
        </w:tc>
        <w:tc>
          <w:tcPr>
            <w:tcW w:w="1355" w:type="dxa"/>
            <w:tcBorders>
              <w:top w:val="nil"/>
              <w:left w:val="nil"/>
              <w:bottom w:val="nil"/>
              <w:right w:val="nil"/>
            </w:tcBorders>
          </w:tcPr>
          <w:p>
            <w:pPr>
              <w:pStyle w:val="TableParagraph"/>
              <w:spacing w:before="12"/>
              <w:ind w:left="348" w:right="364"/>
              <w:rPr>
                <w:sz w:val="24"/>
              </w:rPr>
            </w:pPr>
            <w:r>
              <w:rPr>
                <w:sz w:val="24"/>
              </w:rPr>
              <w:t>13.28</w:t>
            </w:r>
          </w:p>
        </w:tc>
        <w:tc>
          <w:tcPr>
            <w:tcW w:w="1470" w:type="dxa"/>
            <w:tcBorders>
              <w:top w:val="nil"/>
              <w:left w:val="nil"/>
              <w:bottom w:val="nil"/>
              <w:right w:val="nil"/>
            </w:tcBorders>
          </w:tcPr>
          <w:p>
            <w:pPr>
              <w:pStyle w:val="TableParagraph"/>
              <w:spacing w:before="12"/>
              <w:ind w:left="366" w:right="329"/>
              <w:rPr>
                <w:sz w:val="24"/>
              </w:rPr>
            </w:pPr>
            <w:r>
              <w:rPr>
                <w:sz w:val="24"/>
              </w:rPr>
              <w:t>68.80</w:t>
            </w:r>
          </w:p>
        </w:tc>
      </w:tr>
      <w:tr>
        <w:trPr>
          <w:trHeight w:val="300" w:hRule="exact"/>
        </w:trPr>
        <w:tc>
          <w:tcPr>
            <w:tcW w:w="1849" w:type="dxa"/>
            <w:tcBorders>
              <w:top w:val="nil"/>
              <w:left w:val="nil"/>
              <w:bottom w:val="nil"/>
              <w:right w:val="nil"/>
            </w:tcBorders>
          </w:tcPr>
          <w:p>
            <w:pPr>
              <w:pStyle w:val="TableParagraph"/>
              <w:ind w:left="71"/>
              <w:jc w:val="left"/>
              <w:rPr>
                <w:i/>
                <w:sz w:val="24"/>
              </w:rPr>
            </w:pPr>
            <w:r>
              <w:rPr>
                <w:i/>
                <w:sz w:val="24"/>
              </w:rPr>
              <w:t>C. sulphureus</w:t>
            </w:r>
          </w:p>
        </w:tc>
        <w:tc>
          <w:tcPr>
            <w:tcW w:w="1261" w:type="dxa"/>
            <w:tcBorders>
              <w:top w:val="nil"/>
              <w:left w:val="nil"/>
              <w:bottom w:val="nil"/>
              <w:right w:val="nil"/>
            </w:tcBorders>
          </w:tcPr>
          <w:p>
            <w:pPr>
              <w:pStyle w:val="TableParagraph"/>
              <w:ind w:right="301"/>
              <w:jc w:val="right"/>
              <w:rPr>
                <w:sz w:val="24"/>
              </w:rPr>
            </w:pPr>
            <w:r>
              <w:rPr>
                <w:sz w:val="24"/>
              </w:rPr>
              <w:t>137.51</w:t>
            </w:r>
          </w:p>
        </w:tc>
        <w:tc>
          <w:tcPr>
            <w:tcW w:w="1443" w:type="dxa"/>
            <w:tcBorders>
              <w:top w:val="nil"/>
              <w:left w:val="nil"/>
              <w:bottom w:val="nil"/>
              <w:right w:val="nil"/>
            </w:tcBorders>
          </w:tcPr>
          <w:p>
            <w:pPr>
              <w:pStyle w:val="TableParagraph"/>
              <w:ind w:left="285" w:right="285"/>
              <w:rPr>
                <w:sz w:val="24"/>
              </w:rPr>
            </w:pPr>
            <w:r>
              <w:rPr>
                <w:sz w:val="24"/>
              </w:rPr>
              <w:t>335.39</w:t>
            </w:r>
          </w:p>
        </w:tc>
        <w:tc>
          <w:tcPr>
            <w:tcW w:w="1491" w:type="dxa"/>
            <w:tcBorders>
              <w:top w:val="nil"/>
              <w:left w:val="nil"/>
              <w:bottom w:val="nil"/>
              <w:right w:val="nil"/>
            </w:tcBorders>
          </w:tcPr>
          <w:p>
            <w:pPr>
              <w:pStyle w:val="TableParagraph"/>
              <w:ind w:left="349"/>
              <w:jc w:val="left"/>
              <w:rPr>
                <w:sz w:val="24"/>
              </w:rPr>
            </w:pPr>
            <w:r>
              <w:rPr>
                <w:sz w:val="24"/>
              </w:rPr>
              <w:t>266.74</w:t>
            </w:r>
          </w:p>
        </w:tc>
        <w:tc>
          <w:tcPr>
            <w:tcW w:w="1355" w:type="dxa"/>
            <w:tcBorders>
              <w:top w:val="nil"/>
              <w:left w:val="nil"/>
              <w:bottom w:val="nil"/>
              <w:right w:val="nil"/>
            </w:tcBorders>
          </w:tcPr>
          <w:p>
            <w:pPr>
              <w:pStyle w:val="TableParagraph"/>
              <w:ind w:left="348" w:right="364"/>
              <w:rPr>
                <w:sz w:val="24"/>
              </w:rPr>
            </w:pPr>
            <w:r>
              <w:rPr>
                <w:sz w:val="24"/>
              </w:rPr>
              <w:t>12.09</w:t>
            </w:r>
          </w:p>
        </w:tc>
        <w:tc>
          <w:tcPr>
            <w:tcW w:w="1470" w:type="dxa"/>
            <w:tcBorders>
              <w:top w:val="nil"/>
              <w:left w:val="nil"/>
              <w:bottom w:val="nil"/>
              <w:right w:val="nil"/>
            </w:tcBorders>
          </w:tcPr>
          <w:p>
            <w:pPr>
              <w:pStyle w:val="TableParagraph"/>
              <w:ind w:left="366" w:right="329"/>
              <w:rPr>
                <w:sz w:val="24"/>
              </w:rPr>
            </w:pPr>
            <w:r>
              <w:rPr>
                <w:sz w:val="24"/>
              </w:rPr>
              <w:t>88.80</w:t>
            </w:r>
          </w:p>
        </w:tc>
      </w:tr>
      <w:tr>
        <w:trPr>
          <w:trHeight w:val="300" w:hRule="exact"/>
        </w:trPr>
        <w:tc>
          <w:tcPr>
            <w:tcW w:w="1849" w:type="dxa"/>
            <w:tcBorders>
              <w:top w:val="nil"/>
              <w:left w:val="nil"/>
              <w:bottom w:val="nil"/>
              <w:right w:val="nil"/>
            </w:tcBorders>
          </w:tcPr>
          <w:p>
            <w:pPr>
              <w:pStyle w:val="TableParagraph"/>
              <w:spacing w:line="274" w:lineRule="exact"/>
              <w:ind w:left="71"/>
              <w:jc w:val="left"/>
              <w:rPr>
                <w:i/>
                <w:sz w:val="24"/>
              </w:rPr>
            </w:pPr>
            <w:r>
              <w:rPr>
                <w:i/>
                <w:sz w:val="24"/>
              </w:rPr>
              <w:t>C. bipinnatus</w:t>
            </w:r>
          </w:p>
        </w:tc>
        <w:tc>
          <w:tcPr>
            <w:tcW w:w="1261" w:type="dxa"/>
            <w:tcBorders>
              <w:top w:val="nil"/>
              <w:left w:val="nil"/>
              <w:bottom w:val="nil"/>
              <w:right w:val="nil"/>
            </w:tcBorders>
          </w:tcPr>
          <w:p>
            <w:pPr>
              <w:pStyle w:val="TableParagraph"/>
              <w:spacing w:line="274" w:lineRule="exact"/>
              <w:ind w:right="301"/>
              <w:jc w:val="right"/>
              <w:rPr>
                <w:sz w:val="24"/>
              </w:rPr>
            </w:pPr>
            <w:r>
              <w:rPr>
                <w:sz w:val="24"/>
              </w:rPr>
              <w:t>137.36</w:t>
            </w:r>
          </w:p>
        </w:tc>
        <w:tc>
          <w:tcPr>
            <w:tcW w:w="1443" w:type="dxa"/>
            <w:tcBorders>
              <w:top w:val="nil"/>
              <w:left w:val="nil"/>
              <w:bottom w:val="nil"/>
              <w:right w:val="nil"/>
            </w:tcBorders>
          </w:tcPr>
          <w:p>
            <w:pPr>
              <w:pStyle w:val="TableParagraph"/>
              <w:spacing w:line="274" w:lineRule="exact"/>
              <w:ind w:left="285" w:right="285"/>
              <w:rPr>
                <w:sz w:val="24"/>
              </w:rPr>
            </w:pPr>
            <w:r>
              <w:rPr>
                <w:sz w:val="24"/>
              </w:rPr>
              <w:t>455.26</w:t>
            </w:r>
          </w:p>
        </w:tc>
        <w:tc>
          <w:tcPr>
            <w:tcW w:w="1491" w:type="dxa"/>
            <w:tcBorders>
              <w:top w:val="nil"/>
              <w:left w:val="nil"/>
              <w:bottom w:val="nil"/>
              <w:right w:val="nil"/>
            </w:tcBorders>
          </w:tcPr>
          <w:p>
            <w:pPr>
              <w:pStyle w:val="TableParagraph"/>
              <w:spacing w:line="274" w:lineRule="exact"/>
              <w:ind w:left="349"/>
              <w:jc w:val="left"/>
              <w:rPr>
                <w:sz w:val="24"/>
              </w:rPr>
            </w:pPr>
            <w:r>
              <w:rPr>
                <w:sz w:val="24"/>
              </w:rPr>
              <w:t>317.25</w:t>
            </w:r>
          </w:p>
        </w:tc>
        <w:tc>
          <w:tcPr>
            <w:tcW w:w="1355" w:type="dxa"/>
            <w:tcBorders>
              <w:top w:val="nil"/>
              <w:left w:val="nil"/>
              <w:bottom w:val="nil"/>
              <w:right w:val="nil"/>
            </w:tcBorders>
          </w:tcPr>
          <w:p>
            <w:pPr>
              <w:pStyle w:val="TableParagraph"/>
              <w:spacing w:line="274" w:lineRule="exact"/>
              <w:ind w:left="348" w:right="364"/>
              <w:rPr>
                <w:sz w:val="24"/>
              </w:rPr>
            </w:pPr>
            <w:r>
              <w:rPr>
                <w:sz w:val="24"/>
              </w:rPr>
              <w:t>24.38</w:t>
            </w:r>
          </w:p>
        </w:tc>
        <w:tc>
          <w:tcPr>
            <w:tcW w:w="1470" w:type="dxa"/>
            <w:tcBorders>
              <w:top w:val="nil"/>
              <w:left w:val="nil"/>
              <w:bottom w:val="nil"/>
              <w:right w:val="nil"/>
            </w:tcBorders>
          </w:tcPr>
          <w:p>
            <w:pPr>
              <w:pStyle w:val="TableParagraph"/>
              <w:spacing w:line="274" w:lineRule="exact"/>
              <w:ind w:left="366" w:right="329"/>
              <w:rPr>
                <w:sz w:val="24"/>
              </w:rPr>
            </w:pPr>
            <w:r>
              <w:rPr>
                <w:sz w:val="24"/>
              </w:rPr>
              <w:t>87.80</w:t>
            </w:r>
          </w:p>
        </w:tc>
      </w:tr>
      <w:tr>
        <w:trPr>
          <w:trHeight w:val="300" w:hRule="exact"/>
        </w:trPr>
        <w:tc>
          <w:tcPr>
            <w:tcW w:w="1849" w:type="dxa"/>
            <w:tcBorders>
              <w:top w:val="nil"/>
              <w:left w:val="nil"/>
              <w:bottom w:val="nil"/>
              <w:right w:val="nil"/>
            </w:tcBorders>
          </w:tcPr>
          <w:p>
            <w:pPr>
              <w:pStyle w:val="TableParagraph"/>
              <w:ind w:left="71"/>
              <w:jc w:val="left"/>
              <w:rPr>
                <w:i/>
                <w:sz w:val="24"/>
              </w:rPr>
            </w:pPr>
            <w:r>
              <w:rPr>
                <w:i/>
                <w:sz w:val="24"/>
              </w:rPr>
              <w:t>T. lucida</w:t>
            </w:r>
          </w:p>
        </w:tc>
        <w:tc>
          <w:tcPr>
            <w:tcW w:w="1261" w:type="dxa"/>
            <w:tcBorders>
              <w:top w:val="nil"/>
              <w:left w:val="nil"/>
              <w:bottom w:val="nil"/>
              <w:right w:val="nil"/>
            </w:tcBorders>
          </w:tcPr>
          <w:p>
            <w:pPr>
              <w:pStyle w:val="TableParagraph"/>
              <w:ind w:right="368"/>
              <w:jc w:val="right"/>
              <w:rPr>
                <w:sz w:val="24"/>
              </w:rPr>
            </w:pPr>
            <w:r>
              <w:rPr>
                <w:sz w:val="24"/>
              </w:rPr>
              <w:t>85.06</w:t>
            </w:r>
          </w:p>
        </w:tc>
        <w:tc>
          <w:tcPr>
            <w:tcW w:w="1443" w:type="dxa"/>
            <w:tcBorders>
              <w:top w:val="nil"/>
              <w:left w:val="nil"/>
              <w:bottom w:val="nil"/>
              <w:right w:val="nil"/>
            </w:tcBorders>
          </w:tcPr>
          <w:p>
            <w:pPr>
              <w:pStyle w:val="TableParagraph"/>
              <w:ind w:left="285" w:right="285"/>
              <w:rPr>
                <w:sz w:val="24"/>
              </w:rPr>
            </w:pPr>
            <w:r>
              <w:rPr>
                <w:sz w:val="24"/>
              </w:rPr>
              <w:t>426.59</w:t>
            </w:r>
          </w:p>
        </w:tc>
        <w:tc>
          <w:tcPr>
            <w:tcW w:w="1491" w:type="dxa"/>
            <w:tcBorders>
              <w:top w:val="nil"/>
              <w:left w:val="nil"/>
              <w:bottom w:val="nil"/>
              <w:right w:val="nil"/>
            </w:tcBorders>
          </w:tcPr>
          <w:p>
            <w:pPr>
              <w:pStyle w:val="TableParagraph"/>
              <w:ind w:left="349"/>
              <w:jc w:val="left"/>
              <w:rPr>
                <w:sz w:val="24"/>
              </w:rPr>
            </w:pPr>
            <w:r>
              <w:rPr>
                <w:sz w:val="24"/>
              </w:rPr>
              <w:t>296.40</w:t>
            </w:r>
          </w:p>
        </w:tc>
        <w:tc>
          <w:tcPr>
            <w:tcW w:w="1355" w:type="dxa"/>
            <w:tcBorders>
              <w:top w:val="nil"/>
              <w:left w:val="nil"/>
              <w:bottom w:val="nil"/>
              <w:right w:val="nil"/>
            </w:tcBorders>
          </w:tcPr>
          <w:p>
            <w:pPr>
              <w:pStyle w:val="TableParagraph"/>
              <w:ind w:left="348" w:right="364"/>
              <w:rPr>
                <w:sz w:val="24"/>
              </w:rPr>
            </w:pPr>
            <w:r>
              <w:rPr>
                <w:sz w:val="24"/>
              </w:rPr>
              <w:t>15.17</w:t>
            </w:r>
          </w:p>
        </w:tc>
        <w:tc>
          <w:tcPr>
            <w:tcW w:w="1470" w:type="dxa"/>
            <w:tcBorders>
              <w:top w:val="nil"/>
              <w:left w:val="nil"/>
              <w:bottom w:val="nil"/>
              <w:right w:val="nil"/>
            </w:tcBorders>
          </w:tcPr>
          <w:p>
            <w:pPr>
              <w:pStyle w:val="TableParagraph"/>
              <w:ind w:left="366" w:right="329"/>
              <w:rPr>
                <w:sz w:val="24"/>
              </w:rPr>
            </w:pPr>
            <w:r>
              <w:rPr>
                <w:sz w:val="24"/>
              </w:rPr>
              <w:t>72.65</w:t>
            </w:r>
          </w:p>
        </w:tc>
      </w:tr>
      <w:tr>
        <w:trPr>
          <w:trHeight w:val="300" w:hRule="exact"/>
        </w:trPr>
        <w:tc>
          <w:tcPr>
            <w:tcW w:w="1849" w:type="dxa"/>
            <w:tcBorders>
              <w:top w:val="nil"/>
              <w:left w:val="nil"/>
              <w:bottom w:val="nil"/>
              <w:right w:val="nil"/>
            </w:tcBorders>
          </w:tcPr>
          <w:p>
            <w:pPr>
              <w:pStyle w:val="TableParagraph"/>
              <w:spacing w:line="274" w:lineRule="exact"/>
              <w:ind w:left="71"/>
              <w:jc w:val="left"/>
              <w:rPr>
                <w:i/>
                <w:sz w:val="24"/>
              </w:rPr>
            </w:pPr>
            <w:r>
              <w:rPr>
                <w:i/>
                <w:sz w:val="24"/>
              </w:rPr>
              <w:t>T. erecta</w:t>
            </w:r>
          </w:p>
        </w:tc>
        <w:tc>
          <w:tcPr>
            <w:tcW w:w="1261" w:type="dxa"/>
            <w:tcBorders>
              <w:top w:val="nil"/>
              <w:left w:val="nil"/>
              <w:bottom w:val="nil"/>
              <w:right w:val="nil"/>
            </w:tcBorders>
          </w:tcPr>
          <w:p>
            <w:pPr>
              <w:pStyle w:val="TableParagraph"/>
              <w:spacing w:line="274" w:lineRule="exact"/>
              <w:ind w:right="301"/>
              <w:jc w:val="right"/>
              <w:rPr>
                <w:sz w:val="24"/>
              </w:rPr>
            </w:pPr>
            <w:r>
              <w:rPr>
                <w:sz w:val="24"/>
              </w:rPr>
              <w:t>117.76</w:t>
            </w:r>
          </w:p>
        </w:tc>
        <w:tc>
          <w:tcPr>
            <w:tcW w:w="1443" w:type="dxa"/>
            <w:tcBorders>
              <w:top w:val="nil"/>
              <w:left w:val="nil"/>
              <w:bottom w:val="nil"/>
              <w:right w:val="nil"/>
            </w:tcBorders>
          </w:tcPr>
          <w:p>
            <w:pPr>
              <w:pStyle w:val="TableParagraph"/>
              <w:spacing w:line="274" w:lineRule="exact"/>
              <w:ind w:left="285" w:right="285"/>
              <w:rPr>
                <w:sz w:val="24"/>
              </w:rPr>
            </w:pPr>
            <w:r>
              <w:rPr>
                <w:sz w:val="24"/>
              </w:rPr>
              <w:t>244.63</w:t>
            </w:r>
          </w:p>
        </w:tc>
        <w:tc>
          <w:tcPr>
            <w:tcW w:w="1491" w:type="dxa"/>
            <w:tcBorders>
              <w:top w:val="nil"/>
              <w:left w:val="nil"/>
              <w:bottom w:val="nil"/>
              <w:right w:val="nil"/>
            </w:tcBorders>
          </w:tcPr>
          <w:p>
            <w:pPr>
              <w:pStyle w:val="TableParagraph"/>
              <w:spacing w:line="274" w:lineRule="exact"/>
              <w:ind w:left="349"/>
              <w:jc w:val="left"/>
              <w:rPr>
                <w:sz w:val="24"/>
              </w:rPr>
            </w:pPr>
            <w:r>
              <w:rPr>
                <w:sz w:val="24"/>
              </w:rPr>
              <w:t>174.32</w:t>
            </w:r>
          </w:p>
        </w:tc>
        <w:tc>
          <w:tcPr>
            <w:tcW w:w="1355" w:type="dxa"/>
            <w:tcBorders>
              <w:top w:val="nil"/>
              <w:left w:val="nil"/>
              <w:bottom w:val="nil"/>
              <w:right w:val="nil"/>
            </w:tcBorders>
          </w:tcPr>
          <w:p>
            <w:pPr>
              <w:pStyle w:val="TableParagraph"/>
              <w:spacing w:line="274" w:lineRule="exact"/>
              <w:ind w:left="348" w:right="364"/>
              <w:rPr>
                <w:sz w:val="24"/>
              </w:rPr>
            </w:pPr>
            <w:r>
              <w:rPr>
                <w:sz w:val="24"/>
              </w:rPr>
              <w:t>10.52</w:t>
            </w:r>
          </w:p>
        </w:tc>
        <w:tc>
          <w:tcPr>
            <w:tcW w:w="1470" w:type="dxa"/>
            <w:tcBorders>
              <w:top w:val="nil"/>
              <w:left w:val="nil"/>
              <w:bottom w:val="nil"/>
              <w:right w:val="nil"/>
            </w:tcBorders>
          </w:tcPr>
          <w:p>
            <w:pPr>
              <w:pStyle w:val="TableParagraph"/>
              <w:spacing w:line="274" w:lineRule="exact"/>
              <w:ind w:left="366" w:right="329"/>
              <w:rPr>
                <w:sz w:val="24"/>
              </w:rPr>
            </w:pPr>
            <w:r>
              <w:rPr>
                <w:sz w:val="24"/>
              </w:rPr>
              <w:t>100.81</w:t>
            </w:r>
          </w:p>
        </w:tc>
      </w:tr>
      <w:tr>
        <w:trPr>
          <w:trHeight w:val="307" w:hRule="exact"/>
        </w:trPr>
        <w:tc>
          <w:tcPr>
            <w:tcW w:w="1849" w:type="dxa"/>
            <w:tcBorders>
              <w:top w:val="nil"/>
              <w:left w:val="nil"/>
              <w:bottom w:val="nil"/>
              <w:right w:val="nil"/>
            </w:tcBorders>
          </w:tcPr>
          <w:p>
            <w:pPr>
              <w:pStyle w:val="TableParagraph"/>
              <w:ind w:left="71"/>
              <w:jc w:val="left"/>
              <w:rPr>
                <w:i/>
                <w:sz w:val="24"/>
              </w:rPr>
            </w:pPr>
            <w:r>
              <w:rPr>
                <w:i/>
                <w:sz w:val="24"/>
              </w:rPr>
              <w:t>M. diplotricha</w:t>
            </w:r>
          </w:p>
        </w:tc>
        <w:tc>
          <w:tcPr>
            <w:tcW w:w="1261" w:type="dxa"/>
            <w:tcBorders>
              <w:top w:val="nil"/>
              <w:left w:val="nil"/>
              <w:bottom w:val="nil"/>
              <w:right w:val="nil"/>
            </w:tcBorders>
          </w:tcPr>
          <w:p>
            <w:pPr>
              <w:pStyle w:val="TableParagraph"/>
              <w:ind w:right="301"/>
              <w:jc w:val="right"/>
              <w:rPr>
                <w:sz w:val="24"/>
              </w:rPr>
            </w:pPr>
            <w:r>
              <w:rPr>
                <w:sz w:val="24"/>
              </w:rPr>
              <w:t>167.68</w:t>
            </w:r>
          </w:p>
        </w:tc>
        <w:tc>
          <w:tcPr>
            <w:tcW w:w="1443" w:type="dxa"/>
            <w:tcBorders>
              <w:top w:val="nil"/>
              <w:left w:val="nil"/>
              <w:bottom w:val="nil"/>
              <w:right w:val="nil"/>
            </w:tcBorders>
          </w:tcPr>
          <w:p>
            <w:pPr>
              <w:pStyle w:val="TableParagraph"/>
              <w:ind w:left="285" w:right="285"/>
              <w:rPr>
                <w:sz w:val="24"/>
              </w:rPr>
            </w:pPr>
            <w:r>
              <w:rPr>
                <w:sz w:val="24"/>
              </w:rPr>
              <w:t>513.37</w:t>
            </w:r>
          </w:p>
        </w:tc>
        <w:tc>
          <w:tcPr>
            <w:tcW w:w="1491" w:type="dxa"/>
            <w:tcBorders>
              <w:top w:val="nil"/>
              <w:left w:val="nil"/>
              <w:bottom w:val="nil"/>
              <w:right w:val="nil"/>
            </w:tcBorders>
          </w:tcPr>
          <w:p>
            <w:pPr>
              <w:pStyle w:val="TableParagraph"/>
              <w:ind w:left="349"/>
              <w:jc w:val="left"/>
              <w:rPr>
                <w:sz w:val="24"/>
              </w:rPr>
            </w:pPr>
            <w:r>
              <w:rPr>
                <w:sz w:val="24"/>
              </w:rPr>
              <w:t>346.80</w:t>
            </w:r>
          </w:p>
        </w:tc>
        <w:tc>
          <w:tcPr>
            <w:tcW w:w="1355" w:type="dxa"/>
            <w:tcBorders>
              <w:top w:val="nil"/>
              <w:left w:val="nil"/>
              <w:bottom w:val="nil"/>
              <w:right w:val="nil"/>
            </w:tcBorders>
          </w:tcPr>
          <w:p>
            <w:pPr>
              <w:pStyle w:val="TableParagraph"/>
              <w:ind w:left="348" w:right="364"/>
              <w:rPr>
                <w:sz w:val="24"/>
              </w:rPr>
            </w:pPr>
            <w:r>
              <w:rPr>
                <w:sz w:val="24"/>
              </w:rPr>
              <w:t>20.83</w:t>
            </w:r>
          </w:p>
        </w:tc>
        <w:tc>
          <w:tcPr>
            <w:tcW w:w="1470" w:type="dxa"/>
            <w:tcBorders>
              <w:top w:val="nil"/>
              <w:left w:val="nil"/>
              <w:bottom w:val="nil"/>
              <w:right w:val="nil"/>
            </w:tcBorders>
          </w:tcPr>
          <w:p>
            <w:pPr>
              <w:pStyle w:val="TableParagraph"/>
              <w:ind w:left="366" w:right="329"/>
              <w:rPr>
                <w:sz w:val="24"/>
              </w:rPr>
            </w:pPr>
            <w:r>
              <w:rPr>
                <w:sz w:val="24"/>
              </w:rPr>
              <w:t>63.77</w:t>
            </w:r>
          </w:p>
        </w:tc>
      </w:tr>
      <w:tr>
        <w:trPr>
          <w:trHeight w:val="310" w:hRule="exact"/>
        </w:trPr>
        <w:tc>
          <w:tcPr>
            <w:tcW w:w="1849" w:type="dxa"/>
            <w:tcBorders>
              <w:top w:val="nil"/>
              <w:left w:val="nil"/>
              <w:right w:val="nil"/>
            </w:tcBorders>
          </w:tcPr>
          <w:p>
            <w:pPr>
              <w:pStyle w:val="TableParagraph"/>
              <w:spacing w:before="5"/>
              <w:ind w:left="71"/>
              <w:jc w:val="left"/>
              <w:rPr>
                <w:i/>
                <w:sz w:val="24"/>
              </w:rPr>
            </w:pPr>
            <w:r>
              <w:rPr>
                <w:i/>
                <w:sz w:val="24"/>
              </w:rPr>
              <w:t>M. divaricatum</w:t>
            </w:r>
          </w:p>
        </w:tc>
        <w:tc>
          <w:tcPr>
            <w:tcW w:w="1261" w:type="dxa"/>
            <w:tcBorders>
              <w:top w:val="nil"/>
              <w:left w:val="nil"/>
              <w:right w:val="nil"/>
            </w:tcBorders>
          </w:tcPr>
          <w:p>
            <w:pPr>
              <w:pStyle w:val="TableParagraph"/>
              <w:spacing w:before="5"/>
              <w:ind w:right="301"/>
              <w:jc w:val="right"/>
              <w:rPr>
                <w:sz w:val="24"/>
              </w:rPr>
            </w:pPr>
            <w:r>
              <w:rPr>
                <w:sz w:val="24"/>
              </w:rPr>
              <w:t>111.83</w:t>
            </w:r>
          </w:p>
        </w:tc>
        <w:tc>
          <w:tcPr>
            <w:tcW w:w="1443" w:type="dxa"/>
            <w:tcBorders>
              <w:top w:val="nil"/>
              <w:left w:val="nil"/>
              <w:right w:val="nil"/>
            </w:tcBorders>
          </w:tcPr>
          <w:p>
            <w:pPr>
              <w:pStyle w:val="TableParagraph"/>
              <w:spacing w:before="5"/>
              <w:ind w:left="285" w:right="285"/>
              <w:rPr>
                <w:sz w:val="24"/>
              </w:rPr>
            </w:pPr>
            <w:r>
              <w:rPr>
                <w:sz w:val="24"/>
              </w:rPr>
              <w:t>397.25</w:t>
            </w:r>
          </w:p>
        </w:tc>
        <w:tc>
          <w:tcPr>
            <w:tcW w:w="1491" w:type="dxa"/>
            <w:tcBorders>
              <w:top w:val="nil"/>
              <w:left w:val="nil"/>
              <w:right w:val="nil"/>
            </w:tcBorders>
          </w:tcPr>
          <w:p>
            <w:pPr>
              <w:pStyle w:val="TableParagraph"/>
              <w:spacing w:before="5"/>
              <w:ind w:left="349"/>
              <w:jc w:val="left"/>
              <w:rPr>
                <w:sz w:val="24"/>
              </w:rPr>
            </w:pPr>
            <w:r>
              <w:rPr>
                <w:sz w:val="24"/>
              </w:rPr>
              <w:t>293.28</w:t>
            </w:r>
          </w:p>
        </w:tc>
        <w:tc>
          <w:tcPr>
            <w:tcW w:w="1355" w:type="dxa"/>
            <w:tcBorders>
              <w:top w:val="nil"/>
              <w:left w:val="nil"/>
              <w:right w:val="nil"/>
            </w:tcBorders>
          </w:tcPr>
          <w:p>
            <w:pPr>
              <w:pStyle w:val="TableParagraph"/>
              <w:spacing w:before="5"/>
              <w:ind w:left="348" w:right="364"/>
              <w:rPr>
                <w:sz w:val="24"/>
              </w:rPr>
            </w:pPr>
            <w:r>
              <w:rPr>
                <w:sz w:val="24"/>
              </w:rPr>
              <w:t>32.81</w:t>
            </w:r>
          </w:p>
        </w:tc>
        <w:tc>
          <w:tcPr>
            <w:tcW w:w="1470" w:type="dxa"/>
            <w:tcBorders>
              <w:top w:val="nil"/>
              <w:left w:val="nil"/>
              <w:right w:val="nil"/>
            </w:tcBorders>
          </w:tcPr>
          <w:p>
            <w:pPr>
              <w:pStyle w:val="TableParagraph"/>
              <w:spacing w:before="5"/>
              <w:ind w:left="366" w:right="329"/>
              <w:rPr>
                <w:sz w:val="24"/>
              </w:rPr>
            </w:pPr>
            <w:r>
              <w:rPr>
                <w:sz w:val="24"/>
              </w:rPr>
              <w:t>107.08</w:t>
            </w:r>
          </w:p>
        </w:tc>
      </w:tr>
      <w:tr>
        <w:trPr>
          <w:trHeight w:val="267" w:hRule="exact"/>
        </w:trPr>
        <w:tc>
          <w:tcPr>
            <w:tcW w:w="8869" w:type="dxa"/>
            <w:gridSpan w:val="6"/>
            <w:tcBorders>
              <w:left w:val="nil"/>
              <w:bottom w:val="nil"/>
              <w:right w:val="nil"/>
            </w:tcBorders>
          </w:tcPr>
          <w:p>
            <w:pPr>
              <w:pStyle w:val="TableParagraph"/>
              <w:spacing w:before="42"/>
              <w:ind w:left="71"/>
              <w:jc w:val="left"/>
              <w:rPr>
                <w:sz w:val="18"/>
              </w:rPr>
            </w:pPr>
            <w:r>
              <w:rPr>
                <w:sz w:val="18"/>
              </w:rPr>
              <w:t>CP: crude protein; NDFom: neutral detergent fiber; ADFom: acid detergent fiber; EE: etereo extract; Ashes.</w:t>
            </w:r>
          </w:p>
        </w:tc>
      </w:tr>
    </w:tbl>
    <w:p>
      <w:pPr>
        <w:spacing w:after="0"/>
        <w:jc w:val="left"/>
        <w:rPr>
          <w:sz w:val="18"/>
        </w:rPr>
        <w:sectPr>
          <w:pgSz w:w="12240" w:h="15840"/>
          <w:pgMar w:header="0" w:footer="1478" w:top="1360" w:bottom="1660" w:left="1520" w:right="1640"/>
        </w:sectPr>
      </w:pPr>
    </w:p>
    <w:p>
      <w:pPr>
        <w:pStyle w:val="BodyText"/>
        <w:rPr>
          <w:sz w:val="20"/>
        </w:rPr>
      </w:pPr>
    </w:p>
    <w:p>
      <w:pPr>
        <w:pStyle w:val="BodyText"/>
        <w:spacing w:before="3"/>
        <w:rPr>
          <w:sz w:val="22"/>
        </w:rPr>
      </w:pPr>
    </w:p>
    <w:p>
      <w:pPr>
        <w:pStyle w:val="BodyText"/>
        <w:spacing w:before="70"/>
        <w:ind w:left="116"/>
      </w:pPr>
      <w:r>
        <w:rPr/>
        <w:t>Table 3: Effect of PEG on </w:t>
      </w:r>
      <w:r>
        <w:rPr>
          <w:i/>
        </w:rPr>
        <w:t>in vitro </w:t>
      </w:r>
      <w:r>
        <w:rPr/>
        <w:t>ruminal fermentation kinetics, by tanniferous species.</w:t>
      </w:r>
    </w:p>
    <w:p>
      <w:pPr>
        <w:pStyle w:val="BodyText"/>
        <w:rPr>
          <w:sz w:val="20"/>
        </w:rPr>
      </w:pPr>
    </w:p>
    <w:p>
      <w:pPr>
        <w:pStyle w:val="BodyText"/>
        <w:rPr>
          <w:sz w:val="20"/>
        </w:rPr>
      </w:pPr>
    </w:p>
    <w:p>
      <w:pPr>
        <w:pStyle w:val="BodyText"/>
        <w:rPr>
          <w:sz w:val="20"/>
        </w:rPr>
      </w:pPr>
    </w:p>
    <w:p>
      <w:pPr>
        <w:pStyle w:val="BodyText"/>
        <w:spacing w:before="8"/>
        <w:rPr>
          <w:sz w:val="11"/>
        </w:rPr>
      </w:pPr>
    </w:p>
    <w:tbl>
      <w:tblPr>
        <w:tblW w:w="0" w:type="auto"/>
        <w:jc w:val="left"/>
        <w:tblInd w:w="72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766"/>
        <w:gridCol w:w="787"/>
        <w:gridCol w:w="713"/>
        <w:gridCol w:w="656"/>
        <w:gridCol w:w="658"/>
        <w:gridCol w:w="715"/>
        <w:gridCol w:w="697"/>
        <w:gridCol w:w="1032"/>
        <w:gridCol w:w="1075"/>
        <w:gridCol w:w="970"/>
        <w:gridCol w:w="951"/>
        <w:gridCol w:w="1006"/>
        <w:gridCol w:w="762"/>
      </w:tblGrid>
      <w:tr>
        <w:trPr>
          <w:trHeight w:val="874" w:hRule="exact"/>
        </w:trPr>
        <w:tc>
          <w:tcPr>
            <w:tcW w:w="1766" w:type="dxa"/>
            <w:tcBorders>
              <w:left w:val="nil"/>
              <w:bottom w:val="nil"/>
              <w:right w:val="nil"/>
            </w:tcBorders>
          </w:tcPr>
          <w:p>
            <w:pPr>
              <w:pStyle w:val="TableParagraph"/>
              <w:spacing w:before="1"/>
              <w:jc w:val="left"/>
              <w:rPr>
                <w:sz w:val="25"/>
              </w:rPr>
            </w:pPr>
          </w:p>
          <w:p>
            <w:pPr>
              <w:pStyle w:val="TableParagraph"/>
              <w:spacing w:line="242" w:lineRule="auto"/>
              <w:ind w:left="72" w:right="406"/>
              <w:jc w:val="left"/>
              <w:rPr>
                <w:sz w:val="24"/>
              </w:rPr>
            </w:pPr>
            <w:r>
              <w:rPr>
                <w:sz w:val="24"/>
              </w:rPr>
              <w:t>Tanniferous species</w:t>
            </w:r>
          </w:p>
        </w:tc>
        <w:tc>
          <w:tcPr>
            <w:tcW w:w="787" w:type="dxa"/>
            <w:tcBorders>
              <w:left w:val="nil"/>
              <w:bottom w:val="nil"/>
              <w:right w:val="nil"/>
            </w:tcBorders>
          </w:tcPr>
          <w:p>
            <w:pPr>
              <w:pStyle w:val="TableParagraph"/>
              <w:jc w:val="left"/>
              <w:rPr>
                <w:sz w:val="24"/>
              </w:rPr>
            </w:pPr>
          </w:p>
          <w:p>
            <w:pPr>
              <w:pStyle w:val="TableParagraph"/>
              <w:spacing w:before="3"/>
              <w:jc w:val="left"/>
              <w:rPr>
                <w:sz w:val="25"/>
              </w:rPr>
            </w:pPr>
          </w:p>
          <w:p>
            <w:pPr>
              <w:pStyle w:val="TableParagraph"/>
              <w:spacing w:before="1"/>
              <w:ind w:left="114" w:right="126"/>
              <w:rPr>
                <w:sz w:val="24"/>
              </w:rPr>
            </w:pPr>
            <w:r>
              <w:rPr>
                <w:sz w:val="24"/>
              </w:rPr>
              <w:t>PEG</w:t>
            </w:r>
          </w:p>
        </w:tc>
        <w:tc>
          <w:tcPr>
            <w:tcW w:w="3439" w:type="dxa"/>
            <w:gridSpan w:val="5"/>
            <w:tcBorders>
              <w:top w:val="double" w:sz="6" w:space="0" w:color="000000"/>
              <w:left w:val="nil"/>
              <w:bottom w:val="nil"/>
              <w:right w:val="nil"/>
            </w:tcBorders>
          </w:tcPr>
          <w:p>
            <w:pPr>
              <w:pStyle w:val="TableParagraph"/>
              <w:spacing w:before="5"/>
              <w:jc w:val="left"/>
              <w:rPr>
                <w:sz w:val="24"/>
              </w:rPr>
            </w:pPr>
          </w:p>
          <w:p>
            <w:pPr>
              <w:pStyle w:val="TableParagraph"/>
              <w:ind w:right="53"/>
              <w:rPr>
                <w:sz w:val="24"/>
              </w:rPr>
            </w:pPr>
            <w:r>
              <w:rPr>
                <w:sz w:val="24"/>
              </w:rPr>
              <w:t>Fermentation parameters (ml</w:t>
            </w:r>
          </w:p>
          <w:p>
            <w:pPr>
              <w:pStyle w:val="TableParagraph"/>
              <w:tabs>
                <w:tab w:pos="1113" w:val="left" w:leader="none"/>
                <w:tab w:pos="3341" w:val="left" w:leader="none"/>
              </w:tabs>
              <w:spacing w:before="2"/>
              <w:ind w:right="44"/>
              <w:rPr>
                <w:sz w:val="24"/>
              </w:rPr>
            </w:pPr>
            <w:r>
              <w:rPr>
                <w:w w:val="100"/>
                <w:sz w:val="24"/>
                <w:u w:val="single"/>
              </w:rPr>
              <w:t> </w:t>
            </w:r>
            <w:r>
              <w:rPr>
                <w:sz w:val="24"/>
                <w:u w:val="single"/>
              </w:rPr>
              <w:tab/>
              <w:t>gas/g</w:t>
            </w:r>
            <w:r>
              <w:rPr>
                <w:spacing w:val="-4"/>
                <w:sz w:val="24"/>
                <w:u w:val="single"/>
              </w:rPr>
              <w:t> </w:t>
            </w:r>
            <w:r>
              <w:rPr>
                <w:sz w:val="24"/>
                <w:u w:val="single"/>
              </w:rPr>
              <w:t>DM)</w:t>
              <w:tab/>
            </w:r>
          </w:p>
        </w:tc>
        <w:tc>
          <w:tcPr>
            <w:tcW w:w="2107" w:type="dxa"/>
            <w:gridSpan w:val="2"/>
            <w:tcBorders>
              <w:top w:val="nil"/>
              <w:left w:val="nil"/>
              <w:bottom w:val="nil"/>
              <w:right w:val="nil"/>
            </w:tcBorders>
          </w:tcPr>
          <w:p>
            <w:pPr>
              <w:pStyle w:val="TableParagraph"/>
              <w:spacing w:line="274" w:lineRule="exact" w:before="35"/>
              <w:ind w:left="182" w:right="200" w:firstLine="2"/>
              <w:rPr>
                <w:sz w:val="24"/>
              </w:rPr>
            </w:pPr>
            <w:r>
              <w:rPr>
                <w:i/>
                <w:sz w:val="24"/>
              </w:rPr>
              <w:t>In vitro </w:t>
            </w:r>
            <w:r>
              <w:rPr>
                <w:sz w:val="24"/>
              </w:rPr>
              <w:t>gas production (ml/g</w:t>
            </w:r>
          </w:p>
          <w:p>
            <w:pPr>
              <w:pStyle w:val="TableParagraph"/>
              <w:tabs>
                <w:tab w:pos="743" w:val="left" w:leader="none"/>
                <w:tab w:pos="1944" w:val="left" w:leader="none"/>
              </w:tabs>
              <w:spacing w:line="274" w:lineRule="exact"/>
              <w:ind w:right="15"/>
              <w:rPr>
                <w:sz w:val="24"/>
              </w:rPr>
            </w:pPr>
            <w:r>
              <w:rPr>
                <w:w w:val="100"/>
                <w:sz w:val="24"/>
                <w:u w:val="single"/>
              </w:rPr>
              <w:t> </w:t>
            </w:r>
            <w:r>
              <w:rPr>
                <w:sz w:val="24"/>
                <w:u w:val="single"/>
              </w:rPr>
              <w:tab/>
              <w:t>DM)</w:t>
              <w:tab/>
            </w:r>
          </w:p>
        </w:tc>
        <w:tc>
          <w:tcPr>
            <w:tcW w:w="3688" w:type="dxa"/>
            <w:gridSpan w:val="4"/>
            <w:tcBorders>
              <w:top w:val="double" w:sz="6" w:space="0" w:color="000000"/>
              <w:left w:val="nil"/>
              <w:bottom w:val="nil"/>
              <w:right w:val="nil"/>
            </w:tcBorders>
          </w:tcPr>
          <w:p>
            <w:pPr>
              <w:pStyle w:val="TableParagraph"/>
              <w:spacing w:line="274" w:lineRule="exact" w:before="14"/>
              <w:ind w:left="312" w:right="254" w:hanging="1"/>
              <w:rPr>
                <w:sz w:val="24"/>
              </w:rPr>
            </w:pPr>
            <w:r>
              <w:rPr>
                <w:i/>
                <w:sz w:val="24"/>
              </w:rPr>
              <w:t>In vitro </w:t>
            </w:r>
            <w:r>
              <w:rPr>
                <w:sz w:val="24"/>
              </w:rPr>
              <w:t>digestibilities of substrates (g/kg DM) and ME</w:t>
            </w:r>
          </w:p>
          <w:p>
            <w:pPr>
              <w:pStyle w:val="TableParagraph"/>
              <w:tabs>
                <w:tab w:pos="1220" w:val="left" w:leader="none"/>
                <w:tab w:pos="3688" w:val="left" w:leader="none"/>
              </w:tabs>
              <w:spacing w:line="274" w:lineRule="exact"/>
              <w:ind w:left="53"/>
              <w:rPr>
                <w:sz w:val="24"/>
              </w:rPr>
            </w:pPr>
            <w:r>
              <w:rPr>
                <w:w w:val="100"/>
                <w:sz w:val="24"/>
                <w:u w:val="single"/>
              </w:rPr>
              <w:t> </w:t>
            </w:r>
            <w:r>
              <w:rPr>
                <w:sz w:val="24"/>
                <w:u w:val="single"/>
              </w:rPr>
              <w:tab/>
              <w:t>(MJ /kg</w:t>
            </w:r>
            <w:r>
              <w:rPr>
                <w:spacing w:val="-8"/>
                <w:sz w:val="24"/>
                <w:u w:val="single"/>
              </w:rPr>
              <w:t> </w:t>
            </w:r>
            <w:r>
              <w:rPr>
                <w:sz w:val="24"/>
                <w:u w:val="single"/>
              </w:rPr>
              <w:t>DM)</w:t>
              <w:tab/>
            </w:r>
          </w:p>
        </w:tc>
      </w:tr>
      <w:tr>
        <w:trPr>
          <w:trHeight w:val="569" w:hRule="exact"/>
        </w:trPr>
        <w:tc>
          <w:tcPr>
            <w:tcW w:w="1766" w:type="dxa"/>
            <w:tcBorders>
              <w:top w:val="nil"/>
              <w:left w:val="nil"/>
              <w:bottom w:val="double" w:sz="6" w:space="0" w:color="000000"/>
              <w:right w:val="nil"/>
            </w:tcBorders>
          </w:tcPr>
          <w:p>
            <w:pPr/>
          </w:p>
        </w:tc>
        <w:tc>
          <w:tcPr>
            <w:tcW w:w="787" w:type="dxa"/>
            <w:tcBorders>
              <w:top w:val="nil"/>
              <w:left w:val="nil"/>
              <w:bottom w:val="double" w:sz="6" w:space="0" w:color="000000"/>
              <w:right w:val="nil"/>
            </w:tcBorders>
          </w:tcPr>
          <w:p>
            <w:pPr/>
          </w:p>
        </w:tc>
        <w:tc>
          <w:tcPr>
            <w:tcW w:w="713" w:type="dxa"/>
            <w:tcBorders>
              <w:top w:val="nil"/>
              <w:left w:val="nil"/>
              <w:bottom w:val="double" w:sz="6" w:space="0" w:color="000000"/>
              <w:right w:val="nil"/>
            </w:tcBorders>
          </w:tcPr>
          <w:p>
            <w:pPr>
              <w:pStyle w:val="TableParagraph"/>
              <w:spacing w:before="5"/>
              <w:jc w:val="left"/>
              <w:rPr>
                <w:sz w:val="23"/>
              </w:rPr>
            </w:pPr>
          </w:p>
          <w:p>
            <w:pPr>
              <w:pStyle w:val="TableParagraph"/>
              <w:ind w:left="46"/>
              <w:rPr>
                <w:i/>
                <w:sz w:val="24"/>
              </w:rPr>
            </w:pPr>
            <w:r>
              <w:rPr>
                <w:i/>
                <w:w w:val="99"/>
                <w:sz w:val="24"/>
              </w:rPr>
              <w:t>a</w:t>
            </w:r>
          </w:p>
        </w:tc>
        <w:tc>
          <w:tcPr>
            <w:tcW w:w="656" w:type="dxa"/>
            <w:tcBorders>
              <w:top w:val="nil"/>
              <w:left w:val="nil"/>
              <w:bottom w:val="double" w:sz="6" w:space="0" w:color="000000"/>
              <w:right w:val="nil"/>
            </w:tcBorders>
          </w:tcPr>
          <w:p>
            <w:pPr>
              <w:pStyle w:val="TableParagraph"/>
              <w:spacing w:before="5"/>
              <w:jc w:val="left"/>
              <w:rPr>
                <w:sz w:val="23"/>
              </w:rPr>
            </w:pPr>
          </w:p>
          <w:p>
            <w:pPr>
              <w:pStyle w:val="TableParagraph"/>
              <w:ind w:left="72" w:right="73"/>
              <w:rPr>
                <w:i/>
                <w:sz w:val="24"/>
              </w:rPr>
            </w:pPr>
            <w:r>
              <w:rPr>
                <w:i/>
                <w:sz w:val="24"/>
              </w:rPr>
              <w:t>ca</w:t>
            </w:r>
          </w:p>
        </w:tc>
        <w:tc>
          <w:tcPr>
            <w:tcW w:w="658" w:type="dxa"/>
            <w:tcBorders>
              <w:top w:val="nil"/>
              <w:left w:val="nil"/>
              <w:bottom w:val="double" w:sz="6" w:space="0" w:color="000000"/>
              <w:right w:val="nil"/>
            </w:tcBorders>
          </w:tcPr>
          <w:p>
            <w:pPr>
              <w:pStyle w:val="TableParagraph"/>
              <w:spacing w:before="5"/>
              <w:jc w:val="left"/>
              <w:rPr>
                <w:sz w:val="23"/>
              </w:rPr>
            </w:pPr>
          </w:p>
          <w:p>
            <w:pPr>
              <w:pStyle w:val="TableParagraph"/>
              <w:ind w:right="1"/>
              <w:rPr>
                <w:i/>
                <w:sz w:val="24"/>
              </w:rPr>
            </w:pPr>
            <w:r>
              <w:rPr>
                <w:i/>
                <w:w w:val="99"/>
                <w:sz w:val="24"/>
              </w:rPr>
              <w:t>b</w:t>
            </w:r>
          </w:p>
        </w:tc>
        <w:tc>
          <w:tcPr>
            <w:tcW w:w="715" w:type="dxa"/>
            <w:tcBorders>
              <w:top w:val="nil"/>
              <w:left w:val="nil"/>
              <w:bottom w:val="double" w:sz="6" w:space="0" w:color="000000"/>
              <w:right w:val="nil"/>
            </w:tcBorders>
          </w:tcPr>
          <w:p>
            <w:pPr>
              <w:pStyle w:val="TableParagraph"/>
              <w:spacing w:before="5"/>
              <w:jc w:val="left"/>
              <w:rPr>
                <w:sz w:val="23"/>
              </w:rPr>
            </w:pPr>
          </w:p>
          <w:p>
            <w:pPr>
              <w:pStyle w:val="TableParagraph"/>
              <w:ind w:left="96"/>
              <w:jc w:val="left"/>
              <w:rPr>
                <w:i/>
                <w:sz w:val="24"/>
              </w:rPr>
            </w:pPr>
            <w:r>
              <w:rPr>
                <w:i/>
                <w:sz w:val="24"/>
              </w:rPr>
              <w:t>cb</w:t>
            </w:r>
          </w:p>
        </w:tc>
        <w:tc>
          <w:tcPr>
            <w:tcW w:w="697" w:type="dxa"/>
            <w:tcBorders>
              <w:top w:val="nil"/>
              <w:left w:val="nil"/>
              <w:bottom w:val="double" w:sz="6" w:space="0" w:color="000000"/>
              <w:right w:val="nil"/>
            </w:tcBorders>
          </w:tcPr>
          <w:p>
            <w:pPr>
              <w:pStyle w:val="TableParagraph"/>
              <w:spacing w:before="5"/>
              <w:jc w:val="left"/>
              <w:rPr>
                <w:sz w:val="23"/>
              </w:rPr>
            </w:pPr>
          </w:p>
          <w:p>
            <w:pPr>
              <w:pStyle w:val="TableParagraph"/>
              <w:ind w:left="93" w:right="162"/>
              <w:rPr>
                <w:i/>
                <w:sz w:val="24"/>
              </w:rPr>
            </w:pPr>
            <w:r>
              <w:rPr>
                <w:i/>
                <w:sz w:val="24"/>
              </w:rPr>
              <w:t>Lag</w:t>
            </w:r>
          </w:p>
        </w:tc>
        <w:tc>
          <w:tcPr>
            <w:tcW w:w="1032" w:type="dxa"/>
            <w:tcBorders>
              <w:top w:val="nil"/>
              <w:left w:val="nil"/>
              <w:bottom w:val="double" w:sz="6" w:space="0" w:color="000000"/>
              <w:right w:val="nil"/>
            </w:tcBorders>
          </w:tcPr>
          <w:p>
            <w:pPr>
              <w:pStyle w:val="TableParagraph"/>
              <w:spacing w:line="267" w:lineRule="exact"/>
              <w:ind w:left="186" w:right="124"/>
              <w:rPr>
                <w:sz w:val="24"/>
              </w:rPr>
            </w:pPr>
            <w:r>
              <w:rPr>
                <w:sz w:val="24"/>
              </w:rPr>
              <w:t>GP 24</w:t>
            </w:r>
          </w:p>
          <w:p>
            <w:pPr>
              <w:pStyle w:val="TableParagraph"/>
              <w:spacing w:before="3"/>
              <w:ind w:left="62"/>
              <w:rPr>
                <w:sz w:val="24"/>
              </w:rPr>
            </w:pPr>
            <w:r>
              <w:rPr>
                <w:w w:val="99"/>
                <w:sz w:val="24"/>
              </w:rPr>
              <w:t>h</w:t>
            </w:r>
          </w:p>
        </w:tc>
        <w:tc>
          <w:tcPr>
            <w:tcW w:w="1075" w:type="dxa"/>
            <w:tcBorders>
              <w:top w:val="nil"/>
              <w:left w:val="nil"/>
              <w:bottom w:val="double" w:sz="6" w:space="0" w:color="000000"/>
              <w:right w:val="nil"/>
            </w:tcBorders>
          </w:tcPr>
          <w:p>
            <w:pPr>
              <w:pStyle w:val="TableParagraph"/>
              <w:spacing w:line="267" w:lineRule="exact"/>
              <w:ind w:left="125" w:right="228"/>
              <w:rPr>
                <w:sz w:val="24"/>
              </w:rPr>
            </w:pPr>
            <w:r>
              <w:rPr>
                <w:sz w:val="24"/>
              </w:rPr>
              <w:t>GP 96</w:t>
            </w:r>
          </w:p>
          <w:p>
            <w:pPr>
              <w:pStyle w:val="TableParagraph"/>
              <w:spacing w:before="3"/>
              <w:ind w:right="102"/>
              <w:rPr>
                <w:sz w:val="24"/>
              </w:rPr>
            </w:pPr>
            <w:r>
              <w:rPr>
                <w:w w:val="99"/>
                <w:sz w:val="24"/>
              </w:rPr>
              <w:t>h</w:t>
            </w:r>
          </w:p>
        </w:tc>
        <w:tc>
          <w:tcPr>
            <w:tcW w:w="970" w:type="dxa"/>
            <w:tcBorders>
              <w:top w:val="nil"/>
              <w:left w:val="nil"/>
              <w:bottom w:val="double" w:sz="6" w:space="0" w:color="000000"/>
              <w:right w:val="nil"/>
            </w:tcBorders>
          </w:tcPr>
          <w:p>
            <w:pPr>
              <w:pStyle w:val="TableParagraph"/>
              <w:spacing w:before="5"/>
              <w:jc w:val="left"/>
              <w:rPr>
                <w:sz w:val="23"/>
              </w:rPr>
            </w:pPr>
          </w:p>
          <w:p>
            <w:pPr>
              <w:pStyle w:val="TableParagraph"/>
              <w:ind w:left="173" w:right="145"/>
              <w:rPr>
                <w:sz w:val="24"/>
              </w:rPr>
            </w:pPr>
            <w:r>
              <w:rPr>
                <w:sz w:val="24"/>
              </w:rPr>
              <w:t>dDM</w:t>
            </w:r>
          </w:p>
        </w:tc>
        <w:tc>
          <w:tcPr>
            <w:tcW w:w="951" w:type="dxa"/>
            <w:tcBorders>
              <w:top w:val="nil"/>
              <w:left w:val="nil"/>
              <w:bottom w:val="double" w:sz="6" w:space="0" w:color="000000"/>
              <w:right w:val="nil"/>
            </w:tcBorders>
          </w:tcPr>
          <w:p>
            <w:pPr>
              <w:pStyle w:val="TableParagraph"/>
              <w:spacing w:before="5"/>
              <w:jc w:val="left"/>
              <w:rPr>
                <w:sz w:val="23"/>
              </w:rPr>
            </w:pPr>
          </w:p>
          <w:p>
            <w:pPr>
              <w:pStyle w:val="TableParagraph"/>
              <w:ind w:left="207"/>
              <w:jc w:val="left"/>
              <w:rPr>
                <w:sz w:val="24"/>
              </w:rPr>
            </w:pPr>
            <w:r>
              <w:rPr>
                <w:sz w:val="24"/>
              </w:rPr>
              <w:t>dOM</w:t>
            </w:r>
          </w:p>
        </w:tc>
        <w:tc>
          <w:tcPr>
            <w:tcW w:w="1006" w:type="dxa"/>
            <w:tcBorders>
              <w:top w:val="nil"/>
              <w:left w:val="nil"/>
              <w:bottom w:val="double" w:sz="6" w:space="0" w:color="000000"/>
              <w:right w:val="nil"/>
            </w:tcBorders>
          </w:tcPr>
          <w:p>
            <w:pPr>
              <w:pStyle w:val="TableParagraph"/>
              <w:spacing w:before="5"/>
              <w:jc w:val="left"/>
              <w:rPr>
                <w:sz w:val="23"/>
              </w:rPr>
            </w:pPr>
          </w:p>
          <w:p>
            <w:pPr>
              <w:pStyle w:val="TableParagraph"/>
              <w:ind w:left="164" w:right="174"/>
              <w:rPr>
                <w:sz w:val="24"/>
              </w:rPr>
            </w:pPr>
            <w:r>
              <w:rPr>
                <w:sz w:val="24"/>
              </w:rPr>
              <w:t>dNDF</w:t>
            </w:r>
          </w:p>
        </w:tc>
        <w:tc>
          <w:tcPr>
            <w:tcW w:w="762" w:type="dxa"/>
            <w:tcBorders>
              <w:top w:val="nil"/>
              <w:left w:val="nil"/>
              <w:bottom w:val="double" w:sz="6" w:space="0" w:color="000000"/>
              <w:right w:val="nil"/>
            </w:tcBorders>
          </w:tcPr>
          <w:p>
            <w:pPr>
              <w:pStyle w:val="TableParagraph"/>
              <w:spacing w:before="5"/>
              <w:jc w:val="left"/>
              <w:rPr>
                <w:sz w:val="23"/>
              </w:rPr>
            </w:pPr>
          </w:p>
          <w:p>
            <w:pPr>
              <w:pStyle w:val="TableParagraph"/>
              <w:ind w:left="174" w:right="188"/>
              <w:rPr>
                <w:sz w:val="24"/>
              </w:rPr>
            </w:pPr>
            <w:r>
              <w:rPr>
                <w:sz w:val="24"/>
              </w:rPr>
              <w:t>ME</w:t>
            </w:r>
          </w:p>
        </w:tc>
      </w:tr>
      <w:tr>
        <w:trPr>
          <w:trHeight w:val="384" w:hRule="exact"/>
        </w:trPr>
        <w:tc>
          <w:tcPr>
            <w:tcW w:w="1766" w:type="dxa"/>
            <w:tcBorders>
              <w:top w:val="double" w:sz="6" w:space="0" w:color="000000"/>
              <w:left w:val="nil"/>
              <w:bottom w:val="nil"/>
              <w:right w:val="nil"/>
            </w:tcBorders>
          </w:tcPr>
          <w:p>
            <w:pPr>
              <w:pStyle w:val="TableParagraph"/>
              <w:spacing w:before="53"/>
              <w:ind w:left="72"/>
              <w:jc w:val="left"/>
              <w:rPr>
                <w:i/>
                <w:sz w:val="24"/>
              </w:rPr>
            </w:pPr>
            <w:r>
              <w:rPr>
                <w:i/>
                <w:sz w:val="24"/>
              </w:rPr>
              <w:t>C. sulphureus</w:t>
            </w:r>
          </w:p>
        </w:tc>
        <w:tc>
          <w:tcPr>
            <w:tcW w:w="787" w:type="dxa"/>
            <w:tcBorders>
              <w:top w:val="double" w:sz="6" w:space="0" w:color="000000"/>
              <w:left w:val="nil"/>
              <w:bottom w:val="nil"/>
              <w:right w:val="nil"/>
            </w:tcBorders>
          </w:tcPr>
          <w:p>
            <w:pPr>
              <w:pStyle w:val="TableParagraph"/>
              <w:spacing w:before="53"/>
              <w:ind w:right="12"/>
              <w:rPr>
                <w:sz w:val="24"/>
              </w:rPr>
            </w:pPr>
            <w:r>
              <w:rPr>
                <w:w w:val="99"/>
                <w:sz w:val="24"/>
              </w:rPr>
              <w:t>-</w:t>
            </w:r>
          </w:p>
        </w:tc>
        <w:tc>
          <w:tcPr>
            <w:tcW w:w="713" w:type="dxa"/>
            <w:tcBorders>
              <w:top w:val="double" w:sz="6" w:space="0" w:color="000000"/>
              <w:left w:val="nil"/>
              <w:bottom w:val="nil"/>
              <w:right w:val="nil"/>
            </w:tcBorders>
          </w:tcPr>
          <w:p>
            <w:pPr>
              <w:pStyle w:val="TableParagraph"/>
              <w:spacing w:before="53"/>
              <w:ind w:left="130" w:right="75"/>
              <w:rPr>
                <w:sz w:val="24"/>
              </w:rPr>
            </w:pPr>
            <w:r>
              <w:rPr>
                <w:sz w:val="24"/>
              </w:rPr>
              <w:t>38.7</w:t>
            </w:r>
          </w:p>
        </w:tc>
        <w:tc>
          <w:tcPr>
            <w:tcW w:w="656" w:type="dxa"/>
            <w:tcBorders>
              <w:top w:val="double" w:sz="6" w:space="0" w:color="000000"/>
              <w:left w:val="nil"/>
              <w:bottom w:val="nil"/>
              <w:right w:val="nil"/>
            </w:tcBorders>
          </w:tcPr>
          <w:p>
            <w:pPr>
              <w:pStyle w:val="TableParagraph"/>
              <w:spacing w:before="53"/>
              <w:ind w:left="75" w:right="73"/>
              <w:rPr>
                <w:sz w:val="24"/>
              </w:rPr>
            </w:pPr>
            <w:r>
              <w:rPr>
                <w:sz w:val="24"/>
              </w:rPr>
              <w:t>0.07</w:t>
            </w:r>
          </w:p>
        </w:tc>
        <w:tc>
          <w:tcPr>
            <w:tcW w:w="658" w:type="dxa"/>
            <w:tcBorders>
              <w:top w:val="double" w:sz="6" w:space="0" w:color="000000"/>
              <w:left w:val="nil"/>
              <w:bottom w:val="nil"/>
              <w:right w:val="nil"/>
            </w:tcBorders>
          </w:tcPr>
          <w:p>
            <w:pPr>
              <w:pStyle w:val="TableParagraph"/>
              <w:spacing w:before="53"/>
              <w:ind w:left="74" w:right="74"/>
              <w:rPr>
                <w:sz w:val="24"/>
              </w:rPr>
            </w:pPr>
            <w:r>
              <w:rPr>
                <w:sz w:val="24"/>
              </w:rPr>
              <w:t>68</w:t>
            </w:r>
          </w:p>
        </w:tc>
        <w:tc>
          <w:tcPr>
            <w:tcW w:w="715" w:type="dxa"/>
            <w:tcBorders>
              <w:top w:val="double" w:sz="6" w:space="0" w:color="000000"/>
              <w:left w:val="nil"/>
              <w:bottom w:val="nil"/>
              <w:right w:val="nil"/>
            </w:tcBorders>
          </w:tcPr>
          <w:p>
            <w:pPr>
              <w:pStyle w:val="TableParagraph"/>
              <w:spacing w:before="53"/>
              <w:ind w:left="135"/>
              <w:jc w:val="left"/>
              <w:rPr>
                <w:sz w:val="24"/>
              </w:rPr>
            </w:pPr>
            <w:r>
              <w:rPr>
                <w:sz w:val="24"/>
              </w:rPr>
              <w:t>0.06</w:t>
            </w:r>
          </w:p>
        </w:tc>
        <w:tc>
          <w:tcPr>
            <w:tcW w:w="697" w:type="dxa"/>
            <w:tcBorders>
              <w:top w:val="double" w:sz="6" w:space="0" w:color="000000"/>
              <w:left w:val="nil"/>
              <w:bottom w:val="nil"/>
              <w:right w:val="nil"/>
            </w:tcBorders>
          </w:tcPr>
          <w:p>
            <w:pPr>
              <w:pStyle w:val="TableParagraph"/>
              <w:spacing w:before="53"/>
              <w:ind w:left="91" w:right="162"/>
              <w:rPr>
                <w:sz w:val="24"/>
              </w:rPr>
            </w:pPr>
            <w:r>
              <w:rPr>
                <w:sz w:val="24"/>
              </w:rPr>
              <w:t>6.8</w:t>
            </w:r>
          </w:p>
        </w:tc>
        <w:tc>
          <w:tcPr>
            <w:tcW w:w="1032" w:type="dxa"/>
            <w:tcBorders>
              <w:top w:val="double" w:sz="6" w:space="0" w:color="000000"/>
              <w:left w:val="nil"/>
              <w:bottom w:val="nil"/>
              <w:right w:val="nil"/>
            </w:tcBorders>
          </w:tcPr>
          <w:p>
            <w:pPr>
              <w:pStyle w:val="TableParagraph"/>
              <w:spacing w:before="53"/>
              <w:ind w:left="186" w:right="123"/>
              <w:rPr>
                <w:sz w:val="24"/>
              </w:rPr>
            </w:pPr>
            <w:r>
              <w:rPr>
                <w:sz w:val="24"/>
              </w:rPr>
              <w:t>78</w:t>
            </w:r>
          </w:p>
        </w:tc>
        <w:tc>
          <w:tcPr>
            <w:tcW w:w="1075" w:type="dxa"/>
            <w:tcBorders>
              <w:top w:val="double" w:sz="6" w:space="0" w:color="000000"/>
              <w:left w:val="nil"/>
              <w:bottom w:val="nil"/>
              <w:right w:val="nil"/>
            </w:tcBorders>
          </w:tcPr>
          <w:p>
            <w:pPr>
              <w:pStyle w:val="TableParagraph"/>
              <w:spacing w:before="53"/>
              <w:ind w:left="125" w:right="219"/>
              <w:rPr>
                <w:sz w:val="24"/>
              </w:rPr>
            </w:pPr>
            <w:r>
              <w:rPr>
                <w:sz w:val="24"/>
              </w:rPr>
              <w:t>107.6</w:t>
            </w:r>
          </w:p>
        </w:tc>
        <w:tc>
          <w:tcPr>
            <w:tcW w:w="970" w:type="dxa"/>
            <w:tcBorders>
              <w:top w:val="double" w:sz="6" w:space="0" w:color="000000"/>
              <w:left w:val="nil"/>
              <w:bottom w:val="nil"/>
              <w:right w:val="nil"/>
            </w:tcBorders>
          </w:tcPr>
          <w:p>
            <w:pPr>
              <w:pStyle w:val="TableParagraph"/>
              <w:spacing w:before="53"/>
              <w:ind w:left="182" w:right="145"/>
              <w:rPr>
                <w:sz w:val="24"/>
              </w:rPr>
            </w:pPr>
            <w:r>
              <w:rPr>
                <w:sz w:val="24"/>
              </w:rPr>
              <w:t>372.8</w:t>
            </w:r>
          </w:p>
        </w:tc>
        <w:tc>
          <w:tcPr>
            <w:tcW w:w="951" w:type="dxa"/>
            <w:tcBorders>
              <w:top w:val="double" w:sz="6" w:space="0" w:color="000000"/>
              <w:left w:val="nil"/>
              <w:bottom w:val="nil"/>
              <w:right w:val="nil"/>
            </w:tcBorders>
          </w:tcPr>
          <w:p>
            <w:pPr>
              <w:pStyle w:val="TableParagraph"/>
              <w:spacing w:before="53"/>
              <w:ind w:left="164"/>
              <w:jc w:val="left"/>
              <w:rPr>
                <w:sz w:val="24"/>
              </w:rPr>
            </w:pPr>
            <w:r>
              <w:rPr>
                <w:sz w:val="24"/>
              </w:rPr>
              <w:t>303.5</w:t>
            </w:r>
          </w:p>
        </w:tc>
        <w:tc>
          <w:tcPr>
            <w:tcW w:w="1006" w:type="dxa"/>
            <w:tcBorders>
              <w:top w:val="double" w:sz="6" w:space="0" w:color="000000"/>
              <w:left w:val="nil"/>
              <w:bottom w:val="nil"/>
              <w:right w:val="nil"/>
            </w:tcBorders>
          </w:tcPr>
          <w:p>
            <w:pPr>
              <w:pStyle w:val="TableParagraph"/>
              <w:spacing w:before="53"/>
              <w:ind w:left="164" w:right="169"/>
              <w:rPr>
                <w:sz w:val="24"/>
              </w:rPr>
            </w:pPr>
            <w:r>
              <w:rPr>
                <w:sz w:val="24"/>
              </w:rPr>
              <w:t>350.8</w:t>
            </w:r>
          </w:p>
        </w:tc>
        <w:tc>
          <w:tcPr>
            <w:tcW w:w="762" w:type="dxa"/>
            <w:tcBorders>
              <w:top w:val="double" w:sz="6" w:space="0" w:color="000000"/>
              <w:left w:val="nil"/>
              <w:bottom w:val="nil"/>
              <w:right w:val="nil"/>
            </w:tcBorders>
          </w:tcPr>
          <w:p>
            <w:pPr>
              <w:pStyle w:val="TableParagraph"/>
              <w:spacing w:before="53"/>
              <w:ind w:left="174" w:right="179"/>
              <w:rPr>
                <w:sz w:val="24"/>
              </w:rPr>
            </w:pPr>
            <w:r>
              <w:rPr>
                <w:sz w:val="24"/>
              </w:rPr>
              <w:t>7.3</w:t>
            </w:r>
          </w:p>
        </w:tc>
      </w:tr>
      <w:tr>
        <w:trPr>
          <w:trHeight w:val="454" w:hRule="exact"/>
        </w:trPr>
        <w:tc>
          <w:tcPr>
            <w:tcW w:w="1766" w:type="dxa"/>
            <w:tcBorders>
              <w:top w:val="nil"/>
              <w:left w:val="nil"/>
              <w:bottom w:val="nil"/>
              <w:right w:val="nil"/>
            </w:tcBorders>
          </w:tcPr>
          <w:p>
            <w:pPr/>
          </w:p>
        </w:tc>
        <w:tc>
          <w:tcPr>
            <w:tcW w:w="787" w:type="dxa"/>
            <w:tcBorders>
              <w:top w:val="nil"/>
              <w:left w:val="nil"/>
              <w:bottom w:val="nil"/>
              <w:right w:val="nil"/>
            </w:tcBorders>
          </w:tcPr>
          <w:p>
            <w:pPr>
              <w:pStyle w:val="TableParagraph"/>
              <w:spacing w:before="7"/>
              <w:ind w:right="9"/>
              <w:rPr>
                <w:sz w:val="24"/>
              </w:rPr>
            </w:pPr>
            <w:r>
              <w:rPr>
                <w:w w:val="100"/>
                <w:sz w:val="24"/>
              </w:rPr>
              <w:t>+</w:t>
            </w:r>
          </w:p>
        </w:tc>
        <w:tc>
          <w:tcPr>
            <w:tcW w:w="713" w:type="dxa"/>
            <w:tcBorders>
              <w:top w:val="nil"/>
              <w:left w:val="nil"/>
              <w:bottom w:val="nil"/>
              <w:right w:val="nil"/>
            </w:tcBorders>
          </w:tcPr>
          <w:p>
            <w:pPr>
              <w:pStyle w:val="TableParagraph"/>
              <w:spacing w:before="7"/>
              <w:ind w:left="130" w:right="75"/>
              <w:rPr>
                <w:sz w:val="24"/>
              </w:rPr>
            </w:pPr>
            <w:r>
              <w:rPr>
                <w:sz w:val="24"/>
              </w:rPr>
              <w:t>31.8</w:t>
            </w:r>
          </w:p>
        </w:tc>
        <w:tc>
          <w:tcPr>
            <w:tcW w:w="656" w:type="dxa"/>
            <w:tcBorders>
              <w:top w:val="nil"/>
              <w:left w:val="nil"/>
              <w:bottom w:val="nil"/>
              <w:right w:val="nil"/>
            </w:tcBorders>
          </w:tcPr>
          <w:p>
            <w:pPr>
              <w:pStyle w:val="TableParagraph"/>
              <w:spacing w:before="7"/>
              <w:ind w:left="75" w:right="73"/>
              <w:rPr>
                <w:sz w:val="24"/>
              </w:rPr>
            </w:pPr>
            <w:r>
              <w:rPr>
                <w:sz w:val="24"/>
              </w:rPr>
              <w:t>0.17</w:t>
            </w:r>
          </w:p>
        </w:tc>
        <w:tc>
          <w:tcPr>
            <w:tcW w:w="658" w:type="dxa"/>
            <w:tcBorders>
              <w:top w:val="nil"/>
              <w:left w:val="nil"/>
              <w:bottom w:val="nil"/>
              <w:right w:val="nil"/>
            </w:tcBorders>
          </w:tcPr>
          <w:p>
            <w:pPr>
              <w:pStyle w:val="TableParagraph"/>
              <w:spacing w:before="7"/>
              <w:ind w:left="74" w:right="74"/>
              <w:rPr>
                <w:sz w:val="24"/>
              </w:rPr>
            </w:pPr>
            <w:r>
              <w:rPr>
                <w:sz w:val="24"/>
              </w:rPr>
              <w:t>94</w:t>
            </w:r>
          </w:p>
        </w:tc>
        <w:tc>
          <w:tcPr>
            <w:tcW w:w="715" w:type="dxa"/>
            <w:tcBorders>
              <w:top w:val="nil"/>
              <w:left w:val="nil"/>
              <w:bottom w:val="nil"/>
              <w:right w:val="nil"/>
            </w:tcBorders>
          </w:tcPr>
          <w:p>
            <w:pPr>
              <w:pStyle w:val="TableParagraph"/>
              <w:spacing w:before="7"/>
              <w:ind w:left="135"/>
              <w:jc w:val="left"/>
              <w:rPr>
                <w:sz w:val="24"/>
              </w:rPr>
            </w:pPr>
            <w:r>
              <w:rPr>
                <w:sz w:val="24"/>
              </w:rPr>
              <w:t>0.08</w:t>
            </w:r>
          </w:p>
        </w:tc>
        <w:tc>
          <w:tcPr>
            <w:tcW w:w="697" w:type="dxa"/>
            <w:tcBorders>
              <w:top w:val="nil"/>
              <w:left w:val="nil"/>
              <w:bottom w:val="nil"/>
              <w:right w:val="nil"/>
            </w:tcBorders>
          </w:tcPr>
          <w:p>
            <w:pPr>
              <w:pStyle w:val="TableParagraph"/>
              <w:spacing w:before="7"/>
              <w:ind w:left="91" w:right="162"/>
              <w:rPr>
                <w:sz w:val="24"/>
              </w:rPr>
            </w:pPr>
            <w:r>
              <w:rPr>
                <w:sz w:val="24"/>
              </w:rPr>
              <w:t>3.4</w:t>
            </w:r>
          </w:p>
        </w:tc>
        <w:tc>
          <w:tcPr>
            <w:tcW w:w="1032" w:type="dxa"/>
            <w:tcBorders>
              <w:top w:val="nil"/>
              <w:left w:val="nil"/>
              <w:bottom w:val="nil"/>
              <w:right w:val="nil"/>
            </w:tcBorders>
          </w:tcPr>
          <w:p>
            <w:pPr>
              <w:pStyle w:val="TableParagraph"/>
              <w:spacing w:before="7"/>
              <w:ind w:left="186" w:right="114"/>
              <w:rPr>
                <w:sz w:val="24"/>
              </w:rPr>
            </w:pPr>
            <w:r>
              <w:rPr>
                <w:sz w:val="24"/>
              </w:rPr>
              <w:t>105</w:t>
            </w:r>
          </w:p>
        </w:tc>
        <w:tc>
          <w:tcPr>
            <w:tcW w:w="1075" w:type="dxa"/>
            <w:tcBorders>
              <w:top w:val="nil"/>
              <w:left w:val="nil"/>
              <w:bottom w:val="nil"/>
              <w:right w:val="nil"/>
            </w:tcBorders>
          </w:tcPr>
          <w:p>
            <w:pPr>
              <w:pStyle w:val="TableParagraph"/>
              <w:spacing w:before="7"/>
              <w:ind w:left="125" w:right="217"/>
              <w:rPr>
                <w:sz w:val="24"/>
              </w:rPr>
            </w:pPr>
            <w:r>
              <w:rPr>
                <w:sz w:val="24"/>
              </w:rPr>
              <w:t>129</w:t>
            </w:r>
          </w:p>
        </w:tc>
        <w:tc>
          <w:tcPr>
            <w:tcW w:w="970" w:type="dxa"/>
            <w:tcBorders>
              <w:top w:val="nil"/>
              <w:left w:val="nil"/>
              <w:bottom w:val="nil"/>
              <w:right w:val="nil"/>
            </w:tcBorders>
          </w:tcPr>
          <w:p>
            <w:pPr>
              <w:pStyle w:val="TableParagraph"/>
              <w:spacing w:before="7"/>
              <w:ind w:left="182" w:right="145"/>
              <w:rPr>
                <w:sz w:val="24"/>
              </w:rPr>
            </w:pPr>
            <w:r>
              <w:rPr>
                <w:sz w:val="24"/>
              </w:rPr>
              <w:t>443.9</w:t>
            </w:r>
          </w:p>
        </w:tc>
        <w:tc>
          <w:tcPr>
            <w:tcW w:w="951" w:type="dxa"/>
            <w:tcBorders>
              <w:top w:val="nil"/>
              <w:left w:val="nil"/>
              <w:bottom w:val="nil"/>
              <w:right w:val="nil"/>
            </w:tcBorders>
          </w:tcPr>
          <w:p>
            <w:pPr>
              <w:pStyle w:val="TableParagraph"/>
              <w:spacing w:before="7"/>
              <w:ind w:left="265"/>
              <w:jc w:val="left"/>
              <w:rPr>
                <w:sz w:val="24"/>
              </w:rPr>
            </w:pPr>
            <w:r>
              <w:rPr>
                <w:sz w:val="24"/>
              </w:rPr>
              <w:t>372</w:t>
            </w:r>
          </w:p>
        </w:tc>
        <w:tc>
          <w:tcPr>
            <w:tcW w:w="1006" w:type="dxa"/>
            <w:tcBorders>
              <w:top w:val="nil"/>
              <w:left w:val="nil"/>
              <w:bottom w:val="nil"/>
              <w:right w:val="nil"/>
            </w:tcBorders>
          </w:tcPr>
          <w:p>
            <w:pPr>
              <w:pStyle w:val="TableParagraph"/>
              <w:spacing w:before="7"/>
              <w:ind w:left="164" w:right="169"/>
              <w:rPr>
                <w:sz w:val="24"/>
              </w:rPr>
            </w:pPr>
            <w:r>
              <w:rPr>
                <w:sz w:val="24"/>
              </w:rPr>
              <w:t>621.7</w:t>
            </w:r>
          </w:p>
        </w:tc>
        <w:tc>
          <w:tcPr>
            <w:tcW w:w="762" w:type="dxa"/>
            <w:tcBorders>
              <w:top w:val="nil"/>
              <w:left w:val="nil"/>
              <w:bottom w:val="nil"/>
              <w:right w:val="nil"/>
            </w:tcBorders>
          </w:tcPr>
          <w:p>
            <w:pPr>
              <w:pStyle w:val="TableParagraph"/>
              <w:spacing w:before="7"/>
              <w:ind w:left="174" w:right="179"/>
              <w:rPr>
                <w:sz w:val="24"/>
              </w:rPr>
            </w:pPr>
            <w:r>
              <w:rPr>
                <w:sz w:val="24"/>
              </w:rPr>
              <w:t>8.6</w:t>
            </w:r>
          </w:p>
        </w:tc>
      </w:tr>
      <w:tr>
        <w:trPr>
          <w:trHeight w:val="451" w:hRule="exact"/>
        </w:trPr>
        <w:tc>
          <w:tcPr>
            <w:tcW w:w="1766" w:type="dxa"/>
            <w:tcBorders>
              <w:top w:val="nil"/>
              <w:left w:val="nil"/>
              <w:bottom w:val="nil"/>
              <w:right w:val="nil"/>
            </w:tcBorders>
          </w:tcPr>
          <w:p>
            <w:pPr>
              <w:pStyle w:val="TableParagraph"/>
              <w:spacing w:before="144"/>
              <w:ind w:left="72"/>
              <w:jc w:val="left"/>
              <w:rPr>
                <w:i/>
                <w:sz w:val="24"/>
              </w:rPr>
            </w:pPr>
            <w:r>
              <w:rPr>
                <w:i/>
                <w:sz w:val="24"/>
              </w:rPr>
              <w:t>C. bipinnatus</w:t>
            </w:r>
          </w:p>
        </w:tc>
        <w:tc>
          <w:tcPr>
            <w:tcW w:w="787" w:type="dxa"/>
            <w:tcBorders>
              <w:top w:val="nil"/>
              <w:left w:val="nil"/>
              <w:bottom w:val="nil"/>
              <w:right w:val="nil"/>
            </w:tcBorders>
          </w:tcPr>
          <w:p>
            <w:pPr>
              <w:pStyle w:val="TableParagraph"/>
              <w:spacing w:before="144"/>
              <w:ind w:right="12"/>
              <w:rPr>
                <w:sz w:val="24"/>
              </w:rPr>
            </w:pPr>
            <w:r>
              <w:rPr>
                <w:w w:val="99"/>
                <w:sz w:val="24"/>
              </w:rPr>
              <w:t>-</w:t>
            </w:r>
          </w:p>
        </w:tc>
        <w:tc>
          <w:tcPr>
            <w:tcW w:w="713" w:type="dxa"/>
            <w:tcBorders>
              <w:top w:val="nil"/>
              <w:left w:val="nil"/>
              <w:bottom w:val="nil"/>
              <w:right w:val="nil"/>
            </w:tcBorders>
          </w:tcPr>
          <w:p>
            <w:pPr>
              <w:pStyle w:val="TableParagraph"/>
              <w:spacing w:before="144"/>
              <w:ind w:left="130" w:right="75"/>
              <w:rPr>
                <w:sz w:val="24"/>
              </w:rPr>
            </w:pPr>
            <w:r>
              <w:rPr>
                <w:sz w:val="24"/>
              </w:rPr>
              <w:t>54.5</w:t>
            </w:r>
          </w:p>
        </w:tc>
        <w:tc>
          <w:tcPr>
            <w:tcW w:w="656" w:type="dxa"/>
            <w:tcBorders>
              <w:top w:val="nil"/>
              <w:left w:val="nil"/>
              <w:bottom w:val="nil"/>
              <w:right w:val="nil"/>
            </w:tcBorders>
          </w:tcPr>
          <w:p>
            <w:pPr>
              <w:pStyle w:val="TableParagraph"/>
              <w:spacing w:before="144"/>
              <w:ind w:left="75" w:right="73"/>
              <w:rPr>
                <w:sz w:val="24"/>
              </w:rPr>
            </w:pPr>
            <w:r>
              <w:rPr>
                <w:sz w:val="24"/>
              </w:rPr>
              <w:t>0.18</w:t>
            </w:r>
          </w:p>
        </w:tc>
        <w:tc>
          <w:tcPr>
            <w:tcW w:w="658" w:type="dxa"/>
            <w:tcBorders>
              <w:top w:val="nil"/>
              <w:left w:val="nil"/>
              <w:bottom w:val="nil"/>
              <w:right w:val="nil"/>
            </w:tcBorders>
          </w:tcPr>
          <w:p>
            <w:pPr>
              <w:pStyle w:val="TableParagraph"/>
              <w:spacing w:before="144"/>
              <w:ind w:left="74" w:right="76"/>
              <w:rPr>
                <w:sz w:val="24"/>
              </w:rPr>
            </w:pPr>
            <w:r>
              <w:rPr>
                <w:sz w:val="24"/>
              </w:rPr>
              <w:t>84.6</w:t>
            </w:r>
          </w:p>
        </w:tc>
        <w:tc>
          <w:tcPr>
            <w:tcW w:w="715" w:type="dxa"/>
            <w:tcBorders>
              <w:top w:val="nil"/>
              <w:left w:val="nil"/>
              <w:bottom w:val="nil"/>
              <w:right w:val="nil"/>
            </w:tcBorders>
          </w:tcPr>
          <w:p>
            <w:pPr>
              <w:pStyle w:val="TableParagraph"/>
              <w:spacing w:before="144"/>
              <w:ind w:left="135"/>
              <w:jc w:val="left"/>
              <w:rPr>
                <w:sz w:val="24"/>
              </w:rPr>
            </w:pPr>
            <w:r>
              <w:rPr>
                <w:sz w:val="24"/>
              </w:rPr>
              <w:t>0.05</w:t>
            </w:r>
          </w:p>
        </w:tc>
        <w:tc>
          <w:tcPr>
            <w:tcW w:w="697" w:type="dxa"/>
            <w:tcBorders>
              <w:top w:val="nil"/>
              <w:left w:val="nil"/>
              <w:bottom w:val="nil"/>
              <w:right w:val="nil"/>
            </w:tcBorders>
          </w:tcPr>
          <w:p>
            <w:pPr>
              <w:pStyle w:val="TableParagraph"/>
              <w:spacing w:before="144"/>
              <w:ind w:left="91" w:right="162"/>
              <w:rPr>
                <w:sz w:val="24"/>
              </w:rPr>
            </w:pPr>
            <w:r>
              <w:rPr>
                <w:sz w:val="24"/>
              </w:rPr>
              <w:t>2.4</w:t>
            </w:r>
          </w:p>
        </w:tc>
        <w:tc>
          <w:tcPr>
            <w:tcW w:w="1032" w:type="dxa"/>
            <w:tcBorders>
              <w:top w:val="nil"/>
              <w:left w:val="nil"/>
              <w:bottom w:val="nil"/>
              <w:right w:val="nil"/>
            </w:tcBorders>
          </w:tcPr>
          <w:p>
            <w:pPr>
              <w:pStyle w:val="TableParagraph"/>
              <w:spacing w:before="144"/>
              <w:ind w:left="186" w:right="114"/>
              <w:rPr>
                <w:sz w:val="24"/>
              </w:rPr>
            </w:pPr>
            <w:r>
              <w:rPr>
                <w:sz w:val="24"/>
              </w:rPr>
              <w:t>109</w:t>
            </w:r>
          </w:p>
        </w:tc>
        <w:tc>
          <w:tcPr>
            <w:tcW w:w="1075" w:type="dxa"/>
            <w:tcBorders>
              <w:top w:val="nil"/>
              <w:left w:val="nil"/>
              <w:bottom w:val="nil"/>
              <w:right w:val="nil"/>
            </w:tcBorders>
          </w:tcPr>
          <w:p>
            <w:pPr>
              <w:pStyle w:val="TableParagraph"/>
              <w:spacing w:before="144"/>
              <w:ind w:left="125" w:right="219"/>
              <w:rPr>
                <w:sz w:val="24"/>
              </w:rPr>
            </w:pPr>
            <w:r>
              <w:rPr>
                <w:sz w:val="24"/>
              </w:rPr>
              <w:t>140.6</w:t>
            </w:r>
          </w:p>
        </w:tc>
        <w:tc>
          <w:tcPr>
            <w:tcW w:w="970" w:type="dxa"/>
            <w:tcBorders>
              <w:top w:val="nil"/>
              <w:left w:val="nil"/>
              <w:bottom w:val="nil"/>
              <w:right w:val="nil"/>
            </w:tcBorders>
          </w:tcPr>
          <w:p>
            <w:pPr>
              <w:pStyle w:val="TableParagraph"/>
              <w:spacing w:before="144"/>
              <w:ind w:left="183" w:right="145"/>
              <w:rPr>
                <w:sz w:val="24"/>
              </w:rPr>
            </w:pPr>
            <w:r>
              <w:rPr>
                <w:sz w:val="24"/>
              </w:rPr>
              <w:t>455.6</w:t>
            </w:r>
          </w:p>
        </w:tc>
        <w:tc>
          <w:tcPr>
            <w:tcW w:w="951" w:type="dxa"/>
            <w:tcBorders>
              <w:top w:val="nil"/>
              <w:left w:val="nil"/>
              <w:bottom w:val="nil"/>
              <w:right w:val="nil"/>
            </w:tcBorders>
          </w:tcPr>
          <w:p>
            <w:pPr>
              <w:pStyle w:val="TableParagraph"/>
              <w:spacing w:before="144"/>
              <w:ind w:left="265"/>
              <w:jc w:val="left"/>
              <w:rPr>
                <w:sz w:val="24"/>
              </w:rPr>
            </w:pPr>
            <w:r>
              <w:rPr>
                <w:sz w:val="24"/>
              </w:rPr>
              <w:t>382</w:t>
            </w:r>
          </w:p>
        </w:tc>
        <w:tc>
          <w:tcPr>
            <w:tcW w:w="1006" w:type="dxa"/>
            <w:tcBorders>
              <w:top w:val="nil"/>
              <w:left w:val="nil"/>
              <w:bottom w:val="nil"/>
              <w:right w:val="nil"/>
            </w:tcBorders>
          </w:tcPr>
          <w:p>
            <w:pPr>
              <w:pStyle w:val="TableParagraph"/>
              <w:spacing w:before="144"/>
              <w:ind w:left="164" w:right="167"/>
              <w:rPr>
                <w:sz w:val="24"/>
              </w:rPr>
            </w:pPr>
            <w:r>
              <w:rPr>
                <w:sz w:val="24"/>
              </w:rPr>
              <w:t>389</w:t>
            </w:r>
          </w:p>
        </w:tc>
        <w:tc>
          <w:tcPr>
            <w:tcW w:w="762" w:type="dxa"/>
            <w:tcBorders>
              <w:top w:val="nil"/>
              <w:left w:val="nil"/>
              <w:bottom w:val="nil"/>
              <w:right w:val="nil"/>
            </w:tcBorders>
          </w:tcPr>
          <w:p>
            <w:pPr>
              <w:pStyle w:val="TableParagraph"/>
              <w:spacing w:before="144"/>
              <w:ind w:left="174" w:right="179"/>
              <w:rPr>
                <w:sz w:val="24"/>
              </w:rPr>
            </w:pPr>
            <w:r>
              <w:rPr>
                <w:sz w:val="24"/>
              </w:rPr>
              <w:t>9.1</w:t>
            </w:r>
          </w:p>
        </w:tc>
      </w:tr>
      <w:tr>
        <w:trPr>
          <w:trHeight w:val="451" w:hRule="exact"/>
        </w:trPr>
        <w:tc>
          <w:tcPr>
            <w:tcW w:w="1766" w:type="dxa"/>
            <w:tcBorders>
              <w:top w:val="nil"/>
              <w:left w:val="nil"/>
              <w:bottom w:val="nil"/>
              <w:right w:val="nil"/>
            </w:tcBorders>
          </w:tcPr>
          <w:p>
            <w:pPr/>
          </w:p>
        </w:tc>
        <w:tc>
          <w:tcPr>
            <w:tcW w:w="787" w:type="dxa"/>
            <w:tcBorders>
              <w:top w:val="nil"/>
              <w:left w:val="nil"/>
              <w:bottom w:val="nil"/>
              <w:right w:val="nil"/>
            </w:tcBorders>
          </w:tcPr>
          <w:p>
            <w:pPr>
              <w:pStyle w:val="TableParagraph"/>
              <w:spacing w:before="5"/>
              <w:ind w:right="9"/>
              <w:rPr>
                <w:sz w:val="24"/>
              </w:rPr>
            </w:pPr>
            <w:r>
              <w:rPr>
                <w:w w:val="100"/>
                <w:sz w:val="24"/>
              </w:rPr>
              <w:t>+</w:t>
            </w:r>
          </w:p>
        </w:tc>
        <w:tc>
          <w:tcPr>
            <w:tcW w:w="713" w:type="dxa"/>
            <w:tcBorders>
              <w:top w:val="nil"/>
              <w:left w:val="nil"/>
              <w:bottom w:val="nil"/>
              <w:right w:val="nil"/>
            </w:tcBorders>
          </w:tcPr>
          <w:p>
            <w:pPr>
              <w:pStyle w:val="TableParagraph"/>
              <w:spacing w:before="5"/>
              <w:ind w:left="122" w:right="75"/>
              <w:rPr>
                <w:sz w:val="24"/>
              </w:rPr>
            </w:pPr>
            <w:r>
              <w:rPr>
                <w:sz w:val="24"/>
              </w:rPr>
              <w:t>79</w:t>
            </w:r>
          </w:p>
        </w:tc>
        <w:tc>
          <w:tcPr>
            <w:tcW w:w="656" w:type="dxa"/>
            <w:tcBorders>
              <w:top w:val="nil"/>
              <w:left w:val="nil"/>
              <w:bottom w:val="nil"/>
              <w:right w:val="nil"/>
            </w:tcBorders>
          </w:tcPr>
          <w:p>
            <w:pPr>
              <w:pStyle w:val="TableParagraph"/>
              <w:spacing w:before="5"/>
              <w:ind w:left="75" w:right="73"/>
              <w:rPr>
                <w:sz w:val="24"/>
              </w:rPr>
            </w:pPr>
            <w:r>
              <w:rPr>
                <w:sz w:val="24"/>
              </w:rPr>
              <w:t>0.15</w:t>
            </w:r>
          </w:p>
        </w:tc>
        <w:tc>
          <w:tcPr>
            <w:tcW w:w="658" w:type="dxa"/>
            <w:tcBorders>
              <w:top w:val="nil"/>
              <w:left w:val="nil"/>
              <w:bottom w:val="nil"/>
              <w:right w:val="nil"/>
            </w:tcBorders>
          </w:tcPr>
          <w:p>
            <w:pPr>
              <w:pStyle w:val="TableParagraph"/>
              <w:spacing w:before="5"/>
              <w:ind w:left="74" w:right="74"/>
              <w:rPr>
                <w:sz w:val="24"/>
              </w:rPr>
            </w:pPr>
            <w:r>
              <w:rPr>
                <w:sz w:val="24"/>
              </w:rPr>
              <w:t>65</w:t>
            </w:r>
          </w:p>
        </w:tc>
        <w:tc>
          <w:tcPr>
            <w:tcW w:w="715" w:type="dxa"/>
            <w:tcBorders>
              <w:top w:val="nil"/>
              <w:left w:val="nil"/>
              <w:bottom w:val="nil"/>
              <w:right w:val="nil"/>
            </w:tcBorders>
          </w:tcPr>
          <w:p>
            <w:pPr>
              <w:pStyle w:val="TableParagraph"/>
              <w:spacing w:before="5"/>
              <w:ind w:left="135"/>
              <w:jc w:val="left"/>
              <w:rPr>
                <w:sz w:val="24"/>
              </w:rPr>
            </w:pPr>
            <w:r>
              <w:rPr>
                <w:sz w:val="24"/>
              </w:rPr>
              <w:t>0.03</w:t>
            </w:r>
          </w:p>
        </w:tc>
        <w:tc>
          <w:tcPr>
            <w:tcW w:w="697" w:type="dxa"/>
            <w:tcBorders>
              <w:top w:val="nil"/>
              <w:left w:val="nil"/>
              <w:bottom w:val="nil"/>
              <w:right w:val="nil"/>
            </w:tcBorders>
          </w:tcPr>
          <w:p>
            <w:pPr>
              <w:pStyle w:val="TableParagraph"/>
              <w:spacing w:before="5"/>
              <w:ind w:left="91" w:right="162"/>
              <w:rPr>
                <w:sz w:val="24"/>
              </w:rPr>
            </w:pPr>
            <w:r>
              <w:rPr>
                <w:sz w:val="24"/>
              </w:rPr>
              <w:t>3.4</w:t>
            </w:r>
          </w:p>
        </w:tc>
        <w:tc>
          <w:tcPr>
            <w:tcW w:w="1032" w:type="dxa"/>
            <w:tcBorders>
              <w:top w:val="nil"/>
              <w:left w:val="nil"/>
              <w:bottom w:val="nil"/>
              <w:right w:val="nil"/>
            </w:tcBorders>
          </w:tcPr>
          <w:p>
            <w:pPr>
              <w:pStyle w:val="TableParagraph"/>
              <w:spacing w:before="5"/>
              <w:ind w:left="186" w:right="116"/>
              <w:rPr>
                <w:sz w:val="24"/>
              </w:rPr>
            </w:pPr>
            <w:r>
              <w:rPr>
                <w:sz w:val="24"/>
              </w:rPr>
              <w:t>110.7</w:t>
            </w:r>
          </w:p>
        </w:tc>
        <w:tc>
          <w:tcPr>
            <w:tcW w:w="1075" w:type="dxa"/>
            <w:tcBorders>
              <w:top w:val="nil"/>
              <w:left w:val="nil"/>
              <w:bottom w:val="nil"/>
              <w:right w:val="nil"/>
            </w:tcBorders>
          </w:tcPr>
          <w:p>
            <w:pPr>
              <w:pStyle w:val="TableParagraph"/>
              <w:spacing w:before="5"/>
              <w:ind w:left="125" w:right="219"/>
              <w:rPr>
                <w:sz w:val="24"/>
              </w:rPr>
            </w:pPr>
            <w:r>
              <w:rPr>
                <w:sz w:val="24"/>
              </w:rPr>
              <w:t>142.9</w:t>
            </w:r>
          </w:p>
        </w:tc>
        <w:tc>
          <w:tcPr>
            <w:tcW w:w="970" w:type="dxa"/>
            <w:tcBorders>
              <w:top w:val="nil"/>
              <w:left w:val="nil"/>
              <w:bottom w:val="nil"/>
              <w:right w:val="nil"/>
            </w:tcBorders>
          </w:tcPr>
          <w:p>
            <w:pPr>
              <w:pStyle w:val="TableParagraph"/>
              <w:spacing w:before="5"/>
              <w:ind w:left="182" w:right="145"/>
              <w:rPr>
                <w:sz w:val="24"/>
              </w:rPr>
            </w:pPr>
            <w:r>
              <w:rPr>
                <w:sz w:val="24"/>
              </w:rPr>
              <w:t>470.8</w:t>
            </w:r>
          </w:p>
        </w:tc>
        <w:tc>
          <w:tcPr>
            <w:tcW w:w="951" w:type="dxa"/>
            <w:tcBorders>
              <w:top w:val="nil"/>
              <w:left w:val="nil"/>
              <w:bottom w:val="nil"/>
              <w:right w:val="nil"/>
            </w:tcBorders>
          </w:tcPr>
          <w:p>
            <w:pPr>
              <w:pStyle w:val="TableParagraph"/>
              <w:spacing w:before="5"/>
              <w:ind w:left="265"/>
              <w:jc w:val="left"/>
              <w:rPr>
                <w:sz w:val="24"/>
              </w:rPr>
            </w:pPr>
            <w:r>
              <w:rPr>
                <w:sz w:val="24"/>
              </w:rPr>
              <w:t>397</w:t>
            </w:r>
          </w:p>
        </w:tc>
        <w:tc>
          <w:tcPr>
            <w:tcW w:w="1006" w:type="dxa"/>
            <w:tcBorders>
              <w:top w:val="nil"/>
              <w:left w:val="nil"/>
              <w:bottom w:val="nil"/>
              <w:right w:val="nil"/>
            </w:tcBorders>
          </w:tcPr>
          <w:p>
            <w:pPr>
              <w:pStyle w:val="TableParagraph"/>
              <w:spacing w:before="5"/>
              <w:ind w:left="164" w:right="167"/>
              <w:rPr>
                <w:sz w:val="24"/>
              </w:rPr>
            </w:pPr>
            <w:r>
              <w:rPr>
                <w:sz w:val="24"/>
              </w:rPr>
              <w:t>468</w:t>
            </w:r>
          </w:p>
        </w:tc>
        <w:tc>
          <w:tcPr>
            <w:tcW w:w="762" w:type="dxa"/>
            <w:tcBorders>
              <w:top w:val="nil"/>
              <w:left w:val="nil"/>
              <w:bottom w:val="nil"/>
              <w:right w:val="nil"/>
            </w:tcBorders>
          </w:tcPr>
          <w:p>
            <w:pPr>
              <w:pStyle w:val="TableParagraph"/>
              <w:spacing w:before="5"/>
              <w:ind w:left="174" w:right="179"/>
              <w:rPr>
                <w:sz w:val="24"/>
              </w:rPr>
            </w:pPr>
            <w:r>
              <w:rPr>
                <w:sz w:val="24"/>
              </w:rPr>
              <w:t>9.2</w:t>
            </w:r>
          </w:p>
        </w:tc>
      </w:tr>
      <w:tr>
        <w:trPr>
          <w:trHeight w:val="454" w:hRule="exact"/>
        </w:trPr>
        <w:tc>
          <w:tcPr>
            <w:tcW w:w="1766" w:type="dxa"/>
            <w:tcBorders>
              <w:top w:val="nil"/>
              <w:left w:val="nil"/>
              <w:bottom w:val="nil"/>
              <w:right w:val="nil"/>
            </w:tcBorders>
          </w:tcPr>
          <w:p>
            <w:pPr>
              <w:pStyle w:val="TableParagraph"/>
              <w:spacing w:before="144"/>
              <w:ind w:left="72" w:right="406"/>
              <w:jc w:val="left"/>
              <w:rPr>
                <w:i/>
                <w:sz w:val="24"/>
              </w:rPr>
            </w:pPr>
            <w:r>
              <w:rPr>
                <w:i/>
                <w:sz w:val="24"/>
              </w:rPr>
              <w:t>T. lucida</w:t>
            </w:r>
          </w:p>
        </w:tc>
        <w:tc>
          <w:tcPr>
            <w:tcW w:w="787" w:type="dxa"/>
            <w:tcBorders>
              <w:top w:val="nil"/>
              <w:left w:val="nil"/>
              <w:bottom w:val="nil"/>
              <w:right w:val="nil"/>
            </w:tcBorders>
          </w:tcPr>
          <w:p>
            <w:pPr>
              <w:pStyle w:val="TableParagraph"/>
              <w:spacing w:before="144"/>
              <w:ind w:right="12"/>
              <w:rPr>
                <w:sz w:val="24"/>
              </w:rPr>
            </w:pPr>
            <w:r>
              <w:rPr>
                <w:w w:val="99"/>
                <w:sz w:val="24"/>
              </w:rPr>
              <w:t>-</w:t>
            </w:r>
          </w:p>
        </w:tc>
        <w:tc>
          <w:tcPr>
            <w:tcW w:w="713" w:type="dxa"/>
            <w:tcBorders>
              <w:top w:val="nil"/>
              <w:left w:val="nil"/>
              <w:bottom w:val="nil"/>
              <w:right w:val="nil"/>
            </w:tcBorders>
          </w:tcPr>
          <w:p>
            <w:pPr>
              <w:pStyle w:val="TableParagraph"/>
              <w:spacing w:before="144"/>
              <w:ind w:left="130" w:right="75"/>
              <w:rPr>
                <w:sz w:val="24"/>
              </w:rPr>
            </w:pPr>
            <w:r>
              <w:rPr>
                <w:sz w:val="24"/>
              </w:rPr>
              <w:t>9.2</w:t>
            </w:r>
          </w:p>
        </w:tc>
        <w:tc>
          <w:tcPr>
            <w:tcW w:w="656" w:type="dxa"/>
            <w:tcBorders>
              <w:top w:val="nil"/>
              <w:left w:val="nil"/>
              <w:bottom w:val="nil"/>
              <w:right w:val="nil"/>
            </w:tcBorders>
          </w:tcPr>
          <w:p>
            <w:pPr>
              <w:pStyle w:val="TableParagraph"/>
              <w:spacing w:before="144"/>
              <w:ind w:left="75" w:right="73"/>
              <w:rPr>
                <w:sz w:val="24"/>
              </w:rPr>
            </w:pPr>
            <w:r>
              <w:rPr>
                <w:sz w:val="24"/>
              </w:rPr>
              <w:t>0.94</w:t>
            </w:r>
          </w:p>
        </w:tc>
        <w:tc>
          <w:tcPr>
            <w:tcW w:w="658" w:type="dxa"/>
            <w:tcBorders>
              <w:top w:val="nil"/>
              <w:left w:val="nil"/>
              <w:bottom w:val="nil"/>
              <w:right w:val="nil"/>
            </w:tcBorders>
          </w:tcPr>
          <w:p>
            <w:pPr>
              <w:pStyle w:val="TableParagraph"/>
              <w:spacing w:before="144"/>
              <w:ind w:left="74" w:right="74"/>
              <w:rPr>
                <w:sz w:val="24"/>
              </w:rPr>
            </w:pPr>
            <w:r>
              <w:rPr>
                <w:sz w:val="24"/>
              </w:rPr>
              <w:t>118</w:t>
            </w:r>
          </w:p>
        </w:tc>
        <w:tc>
          <w:tcPr>
            <w:tcW w:w="715" w:type="dxa"/>
            <w:tcBorders>
              <w:top w:val="nil"/>
              <w:left w:val="nil"/>
              <w:bottom w:val="nil"/>
              <w:right w:val="nil"/>
            </w:tcBorders>
          </w:tcPr>
          <w:p>
            <w:pPr>
              <w:pStyle w:val="TableParagraph"/>
              <w:spacing w:before="144"/>
              <w:ind w:left="135"/>
              <w:jc w:val="left"/>
              <w:rPr>
                <w:sz w:val="24"/>
              </w:rPr>
            </w:pPr>
            <w:r>
              <w:rPr>
                <w:sz w:val="24"/>
              </w:rPr>
              <w:t>0.02</w:t>
            </w:r>
          </w:p>
        </w:tc>
        <w:tc>
          <w:tcPr>
            <w:tcW w:w="697" w:type="dxa"/>
            <w:tcBorders>
              <w:top w:val="nil"/>
              <w:left w:val="nil"/>
              <w:bottom w:val="nil"/>
              <w:right w:val="nil"/>
            </w:tcBorders>
          </w:tcPr>
          <w:p>
            <w:pPr>
              <w:pStyle w:val="TableParagraph"/>
              <w:spacing w:before="144"/>
              <w:ind w:left="91" w:right="162"/>
              <w:rPr>
                <w:sz w:val="24"/>
              </w:rPr>
            </w:pPr>
            <w:r>
              <w:rPr>
                <w:sz w:val="24"/>
              </w:rPr>
              <w:t>2.1</w:t>
            </w:r>
          </w:p>
        </w:tc>
        <w:tc>
          <w:tcPr>
            <w:tcW w:w="1032" w:type="dxa"/>
            <w:tcBorders>
              <w:top w:val="nil"/>
              <w:left w:val="nil"/>
              <w:bottom w:val="nil"/>
              <w:right w:val="nil"/>
            </w:tcBorders>
          </w:tcPr>
          <w:p>
            <w:pPr>
              <w:pStyle w:val="TableParagraph"/>
              <w:spacing w:before="144"/>
              <w:ind w:left="186" w:right="116"/>
              <w:rPr>
                <w:sz w:val="24"/>
              </w:rPr>
            </w:pPr>
            <w:r>
              <w:rPr>
                <w:sz w:val="24"/>
              </w:rPr>
              <w:t>63.7</w:t>
            </w:r>
          </w:p>
        </w:tc>
        <w:tc>
          <w:tcPr>
            <w:tcW w:w="1075" w:type="dxa"/>
            <w:tcBorders>
              <w:top w:val="nil"/>
              <w:left w:val="nil"/>
              <w:bottom w:val="nil"/>
              <w:right w:val="nil"/>
            </w:tcBorders>
          </w:tcPr>
          <w:p>
            <w:pPr>
              <w:pStyle w:val="TableParagraph"/>
              <w:spacing w:before="144"/>
              <w:ind w:left="125" w:right="219"/>
              <w:rPr>
                <w:sz w:val="24"/>
              </w:rPr>
            </w:pPr>
            <w:r>
              <w:rPr>
                <w:sz w:val="24"/>
              </w:rPr>
              <w:t>117.7</w:t>
            </w:r>
          </w:p>
        </w:tc>
        <w:tc>
          <w:tcPr>
            <w:tcW w:w="970" w:type="dxa"/>
            <w:tcBorders>
              <w:top w:val="nil"/>
              <w:left w:val="nil"/>
              <w:bottom w:val="nil"/>
              <w:right w:val="nil"/>
            </w:tcBorders>
          </w:tcPr>
          <w:p>
            <w:pPr>
              <w:pStyle w:val="TableParagraph"/>
              <w:spacing w:before="144"/>
              <w:ind w:left="182" w:right="145"/>
              <w:rPr>
                <w:sz w:val="24"/>
              </w:rPr>
            </w:pPr>
            <w:r>
              <w:rPr>
                <w:sz w:val="24"/>
              </w:rPr>
              <w:t>567.9</w:t>
            </w:r>
          </w:p>
        </w:tc>
        <w:tc>
          <w:tcPr>
            <w:tcW w:w="951" w:type="dxa"/>
            <w:tcBorders>
              <w:top w:val="nil"/>
              <w:left w:val="nil"/>
              <w:bottom w:val="nil"/>
              <w:right w:val="nil"/>
            </w:tcBorders>
          </w:tcPr>
          <w:p>
            <w:pPr>
              <w:pStyle w:val="TableParagraph"/>
              <w:spacing w:before="144"/>
              <w:ind w:left="164"/>
              <w:jc w:val="left"/>
              <w:rPr>
                <w:sz w:val="24"/>
              </w:rPr>
            </w:pPr>
            <w:r>
              <w:rPr>
                <w:sz w:val="24"/>
              </w:rPr>
              <w:t>499.5</w:t>
            </w:r>
          </w:p>
        </w:tc>
        <w:tc>
          <w:tcPr>
            <w:tcW w:w="1006" w:type="dxa"/>
            <w:tcBorders>
              <w:top w:val="nil"/>
              <w:left w:val="nil"/>
              <w:bottom w:val="nil"/>
              <w:right w:val="nil"/>
            </w:tcBorders>
          </w:tcPr>
          <w:p>
            <w:pPr>
              <w:pStyle w:val="TableParagraph"/>
              <w:spacing w:before="144"/>
              <w:ind w:left="164" w:right="169"/>
              <w:rPr>
                <w:sz w:val="24"/>
              </w:rPr>
            </w:pPr>
            <w:r>
              <w:rPr>
                <w:sz w:val="24"/>
              </w:rPr>
              <w:t>256.8</w:t>
            </w:r>
          </w:p>
        </w:tc>
        <w:tc>
          <w:tcPr>
            <w:tcW w:w="762" w:type="dxa"/>
            <w:tcBorders>
              <w:top w:val="nil"/>
              <w:left w:val="nil"/>
              <w:bottom w:val="nil"/>
              <w:right w:val="nil"/>
            </w:tcBorders>
          </w:tcPr>
          <w:p>
            <w:pPr>
              <w:pStyle w:val="TableParagraph"/>
              <w:spacing w:before="144"/>
              <w:ind w:left="174" w:right="179"/>
              <w:rPr>
                <w:sz w:val="24"/>
              </w:rPr>
            </w:pPr>
            <w:r>
              <w:rPr>
                <w:sz w:val="24"/>
              </w:rPr>
              <w:t>6.4</w:t>
            </w:r>
          </w:p>
        </w:tc>
      </w:tr>
      <w:tr>
        <w:trPr>
          <w:trHeight w:val="454" w:hRule="exact"/>
        </w:trPr>
        <w:tc>
          <w:tcPr>
            <w:tcW w:w="1766" w:type="dxa"/>
            <w:tcBorders>
              <w:top w:val="nil"/>
              <w:left w:val="nil"/>
              <w:bottom w:val="nil"/>
              <w:right w:val="nil"/>
            </w:tcBorders>
          </w:tcPr>
          <w:p>
            <w:pPr/>
          </w:p>
        </w:tc>
        <w:tc>
          <w:tcPr>
            <w:tcW w:w="787" w:type="dxa"/>
            <w:tcBorders>
              <w:top w:val="nil"/>
              <w:left w:val="nil"/>
              <w:bottom w:val="nil"/>
              <w:right w:val="nil"/>
            </w:tcBorders>
          </w:tcPr>
          <w:p>
            <w:pPr>
              <w:pStyle w:val="TableParagraph"/>
              <w:spacing w:before="8"/>
              <w:ind w:right="9"/>
              <w:rPr>
                <w:sz w:val="24"/>
              </w:rPr>
            </w:pPr>
            <w:r>
              <w:rPr>
                <w:w w:val="100"/>
                <w:sz w:val="24"/>
              </w:rPr>
              <w:t>+</w:t>
            </w:r>
          </w:p>
        </w:tc>
        <w:tc>
          <w:tcPr>
            <w:tcW w:w="713" w:type="dxa"/>
            <w:tcBorders>
              <w:top w:val="nil"/>
              <w:left w:val="nil"/>
              <w:bottom w:val="nil"/>
              <w:right w:val="nil"/>
            </w:tcBorders>
          </w:tcPr>
          <w:p>
            <w:pPr>
              <w:pStyle w:val="TableParagraph"/>
              <w:spacing w:before="8"/>
              <w:ind w:left="122" w:right="75"/>
              <w:rPr>
                <w:sz w:val="24"/>
              </w:rPr>
            </w:pPr>
            <w:r>
              <w:rPr>
                <w:sz w:val="24"/>
              </w:rPr>
              <w:t>70</w:t>
            </w:r>
          </w:p>
        </w:tc>
        <w:tc>
          <w:tcPr>
            <w:tcW w:w="656" w:type="dxa"/>
            <w:tcBorders>
              <w:top w:val="nil"/>
              <w:left w:val="nil"/>
              <w:bottom w:val="nil"/>
              <w:right w:val="nil"/>
            </w:tcBorders>
          </w:tcPr>
          <w:p>
            <w:pPr>
              <w:pStyle w:val="TableParagraph"/>
              <w:spacing w:before="8"/>
              <w:ind w:left="75" w:right="73"/>
              <w:rPr>
                <w:sz w:val="24"/>
              </w:rPr>
            </w:pPr>
            <w:r>
              <w:rPr>
                <w:sz w:val="24"/>
              </w:rPr>
              <w:t>0.08</w:t>
            </w:r>
          </w:p>
        </w:tc>
        <w:tc>
          <w:tcPr>
            <w:tcW w:w="658" w:type="dxa"/>
            <w:tcBorders>
              <w:top w:val="nil"/>
              <w:left w:val="nil"/>
              <w:bottom w:val="nil"/>
              <w:right w:val="nil"/>
            </w:tcBorders>
          </w:tcPr>
          <w:p>
            <w:pPr>
              <w:pStyle w:val="TableParagraph"/>
              <w:spacing w:before="8"/>
              <w:ind w:left="74" w:right="74"/>
              <w:rPr>
                <w:sz w:val="24"/>
              </w:rPr>
            </w:pPr>
            <w:r>
              <w:rPr>
                <w:sz w:val="24"/>
              </w:rPr>
              <w:t>54</w:t>
            </w:r>
          </w:p>
        </w:tc>
        <w:tc>
          <w:tcPr>
            <w:tcW w:w="715" w:type="dxa"/>
            <w:tcBorders>
              <w:top w:val="nil"/>
              <w:left w:val="nil"/>
              <w:bottom w:val="nil"/>
              <w:right w:val="nil"/>
            </w:tcBorders>
          </w:tcPr>
          <w:p>
            <w:pPr>
              <w:pStyle w:val="TableParagraph"/>
              <w:spacing w:before="8"/>
              <w:ind w:left="135"/>
              <w:jc w:val="left"/>
              <w:rPr>
                <w:sz w:val="24"/>
              </w:rPr>
            </w:pPr>
            <w:r>
              <w:rPr>
                <w:sz w:val="24"/>
              </w:rPr>
              <w:t>0.05</w:t>
            </w:r>
          </w:p>
        </w:tc>
        <w:tc>
          <w:tcPr>
            <w:tcW w:w="697" w:type="dxa"/>
            <w:tcBorders>
              <w:top w:val="nil"/>
              <w:left w:val="nil"/>
              <w:bottom w:val="nil"/>
              <w:right w:val="nil"/>
            </w:tcBorders>
          </w:tcPr>
          <w:p>
            <w:pPr>
              <w:pStyle w:val="TableParagraph"/>
              <w:spacing w:before="8"/>
              <w:ind w:left="91" w:right="162"/>
              <w:rPr>
                <w:sz w:val="24"/>
              </w:rPr>
            </w:pPr>
            <w:r>
              <w:rPr>
                <w:sz w:val="24"/>
              </w:rPr>
              <w:t>3.4</w:t>
            </w:r>
          </w:p>
        </w:tc>
        <w:tc>
          <w:tcPr>
            <w:tcW w:w="1032" w:type="dxa"/>
            <w:tcBorders>
              <w:top w:val="nil"/>
              <w:left w:val="nil"/>
              <w:bottom w:val="nil"/>
              <w:right w:val="nil"/>
            </w:tcBorders>
          </w:tcPr>
          <w:p>
            <w:pPr>
              <w:pStyle w:val="TableParagraph"/>
              <w:spacing w:before="8"/>
              <w:ind w:left="186" w:right="116"/>
              <w:rPr>
                <w:sz w:val="24"/>
              </w:rPr>
            </w:pPr>
            <w:r>
              <w:rPr>
                <w:sz w:val="24"/>
              </w:rPr>
              <w:t>96.7</w:t>
            </w:r>
          </w:p>
        </w:tc>
        <w:tc>
          <w:tcPr>
            <w:tcW w:w="1075" w:type="dxa"/>
            <w:tcBorders>
              <w:top w:val="nil"/>
              <w:left w:val="nil"/>
              <w:bottom w:val="nil"/>
              <w:right w:val="nil"/>
            </w:tcBorders>
          </w:tcPr>
          <w:p>
            <w:pPr>
              <w:pStyle w:val="TableParagraph"/>
              <w:spacing w:before="8"/>
              <w:ind w:left="125" w:right="219"/>
              <w:rPr>
                <w:sz w:val="24"/>
              </w:rPr>
            </w:pPr>
            <w:r>
              <w:rPr>
                <w:sz w:val="24"/>
              </w:rPr>
              <w:t>123.9</w:t>
            </w:r>
          </w:p>
        </w:tc>
        <w:tc>
          <w:tcPr>
            <w:tcW w:w="970" w:type="dxa"/>
            <w:tcBorders>
              <w:top w:val="nil"/>
              <w:left w:val="nil"/>
              <w:bottom w:val="nil"/>
              <w:right w:val="nil"/>
            </w:tcBorders>
          </w:tcPr>
          <w:p>
            <w:pPr>
              <w:pStyle w:val="TableParagraph"/>
              <w:spacing w:before="8"/>
              <w:ind w:left="183" w:right="143"/>
              <w:rPr>
                <w:sz w:val="24"/>
              </w:rPr>
            </w:pPr>
            <w:r>
              <w:rPr>
                <w:sz w:val="24"/>
              </w:rPr>
              <w:t>614</w:t>
            </w:r>
          </w:p>
        </w:tc>
        <w:tc>
          <w:tcPr>
            <w:tcW w:w="951" w:type="dxa"/>
            <w:tcBorders>
              <w:top w:val="nil"/>
              <w:left w:val="nil"/>
              <w:bottom w:val="nil"/>
              <w:right w:val="nil"/>
            </w:tcBorders>
          </w:tcPr>
          <w:p>
            <w:pPr>
              <w:pStyle w:val="TableParagraph"/>
              <w:spacing w:before="8"/>
              <w:ind w:left="164"/>
              <w:jc w:val="left"/>
              <w:rPr>
                <w:sz w:val="24"/>
              </w:rPr>
            </w:pPr>
            <w:r>
              <w:rPr>
                <w:sz w:val="24"/>
              </w:rPr>
              <w:t>568.5</w:t>
            </w:r>
          </w:p>
        </w:tc>
        <w:tc>
          <w:tcPr>
            <w:tcW w:w="1006" w:type="dxa"/>
            <w:tcBorders>
              <w:top w:val="nil"/>
              <w:left w:val="nil"/>
              <w:bottom w:val="nil"/>
              <w:right w:val="nil"/>
            </w:tcBorders>
          </w:tcPr>
          <w:p>
            <w:pPr>
              <w:pStyle w:val="TableParagraph"/>
              <w:spacing w:before="8"/>
              <w:ind w:left="164" w:right="169"/>
              <w:rPr>
                <w:sz w:val="24"/>
              </w:rPr>
            </w:pPr>
            <w:r>
              <w:rPr>
                <w:sz w:val="24"/>
              </w:rPr>
              <w:t>319.8</w:t>
            </w:r>
          </w:p>
        </w:tc>
        <w:tc>
          <w:tcPr>
            <w:tcW w:w="762" w:type="dxa"/>
            <w:tcBorders>
              <w:top w:val="nil"/>
              <w:left w:val="nil"/>
              <w:bottom w:val="nil"/>
              <w:right w:val="nil"/>
            </w:tcBorders>
          </w:tcPr>
          <w:p>
            <w:pPr>
              <w:pStyle w:val="TableParagraph"/>
              <w:spacing w:before="8"/>
              <w:ind w:left="174" w:right="179"/>
              <w:rPr>
                <w:sz w:val="24"/>
              </w:rPr>
            </w:pPr>
            <w:r>
              <w:rPr>
                <w:sz w:val="24"/>
              </w:rPr>
              <w:t>7.9</w:t>
            </w:r>
          </w:p>
        </w:tc>
      </w:tr>
      <w:tr>
        <w:trPr>
          <w:trHeight w:val="454" w:hRule="exact"/>
        </w:trPr>
        <w:tc>
          <w:tcPr>
            <w:tcW w:w="1766" w:type="dxa"/>
            <w:tcBorders>
              <w:top w:val="nil"/>
              <w:left w:val="nil"/>
              <w:bottom w:val="nil"/>
              <w:right w:val="nil"/>
            </w:tcBorders>
          </w:tcPr>
          <w:p>
            <w:pPr>
              <w:pStyle w:val="TableParagraph"/>
              <w:spacing w:before="144"/>
              <w:ind w:left="72" w:right="406"/>
              <w:jc w:val="left"/>
              <w:rPr>
                <w:i/>
                <w:sz w:val="24"/>
              </w:rPr>
            </w:pPr>
            <w:r>
              <w:rPr>
                <w:i/>
                <w:sz w:val="24"/>
              </w:rPr>
              <w:t>T. erecta</w:t>
            </w:r>
          </w:p>
        </w:tc>
        <w:tc>
          <w:tcPr>
            <w:tcW w:w="787" w:type="dxa"/>
            <w:tcBorders>
              <w:top w:val="nil"/>
              <w:left w:val="nil"/>
              <w:bottom w:val="nil"/>
              <w:right w:val="nil"/>
            </w:tcBorders>
          </w:tcPr>
          <w:p>
            <w:pPr>
              <w:pStyle w:val="TableParagraph"/>
              <w:spacing w:before="144"/>
              <w:ind w:right="12"/>
              <w:rPr>
                <w:sz w:val="24"/>
              </w:rPr>
            </w:pPr>
            <w:r>
              <w:rPr>
                <w:w w:val="99"/>
                <w:sz w:val="24"/>
              </w:rPr>
              <w:t>-</w:t>
            </w:r>
          </w:p>
        </w:tc>
        <w:tc>
          <w:tcPr>
            <w:tcW w:w="713" w:type="dxa"/>
            <w:tcBorders>
              <w:top w:val="nil"/>
              <w:left w:val="nil"/>
              <w:bottom w:val="nil"/>
              <w:right w:val="nil"/>
            </w:tcBorders>
          </w:tcPr>
          <w:p>
            <w:pPr>
              <w:pStyle w:val="TableParagraph"/>
              <w:spacing w:before="144"/>
              <w:ind w:left="122" w:right="75"/>
              <w:rPr>
                <w:sz w:val="24"/>
              </w:rPr>
            </w:pPr>
            <w:r>
              <w:rPr>
                <w:sz w:val="24"/>
              </w:rPr>
              <w:t>46</w:t>
            </w:r>
          </w:p>
        </w:tc>
        <w:tc>
          <w:tcPr>
            <w:tcW w:w="656" w:type="dxa"/>
            <w:tcBorders>
              <w:top w:val="nil"/>
              <w:left w:val="nil"/>
              <w:bottom w:val="nil"/>
              <w:right w:val="nil"/>
            </w:tcBorders>
          </w:tcPr>
          <w:p>
            <w:pPr>
              <w:pStyle w:val="TableParagraph"/>
              <w:spacing w:before="144"/>
              <w:ind w:left="75" w:right="73"/>
              <w:rPr>
                <w:sz w:val="24"/>
              </w:rPr>
            </w:pPr>
            <w:r>
              <w:rPr>
                <w:sz w:val="24"/>
              </w:rPr>
              <w:t>0.17</w:t>
            </w:r>
          </w:p>
        </w:tc>
        <w:tc>
          <w:tcPr>
            <w:tcW w:w="658" w:type="dxa"/>
            <w:tcBorders>
              <w:top w:val="nil"/>
              <w:left w:val="nil"/>
              <w:bottom w:val="nil"/>
              <w:right w:val="nil"/>
            </w:tcBorders>
          </w:tcPr>
          <w:p>
            <w:pPr>
              <w:pStyle w:val="TableParagraph"/>
              <w:spacing w:before="144"/>
              <w:ind w:left="74" w:right="74"/>
              <w:rPr>
                <w:sz w:val="24"/>
              </w:rPr>
            </w:pPr>
            <w:r>
              <w:rPr>
                <w:sz w:val="24"/>
              </w:rPr>
              <w:t>94</w:t>
            </w:r>
          </w:p>
        </w:tc>
        <w:tc>
          <w:tcPr>
            <w:tcW w:w="715" w:type="dxa"/>
            <w:tcBorders>
              <w:top w:val="nil"/>
              <w:left w:val="nil"/>
              <w:bottom w:val="nil"/>
              <w:right w:val="nil"/>
            </w:tcBorders>
          </w:tcPr>
          <w:p>
            <w:pPr>
              <w:pStyle w:val="TableParagraph"/>
              <w:spacing w:before="144"/>
              <w:ind w:left="135"/>
              <w:jc w:val="left"/>
              <w:rPr>
                <w:sz w:val="24"/>
              </w:rPr>
            </w:pPr>
            <w:r>
              <w:rPr>
                <w:sz w:val="24"/>
              </w:rPr>
              <w:t>0.07</w:t>
            </w:r>
          </w:p>
        </w:tc>
        <w:tc>
          <w:tcPr>
            <w:tcW w:w="697" w:type="dxa"/>
            <w:tcBorders>
              <w:top w:val="nil"/>
              <w:left w:val="nil"/>
              <w:bottom w:val="nil"/>
              <w:right w:val="nil"/>
            </w:tcBorders>
          </w:tcPr>
          <w:p>
            <w:pPr>
              <w:pStyle w:val="TableParagraph"/>
              <w:spacing w:before="144"/>
              <w:ind w:left="91" w:right="162"/>
              <w:rPr>
                <w:sz w:val="24"/>
              </w:rPr>
            </w:pPr>
            <w:r>
              <w:rPr>
                <w:sz w:val="24"/>
              </w:rPr>
              <w:t>2.6</w:t>
            </w:r>
          </w:p>
        </w:tc>
        <w:tc>
          <w:tcPr>
            <w:tcW w:w="1032" w:type="dxa"/>
            <w:tcBorders>
              <w:top w:val="nil"/>
              <w:left w:val="nil"/>
              <w:bottom w:val="nil"/>
              <w:right w:val="nil"/>
            </w:tcBorders>
          </w:tcPr>
          <w:p>
            <w:pPr>
              <w:pStyle w:val="TableParagraph"/>
              <w:spacing w:before="144"/>
              <w:ind w:left="186" w:right="114"/>
              <w:rPr>
                <w:sz w:val="24"/>
              </w:rPr>
            </w:pPr>
            <w:r>
              <w:rPr>
                <w:sz w:val="24"/>
              </w:rPr>
              <w:t>117</w:t>
            </w:r>
          </w:p>
        </w:tc>
        <w:tc>
          <w:tcPr>
            <w:tcW w:w="1075" w:type="dxa"/>
            <w:tcBorders>
              <w:top w:val="nil"/>
              <w:left w:val="nil"/>
              <w:bottom w:val="nil"/>
              <w:right w:val="nil"/>
            </w:tcBorders>
          </w:tcPr>
          <w:p>
            <w:pPr>
              <w:pStyle w:val="TableParagraph"/>
              <w:spacing w:before="144"/>
              <w:ind w:left="125" w:right="219"/>
              <w:rPr>
                <w:sz w:val="24"/>
              </w:rPr>
            </w:pPr>
            <w:r>
              <w:rPr>
                <w:sz w:val="24"/>
              </w:rPr>
              <w:t>144.7</w:t>
            </w:r>
          </w:p>
        </w:tc>
        <w:tc>
          <w:tcPr>
            <w:tcW w:w="970" w:type="dxa"/>
            <w:tcBorders>
              <w:top w:val="nil"/>
              <w:left w:val="nil"/>
              <w:bottom w:val="nil"/>
              <w:right w:val="nil"/>
            </w:tcBorders>
          </w:tcPr>
          <w:p>
            <w:pPr>
              <w:pStyle w:val="TableParagraph"/>
              <w:spacing w:before="144"/>
              <w:ind w:left="182" w:right="145"/>
              <w:rPr>
                <w:sz w:val="24"/>
              </w:rPr>
            </w:pPr>
            <w:r>
              <w:rPr>
                <w:sz w:val="24"/>
              </w:rPr>
              <w:t>725.8</w:t>
            </w:r>
          </w:p>
        </w:tc>
        <w:tc>
          <w:tcPr>
            <w:tcW w:w="951" w:type="dxa"/>
            <w:tcBorders>
              <w:top w:val="nil"/>
              <w:left w:val="nil"/>
              <w:bottom w:val="nil"/>
              <w:right w:val="nil"/>
            </w:tcBorders>
          </w:tcPr>
          <w:p>
            <w:pPr>
              <w:pStyle w:val="TableParagraph"/>
              <w:spacing w:before="144"/>
              <w:ind w:left="265"/>
              <w:jc w:val="left"/>
              <w:rPr>
                <w:sz w:val="24"/>
              </w:rPr>
            </w:pPr>
            <w:r>
              <w:rPr>
                <w:sz w:val="24"/>
              </w:rPr>
              <w:t>602</w:t>
            </w:r>
          </w:p>
        </w:tc>
        <w:tc>
          <w:tcPr>
            <w:tcW w:w="1006" w:type="dxa"/>
            <w:tcBorders>
              <w:top w:val="nil"/>
              <w:left w:val="nil"/>
              <w:bottom w:val="nil"/>
              <w:right w:val="nil"/>
            </w:tcBorders>
          </w:tcPr>
          <w:p>
            <w:pPr>
              <w:pStyle w:val="TableParagraph"/>
              <w:spacing w:before="144"/>
              <w:ind w:left="164" w:right="169"/>
              <w:rPr>
                <w:sz w:val="24"/>
              </w:rPr>
            </w:pPr>
            <w:r>
              <w:rPr>
                <w:sz w:val="24"/>
              </w:rPr>
              <w:t>562.7</w:t>
            </w:r>
          </w:p>
        </w:tc>
        <w:tc>
          <w:tcPr>
            <w:tcW w:w="762" w:type="dxa"/>
            <w:tcBorders>
              <w:top w:val="nil"/>
              <w:left w:val="nil"/>
              <w:bottom w:val="nil"/>
              <w:right w:val="nil"/>
            </w:tcBorders>
          </w:tcPr>
          <w:p>
            <w:pPr>
              <w:pStyle w:val="TableParagraph"/>
              <w:spacing w:before="144"/>
              <w:ind w:left="174" w:right="179"/>
              <w:rPr>
                <w:sz w:val="24"/>
              </w:rPr>
            </w:pPr>
            <w:r>
              <w:rPr>
                <w:sz w:val="24"/>
              </w:rPr>
              <w:t>9.1</w:t>
            </w:r>
          </w:p>
        </w:tc>
      </w:tr>
      <w:tr>
        <w:trPr>
          <w:trHeight w:val="454" w:hRule="exact"/>
        </w:trPr>
        <w:tc>
          <w:tcPr>
            <w:tcW w:w="1766" w:type="dxa"/>
            <w:tcBorders>
              <w:top w:val="nil"/>
              <w:left w:val="nil"/>
              <w:bottom w:val="nil"/>
              <w:right w:val="nil"/>
            </w:tcBorders>
          </w:tcPr>
          <w:p>
            <w:pPr/>
          </w:p>
        </w:tc>
        <w:tc>
          <w:tcPr>
            <w:tcW w:w="787" w:type="dxa"/>
            <w:tcBorders>
              <w:top w:val="nil"/>
              <w:left w:val="nil"/>
              <w:bottom w:val="nil"/>
              <w:right w:val="nil"/>
            </w:tcBorders>
          </w:tcPr>
          <w:p>
            <w:pPr>
              <w:pStyle w:val="TableParagraph"/>
              <w:spacing w:before="7"/>
              <w:ind w:right="9"/>
              <w:rPr>
                <w:sz w:val="24"/>
              </w:rPr>
            </w:pPr>
            <w:r>
              <w:rPr>
                <w:w w:val="100"/>
                <w:sz w:val="24"/>
              </w:rPr>
              <w:t>+</w:t>
            </w:r>
          </w:p>
        </w:tc>
        <w:tc>
          <w:tcPr>
            <w:tcW w:w="713" w:type="dxa"/>
            <w:tcBorders>
              <w:top w:val="nil"/>
              <w:left w:val="nil"/>
              <w:bottom w:val="nil"/>
              <w:right w:val="nil"/>
            </w:tcBorders>
          </w:tcPr>
          <w:p>
            <w:pPr>
              <w:pStyle w:val="TableParagraph"/>
              <w:spacing w:before="7"/>
              <w:ind w:left="122" w:right="75"/>
              <w:rPr>
                <w:sz w:val="24"/>
              </w:rPr>
            </w:pPr>
            <w:r>
              <w:rPr>
                <w:sz w:val="24"/>
              </w:rPr>
              <w:t>49</w:t>
            </w:r>
          </w:p>
        </w:tc>
        <w:tc>
          <w:tcPr>
            <w:tcW w:w="656" w:type="dxa"/>
            <w:tcBorders>
              <w:top w:val="nil"/>
              <w:left w:val="nil"/>
              <w:bottom w:val="nil"/>
              <w:right w:val="nil"/>
            </w:tcBorders>
          </w:tcPr>
          <w:p>
            <w:pPr>
              <w:pStyle w:val="TableParagraph"/>
              <w:spacing w:before="7"/>
              <w:ind w:left="75" w:right="73"/>
              <w:rPr>
                <w:sz w:val="24"/>
              </w:rPr>
            </w:pPr>
            <w:r>
              <w:rPr>
                <w:sz w:val="24"/>
              </w:rPr>
              <w:t>0.17</w:t>
            </w:r>
          </w:p>
        </w:tc>
        <w:tc>
          <w:tcPr>
            <w:tcW w:w="658" w:type="dxa"/>
            <w:tcBorders>
              <w:top w:val="nil"/>
              <w:left w:val="nil"/>
              <w:bottom w:val="nil"/>
              <w:right w:val="nil"/>
            </w:tcBorders>
          </w:tcPr>
          <w:p>
            <w:pPr>
              <w:pStyle w:val="TableParagraph"/>
              <w:spacing w:before="7"/>
              <w:ind w:left="74" w:right="76"/>
              <w:rPr>
                <w:sz w:val="24"/>
              </w:rPr>
            </w:pPr>
            <w:r>
              <w:rPr>
                <w:sz w:val="24"/>
              </w:rPr>
              <w:t>94.5</w:t>
            </w:r>
          </w:p>
        </w:tc>
        <w:tc>
          <w:tcPr>
            <w:tcW w:w="715" w:type="dxa"/>
            <w:tcBorders>
              <w:top w:val="nil"/>
              <w:left w:val="nil"/>
              <w:bottom w:val="nil"/>
              <w:right w:val="nil"/>
            </w:tcBorders>
          </w:tcPr>
          <w:p>
            <w:pPr>
              <w:pStyle w:val="TableParagraph"/>
              <w:spacing w:before="7"/>
              <w:ind w:left="135"/>
              <w:jc w:val="left"/>
              <w:rPr>
                <w:sz w:val="24"/>
              </w:rPr>
            </w:pPr>
            <w:r>
              <w:rPr>
                <w:sz w:val="24"/>
              </w:rPr>
              <w:t>0.07</w:t>
            </w:r>
          </w:p>
        </w:tc>
        <w:tc>
          <w:tcPr>
            <w:tcW w:w="697" w:type="dxa"/>
            <w:tcBorders>
              <w:top w:val="nil"/>
              <w:left w:val="nil"/>
              <w:bottom w:val="nil"/>
              <w:right w:val="nil"/>
            </w:tcBorders>
          </w:tcPr>
          <w:p>
            <w:pPr>
              <w:pStyle w:val="TableParagraph"/>
              <w:spacing w:before="7"/>
              <w:ind w:left="91" w:right="162"/>
              <w:rPr>
                <w:sz w:val="24"/>
              </w:rPr>
            </w:pPr>
            <w:r>
              <w:rPr>
                <w:sz w:val="24"/>
              </w:rPr>
              <w:t>2.6</w:t>
            </w:r>
          </w:p>
        </w:tc>
        <w:tc>
          <w:tcPr>
            <w:tcW w:w="1032" w:type="dxa"/>
            <w:tcBorders>
              <w:top w:val="nil"/>
              <w:left w:val="nil"/>
              <w:bottom w:val="nil"/>
              <w:right w:val="nil"/>
            </w:tcBorders>
          </w:tcPr>
          <w:p>
            <w:pPr>
              <w:pStyle w:val="TableParagraph"/>
              <w:spacing w:before="7"/>
              <w:ind w:left="186" w:right="116"/>
              <w:rPr>
                <w:sz w:val="24"/>
              </w:rPr>
            </w:pPr>
            <w:r>
              <w:rPr>
                <w:sz w:val="24"/>
              </w:rPr>
              <w:t>120.5</w:t>
            </w:r>
          </w:p>
        </w:tc>
        <w:tc>
          <w:tcPr>
            <w:tcW w:w="1075" w:type="dxa"/>
            <w:tcBorders>
              <w:top w:val="nil"/>
              <w:left w:val="nil"/>
              <w:bottom w:val="nil"/>
              <w:right w:val="nil"/>
            </w:tcBorders>
          </w:tcPr>
          <w:p>
            <w:pPr>
              <w:pStyle w:val="TableParagraph"/>
              <w:spacing w:before="7"/>
              <w:ind w:left="125" w:right="217"/>
              <w:rPr>
                <w:sz w:val="24"/>
              </w:rPr>
            </w:pPr>
            <w:r>
              <w:rPr>
                <w:sz w:val="24"/>
              </w:rPr>
              <w:t>148</w:t>
            </w:r>
          </w:p>
        </w:tc>
        <w:tc>
          <w:tcPr>
            <w:tcW w:w="970" w:type="dxa"/>
            <w:tcBorders>
              <w:top w:val="nil"/>
              <w:left w:val="nil"/>
              <w:bottom w:val="nil"/>
              <w:right w:val="nil"/>
            </w:tcBorders>
          </w:tcPr>
          <w:p>
            <w:pPr>
              <w:pStyle w:val="TableParagraph"/>
              <w:spacing w:before="7"/>
              <w:ind w:left="183" w:right="143"/>
              <w:rPr>
                <w:sz w:val="24"/>
              </w:rPr>
            </w:pPr>
            <w:r>
              <w:rPr>
                <w:sz w:val="24"/>
              </w:rPr>
              <w:t>751</w:t>
            </w:r>
          </w:p>
        </w:tc>
        <w:tc>
          <w:tcPr>
            <w:tcW w:w="951" w:type="dxa"/>
            <w:tcBorders>
              <w:top w:val="nil"/>
              <w:left w:val="nil"/>
              <w:bottom w:val="nil"/>
              <w:right w:val="nil"/>
            </w:tcBorders>
          </w:tcPr>
          <w:p>
            <w:pPr>
              <w:pStyle w:val="TableParagraph"/>
              <w:spacing w:before="7"/>
              <w:ind w:left="164"/>
              <w:jc w:val="left"/>
              <w:rPr>
                <w:sz w:val="24"/>
              </w:rPr>
            </w:pPr>
            <w:r>
              <w:rPr>
                <w:sz w:val="24"/>
              </w:rPr>
              <w:t>635.5</w:t>
            </w:r>
          </w:p>
        </w:tc>
        <w:tc>
          <w:tcPr>
            <w:tcW w:w="1006" w:type="dxa"/>
            <w:tcBorders>
              <w:top w:val="nil"/>
              <w:left w:val="nil"/>
              <w:bottom w:val="nil"/>
              <w:right w:val="nil"/>
            </w:tcBorders>
          </w:tcPr>
          <w:p>
            <w:pPr>
              <w:pStyle w:val="TableParagraph"/>
              <w:spacing w:before="7"/>
              <w:ind w:left="164" w:right="169"/>
              <w:rPr>
                <w:sz w:val="24"/>
              </w:rPr>
            </w:pPr>
            <w:r>
              <w:rPr>
                <w:sz w:val="24"/>
              </w:rPr>
              <w:t>597.9</w:t>
            </w:r>
          </w:p>
        </w:tc>
        <w:tc>
          <w:tcPr>
            <w:tcW w:w="762" w:type="dxa"/>
            <w:tcBorders>
              <w:top w:val="nil"/>
              <w:left w:val="nil"/>
              <w:bottom w:val="nil"/>
              <w:right w:val="nil"/>
            </w:tcBorders>
          </w:tcPr>
          <w:p>
            <w:pPr>
              <w:pStyle w:val="TableParagraph"/>
              <w:spacing w:before="7"/>
              <w:ind w:left="174" w:right="179"/>
              <w:rPr>
                <w:sz w:val="24"/>
              </w:rPr>
            </w:pPr>
            <w:r>
              <w:rPr>
                <w:sz w:val="24"/>
              </w:rPr>
              <w:t>9.3</w:t>
            </w:r>
          </w:p>
        </w:tc>
      </w:tr>
      <w:tr>
        <w:trPr>
          <w:trHeight w:val="454" w:hRule="exact"/>
        </w:trPr>
        <w:tc>
          <w:tcPr>
            <w:tcW w:w="1766" w:type="dxa"/>
            <w:tcBorders>
              <w:top w:val="nil"/>
              <w:left w:val="nil"/>
              <w:bottom w:val="nil"/>
              <w:right w:val="nil"/>
            </w:tcBorders>
          </w:tcPr>
          <w:p>
            <w:pPr>
              <w:pStyle w:val="TableParagraph"/>
              <w:spacing w:before="145"/>
              <w:ind w:left="72"/>
              <w:jc w:val="left"/>
              <w:rPr>
                <w:i/>
                <w:sz w:val="24"/>
              </w:rPr>
            </w:pPr>
            <w:r>
              <w:rPr>
                <w:i/>
                <w:sz w:val="24"/>
              </w:rPr>
              <w:t>M. diplotricha</w:t>
            </w:r>
          </w:p>
        </w:tc>
        <w:tc>
          <w:tcPr>
            <w:tcW w:w="787" w:type="dxa"/>
            <w:tcBorders>
              <w:top w:val="nil"/>
              <w:left w:val="nil"/>
              <w:bottom w:val="nil"/>
              <w:right w:val="nil"/>
            </w:tcBorders>
          </w:tcPr>
          <w:p>
            <w:pPr>
              <w:pStyle w:val="TableParagraph"/>
              <w:spacing w:before="145"/>
              <w:ind w:right="12"/>
              <w:rPr>
                <w:sz w:val="24"/>
              </w:rPr>
            </w:pPr>
            <w:r>
              <w:rPr>
                <w:w w:val="99"/>
                <w:sz w:val="24"/>
              </w:rPr>
              <w:t>-</w:t>
            </w:r>
          </w:p>
        </w:tc>
        <w:tc>
          <w:tcPr>
            <w:tcW w:w="713" w:type="dxa"/>
            <w:tcBorders>
              <w:top w:val="nil"/>
              <w:left w:val="nil"/>
              <w:bottom w:val="nil"/>
              <w:right w:val="nil"/>
            </w:tcBorders>
          </w:tcPr>
          <w:p>
            <w:pPr>
              <w:pStyle w:val="TableParagraph"/>
              <w:spacing w:before="145"/>
              <w:ind w:left="122" w:right="75"/>
              <w:rPr>
                <w:sz w:val="24"/>
              </w:rPr>
            </w:pPr>
            <w:r>
              <w:rPr>
                <w:sz w:val="24"/>
              </w:rPr>
              <w:t>23</w:t>
            </w:r>
          </w:p>
        </w:tc>
        <w:tc>
          <w:tcPr>
            <w:tcW w:w="656" w:type="dxa"/>
            <w:tcBorders>
              <w:top w:val="nil"/>
              <w:left w:val="nil"/>
              <w:bottom w:val="nil"/>
              <w:right w:val="nil"/>
            </w:tcBorders>
          </w:tcPr>
          <w:p>
            <w:pPr>
              <w:pStyle w:val="TableParagraph"/>
              <w:spacing w:before="145"/>
              <w:ind w:left="75" w:right="73"/>
              <w:rPr>
                <w:sz w:val="24"/>
              </w:rPr>
            </w:pPr>
            <w:r>
              <w:rPr>
                <w:sz w:val="24"/>
              </w:rPr>
              <w:t>0.38</w:t>
            </w:r>
          </w:p>
        </w:tc>
        <w:tc>
          <w:tcPr>
            <w:tcW w:w="658" w:type="dxa"/>
            <w:tcBorders>
              <w:top w:val="nil"/>
              <w:left w:val="nil"/>
              <w:bottom w:val="nil"/>
              <w:right w:val="nil"/>
            </w:tcBorders>
          </w:tcPr>
          <w:p>
            <w:pPr>
              <w:pStyle w:val="TableParagraph"/>
              <w:spacing w:before="145"/>
              <w:ind w:left="74" w:right="74"/>
              <w:rPr>
                <w:sz w:val="24"/>
              </w:rPr>
            </w:pPr>
            <w:r>
              <w:rPr>
                <w:sz w:val="24"/>
              </w:rPr>
              <w:t>85</w:t>
            </w:r>
          </w:p>
        </w:tc>
        <w:tc>
          <w:tcPr>
            <w:tcW w:w="715" w:type="dxa"/>
            <w:tcBorders>
              <w:top w:val="nil"/>
              <w:left w:val="nil"/>
              <w:bottom w:val="nil"/>
              <w:right w:val="nil"/>
            </w:tcBorders>
          </w:tcPr>
          <w:p>
            <w:pPr>
              <w:pStyle w:val="TableParagraph"/>
              <w:spacing w:before="145"/>
              <w:ind w:left="135"/>
              <w:jc w:val="left"/>
              <w:rPr>
                <w:sz w:val="24"/>
              </w:rPr>
            </w:pPr>
            <w:r>
              <w:rPr>
                <w:sz w:val="24"/>
              </w:rPr>
              <w:t>0.05</w:t>
            </w:r>
          </w:p>
        </w:tc>
        <w:tc>
          <w:tcPr>
            <w:tcW w:w="697" w:type="dxa"/>
            <w:tcBorders>
              <w:top w:val="nil"/>
              <w:left w:val="nil"/>
              <w:bottom w:val="nil"/>
              <w:right w:val="nil"/>
            </w:tcBorders>
          </w:tcPr>
          <w:p>
            <w:pPr>
              <w:pStyle w:val="TableParagraph"/>
              <w:spacing w:before="145"/>
              <w:ind w:left="91" w:right="162"/>
              <w:rPr>
                <w:sz w:val="24"/>
              </w:rPr>
            </w:pPr>
            <w:r>
              <w:rPr>
                <w:sz w:val="24"/>
              </w:rPr>
              <w:t>2.3</w:t>
            </w:r>
          </w:p>
        </w:tc>
        <w:tc>
          <w:tcPr>
            <w:tcW w:w="1032" w:type="dxa"/>
            <w:tcBorders>
              <w:top w:val="nil"/>
              <w:left w:val="nil"/>
              <w:bottom w:val="nil"/>
              <w:right w:val="nil"/>
            </w:tcBorders>
          </w:tcPr>
          <w:p>
            <w:pPr>
              <w:pStyle w:val="TableParagraph"/>
              <w:spacing w:before="145"/>
              <w:ind w:left="186" w:right="116"/>
              <w:rPr>
                <w:sz w:val="24"/>
              </w:rPr>
            </w:pPr>
            <w:r>
              <w:rPr>
                <w:sz w:val="24"/>
              </w:rPr>
              <w:t>84.4</w:t>
            </w:r>
          </w:p>
        </w:tc>
        <w:tc>
          <w:tcPr>
            <w:tcW w:w="1075" w:type="dxa"/>
            <w:tcBorders>
              <w:top w:val="nil"/>
              <w:left w:val="nil"/>
              <w:bottom w:val="nil"/>
              <w:right w:val="nil"/>
            </w:tcBorders>
          </w:tcPr>
          <w:p>
            <w:pPr>
              <w:pStyle w:val="TableParagraph"/>
              <w:spacing w:before="145"/>
              <w:ind w:left="125" w:right="217"/>
              <w:rPr>
                <w:sz w:val="24"/>
              </w:rPr>
            </w:pPr>
            <w:r>
              <w:rPr>
                <w:sz w:val="24"/>
              </w:rPr>
              <w:t>109</w:t>
            </w:r>
          </w:p>
        </w:tc>
        <w:tc>
          <w:tcPr>
            <w:tcW w:w="970" w:type="dxa"/>
            <w:tcBorders>
              <w:top w:val="nil"/>
              <w:left w:val="nil"/>
              <w:bottom w:val="nil"/>
              <w:right w:val="nil"/>
            </w:tcBorders>
          </w:tcPr>
          <w:p>
            <w:pPr>
              <w:pStyle w:val="TableParagraph"/>
              <w:spacing w:before="145"/>
              <w:ind w:left="183" w:right="143"/>
              <w:rPr>
                <w:sz w:val="24"/>
              </w:rPr>
            </w:pPr>
            <w:r>
              <w:rPr>
                <w:sz w:val="24"/>
              </w:rPr>
              <w:t>522</w:t>
            </w:r>
          </w:p>
        </w:tc>
        <w:tc>
          <w:tcPr>
            <w:tcW w:w="951" w:type="dxa"/>
            <w:tcBorders>
              <w:top w:val="nil"/>
              <w:left w:val="nil"/>
              <w:bottom w:val="nil"/>
              <w:right w:val="nil"/>
            </w:tcBorders>
          </w:tcPr>
          <w:p>
            <w:pPr>
              <w:pStyle w:val="TableParagraph"/>
              <w:spacing w:before="145"/>
              <w:ind w:left="265"/>
              <w:jc w:val="left"/>
              <w:rPr>
                <w:sz w:val="24"/>
              </w:rPr>
            </w:pPr>
            <w:r>
              <w:rPr>
                <w:sz w:val="24"/>
              </w:rPr>
              <w:t>492</w:t>
            </w:r>
          </w:p>
        </w:tc>
        <w:tc>
          <w:tcPr>
            <w:tcW w:w="1006" w:type="dxa"/>
            <w:tcBorders>
              <w:top w:val="nil"/>
              <w:left w:val="nil"/>
              <w:bottom w:val="nil"/>
              <w:right w:val="nil"/>
            </w:tcBorders>
          </w:tcPr>
          <w:p>
            <w:pPr>
              <w:pStyle w:val="TableParagraph"/>
              <w:spacing w:before="145"/>
              <w:ind w:left="164" w:right="169"/>
              <w:rPr>
                <w:sz w:val="24"/>
              </w:rPr>
            </w:pPr>
            <w:r>
              <w:rPr>
                <w:sz w:val="24"/>
              </w:rPr>
              <w:t>349.8</w:t>
            </w:r>
          </w:p>
        </w:tc>
        <w:tc>
          <w:tcPr>
            <w:tcW w:w="762" w:type="dxa"/>
            <w:tcBorders>
              <w:top w:val="nil"/>
              <w:left w:val="nil"/>
              <w:bottom w:val="nil"/>
              <w:right w:val="nil"/>
            </w:tcBorders>
          </w:tcPr>
          <w:p>
            <w:pPr>
              <w:pStyle w:val="TableParagraph"/>
              <w:spacing w:before="145"/>
              <w:ind w:right="4"/>
              <w:rPr>
                <w:sz w:val="24"/>
              </w:rPr>
            </w:pPr>
            <w:r>
              <w:rPr>
                <w:w w:val="99"/>
                <w:sz w:val="24"/>
              </w:rPr>
              <w:t>8</w:t>
            </w:r>
          </w:p>
        </w:tc>
      </w:tr>
      <w:tr>
        <w:trPr>
          <w:trHeight w:val="454" w:hRule="exact"/>
        </w:trPr>
        <w:tc>
          <w:tcPr>
            <w:tcW w:w="1766" w:type="dxa"/>
            <w:tcBorders>
              <w:top w:val="nil"/>
              <w:left w:val="nil"/>
              <w:bottom w:val="nil"/>
              <w:right w:val="nil"/>
            </w:tcBorders>
          </w:tcPr>
          <w:p>
            <w:pPr/>
          </w:p>
        </w:tc>
        <w:tc>
          <w:tcPr>
            <w:tcW w:w="787" w:type="dxa"/>
            <w:tcBorders>
              <w:top w:val="nil"/>
              <w:left w:val="nil"/>
              <w:bottom w:val="nil"/>
              <w:right w:val="nil"/>
            </w:tcBorders>
          </w:tcPr>
          <w:p>
            <w:pPr>
              <w:pStyle w:val="TableParagraph"/>
              <w:spacing w:before="7"/>
              <w:ind w:right="9"/>
              <w:rPr>
                <w:sz w:val="24"/>
              </w:rPr>
            </w:pPr>
            <w:r>
              <w:rPr>
                <w:w w:val="100"/>
                <w:sz w:val="24"/>
              </w:rPr>
              <w:t>+</w:t>
            </w:r>
          </w:p>
        </w:tc>
        <w:tc>
          <w:tcPr>
            <w:tcW w:w="713" w:type="dxa"/>
            <w:tcBorders>
              <w:top w:val="nil"/>
              <w:left w:val="nil"/>
              <w:bottom w:val="nil"/>
              <w:right w:val="nil"/>
            </w:tcBorders>
          </w:tcPr>
          <w:p>
            <w:pPr>
              <w:pStyle w:val="TableParagraph"/>
              <w:spacing w:before="7"/>
              <w:ind w:left="122" w:right="75"/>
              <w:rPr>
                <w:sz w:val="24"/>
              </w:rPr>
            </w:pPr>
            <w:r>
              <w:rPr>
                <w:sz w:val="24"/>
              </w:rPr>
              <w:t>68</w:t>
            </w:r>
          </w:p>
        </w:tc>
        <w:tc>
          <w:tcPr>
            <w:tcW w:w="656" w:type="dxa"/>
            <w:tcBorders>
              <w:top w:val="nil"/>
              <w:left w:val="nil"/>
              <w:bottom w:val="nil"/>
              <w:right w:val="nil"/>
            </w:tcBorders>
          </w:tcPr>
          <w:p>
            <w:pPr>
              <w:pStyle w:val="TableParagraph"/>
              <w:spacing w:before="7"/>
              <w:ind w:left="75" w:right="73"/>
              <w:rPr>
                <w:sz w:val="24"/>
              </w:rPr>
            </w:pPr>
            <w:r>
              <w:rPr>
                <w:sz w:val="24"/>
              </w:rPr>
              <w:t>0.13</w:t>
            </w:r>
          </w:p>
        </w:tc>
        <w:tc>
          <w:tcPr>
            <w:tcW w:w="658" w:type="dxa"/>
            <w:tcBorders>
              <w:top w:val="nil"/>
              <w:left w:val="nil"/>
              <w:bottom w:val="nil"/>
              <w:right w:val="nil"/>
            </w:tcBorders>
          </w:tcPr>
          <w:p>
            <w:pPr>
              <w:pStyle w:val="TableParagraph"/>
              <w:spacing w:before="7"/>
              <w:ind w:left="74" w:right="74"/>
              <w:rPr>
                <w:sz w:val="24"/>
              </w:rPr>
            </w:pPr>
            <w:r>
              <w:rPr>
                <w:sz w:val="24"/>
              </w:rPr>
              <w:t>49</w:t>
            </w:r>
          </w:p>
        </w:tc>
        <w:tc>
          <w:tcPr>
            <w:tcW w:w="715" w:type="dxa"/>
            <w:tcBorders>
              <w:top w:val="nil"/>
              <w:left w:val="nil"/>
              <w:bottom w:val="nil"/>
              <w:right w:val="nil"/>
            </w:tcBorders>
          </w:tcPr>
          <w:p>
            <w:pPr>
              <w:pStyle w:val="TableParagraph"/>
              <w:spacing w:before="7"/>
              <w:ind w:left="135"/>
              <w:jc w:val="left"/>
              <w:rPr>
                <w:sz w:val="24"/>
              </w:rPr>
            </w:pPr>
            <w:r>
              <w:rPr>
                <w:sz w:val="24"/>
              </w:rPr>
              <w:t>0.03</w:t>
            </w:r>
          </w:p>
        </w:tc>
        <w:tc>
          <w:tcPr>
            <w:tcW w:w="697" w:type="dxa"/>
            <w:tcBorders>
              <w:top w:val="nil"/>
              <w:left w:val="nil"/>
              <w:bottom w:val="nil"/>
              <w:right w:val="nil"/>
            </w:tcBorders>
          </w:tcPr>
          <w:p>
            <w:pPr>
              <w:pStyle w:val="TableParagraph"/>
              <w:spacing w:before="7"/>
              <w:ind w:left="91" w:right="162"/>
              <w:rPr>
                <w:sz w:val="24"/>
              </w:rPr>
            </w:pPr>
            <w:r>
              <w:rPr>
                <w:sz w:val="24"/>
              </w:rPr>
              <w:t>3.3</w:t>
            </w:r>
          </w:p>
        </w:tc>
        <w:tc>
          <w:tcPr>
            <w:tcW w:w="1032" w:type="dxa"/>
            <w:tcBorders>
              <w:top w:val="nil"/>
              <w:left w:val="nil"/>
              <w:bottom w:val="nil"/>
              <w:right w:val="nil"/>
            </w:tcBorders>
          </w:tcPr>
          <w:p>
            <w:pPr>
              <w:pStyle w:val="TableParagraph"/>
              <w:spacing w:before="7"/>
              <w:ind w:left="186" w:right="116"/>
              <w:rPr>
                <w:sz w:val="24"/>
              </w:rPr>
            </w:pPr>
            <w:r>
              <w:rPr>
                <w:sz w:val="24"/>
              </w:rPr>
              <w:t>90.7</w:t>
            </w:r>
          </w:p>
        </w:tc>
        <w:tc>
          <w:tcPr>
            <w:tcW w:w="1075" w:type="dxa"/>
            <w:tcBorders>
              <w:top w:val="nil"/>
              <w:left w:val="nil"/>
              <w:bottom w:val="nil"/>
              <w:right w:val="nil"/>
            </w:tcBorders>
          </w:tcPr>
          <w:p>
            <w:pPr>
              <w:pStyle w:val="TableParagraph"/>
              <w:spacing w:before="7"/>
              <w:ind w:left="125" w:right="217"/>
              <w:rPr>
                <w:sz w:val="24"/>
              </w:rPr>
            </w:pPr>
            <w:r>
              <w:rPr>
                <w:sz w:val="24"/>
              </w:rPr>
              <w:t>116</w:t>
            </w:r>
          </w:p>
        </w:tc>
        <w:tc>
          <w:tcPr>
            <w:tcW w:w="970" w:type="dxa"/>
            <w:tcBorders>
              <w:top w:val="nil"/>
              <w:left w:val="nil"/>
              <w:bottom w:val="nil"/>
              <w:right w:val="nil"/>
            </w:tcBorders>
          </w:tcPr>
          <w:p>
            <w:pPr>
              <w:pStyle w:val="TableParagraph"/>
              <w:spacing w:before="7"/>
              <w:ind w:left="183" w:right="143"/>
              <w:rPr>
                <w:sz w:val="24"/>
              </w:rPr>
            </w:pPr>
            <w:r>
              <w:rPr>
                <w:sz w:val="24"/>
              </w:rPr>
              <w:t>527</w:t>
            </w:r>
          </w:p>
        </w:tc>
        <w:tc>
          <w:tcPr>
            <w:tcW w:w="951" w:type="dxa"/>
            <w:tcBorders>
              <w:top w:val="nil"/>
              <w:left w:val="nil"/>
              <w:bottom w:val="nil"/>
              <w:right w:val="nil"/>
            </w:tcBorders>
          </w:tcPr>
          <w:p>
            <w:pPr>
              <w:pStyle w:val="TableParagraph"/>
              <w:spacing w:before="7"/>
              <w:ind w:left="265"/>
              <w:jc w:val="left"/>
              <w:rPr>
                <w:sz w:val="24"/>
              </w:rPr>
            </w:pPr>
            <w:r>
              <w:rPr>
                <w:sz w:val="24"/>
              </w:rPr>
              <w:t>487</w:t>
            </w:r>
          </w:p>
        </w:tc>
        <w:tc>
          <w:tcPr>
            <w:tcW w:w="1006" w:type="dxa"/>
            <w:tcBorders>
              <w:top w:val="nil"/>
              <w:left w:val="nil"/>
              <w:bottom w:val="nil"/>
              <w:right w:val="nil"/>
            </w:tcBorders>
          </w:tcPr>
          <w:p>
            <w:pPr>
              <w:pStyle w:val="TableParagraph"/>
              <w:spacing w:before="7"/>
              <w:ind w:left="164" w:right="167"/>
              <w:rPr>
                <w:sz w:val="24"/>
              </w:rPr>
            </w:pPr>
            <w:r>
              <w:rPr>
                <w:sz w:val="24"/>
              </w:rPr>
              <w:t>356</w:t>
            </w:r>
          </w:p>
        </w:tc>
        <w:tc>
          <w:tcPr>
            <w:tcW w:w="762" w:type="dxa"/>
            <w:tcBorders>
              <w:top w:val="nil"/>
              <w:left w:val="nil"/>
              <w:bottom w:val="nil"/>
              <w:right w:val="nil"/>
            </w:tcBorders>
          </w:tcPr>
          <w:p>
            <w:pPr>
              <w:pStyle w:val="TableParagraph"/>
              <w:spacing w:before="7"/>
              <w:ind w:left="174" w:right="179"/>
              <w:rPr>
                <w:sz w:val="24"/>
              </w:rPr>
            </w:pPr>
            <w:r>
              <w:rPr>
                <w:sz w:val="24"/>
              </w:rPr>
              <w:t>8.3</w:t>
            </w:r>
          </w:p>
        </w:tc>
      </w:tr>
      <w:tr>
        <w:trPr>
          <w:trHeight w:val="451" w:hRule="exact"/>
        </w:trPr>
        <w:tc>
          <w:tcPr>
            <w:tcW w:w="1766" w:type="dxa"/>
            <w:tcBorders>
              <w:top w:val="nil"/>
              <w:left w:val="nil"/>
              <w:bottom w:val="nil"/>
              <w:right w:val="nil"/>
            </w:tcBorders>
          </w:tcPr>
          <w:p>
            <w:pPr>
              <w:pStyle w:val="TableParagraph"/>
              <w:spacing w:before="144"/>
              <w:ind w:left="72"/>
              <w:jc w:val="left"/>
              <w:rPr>
                <w:i/>
                <w:sz w:val="24"/>
              </w:rPr>
            </w:pPr>
            <w:r>
              <w:rPr>
                <w:i/>
                <w:sz w:val="24"/>
              </w:rPr>
              <w:t>M. divaricatum</w:t>
            </w:r>
          </w:p>
        </w:tc>
        <w:tc>
          <w:tcPr>
            <w:tcW w:w="787" w:type="dxa"/>
            <w:tcBorders>
              <w:top w:val="nil"/>
              <w:left w:val="nil"/>
              <w:bottom w:val="nil"/>
              <w:right w:val="nil"/>
            </w:tcBorders>
          </w:tcPr>
          <w:p>
            <w:pPr>
              <w:pStyle w:val="TableParagraph"/>
              <w:spacing w:before="144"/>
              <w:ind w:right="12"/>
              <w:rPr>
                <w:sz w:val="24"/>
              </w:rPr>
            </w:pPr>
            <w:r>
              <w:rPr>
                <w:w w:val="99"/>
                <w:sz w:val="24"/>
              </w:rPr>
              <w:t>-</w:t>
            </w:r>
          </w:p>
        </w:tc>
        <w:tc>
          <w:tcPr>
            <w:tcW w:w="713" w:type="dxa"/>
            <w:tcBorders>
              <w:top w:val="nil"/>
              <w:left w:val="nil"/>
              <w:bottom w:val="nil"/>
              <w:right w:val="nil"/>
            </w:tcBorders>
          </w:tcPr>
          <w:p>
            <w:pPr>
              <w:pStyle w:val="TableParagraph"/>
              <w:spacing w:before="144"/>
              <w:ind w:left="130" w:right="75"/>
              <w:rPr>
                <w:sz w:val="24"/>
              </w:rPr>
            </w:pPr>
            <w:r>
              <w:rPr>
                <w:sz w:val="24"/>
              </w:rPr>
              <w:t>61.6</w:t>
            </w:r>
          </w:p>
        </w:tc>
        <w:tc>
          <w:tcPr>
            <w:tcW w:w="656" w:type="dxa"/>
            <w:tcBorders>
              <w:top w:val="nil"/>
              <w:left w:val="nil"/>
              <w:bottom w:val="nil"/>
              <w:right w:val="nil"/>
            </w:tcBorders>
          </w:tcPr>
          <w:p>
            <w:pPr>
              <w:pStyle w:val="TableParagraph"/>
              <w:spacing w:before="144"/>
              <w:ind w:left="75" w:right="73"/>
              <w:rPr>
                <w:sz w:val="24"/>
              </w:rPr>
            </w:pPr>
            <w:r>
              <w:rPr>
                <w:sz w:val="24"/>
              </w:rPr>
              <w:t>0.21</w:t>
            </w:r>
          </w:p>
        </w:tc>
        <w:tc>
          <w:tcPr>
            <w:tcW w:w="658" w:type="dxa"/>
            <w:tcBorders>
              <w:top w:val="nil"/>
              <w:left w:val="nil"/>
              <w:bottom w:val="nil"/>
              <w:right w:val="nil"/>
            </w:tcBorders>
          </w:tcPr>
          <w:p>
            <w:pPr>
              <w:pStyle w:val="TableParagraph"/>
              <w:spacing w:before="144"/>
              <w:ind w:left="74" w:right="74"/>
              <w:rPr>
                <w:sz w:val="24"/>
              </w:rPr>
            </w:pPr>
            <w:r>
              <w:rPr>
                <w:sz w:val="24"/>
              </w:rPr>
              <w:t>23</w:t>
            </w:r>
          </w:p>
        </w:tc>
        <w:tc>
          <w:tcPr>
            <w:tcW w:w="715" w:type="dxa"/>
            <w:tcBorders>
              <w:top w:val="nil"/>
              <w:left w:val="nil"/>
              <w:bottom w:val="nil"/>
              <w:right w:val="nil"/>
            </w:tcBorders>
          </w:tcPr>
          <w:p>
            <w:pPr>
              <w:pStyle w:val="TableParagraph"/>
              <w:spacing w:before="144"/>
              <w:ind w:left="135"/>
              <w:jc w:val="left"/>
              <w:rPr>
                <w:sz w:val="24"/>
              </w:rPr>
            </w:pPr>
            <w:r>
              <w:rPr>
                <w:sz w:val="24"/>
              </w:rPr>
              <w:t>0.01</w:t>
            </w:r>
          </w:p>
        </w:tc>
        <w:tc>
          <w:tcPr>
            <w:tcW w:w="697" w:type="dxa"/>
            <w:tcBorders>
              <w:top w:val="nil"/>
              <w:left w:val="nil"/>
              <w:bottom w:val="nil"/>
              <w:right w:val="nil"/>
            </w:tcBorders>
          </w:tcPr>
          <w:p>
            <w:pPr>
              <w:pStyle w:val="TableParagraph"/>
              <w:spacing w:before="144"/>
              <w:ind w:left="91" w:right="162"/>
              <w:rPr>
                <w:sz w:val="24"/>
              </w:rPr>
            </w:pPr>
            <w:r>
              <w:rPr>
                <w:sz w:val="24"/>
              </w:rPr>
              <w:t>2.9</w:t>
            </w:r>
          </w:p>
        </w:tc>
        <w:tc>
          <w:tcPr>
            <w:tcW w:w="1032" w:type="dxa"/>
            <w:tcBorders>
              <w:top w:val="nil"/>
              <w:left w:val="nil"/>
              <w:bottom w:val="nil"/>
              <w:right w:val="nil"/>
            </w:tcBorders>
          </w:tcPr>
          <w:p>
            <w:pPr>
              <w:pStyle w:val="TableParagraph"/>
              <w:spacing w:before="144"/>
              <w:ind w:left="186" w:right="116"/>
              <w:rPr>
                <w:sz w:val="24"/>
              </w:rPr>
            </w:pPr>
            <w:r>
              <w:rPr>
                <w:sz w:val="24"/>
              </w:rPr>
              <w:t>65.5</w:t>
            </w:r>
          </w:p>
        </w:tc>
        <w:tc>
          <w:tcPr>
            <w:tcW w:w="1075" w:type="dxa"/>
            <w:tcBorders>
              <w:top w:val="nil"/>
              <w:left w:val="nil"/>
              <w:bottom w:val="nil"/>
              <w:right w:val="nil"/>
            </w:tcBorders>
          </w:tcPr>
          <w:p>
            <w:pPr>
              <w:pStyle w:val="TableParagraph"/>
              <w:spacing w:before="144"/>
              <w:ind w:left="125" w:right="218"/>
              <w:rPr>
                <w:sz w:val="24"/>
              </w:rPr>
            </w:pPr>
            <w:r>
              <w:rPr>
                <w:sz w:val="24"/>
              </w:rPr>
              <w:t>77.4</w:t>
            </w:r>
          </w:p>
        </w:tc>
        <w:tc>
          <w:tcPr>
            <w:tcW w:w="970" w:type="dxa"/>
            <w:tcBorders>
              <w:top w:val="nil"/>
              <w:left w:val="nil"/>
              <w:bottom w:val="nil"/>
              <w:right w:val="nil"/>
            </w:tcBorders>
          </w:tcPr>
          <w:p>
            <w:pPr>
              <w:pStyle w:val="TableParagraph"/>
              <w:spacing w:before="144"/>
              <w:ind w:left="182" w:right="145"/>
              <w:rPr>
                <w:sz w:val="24"/>
              </w:rPr>
            </w:pPr>
            <w:r>
              <w:rPr>
                <w:sz w:val="24"/>
              </w:rPr>
              <w:t>495.7</w:t>
            </w:r>
          </w:p>
        </w:tc>
        <w:tc>
          <w:tcPr>
            <w:tcW w:w="951" w:type="dxa"/>
            <w:tcBorders>
              <w:top w:val="nil"/>
              <w:left w:val="nil"/>
              <w:bottom w:val="nil"/>
              <w:right w:val="nil"/>
            </w:tcBorders>
          </w:tcPr>
          <w:p>
            <w:pPr>
              <w:pStyle w:val="TableParagraph"/>
              <w:spacing w:before="144"/>
              <w:ind w:left="164"/>
              <w:jc w:val="left"/>
              <w:rPr>
                <w:sz w:val="24"/>
              </w:rPr>
            </w:pPr>
            <w:r>
              <w:rPr>
                <w:sz w:val="24"/>
              </w:rPr>
              <w:t>414.6</w:t>
            </w:r>
          </w:p>
        </w:tc>
        <w:tc>
          <w:tcPr>
            <w:tcW w:w="1006" w:type="dxa"/>
            <w:tcBorders>
              <w:top w:val="nil"/>
              <w:left w:val="nil"/>
              <w:bottom w:val="nil"/>
              <w:right w:val="nil"/>
            </w:tcBorders>
          </w:tcPr>
          <w:p>
            <w:pPr>
              <w:pStyle w:val="TableParagraph"/>
              <w:spacing w:before="144"/>
              <w:ind w:left="164" w:right="169"/>
              <w:rPr>
                <w:sz w:val="24"/>
              </w:rPr>
            </w:pPr>
            <w:r>
              <w:rPr>
                <w:sz w:val="24"/>
              </w:rPr>
              <w:t>247.9</w:t>
            </w:r>
          </w:p>
        </w:tc>
        <w:tc>
          <w:tcPr>
            <w:tcW w:w="762" w:type="dxa"/>
            <w:tcBorders>
              <w:top w:val="nil"/>
              <w:left w:val="nil"/>
              <w:bottom w:val="nil"/>
              <w:right w:val="nil"/>
            </w:tcBorders>
          </w:tcPr>
          <w:p>
            <w:pPr>
              <w:pStyle w:val="TableParagraph"/>
              <w:spacing w:before="144"/>
              <w:ind w:right="4"/>
              <w:rPr>
                <w:sz w:val="24"/>
              </w:rPr>
            </w:pPr>
            <w:r>
              <w:rPr>
                <w:w w:val="99"/>
                <w:sz w:val="24"/>
              </w:rPr>
              <w:t>7</w:t>
            </w:r>
          </w:p>
        </w:tc>
      </w:tr>
      <w:tr>
        <w:trPr>
          <w:trHeight w:val="641" w:hRule="exact"/>
        </w:trPr>
        <w:tc>
          <w:tcPr>
            <w:tcW w:w="1766" w:type="dxa"/>
            <w:tcBorders>
              <w:top w:val="nil"/>
              <w:left w:val="nil"/>
              <w:bottom w:val="double" w:sz="6" w:space="0" w:color="000000"/>
              <w:right w:val="nil"/>
            </w:tcBorders>
          </w:tcPr>
          <w:p>
            <w:pPr/>
          </w:p>
        </w:tc>
        <w:tc>
          <w:tcPr>
            <w:tcW w:w="787" w:type="dxa"/>
            <w:tcBorders>
              <w:top w:val="nil"/>
              <w:left w:val="nil"/>
              <w:bottom w:val="double" w:sz="6" w:space="0" w:color="000000"/>
              <w:right w:val="nil"/>
            </w:tcBorders>
          </w:tcPr>
          <w:p>
            <w:pPr>
              <w:pStyle w:val="TableParagraph"/>
              <w:spacing w:before="5"/>
              <w:ind w:right="9"/>
              <w:rPr>
                <w:sz w:val="24"/>
              </w:rPr>
            </w:pPr>
            <w:r>
              <w:rPr>
                <w:w w:val="100"/>
                <w:sz w:val="24"/>
              </w:rPr>
              <w:t>+</w:t>
            </w:r>
          </w:p>
        </w:tc>
        <w:tc>
          <w:tcPr>
            <w:tcW w:w="713" w:type="dxa"/>
            <w:tcBorders>
              <w:top w:val="nil"/>
              <w:left w:val="nil"/>
              <w:bottom w:val="double" w:sz="6" w:space="0" w:color="000000"/>
              <w:right w:val="nil"/>
            </w:tcBorders>
          </w:tcPr>
          <w:p>
            <w:pPr>
              <w:pStyle w:val="TableParagraph"/>
              <w:spacing w:before="5"/>
              <w:ind w:left="122" w:right="75"/>
              <w:rPr>
                <w:sz w:val="24"/>
              </w:rPr>
            </w:pPr>
            <w:r>
              <w:rPr>
                <w:sz w:val="24"/>
              </w:rPr>
              <w:t>45</w:t>
            </w:r>
          </w:p>
        </w:tc>
        <w:tc>
          <w:tcPr>
            <w:tcW w:w="656" w:type="dxa"/>
            <w:tcBorders>
              <w:top w:val="nil"/>
              <w:left w:val="nil"/>
              <w:bottom w:val="double" w:sz="6" w:space="0" w:color="000000"/>
              <w:right w:val="nil"/>
            </w:tcBorders>
          </w:tcPr>
          <w:p>
            <w:pPr>
              <w:pStyle w:val="TableParagraph"/>
              <w:spacing w:before="5"/>
              <w:ind w:left="75" w:right="73"/>
              <w:rPr>
                <w:sz w:val="24"/>
              </w:rPr>
            </w:pPr>
            <w:r>
              <w:rPr>
                <w:sz w:val="24"/>
              </w:rPr>
              <w:t>0.28</w:t>
            </w:r>
          </w:p>
        </w:tc>
        <w:tc>
          <w:tcPr>
            <w:tcW w:w="658" w:type="dxa"/>
            <w:tcBorders>
              <w:top w:val="nil"/>
              <w:left w:val="nil"/>
              <w:bottom w:val="double" w:sz="6" w:space="0" w:color="000000"/>
              <w:right w:val="nil"/>
            </w:tcBorders>
          </w:tcPr>
          <w:p>
            <w:pPr>
              <w:pStyle w:val="TableParagraph"/>
              <w:spacing w:before="5"/>
              <w:ind w:left="74" w:right="74"/>
              <w:rPr>
                <w:sz w:val="24"/>
              </w:rPr>
            </w:pPr>
            <w:r>
              <w:rPr>
                <w:sz w:val="24"/>
              </w:rPr>
              <w:t>45</w:t>
            </w:r>
          </w:p>
        </w:tc>
        <w:tc>
          <w:tcPr>
            <w:tcW w:w="715" w:type="dxa"/>
            <w:tcBorders>
              <w:top w:val="nil"/>
              <w:left w:val="nil"/>
              <w:bottom w:val="double" w:sz="6" w:space="0" w:color="000000"/>
              <w:right w:val="nil"/>
            </w:tcBorders>
          </w:tcPr>
          <w:p>
            <w:pPr>
              <w:pStyle w:val="TableParagraph"/>
              <w:spacing w:before="5"/>
              <w:ind w:left="135"/>
              <w:jc w:val="left"/>
              <w:rPr>
                <w:sz w:val="24"/>
              </w:rPr>
            </w:pPr>
            <w:r>
              <w:rPr>
                <w:sz w:val="24"/>
              </w:rPr>
              <w:t>0.08</w:t>
            </w:r>
          </w:p>
        </w:tc>
        <w:tc>
          <w:tcPr>
            <w:tcW w:w="697" w:type="dxa"/>
            <w:tcBorders>
              <w:top w:val="nil"/>
              <w:left w:val="nil"/>
              <w:bottom w:val="double" w:sz="6" w:space="0" w:color="000000"/>
              <w:right w:val="nil"/>
            </w:tcBorders>
          </w:tcPr>
          <w:p>
            <w:pPr>
              <w:pStyle w:val="TableParagraph"/>
              <w:spacing w:before="5"/>
              <w:ind w:right="79"/>
              <w:rPr>
                <w:sz w:val="24"/>
              </w:rPr>
            </w:pPr>
            <w:r>
              <w:rPr>
                <w:w w:val="99"/>
                <w:sz w:val="24"/>
              </w:rPr>
              <w:t>1</w:t>
            </w:r>
          </w:p>
        </w:tc>
        <w:tc>
          <w:tcPr>
            <w:tcW w:w="1032" w:type="dxa"/>
            <w:tcBorders>
              <w:top w:val="nil"/>
              <w:left w:val="nil"/>
              <w:bottom w:val="double" w:sz="6" w:space="0" w:color="000000"/>
              <w:right w:val="nil"/>
            </w:tcBorders>
          </w:tcPr>
          <w:p>
            <w:pPr>
              <w:pStyle w:val="TableParagraph"/>
              <w:spacing w:before="5"/>
              <w:ind w:left="186" w:right="116"/>
              <w:rPr>
                <w:sz w:val="24"/>
              </w:rPr>
            </w:pPr>
            <w:r>
              <w:rPr>
                <w:sz w:val="24"/>
              </w:rPr>
              <w:t>82.2</w:t>
            </w:r>
          </w:p>
        </w:tc>
        <w:tc>
          <w:tcPr>
            <w:tcW w:w="1075" w:type="dxa"/>
            <w:tcBorders>
              <w:top w:val="nil"/>
              <w:left w:val="nil"/>
              <w:bottom w:val="double" w:sz="6" w:space="0" w:color="000000"/>
              <w:right w:val="nil"/>
            </w:tcBorders>
          </w:tcPr>
          <w:p>
            <w:pPr>
              <w:pStyle w:val="TableParagraph"/>
              <w:spacing w:before="5"/>
              <w:ind w:left="125" w:right="218"/>
              <w:rPr>
                <w:sz w:val="24"/>
              </w:rPr>
            </w:pPr>
            <w:r>
              <w:rPr>
                <w:sz w:val="24"/>
              </w:rPr>
              <w:t>92.9</w:t>
            </w:r>
          </w:p>
        </w:tc>
        <w:tc>
          <w:tcPr>
            <w:tcW w:w="970" w:type="dxa"/>
            <w:tcBorders>
              <w:top w:val="nil"/>
              <w:left w:val="nil"/>
              <w:bottom w:val="double" w:sz="6" w:space="0" w:color="000000"/>
              <w:right w:val="nil"/>
            </w:tcBorders>
          </w:tcPr>
          <w:p>
            <w:pPr>
              <w:pStyle w:val="TableParagraph"/>
              <w:spacing w:before="5"/>
              <w:ind w:left="182" w:right="145"/>
              <w:rPr>
                <w:sz w:val="24"/>
              </w:rPr>
            </w:pPr>
            <w:r>
              <w:rPr>
                <w:sz w:val="24"/>
              </w:rPr>
              <w:t>490.8</w:t>
            </w:r>
          </w:p>
        </w:tc>
        <w:tc>
          <w:tcPr>
            <w:tcW w:w="951" w:type="dxa"/>
            <w:tcBorders>
              <w:top w:val="nil"/>
              <w:left w:val="nil"/>
              <w:bottom w:val="double" w:sz="6" w:space="0" w:color="000000"/>
              <w:right w:val="nil"/>
            </w:tcBorders>
          </w:tcPr>
          <w:p>
            <w:pPr>
              <w:pStyle w:val="TableParagraph"/>
              <w:spacing w:before="5"/>
              <w:ind w:left="265"/>
              <w:jc w:val="left"/>
              <w:rPr>
                <w:sz w:val="24"/>
              </w:rPr>
            </w:pPr>
            <w:r>
              <w:rPr>
                <w:sz w:val="24"/>
              </w:rPr>
              <w:t>420</w:t>
            </w:r>
          </w:p>
        </w:tc>
        <w:tc>
          <w:tcPr>
            <w:tcW w:w="1006" w:type="dxa"/>
            <w:tcBorders>
              <w:top w:val="nil"/>
              <w:left w:val="nil"/>
              <w:bottom w:val="double" w:sz="6" w:space="0" w:color="000000"/>
              <w:right w:val="nil"/>
            </w:tcBorders>
          </w:tcPr>
          <w:p>
            <w:pPr>
              <w:pStyle w:val="TableParagraph"/>
              <w:spacing w:before="5"/>
              <w:ind w:left="164" w:right="167"/>
              <w:rPr>
                <w:sz w:val="24"/>
              </w:rPr>
            </w:pPr>
            <w:r>
              <w:rPr>
                <w:sz w:val="24"/>
              </w:rPr>
              <w:t>355</w:t>
            </w:r>
          </w:p>
        </w:tc>
        <w:tc>
          <w:tcPr>
            <w:tcW w:w="762" w:type="dxa"/>
            <w:tcBorders>
              <w:top w:val="nil"/>
              <w:left w:val="nil"/>
              <w:bottom w:val="double" w:sz="6" w:space="0" w:color="000000"/>
              <w:right w:val="nil"/>
            </w:tcBorders>
          </w:tcPr>
          <w:p>
            <w:pPr>
              <w:pStyle w:val="TableParagraph"/>
              <w:spacing w:before="5"/>
              <w:ind w:left="174" w:right="179"/>
              <w:rPr>
                <w:sz w:val="24"/>
              </w:rPr>
            </w:pPr>
            <w:r>
              <w:rPr>
                <w:sz w:val="24"/>
              </w:rPr>
              <w:t>7.7</w:t>
            </w:r>
          </w:p>
        </w:tc>
      </w:tr>
      <w:tr>
        <w:trPr>
          <w:trHeight w:val="633" w:hRule="exact"/>
        </w:trPr>
        <w:tc>
          <w:tcPr>
            <w:tcW w:w="11787" w:type="dxa"/>
            <w:gridSpan w:val="13"/>
            <w:tcBorders>
              <w:top w:val="double" w:sz="6" w:space="0" w:color="000000"/>
              <w:left w:val="nil"/>
              <w:bottom w:val="nil"/>
              <w:right w:val="nil"/>
            </w:tcBorders>
          </w:tcPr>
          <w:p>
            <w:pPr>
              <w:pStyle w:val="TableParagraph"/>
              <w:ind w:left="72" w:right="69"/>
              <w:jc w:val="both"/>
              <w:rPr>
                <w:sz w:val="18"/>
              </w:rPr>
            </w:pPr>
            <w:r>
              <w:rPr>
                <w:sz w:val="18"/>
              </w:rPr>
              <w:t>a: Fermentation rate at 4 hours of fermentation; ca: Fermentation rate in fraction a; b: potential gas production; cb: Fermentation rate in fraction b; lag: Phase prior to initiating the fermentation of NDF; GP: gas production; dDM: digestibility of dry matter; dOM: digestibility of organic matter, dNDF: digestibility of neutral detergent fiber; ME: metabolizable energy.</w:t>
            </w:r>
          </w:p>
        </w:tc>
      </w:tr>
    </w:tbl>
    <w:p>
      <w:pPr>
        <w:spacing w:after="0"/>
        <w:jc w:val="both"/>
        <w:rPr>
          <w:sz w:val="18"/>
        </w:rPr>
        <w:sectPr>
          <w:footerReference w:type="default" r:id="rId22"/>
          <w:pgSz w:w="15840" w:h="12240" w:orient="landscape"/>
          <w:pgMar w:footer="1478" w:header="0" w:top="1140" w:bottom="1660" w:left="1300" w:right="1920"/>
          <w:pgNumType w:start="56"/>
        </w:sectPr>
      </w:pPr>
    </w:p>
    <w:p>
      <w:pPr>
        <w:pStyle w:val="BodyText"/>
        <w:rPr>
          <w:sz w:val="20"/>
        </w:rPr>
      </w:pPr>
    </w:p>
    <w:p>
      <w:pPr>
        <w:pStyle w:val="BodyText"/>
        <w:spacing w:before="3"/>
        <w:rPr>
          <w:sz w:val="22"/>
        </w:rPr>
      </w:pPr>
    </w:p>
    <w:p>
      <w:pPr>
        <w:pStyle w:val="BodyText"/>
        <w:spacing w:before="70"/>
        <w:ind w:left="116"/>
      </w:pPr>
      <w:r>
        <w:rPr/>
        <w:t>Table 4: Effect of PEG, by treatment and species, on </w:t>
      </w:r>
      <w:r>
        <w:rPr>
          <w:i/>
        </w:rPr>
        <w:t>in vitro </w:t>
      </w:r>
      <w:r>
        <w:rPr/>
        <w:t>ruminal fermentation kinetics.</w:t>
      </w:r>
    </w:p>
    <w:p>
      <w:pPr>
        <w:pStyle w:val="BodyText"/>
        <w:rPr>
          <w:sz w:val="20"/>
        </w:rPr>
      </w:pPr>
    </w:p>
    <w:p>
      <w:pPr>
        <w:pStyle w:val="BodyText"/>
        <w:spacing w:before="10"/>
        <w:rPr>
          <w:sz w:val="21"/>
        </w:rPr>
      </w:pPr>
    </w:p>
    <w:tbl>
      <w:tblPr>
        <w:tblW w:w="0" w:type="auto"/>
        <w:jc w:val="left"/>
        <w:tblInd w:w="95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712"/>
        <w:gridCol w:w="755"/>
        <w:gridCol w:w="742"/>
        <w:gridCol w:w="742"/>
        <w:gridCol w:w="742"/>
        <w:gridCol w:w="814"/>
        <w:gridCol w:w="1036"/>
        <w:gridCol w:w="989"/>
        <w:gridCol w:w="1054"/>
        <w:gridCol w:w="989"/>
        <w:gridCol w:w="987"/>
        <w:gridCol w:w="775"/>
      </w:tblGrid>
      <w:tr>
        <w:trPr>
          <w:trHeight w:val="857" w:hRule="exact"/>
        </w:trPr>
        <w:tc>
          <w:tcPr>
            <w:tcW w:w="1712" w:type="dxa"/>
            <w:tcBorders>
              <w:left w:val="nil"/>
              <w:bottom w:val="nil"/>
              <w:right w:val="nil"/>
            </w:tcBorders>
          </w:tcPr>
          <w:p>
            <w:pPr>
              <w:pStyle w:val="TableParagraph"/>
              <w:spacing w:before="4"/>
              <w:jc w:val="left"/>
              <w:rPr>
                <w:sz w:val="24"/>
              </w:rPr>
            </w:pPr>
          </w:p>
          <w:p>
            <w:pPr>
              <w:pStyle w:val="TableParagraph"/>
              <w:spacing w:line="274" w:lineRule="exact"/>
              <w:ind w:left="72" w:right="352"/>
              <w:jc w:val="left"/>
              <w:rPr>
                <w:sz w:val="24"/>
              </w:rPr>
            </w:pPr>
            <w:r>
              <w:rPr>
                <w:sz w:val="24"/>
              </w:rPr>
              <w:t>Tanniferous species</w:t>
            </w:r>
          </w:p>
        </w:tc>
        <w:tc>
          <w:tcPr>
            <w:tcW w:w="3794" w:type="dxa"/>
            <w:gridSpan w:val="5"/>
            <w:tcBorders>
              <w:left w:val="nil"/>
              <w:bottom w:val="nil"/>
              <w:right w:val="nil"/>
            </w:tcBorders>
          </w:tcPr>
          <w:p>
            <w:pPr>
              <w:pStyle w:val="TableParagraph"/>
              <w:spacing w:before="10"/>
              <w:jc w:val="left"/>
              <w:rPr>
                <w:sz w:val="23"/>
              </w:rPr>
            </w:pPr>
          </w:p>
          <w:p>
            <w:pPr>
              <w:pStyle w:val="TableParagraph"/>
              <w:spacing w:line="275" w:lineRule="exact"/>
              <w:ind w:right="61"/>
              <w:rPr>
                <w:sz w:val="24"/>
              </w:rPr>
            </w:pPr>
            <w:r>
              <w:rPr>
                <w:sz w:val="24"/>
              </w:rPr>
              <w:t>Fermentation parameters</w:t>
            </w:r>
          </w:p>
          <w:p>
            <w:pPr>
              <w:pStyle w:val="TableParagraph"/>
              <w:tabs>
                <w:tab w:pos="1133" w:val="left" w:leader="none"/>
                <w:tab w:pos="3707" w:val="left" w:leader="none"/>
              </w:tabs>
              <w:spacing w:line="275" w:lineRule="exact"/>
              <w:ind w:right="62"/>
              <w:rPr>
                <w:sz w:val="24"/>
              </w:rPr>
            </w:pPr>
            <w:r>
              <w:rPr>
                <w:w w:val="100"/>
                <w:sz w:val="24"/>
                <w:u w:val="single"/>
              </w:rPr>
              <w:t> </w:t>
            </w:r>
            <w:r>
              <w:rPr>
                <w:sz w:val="24"/>
                <w:u w:val="single"/>
              </w:rPr>
              <w:tab/>
              <w:t>(mlgas/g</w:t>
            </w:r>
            <w:r>
              <w:rPr>
                <w:spacing w:val="-7"/>
                <w:sz w:val="24"/>
                <w:u w:val="single"/>
              </w:rPr>
              <w:t> </w:t>
            </w:r>
            <w:r>
              <w:rPr>
                <w:sz w:val="24"/>
                <w:u w:val="single"/>
              </w:rPr>
              <w:t>DM)</w:t>
              <w:tab/>
            </w:r>
          </w:p>
        </w:tc>
        <w:tc>
          <w:tcPr>
            <w:tcW w:w="2025" w:type="dxa"/>
            <w:gridSpan w:val="2"/>
            <w:tcBorders>
              <w:left w:val="nil"/>
              <w:bottom w:val="nil"/>
              <w:right w:val="nil"/>
            </w:tcBorders>
          </w:tcPr>
          <w:p>
            <w:pPr>
              <w:pStyle w:val="TableParagraph"/>
              <w:spacing w:line="242" w:lineRule="auto"/>
              <w:ind w:left="149" w:right="151" w:firstLine="1"/>
              <w:rPr>
                <w:sz w:val="24"/>
              </w:rPr>
            </w:pPr>
            <w:r>
              <w:rPr>
                <w:i/>
                <w:sz w:val="24"/>
              </w:rPr>
              <w:t>In vitro </w:t>
            </w:r>
            <w:r>
              <w:rPr>
                <w:sz w:val="24"/>
              </w:rPr>
              <w:t>gas production (ml/g</w:t>
            </w:r>
          </w:p>
          <w:p>
            <w:pPr>
              <w:pStyle w:val="TableParagraph"/>
              <w:tabs>
                <w:tab w:pos="715" w:val="left" w:leader="none"/>
                <w:tab w:pos="1886" w:val="left" w:leader="none"/>
              </w:tabs>
              <w:spacing w:line="271" w:lineRule="exact"/>
              <w:ind w:right="1"/>
              <w:rPr>
                <w:sz w:val="24"/>
              </w:rPr>
            </w:pPr>
            <w:r>
              <w:rPr>
                <w:w w:val="100"/>
                <w:sz w:val="24"/>
                <w:u w:val="single"/>
              </w:rPr>
              <w:t> </w:t>
            </w:r>
            <w:r>
              <w:rPr>
                <w:sz w:val="24"/>
                <w:u w:val="single"/>
              </w:rPr>
              <w:tab/>
              <w:t>DM)</w:t>
              <w:tab/>
            </w:r>
          </w:p>
        </w:tc>
        <w:tc>
          <w:tcPr>
            <w:tcW w:w="3805" w:type="dxa"/>
            <w:gridSpan w:val="4"/>
            <w:tcBorders>
              <w:left w:val="nil"/>
              <w:bottom w:val="nil"/>
              <w:right w:val="nil"/>
            </w:tcBorders>
          </w:tcPr>
          <w:p>
            <w:pPr>
              <w:pStyle w:val="TableParagraph"/>
              <w:spacing w:before="10"/>
              <w:jc w:val="left"/>
              <w:rPr>
                <w:sz w:val="23"/>
              </w:rPr>
            </w:pPr>
          </w:p>
          <w:p>
            <w:pPr>
              <w:pStyle w:val="TableParagraph"/>
              <w:spacing w:line="275" w:lineRule="exact"/>
              <w:ind w:left="146"/>
              <w:jc w:val="left"/>
              <w:rPr>
                <w:sz w:val="24"/>
              </w:rPr>
            </w:pPr>
            <w:r>
              <w:rPr>
                <w:i/>
                <w:sz w:val="24"/>
              </w:rPr>
              <w:t>In vitro </w:t>
            </w:r>
            <w:r>
              <w:rPr>
                <w:sz w:val="24"/>
              </w:rPr>
              <w:t>digestibilities of substrates</w:t>
            </w:r>
          </w:p>
          <w:p>
            <w:pPr>
              <w:pStyle w:val="TableParagraph"/>
              <w:tabs>
                <w:tab w:pos="3804" w:val="left" w:leader="none"/>
              </w:tabs>
              <w:spacing w:line="275" w:lineRule="exact"/>
              <w:ind w:left="74"/>
              <w:jc w:val="left"/>
              <w:rPr>
                <w:sz w:val="24"/>
              </w:rPr>
            </w:pPr>
            <w:r>
              <w:rPr>
                <w:w w:val="100"/>
                <w:sz w:val="24"/>
                <w:u w:val="single"/>
              </w:rPr>
              <w:t> </w:t>
            </w:r>
            <w:r>
              <w:rPr>
                <w:sz w:val="24"/>
                <w:u w:val="single"/>
              </w:rPr>
              <w:t> </w:t>
            </w:r>
            <w:r>
              <w:rPr>
                <w:spacing w:val="6"/>
                <w:sz w:val="24"/>
                <w:u w:val="single"/>
              </w:rPr>
              <w:t> </w:t>
            </w:r>
            <w:r>
              <w:rPr>
                <w:sz w:val="24"/>
                <w:u w:val="single"/>
              </w:rPr>
              <w:t>(g/kg DM) and ME (MJ /kg</w:t>
            </w:r>
            <w:r>
              <w:rPr>
                <w:spacing w:val="-13"/>
                <w:sz w:val="24"/>
                <w:u w:val="single"/>
              </w:rPr>
              <w:t> </w:t>
            </w:r>
            <w:r>
              <w:rPr>
                <w:sz w:val="24"/>
                <w:u w:val="single"/>
              </w:rPr>
              <w:t>DM)</w:t>
              <w:tab/>
            </w:r>
          </w:p>
        </w:tc>
      </w:tr>
      <w:tr>
        <w:trPr>
          <w:trHeight w:val="564" w:hRule="exact"/>
        </w:trPr>
        <w:tc>
          <w:tcPr>
            <w:tcW w:w="1712" w:type="dxa"/>
            <w:tcBorders>
              <w:top w:val="nil"/>
              <w:left w:val="nil"/>
              <w:right w:val="nil"/>
            </w:tcBorders>
          </w:tcPr>
          <w:p>
            <w:pPr/>
          </w:p>
        </w:tc>
        <w:tc>
          <w:tcPr>
            <w:tcW w:w="755" w:type="dxa"/>
            <w:tcBorders>
              <w:top w:val="nil"/>
              <w:left w:val="nil"/>
              <w:right w:val="nil"/>
            </w:tcBorders>
          </w:tcPr>
          <w:p>
            <w:pPr>
              <w:pStyle w:val="TableParagraph"/>
              <w:spacing w:before="2"/>
              <w:jc w:val="left"/>
              <w:rPr>
                <w:sz w:val="23"/>
              </w:rPr>
            </w:pPr>
          </w:p>
          <w:p>
            <w:pPr>
              <w:pStyle w:val="TableParagraph"/>
              <w:ind w:left="7"/>
              <w:rPr>
                <w:i/>
                <w:sz w:val="24"/>
              </w:rPr>
            </w:pPr>
            <w:r>
              <w:rPr>
                <w:i/>
                <w:w w:val="99"/>
                <w:sz w:val="24"/>
              </w:rPr>
              <w:t>a</w:t>
            </w:r>
          </w:p>
        </w:tc>
        <w:tc>
          <w:tcPr>
            <w:tcW w:w="742" w:type="dxa"/>
            <w:tcBorders>
              <w:top w:val="nil"/>
              <w:left w:val="nil"/>
              <w:right w:val="nil"/>
            </w:tcBorders>
          </w:tcPr>
          <w:p>
            <w:pPr>
              <w:pStyle w:val="TableParagraph"/>
              <w:spacing w:before="2"/>
              <w:jc w:val="left"/>
              <w:rPr>
                <w:sz w:val="23"/>
              </w:rPr>
            </w:pPr>
          </w:p>
          <w:p>
            <w:pPr>
              <w:pStyle w:val="TableParagraph"/>
              <w:ind w:left="46" w:right="50"/>
              <w:rPr>
                <w:i/>
                <w:sz w:val="24"/>
              </w:rPr>
            </w:pPr>
            <w:r>
              <w:rPr>
                <w:i/>
                <w:sz w:val="24"/>
              </w:rPr>
              <w:t>ca</w:t>
            </w:r>
          </w:p>
        </w:tc>
        <w:tc>
          <w:tcPr>
            <w:tcW w:w="742" w:type="dxa"/>
            <w:tcBorders>
              <w:top w:val="nil"/>
              <w:left w:val="nil"/>
              <w:right w:val="nil"/>
            </w:tcBorders>
          </w:tcPr>
          <w:p>
            <w:pPr>
              <w:pStyle w:val="TableParagraph"/>
              <w:spacing w:before="2"/>
              <w:jc w:val="left"/>
              <w:rPr>
                <w:sz w:val="23"/>
              </w:rPr>
            </w:pPr>
          </w:p>
          <w:p>
            <w:pPr>
              <w:pStyle w:val="TableParagraph"/>
              <w:ind w:right="4"/>
              <w:rPr>
                <w:i/>
                <w:sz w:val="24"/>
              </w:rPr>
            </w:pPr>
            <w:r>
              <w:rPr>
                <w:i/>
                <w:w w:val="99"/>
                <w:sz w:val="24"/>
              </w:rPr>
              <w:t>b</w:t>
            </w:r>
          </w:p>
        </w:tc>
        <w:tc>
          <w:tcPr>
            <w:tcW w:w="742" w:type="dxa"/>
            <w:tcBorders>
              <w:top w:val="nil"/>
              <w:left w:val="nil"/>
              <w:right w:val="nil"/>
            </w:tcBorders>
          </w:tcPr>
          <w:p>
            <w:pPr>
              <w:pStyle w:val="TableParagraph"/>
              <w:spacing w:before="2"/>
              <w:jc w:val="left"/>
              <w:rPr>
                <w:sz w:val="23"/>
              </w:rPr>
            </w:pPr>
          </w:p>
          <w:p>
            <w:pPr>
              <w:pStyle w:val="TableParagraph"/>
              <w:ind w:left="241"/>
              <w:jc w:val="left"/>
              <w:rPr>
                <w:i/>
                <w:sz w:val="24"/>
              </w:rPr>
            </w:pPr>
            <w:r>
              <w:rPr>
                <w:i/>
                <w:sz w:val="24"/>
              </w:rPr>
              <w:t>cb</w:t>
            </w:r>
          </w:p>
        </w:tc>
        <w:tc>
          <w:tcPr>
            <w:tcW w:w="814" w:type="dxa"/>
            <w:tcBorders>
              <w:top w:val="nil"/>
              <w:left w:val="nil"/>
              <w:right w:val="nil"/>
            </w:tcBorders>
          </w:tcPr>
          <w:p>
            <w:pPr>
              <w:pStyle w:val="TableParagraph"/>
              <w:spacing w:before="2"/>
              <w:jc w:val="left"/>
              <w:rPr>
                <w:sz w:val="23"/>
              </w:rPr>
            </w:pPr>
          </w:p>
          <w:p>
            <w:pPr>
              <w:pStyle w:val="TableParagraph"/>
              <w:ind w:left="53" w:right="119"/>
              <w:rPr>
                <w:i/>
                <w:sz w:val="24"/>
              </w:rPr>
            </w:pPr>
            <w:r>
              <w:rPr>
                <w:i/>
                <w:sz w:val="24"/>
              </w:rPr>
              <w:t>Lag</w:t>
            </w:r>
          </w:p>
        </w:tc>
        <w:tc>
          <w:tcPr>
            <w:tcW w:w="1036" w:type="dxa"/>
            <w:tcBorders>
              <w:top w:val="nil"/>
              <w:left w:val="nil"/>
              <w:right w:val="nil"/>
            </w:tcBorders>
          </w:tcPr>
          <w:p>
            <w:pPr>
              <w:pStyle w:val="TableParagraph"/>
              <w:spacing w:line="268" w:lineRule="exact"/>
              <w:ind w:left="225" w:right="90"/>
              <w:rPr>
                <w:sz w:val="24"/>
              </w:rPr>
            </w:pPr>
            <w:r>
              <w:rPr>
                <w:sz w:val="24"/>
              </w:rPr>
              <w:t>GP 24</w:t>
            </w:r>
          </w:p>
          <w:p>
            <w:pPr>
              <w:pStyle w:val="TableParagraph"/>
              <w:spacing w:line="275" w:lineRule="exact"/>
              <w:ind w:left="68"/>
              <w:rPr>
                <w:sz w:val="24"/>
              </w:rPr>
            </w:pPr>
            <w:r>
              <w:rPr>
                <w:w w:val="99"/>
                <w:sz w:val="24"/>
              </w:rPr>
              <w:t>h</w:t>
            </w:r>
          </w:p>
        </w:tc>
        <w:tc>
          <w:tcPr>
            <w:tcW w:w="989" w:type="dxa"/>
            <w:tcBorders>
              <w:top w:val="nil"/>
              <w:left w:val="nil"/>
              <w:right w:val="nil"/>
            </w:tcBorders>
          </w:tcPr>
          <w:p>
            <w:pPr>
              <w:pStyle w:val="TableParagraph"/>
              <w:spacing w:line="268" w:lineRule="exact"/>
              <w:ind w:left="98" w:right="170"/>
              <w:rPr>
                <w:sz w:val="24"/>
              </w:rPr>
            </w:pPr>
            <w:r>
              <w:rPr>
                <w:sz w:val="24"/>
              </w:rPr>
              <w:t>GP 96</w:t>
            </w:r>
          </w:p>
          <w:p>
            <w:pPr>
              <w:pStyle w:val="TableParagraph"/>
              <w:spacing w:line="275" w:lineRule="exact"/>
              <w:ind w:right="72"/>
              <w:rPr>
                <w:sz w:val="24"/>
              </w:rPr>
            </w:pPr>
            <w:r>
              <w:rPr>
                <w:w w:val="99"/>
                <w:sz w:val="24"/>
              </w:rPr>
              <w:t>h</w:t>
            </w:r>
          </w:p>
        </w:tc>
        <w:tc>
          <w:tcPr>
            <w:tcW w:w="1054" w:type="dxa"/>
            <w:tcBorders>
              <w:top w:val="nil"/>
              <w:left w:val="nil"/>
              <w:right w:val="nil"/>
            </w:tcBorders>
          </w:tcPr>
          <w:p>
            <w:pPr>
              <w:pStyle w:val="TableParagraph"/>
              <w:spacing w:before="2"/>
              <w:jc w:val="left"/>
              <w:rPr>
                <w:sz w:val="23"/>
              </w:rPr>
            </w:pPr>
          </w:p>
          <w:p>
            <w:pPr>
              <w:pStyle w:val="TableParagraph"/>
              <w:ind w:left="159" w:right="68"/>
              <w:rPr>
                <w:sz w:val="24"/>
              </w:rPr>
            </w:pPr>
            <w:r>
              <w:rPr>
                <w:sz w:val="24"/>
              </w:rPr>
              <w:t>dDM</w:t>
            </w:r>
          </w:p>
        </w:tc>
        <w:tc>
          <w:tcPr>
            <w:tcW w:w="989" w:type="dxa"/>
            <w:tcBorders>
              <w:top w:val="nil"/>
              <w:left w:val="nil"/>
              <w:right w:val="nil"/>
            </w:tcBorders>
          </w:tcPr>
          <w:p>
            <w:pPr>
              <w:pStyle w:val="TableParagraph"/>
              <w:spacing w:before="2"/>
              <w:jc w:val="left"/>
              <w:rPr>
                <w:sz w:val="23"/>
              </w:rPr>
            </w:pPr>
          </w:p>
          <w:p>
            <w:pPr>
              <w:pStyle w:val="TableParagraph"/>
              <w:ind w:left="68" w:right="47"/>
              <w:rPr>
                <w:sz w:val="24"/>
              </w:rPr>
            </w:pPr>
            <w:r>
              <w:rPr>
                <w:sz w:val="24"/>
              </w:rPr>
              <w:t>dOM</w:t>
            </w:r>
          </w:p>
        </w:tc>
        <w:tc>
          <w:tcPr>
            <w:tcW w:w="987" w:type="dxa"/>
            <w:tcBorders>
              <w:top w:val="nil"/>
              <w:left w:val="nil"/>
              <w:right w:val="nil"/>
            </w:tcBorders>
          </w:tcPr>
          <w:p>
            <w:pPr>
              <w:pStyle w:val="TableParagraph"/>
              <w:spacing w:before="2"/>
              <w:jc w:val="left"/>
              <w:rPr>
                <w:sz w:val="23"/>
              </w:rPr>
            </w:pPr>
          </w:p>
          <w:p>
            <w:pPr>
              <w:pStyle w:val="TableParagraph"/>
              <w:ind w:left="59" w:right="62"/>
              <w:rPr>
                <w:sz w:val="24"/>
              </w:rPr>
            </w:pPr>
            <w:r>
              <w:rPr>
                <w:sz w:val="24"/>
              </w:rPr>
              <w:t>dNDF</w:t>
            </w:r>
          </w:p>
        </w:tc>
        <w:tc>
          <w:tcPr>
            <w:tcW w:w="775" w:type="dxa"/>
            <w:tcBorders>
              <w:top w:val="nil"/>
              <w:left w:val="nil"/>
              <w:right w:val="nil"/>
            </w:tcBorders>
          </w:tcPr>
          <w:p>
            <w:pPr>
              <w:pStyle w:val="TableParagraph"/>
              <w:spacing w:before="2"/>
              <w:jc w:val="left"/>
              <w:rPr>
                <w:sz w:val="23"/>
              </w:rPr>
            </w:pPr>
          </w:p>
          <w:p>
            <w:pPr>
              <w:pStyle w:val="TableParagraph"/>
              <w:ind w:left="208"/>
              <w:jc w:val="left"/>
              <w:rPr>
                <w:sz w:val="24"/>
              </w:rPr>
            </w:pPr>
            <w:r>
              <w:rPr>
                <w:sz w:val="24"/>
              </w:rPr>
              <w:t>ME</w:t>
            </w:r>
          </w:p>
        </w:tc>
      </w:tr>
      <w:tr>
        <w:trPr>
          <w:trHeight w:val="297" w:hRule="exact"/>
        </w:trPr>
        <w:tc>
          <w:tcPr>
            <w:tcW w:w="1712" w:type="dxa"/>
            <w:tcBorders>
              <w:left w:val="nil"/>
              <w:bottom w:val="nil"/>
              <w:right w:val="nil"/>
            </w:tcBorders>
          </w:tcPr>
          <w:p>
            <w:pPr>
              <w:pStyle w:val="TableParagraph"/>
              <w:spacing w:line="272" w:lineRule="exact"/>
              <w:ind w:left="72" w:right="352"/>
              <w:jc w:val="left"/>
              <w:rPr>
                <w:sz w:val="24"/>
              </w:rPr>
            </w:pPr>
            <w:r>
              <w:rPr>
                <w:sz w:val="24"/>
              </w:rPr>
              <w:t>Treatment</w:t>
            </w:r>
          </w:p>
        </w:tc>
        <w:tc>
          <w:tcPr>
            <w:tcW w:w="755" w:type="dxa"/>
            <w:tcBorders>
              <w:left w:val="nil"/>
              <w:bottom w:val="nil"/>
              <w:right w:val="nil"/>
            </w:tcBorders>
          </w:tcPr>
          <w:p>
            <w:pPr/>
          </w:p>
        </w:tc>
        <w:tc>
          <w:tcPr>
            <w:tcW w:w="742" w:type="dxa"/>
            <w:tcBorders>
              <w:left w:val="nil"/>
              <w:bottom w:val="nil"/>
              <w:right w:val="nil"/>
            </w:tcBorders>
          </w:tcPr>
          <w:p>
            <w:pPr/>
          </w:p>
        </w:tc>
        <w:tc>
          <w:tcPr>
            <w:tcW w:w="742" w:type="dxa"/>
            <w:tcBorders>
              <w:left w:val="nil"/>
              <w:bottom w:val="nil"/>
              <w:right w:val="nil"/>
            </w:tcBorders>
          </w:tcPr>
          <w:p>
            <w:pPr/>
          </w:p>
        </w:tc>
        <w:tc>
          <w:tcPr>
            <w:tcW w:w="742" w:type="dxa"/>
            <w:tcBorders>
              <w:left w:val="nil"/>
              <w:bottom w:val="nil"/>
              <w:right w:val="nil"/>
            </w:tcBorders>
          </w:tcPr>
          <w:p>
            <w:pPr/>
          </w:p>
        </w:tc>
        <w:tc>
          <w:tcPr>
            <w:tcW w:w="814" w:type="dxa"/>
            <w:tcBorders>
              <w:left w:val="nil"/>
              <w:bottom w:val="nil"/>
              <w:right w:val="nil"/>
            </w:tcBorders>
          </w:tcPr>
          <w:p>
            <w:pPr/>
          </w:p>
        </w:tc>
        <w:tc>
          <w:tcPr>
            <w:tcW w:w="1036" w:type="dxa"/>
            <w:tcBorders>
              <w:left w:val="nil"/>
              <w:bottom w:val="nil"/>
              <w:right w:val="nil"/>
            </w:tcBorders>
          </w:tcPr>
          <w:p>
            <w:pPr/>
          </w:p>
        </w:tc>
        <w:tc>
          <w:tcPr>
            <w:tcW w:w="989" w:type="dxa"/>
            <w:tcBorders>
              <w:left w:val="nil"/>
              <w:bottom w:val="nil"/>
              <w:right w:val="nil"/>
            </w:tcBorders>
          </w:tcPr>
          <w:p>
            <w:pPr/>
          </w:p>
        </w:tc>
        <w:tc>
          <w:tcPr>
            <w:tcW w:w="1054" w:type="dxa"/>
            <w:tcBorders>
              <w:left w:val="nil"/>
              <w:bottom w:val="nil"/>
              <w:right w:val="nil"/>
            </w:tcBorders>
          </w:tcPr>
          <w:p>
            <w:pPr/>
          </w:p>
        </w:tc>
        <w:tc>
          <w:tcPr>
            <w:tcW w:w="989" w:type="dxa"/>
            <w:tcBorders>
              <w:left w:val="nil"/>
              <w:bottom w:val="nil"/>
              <w:right w:val="nil"/>
            </w:tcBorders>
          </w:tcPr>
          <w:p>
            <w:pPr/>
          </w:p>
        </w:tc>
        <w:tc>
          <w:tcPr>
            <w:tcW w:w="987" w:type="dxa"/>
            <w:tcBorders>
              <w:left w:val="nil"/>
              <w:bottom w:val="nil"/>
              <w:right w:val="nil"/>
            </w:tcBorders>
          </w:tcPr>
          <w:p>
            <w:pPr/>
          </w:p>
        </w:tc>
        <w:tc>
          <w:tcPr>
            <w:tcW w:w="775" w:type="dxa"/>
            <w:tcBorders>
              <w:left w:val="nil"/>
              <w:bottom w:val="nil"/>
              <w:right w:val="nil"/>
            </w:tcBorders>
          </w:tcPr>
          <w:p>
            <w:pPr/>
          </w:p>
        </w:tc>
      </w:tr>
      <w:tr>
        <w:trPr>
          <w:trHeight w:val="315" w:hRule="exact"/>
        </w:trPr>
        <w:tc>
          <w:tcPr>
            <w:tcW w:w="1712" w:type="dxa"/>
            <w:tcBorders>
              <w:top w:val="nil"/>
              <w:left w:val="nil"/>
              <w:bottom w:val="nil"/>
              <w:right w:val="nil"/>
            </w:tcBorders>
          </w:tcPr>
          <w:p>
            <w:pPr>
              <w:pStyle w:val="TableParagraph"/>
              <w:tabs>
                <w:tab w:pos="1181" w:val="left" w:leader="none"/>
              </w:tabs>
              <w:spacing w:before="30"/>
              <w:ind w:left="72"/>
              <w:jc w:val="left"/>
              <w:rPr>
                <w:sz w:val="24"/>
              </w:rPr>
            </w:pPr>
            <w:r>
              <w:rPr>
                <w:sz w:val="24"/>
              </w:rPr>
              <w:t>PEG</w:t>
              <w:tab/>
              <w:t>( -</w:t>
            </w:r>
            <w:r>
              <w:rPr>
                <w:spacing w:val="-1"/>
                <w:sz w:val="24"/>
              </w:rPr>
              <w:t> </w:t>
            </w:r>
            <w:r>
              <w:rPr>
                <w:sz w:val="24"/>
              </w:rPr>
              <w:t>)</w:t>
            </w:r>
          </w:p>
        </w:tc>
        <w:tc>
          <w:tcPr>
            <w:tcW w:w="755" w:type="dxa"/>
            <w:tcBorders>
              <w:top w:val="nil"/>
              <w:left w:val="nil"/>
              <w:bottom w:val="nil"/>
              <w:right w:val="nil"/>
            </w:tcBorders>
          </w:tcPr>
          <w:p>
            <w:pPr>
              <w:pStyle w:val="TableParagraph"/>
              <w:spacing w:before="30"/>
              <w:ind w:left="57" w:right="49"/>
              <w:rPr>
                <w:sz w:val="24"/>
              </w:rPr>
            </w:pPr>
            <w:r>
              <w:rPr>
                <w:sz w:val="24"/>
              </w:rPr>
              <w:t>39</w:t>
            </w:r>
          </w:p>
        </w:tc>
        <w:tc>
          <w:tcPr>
            <w:tcW w:w="742" w:type="dxa"/>
            <w:tcBorders>
              <w:top w:val="nil"/>
              <w:left w:val="nil"/>
              <w:bottom w:val="nil"/>
              <w:right w:val="nil"/>
            </w:tcBorders>
          </w:tcPr>
          <w:p>
            <w:pPr>
              <w:pStyle w:val="TableParagraph"/>
              <w:spacing w:before="30"/>
              <w:ind w:left="50" w:right="50"/>
              <w:rPr>
                <w:sz w:val="24"/>
              </w:rPr>
            </w:pPr>
            <w:r>
              <w:rPr>
                <w:sz w:val="24"/>
              </w:rPr>
              <w:t>0.3</w:t>
            </w:r>
          </w:p>
        </w:tc>
        <w:tc>
          <w:tcPr>
            <w:tcW w:w="742" w:type="dxa"/>
            <w:tcBorders>
              <w:top w:val="nil"/>
              <w:left w:val="nil"/>
              <w:bottom w:val="nil"/>
              <w:right w:val="nil"/>
            </w:tcBorders>
          </w:tcPr>
          <w:p>
            <w:pPr>
              <w:pStyle w:val="TableParagraph"/>
              <w:spacing w:before="30"/>
              <w:ind w:left="50" w:right="49"/>
              <w:rPr>
                <w:sz w:val="24"/>
              </w:rPr>
            </w:pPr>
            <w:r>
              <w:rPr>
                <w:sz w:val="24"/>
              </w:rPr>
              <w:t>78.9</w:t>
            </w:r>
          </w:p>
        </w:tc>
        <w:tc>
          <w:tcPr>
            <w:tcW w:w="742" w:type="dxa"/>
            <w:tcBorders>
              <w:top w:val="nil"/>
              <w:left w:val="nil"/>
              <w:bottom w:val="nil"/>
              <w:right w:val="nil"/>
            </w:tcBorders>
          </w:tcPr>
          <w:p>
            <w:pPr>
              <w:pStyle w:val="TableParagraph"/>
              <w:spacing w:before="30"/>
              <w:ind w:right="135"/>
              <w:jc w:val="right"/>
              <w:rPr>
                <w:sz w:val="24"/>
              </w:rPr>
            </w:pPr>
            <w:r>
              <w:rPr>
                <w:sz w:val="24"/>
              </w:rPr>
              <w:t>0.04</w:t>
            </w:r>
          </w:p>
        </w:tc>
        <w:tc>
          <w:tcPr>
            <w:tcW w:w="814" w:type="dxa"/>
            <w:tcBorders>
              <w:top w:val="nil"/>
              <w:left w:val="nil"/>
              <w:bottom w:val="nil"/>
              <w:right w:val="nil"/>
            </w:tcBorders>
          </w:tcPr>
          <w:p>
            <w:pPr>
              <w:pStyle w:val="TableParagraph"/>
              <w:spacing w:before="30"/>
              <w:ind w:left="53" w:right="120"/>
              <w:rPr>
                <w:sz w:val="24"/>
              </w:rPr>
            </w:pPr>
            <w:r>
              <w:rPr>
                <w:sz w:val="24"/>
              </w:rPr>
              <w:t>3.2</w:t>
            </w:r>
          </w:p>
        </w:tc>
        <w:tc>
          <w:tcPr>
            <w:tcW w:w="1036" w:type="dxa"/>
            <w:tcBorders>
              <w:top w:val="nil"/>
              <w:left w:val="nil"/>
              <w:bottom w:val="nil"/>
              <w:right w:val="nil"/>
            </w:tcBorders>
          </w:tcPr>
          <w:p>
            <w:pPr>
              <w:pStyle w:val="TableParagraph"/>
              <w:spacing w:line="306" w:lineRule="exact"/>
              <w:ind w:left="207"/>
              <w:jc w:val="left"/>
              <w:rPr>
                <w:sz w:val="16"/>
              </w:rPr>
            </w:pPr>
            <w:r>
              <w:rPr>
                <w:sz w:val="24"/>
              </w:rPr>
              <w:t>86.34</w:t>
            </w:r>
            <w:r>
              <w:rPr>
                <w:position w:val="11"/>
                <w:sz w:val="16"/>
              </w:rPr>
              <w:t>a</w:t>
            </w:r>
          </w:p>
        </w:tc>
        <w:tc>
          <w:tcPr>
            <w:tcW w:w="989" w:type="dxa"/>
            <w:tcBorders>
              <w:top w:val="nil"/>
              <w:left w:val="nil"/>
              <w:bottom w:val="nil"/>
              <w:right w:val="nil"/>
            </w:tcBorders>
          </w:tcPr>
          <w:p>
            <w:pPr>
              <w:pStyle w:val="TableParagraph"/>
              <w:spacing w:line="306" w:lineRule="exact"/>
              <w:ind w:left="212"/>
              <w:jc w:val="left"/>
              <w:rPr>
                <w:sz w:val="16"/>
              </w:rPr>
            </w:pPr>
            <w:r>
              <w:rPr>
                <w:sz w:val="24"/>
              </w:rPr>
              <w:t>116</w:t>
            </w:r>
            <w:r>
              <w:rPr>
                <w:position w:val="11"/>
                <w:sz w:val="16"/>
              </w:rPr>
              <w:t>a</w:t>
            </w:r>
          </w:p>
        </w:tc>
        <w:tc>
          <w:tcPr>
            <w:tcW w:w="1054" w:type="dxa"/>
            <w:tcBorders>
              <w:top w:val="nil"/>
              <w:left w:val="nil"/>
              <w:bottom w:val="nil"/>
              <w:right w:val="nil"/>
            </w:tcBorders>
          </w:tcPr>
          <w:p>
            <w:pPr>
              <w:pStyle w:val="TableParagraph"/>
              <w:spacing w:before="30"/>
              <w:ind w:left="159" w:right="67"/>
              <w:rPr>
                <w:sz w:val="24"/>
              </w:rPr>
            </w:pPr>
            <w:r>
              <w:rPr>
                <w:sz w:val="24"/>
              </w:rPr>
              <w:t>535</w:t>
            </w:r>
          </w:p>
        </w:tc>
        <w:tc>
          <w:tcPr>
            <w:tcW w:w="989" w:type="dxa"/>
            <w:tcBorders>
              <w:top w:val="nil"/>
              <w:left w:val="nil"/>
              <w:bottom w:val="nil"/>
              <w:right w:val="nil"/>
            </w:tcBorders>
          </w:tcPr>
          <w:p>
            <w:pPr>
              <w:pStyle w:val="TableParagraph"/>
              <w:spacing w:before="30"/>
              <w:ind w:left="68" w:right="49"/>
              <w:rPr>
                <w:sz w:val="24"/>
              </w:rPr>
            </w:pPr>
            <w:r>
              <w:rPr>
                <w:sz w:val="24"/>
              </w:rPr>
              <w:t>460</w:t>
            </w:r>
          </w:p>
        </w:tc>
        <w:tc>
          <w:tcPr>
            <w:tcW w:w="987" w:type="dxa"/>
            <w:tcBorders>
              <w:top w:val="nil"/>
              <w:left w:val="nil"/>
              <w:bottom w:val="nil"/>
              <w:right w:val="nil"/>
            </w:tcBorders>
          </w:tcPr>
          <w:p>
            <w:pPr>
              <w:pStyle w:val="TableParagraph"/>
              <w:spacing w:before="30"/>
              <w:ind w:left="59" w:right="59"/>
              <w:rPr>
                <w:sz w:val="24"/>
              </w:rPr>
            </w:pPr>
            <w:r>
              <w:rPr>
                <w:sz w:val="24"/>
              </w:rPr>
              <w:t>359.5</w:t>
            </w:r>
          </w:p>
        </w:tc>
        <w:tc>
          <w:tcPr>
            <w:tcW w:w="775" w:type="dxa"/>
            <w:tcBorders>
              <w:top w:val="nil"/>
              <w:left w:val="nil"/>
              <w:bottom w:val="nil"/>
              <w:right w:val="nil"/>
            </w:tcBorders>
          </w:tcPr>
          <w:p>
            <w:pPr>
              <w:pStyle w:val="TableParagraph"/>
              <w:spacing w:line="306" w:lineRule="exact"/>
              <w:ind w:right="169"/>
              <w:jc w:val="right"/>
              <w:rPr>
                <w:sz w:val="16"/>
              </w:rPr>
            </w:pPr>
            <w:r>
              <w:rPr>
                <w:sz w:val="24"/>
              </w:rPr>
              <w:t>7.8</w:t>
            </w:r>
            <w:r>
              <w:rPr>
                <w:position w:val="11"/>
                <w:sz w:val="16"/>
              </w:rPr>
              <w:t>a</w:t>
            </w:r>
          </w:p>
        </w:tc>
      </w:tr>
      <w:tr>
        <w:trPr>
          <w:trHeight w:val="329" w:hRule="exact"/>
        </w:trPr>
        <w:tc>
          <w:tcPr>
            <w:tcW w:w="1712" w:type="dxa"/>
            <w:tcBorders>
              <w:top w:val="nil"/>
              <w:left w:val="nil"/>
              <w:bottom w:val="nil"/>
              <w:right w:val="nil"/>
            </w:tcBorders>
          </w:tcPr>
          <w:p>
            <w:pPr>
              <w:pStyle w:val="TableParagraph"/>
              <w:tabs>
                <w:tab w:pos="1181" w:val="left" w:leader="none"/>
              </w:tabs>
              <w:spacing w:before="27"/>
              <w:ind w:left="72"/>
              <w:jc w:val="left"/>
              <w:rPr>
                <w:sz w:val="24"/>
              </w:rPr>
            </w:pPr>
            <w:r>
              <w:rPr>
                <w:sz w:val="24"/>
              </w:rPr>
              <w:t>PEG</w:t>
              <w:tab/>
              <w:t>( +)</w:t>
            </w:r>
          </w:p>
        </w:tc>
        <w:tc>
          <w:tcPr>
            <w:tcW w:w="755" w:type="dxa"/>
            <w:tcBorders>
              <w:top w:val="nil"/>
              <w:left w:val="nil"/>
              <w:bottom w:val="nil"/>
              <w:right w:val="nil"/>
            </w:tcBorders>
          </w:tcPr>
          <w:p>
            <w:pPr>
              <w:pStyle w:val="TableParagraph"/>
              <w:spacing w:before="27"/>
              <w:ind w:left="57" w:right="49"/>
              <w:rPr>
                <w:sz w:val="24"/>
              </w:rPr>
            </w:pPr>
            <w:r>
              <w:rPr>
                <w:sz w:val="24"/>
              </w:rPr>
              <w:t>57</w:t>
            </w:r>
          </w:p>
        </w:tc>
        <w:tc>
          <w:tcPr>
            <w:tcW w:w="742" w:type="dxa"/>
            <w:tcBorders>
              <w:top w:val="nil"/>
              <w:left w:val="nil"/>
              <w:bottom w:val="nil"/>
              <w:right w:val="nil"/>
            </w:tcBorders>
          </w:tcPr>
          <w:p>
            <w:pPr>
              <w:pStyle w:val="TableParagraph"/>
              <w:spacing w:before="27"/>
              <w:ind w:left="49" w:right="50"/>
              <w:rPr>
                <w:sz w:val="24"/>
              </w:rPr>
            </w:pPr>
            <w:r>
              <w:rPr>
                <w:sz w:val="24"/>
              </w:rPr>
              <w:t>0.16</w:t>
            </w:r>
          </w:p>
        </w:tc>
        <w:tc>
          <w:tcPr>
            <w:tcW w:w="742" w:type="dxa"/>
            <w:tcBorders>
              <w:top w:val="nil"/>
              <w:left w:val="nil"/>
              <w:bottom w:val="nil"/>
              <w:right w:val="nil"/>
            </w:tcBorders>
          </w:tcPr>
          <w:p>
            <w:pPr>
              <w:pStyle w:val="TableParagraph"/>
              <w:spacing w:before="27"/>
              <w:ind w:left="46" w:right="49"/>
              <w:rPr>
                <w:sz w:val="24"/>
              </w:rPr>
            </w:pPr>
            <w:r>
              <w:rPr>
                <w:sz w:val="24"/>
              </w:rPr>
              <w:t>67</w:t>
            </w:r>
          </w:p>
        </w:tc>
        <w:tc>
          <w:tcPr>
            <w:tcW w:w="742" w:type="dxa"/>
            <w:tcBorders>
              <w:top w:val="nil"/>
              <w:left w:val="nil"/>
              <w:bottom w:val="nil"/>
              <w:right w:val="nil"/>
            </w:tcBorders>
          </w:tcPr>
          <w:p>
            <w:pPr>
              <w:pStyle w:val="TableParagraph"/>
              <w:spacing w:before="27"/>
              <w:ind w:right="68"/>
              <w:jc w:val="right"/>
              <w:rPr>
                <w:sz w:val="24"/>
              </w:rPr>
            </w:pPr>
            <w:r>
              <w:rPr>
                <w:sz w:val="24"/>
              </w:rPr>
              <w:t>0.056</w:t>
            </w:r>
          </w:p>
        </w:tc>
        <w:tc>
          <w:tcPr>
            <w:tcW w:w="814" w:type="dxa"/>
            <w:tcBorders>
              <w:top w:val="nil"/>
              <w:left w:val="nil"/>
              <w:bottom w:val="nil"/>
              <w:right w:val="nil"/>
            </w:tcBorders>
          </w:tcPr>
          <w:p>
            <w:pPr>
              <w:pStyle w:val="TableParagraph"/>
              <w:spacing w:before="27"/>
              <w:ind w:left="53" w:right="120"/>
              <w:rPr>
                <w:sz w:val="24"/>
              </w:rPr>
            </w:pPr>
            <w:r>
              <w:rPr>
                <w:sz w:val="24"/>
              </w:rPr>
              <w:t>2.8</w:t>
            </w:r>
          </w:p>
        </w:tc>
        <w:tc>
          <w:tcPr>
            <w:tcW w:w="1036" w:type="dxa"/>
            <w:tcBorders>
              <w:top w:val="nil"/>
              <w:left w:val="nil"/>
              <w:bottom w:val="nil"/>
              <w:right w:val="nil"/>
            </w:tcBorders>
          </w:tcPr>
          <w:p>
            <w:pPr>
              <w:pStyle w:val="TableParagraph"/>
              <w:spacing w:line="303" w:lineRule="exact"/>
              <w:ind w:left="140"/>
              <w:jc w:val="left"/>
              <w:rPr>
                <w:sz w:val="16"/>
              </w:rPr>
            </w:pPr>
            <w:r>
              <w:rPr>
                <w:sz w:val="24"/>
              </w:rPr>
              <w:t>100.92</w:t>
            </w:r>
            <w:r>
              <w:rPr>
                <w:position w:val="11"/>
                <w:sz w:val="16"/>
              </w:rPr>
              <w:t>b</w:t>
            </w:r>
          </w:p>
        </w:tc>
        <w:tc>
          <w:tcPr>
            <w:tcW w:w="989" w:type="dxa"/>
            <w:tcBorders>
              <w:top w:val="nil"/>
              <w:left w:val="nil"/>
              <w:bottom w:val="nil"/>
              <w:right w:val="nil"/>
            </w:tcBorders>
          </w:tcPr>
          <w:p>
            <w:pPr>
              <w:pStyle w:val="TableParagraph"/>
              <w:spacing w:line="303" w:lineRule="exact"/>
              <w:ind w:left="111"/>
              <w:jc w:val="left"/>
              <w:rPr>
                <w:sz w:val="16"/>
              </w:rPr>
            </w:pPr>
            <w:r>
              <w:rPr>
                <w:sz w:val="24"/>
              </w:rPr>
              <w:t>125.5</w:t>
            </w:r>
            <w:r>
              <w:rPr>
                <w:position w:val="11"/>
                <w:sz w:val="16"/>
              </w:rPr>
              <w:t>b</w:t>
            </w:r>
          </w:p>
        </w:tc>
        <w:tc>
          <w:tcPr>
            <w:tcW w:w="1054" w:type="dxa"/>
            <w:tcBorders>
              <w:top w:val="nil"/>
              <w:left w:val="nil"/>
              <w:bottom w:val="nil"/>
              <w:right w:val="nil"/>
            </w:tcBorders>
          </w:tcPr>
          <w:p>
            <w:pPr>
              <w:pStyle w:val="TableParagraph"/>
              <w:spacing w:before="27"/>
              <w:ind w:left="159" w:right="69"/>
              <w:rPr>
                <w:sz w:val="24"/>
              </w:rPr>
            </w:pPr>
            <w:r>
              <w:rPr>
                <w:sz w:val="24"/>
              </w:rPr>
              <w:t>537.8</w:t>
            </w:r>
          </w:p>
        </w:tc>
        <w:tc>
          <w:tcPr>
            <w:tcW w:w="989" w:type="dxa"/>
            <w:tcBorders>
              <w:top w:val="nil"/>
              <w:left w:val="nil"/>
              <w:bottom w:val="nil"/>
              <w:right w:val="nil"/>
            </w:tcBorders>
          </w:tcPr>
          <w:p>
            <w:pPr>
              <w:pStyle w:val="TableParagraph"/>
              <w:spacing w:before="27"/>
              <w:ind w:left="68" w:right="52"/>
              <w:rPr>
                <w:sz w:val="24"/>
              </w:rPr>
            </w:pPr>
            <w:r>
              <w:rPr>
                <w:sz w:val="24"/>
              </w:rPr>
              <w:t>468.7</w:t>
            </w:r>
          </w:p>
        </w:tc>
        <w:tc>
          <w:tcPr>
            <w:tcW w:w="987" w:type="dxa"/>
            <w:tcBorders>
              <w:top w:val="nil"/>
              <w:left w:val="nil"/>
              <w:bottom w:val="nil"/>
              <w:right w:val="nil"/>
            </w:tcBorders>
          </w:tcPr>
          <w:p>
            <w:pPr>
              <w:pStyle w:val="TableParagraph"/>
              <w:spacing w:before="27"/>
              <w:ind w:left="59" w:right="58"/>
              <w:rPr>
                <w:sz w:val="24"/>
              </w:rPr>
            </w:pPr>
            <w:r>
              <w:rPr>
                <w:sz w:val="24"/>
              </w:rPr>
              <w:t>453</w:t>
            </w:r>
          </w:p>
        </w:tc>
        <w:tc>
          <w:tcPr>
            <w:tcW w:w="775" w:type="dxa"/>
            <w:tcBorders>
              <w:top w:val="nil"/>
              <w:left w:val="nil"/>
              <w:bottom w:val="nil"/>
              <w:right w:val="nil"/>
            </w:tcBorders>
          </w:tcPr>
          <w:p>
            <w:pPr>
              <w:pStyle w:val="TableParagraph"/>
              <w:spacing w:line="303" w:lineRule="exact"/>
              <w:ind w:right="169"/>
              <w:jc w:val="right"/>
              <w:rPr>
                <w:sz w:val="16"/>
              </w:rPr>
            </w:pPr>
            <w:r>
              <w:rPr>
                <w:sz w:val="24"/>
              </w:rPr>
              <w:t>8.5</w:t>
            </w:r>
            <w:r>
              <w:rPr>
                <w:position w:val="11"/>
                <w:sz w:val="16"/>
              </w:rPr>
              <w:t>b</w:t>
            </w:r>
          </w:p>
        </w:tc>
      </w:tr>
      <w:tr>
        <w:trPr>
          <w:trHeight w:val="300" w:hRule="exact"/>
        </w:trPr>
        <w:tc>
          <w:tcPr>
            <w:tcW w:w="1712" w:type="dxa"/>
            <w:tcBorders>
              <w:top w:val="nil"/>
              <w:left w:val="nil"/>
              <w:bottom w:val="nil"/>
              <w:right w:val="nil"/>
            </w:tcBorders>
          </w:tcPr>
          <w:p>
            <w:pPr>
              <w:pStyle w:val="TableParagraph"/>
              <w:ind w:left="72"/>
              <w:jc w:val="left"/>
              <w:rPr>
                <w:sz w:val="24"/>
              </w:rPr>
            </w:pPr>
            <w:r>
              <w:rPr>
                <w:w w:val="100"/>
                <w:sz w:val="24"/>
              </w:rPr>
              <w:t>P</w:t>
            </w:r>
          </w:p>
        </w:tc>
        <w:tc>
          <w:tcPr>
            <w:tcW w:w="755" w:type="dxa"/>
            <w:tcBorders>
              <w:top w:val="nil"/>
              <w:left w:val="nil"/>
              <w:bottom w:val="nil"/>
              <w:right w:val="nil"/>
            </w:tcBorders>
          </w:tcPr>
          <w:p>
            <w:pPr>
              <w:pStyle w:val="TableParagraph"/>
              <w:ind w:left="64" w:right="49"/>
              <w:rPr>
                <w:sz w:val="24"/>
              </w:rPr>
            </w:pPr>
            <w:r>
              <w:rPr>
                <w:sz w:val="24"/>
              </w:rPr>
              <w:t>0.199</w:t>
            </w:r>
          </w:p>
        </w:tc>
        <w:tc>
          <w:tcPr>
            <w:tcW w:w="742" w:type="dxa"/>
            <w:tcBorders>
              <w:top w:val="nil"/>
              <w:left w:val="nil"/>
              <w:bottom w:val="nil"/>
              <w:right w:val="nil"/>
            </w:tcBorders>
          </w:tcPr>
          <w:p>
            <w:pPr>
              <w:pStyle w:val="TableParagraph"/>
              <w:ind w:left="50" w:right="50"/>
              <w:rPr>
                <w:sz w:val="24"/>
              </w:rPr>
            </w:pPr>
            <w:r>
              <w:rPr>
                <w:sz w:val="24"/>
              </w:rPr>
              <w:t>0.326</w:t>
            </w:r>
          </w:p>
        </w:tc>
        <w:tc>
          <w:tcPr>
            <w:tcW w:w="742" w:type="dxa"/>
            <w:tcBorders>
              <w:top w:val="nil"/>
              <w:left w:val="nil"/>
              <w:bottom w:val="nil"/>
              <w:right w:val="nil"/>
            </w:tcBorders>
          </w:tcPr>
          <w:p>
            <w:pPr>
              <w:pStyle w:val="TableParagraph"/>
              <w:ind w:left="51" w:right="49"/>
              <w:rPr>
                <w:sz w:val="24"/>
              </w:rPr>
            </w:pPr>
            <w:r>
              <w:rPr>
                <w:sz w:val="24"/>
              </w:rPr>
              <w:t>0.447</w:t>
            </w:r>
          </w:p>
        </w:tc>
        <w:tc>
          <w:tcPr>
            <w:tcW w:w="742" w:type="dxa"/>
            <w:tcBorders>
              <w:top w:val="nil"/>
              <w:left w:val="nil"/>
              <w:bottom w:val="nil"/>
              <w:right w:val="nil"/>
            </w:tcBorders>
          </w:tcPr>
          <w:p>
            <w:pPr>
              <w:pStyle w:val="TableParagraph"/>
              <w:ind w:right="68"/>
              <w:jc w:val="right"/>
              <w:rPr>
                <w:sz w:val="24"/>
              </w:rPr>
            </w:pPr>
            <w:r>
              <w:rPr>
                <w:sz w:val="24"/>
              </w:rPr>
              <w:t>0.387</w:t>
            </w:r>
          </w:p>
        </w:tc>
        <w:tc>
          <w:tcPr>
            <w:tcW w:w="814" w:type="dxa"/>
            <w:tcBorders>
              <w:top w:val="nil"/>
              <w:left w:val="nil"/>
              <w:bottom w:val="nil"/>
              <w:right w:val="nil"/>
            </w:tcBorders>
          </w:tcPr>
          <w:p>
            <w:pPr>
              <w:pStyle w:val="TableParagraph"/>
              <w:ind w:left="53" w:right="120"/>
              <w:rPr>
                <w:sz w:val="24"/>
              </w:rPr>
            </w:pPr>
            <w:r>
              <w:rPr>
                <w:sz w:val="24"/>
              </w:rPr>
              <w:t>0.675</w:t>
            </w:r>
          </w:p>
        </w:tc>
        <w:tc>
          <w:tcPr>
            <w:tcW w:w="1036" w:type="dxa"/>
            <w:tcBorders>
              <w:top w:val="nil"/>
              <w:left w:val="nil"/>
              <w:bottom w:val="nil"/>
              <w:right w:val="nil"/>
            </w:tcBorders>
          </w:tcPr>
          <w:p>
            <w:pPr>
              <w:pStyle w:val="TableParagraph"/>
              <w:ind w:left="250"/>
              <w:jc w:val="left"/>
              <w:rPr>
                <w:sz w:val="24"/>
              </w:rPr>
            </w:pPr>
            <w:r>
              <w:rPr>
                <w:sz w:val="24"/>
              </w:rPr>
              <w:t>0.042</w:t>
            </w:r>
          </w:p>
        </w:tc>
        <w:tc>
          <w:tcPr>
            <w:tcW w:w="989" w:type="dxa"/>
            <w:tcBorders>
              <w:top w:val="nil"/>
              <w:left w:val="nil"/>
              <w:bottom w:val="nil"/>
              <w:right w:val="nil"/>
            </w:tcBorders>
          </w:tcPr>
          <w:p>
            <w:pPr>
              <w:pStyle w:val="TableParagraph"/>
              <w:ind w:left="155"/>
              <w:jc w:val="left"/>
              <w:rPr>
                <w:sz w:val="24"/>
              </w:rPr>
            </w:pPr>
            <w:r>
              <w:rPr>
                <w:sz w:val="24"/>
              </w:rPr>
              <w:t>0.030</w:t>
            </w:r>
          </w:p>
        </w:tc>
        <w:tc>
          <w:tcPr>
            <w:tcW w:w="1054" w:type="dxa"/>
            <w:tcBorders>
              <w:top w:val="nil"/>
              <w:left w:val="nil"/>
              <w:bottom w:val="nil"/>
              <w:right w:val="nil"/>
            </w:tcBorders>
          </w:tcPr>
          <w:p>
            <w:pPr>
              <w:pStyle w:val="TableParagraph"/>
              <w:ind w:left="159" w:right="68"/>
              <w:rPr>
                <w:sz w:val="24"/>
              </w:rPr>
            </w:pPr>
            <w:r>
              <w:rPr>
                <w:sz w:val="24"/>
              </w:rPr>
              <w:t>0.879</w:t>
            </w:r>
          </w:p>
        </w:tc>
        <w:tc>
          <w:tcPr>
            <w:tcW w:w="989" w:type="dxa"/>
            <w:tcBorders>
              <w:top w:val="nil"/>
              <w:left w:val="nil"/>
              <w:bottom w:val="nil"/>
              <w:right w:val="nil"/>
            </w:tcBorders>
          </w:tcPr>
          <w:p>
            <w:pPr>
              <w:pStyle w:val="TableParagraph"/>
              <w:ind w:left="68" w:right="51"/>
              <w:rPr>
                <w:sz w:val="24"/>
              </w:rPr>
            </w:pPr>
            <w:r>
              <w:rPr>
                <w:sz w:val="24"/>
              </w:rPr>
              <w:t>0.675</w:t>
            </w:r>
          </w:p>
        </w:tc>
        <w:tc>
          <w:tcPr>
            <w:tcW w:w="987" w:type="dxa"/>
            <w:tcBorders>
              <w:top w:val="nil"/>
              <w:left w:val="nil"/>
              <w:bottom w:val="nil"/>
              <w:right w:val="nil"/>
            </w:tcBorders>
          </w:tcPr>
          <w:p>
            <w:pPr>
              <w:pStyle w:val="TableParagraph"/>
              <w:ind w:left="59" w:right="59"/>
              <w:rPr>
                <w:sz w:val="24"/>
              </w:rPr>
            </w:pPr>
            <w:r>
              <w:rPr>
                <w:sz w:val="24"/>
              </w:rPr>
              <w:t>0.058</w:t>
            </w:r>
          </w:p>
        </w:tc>
        <w:tc>
          <w:tcPr>
            <w:tcW w:w="775" w:type="dxa"/>
            <w:tcBorders>
              <w:top w:val="nil"/>
              <w:left w:val="nil"/>
              <w:bottom w:val="nil"/>
              <w:right w:val="nil"/>
            </w:tcBorders>
          </w:tcPr>
          <w:p>
            <w:pPr>
              <w:pStyle w:val="TableParagraph"/>
              <w:ind w:right="81"/>
              <w:jc w:val="right"/>
              <w:rPr>
                <w:sz w:val="24"/>
              </w:rPr>
            </w:pPr>
            <w:r>
              <w:rPr>
                <w:sz w:val="24"/>
              </w:rPr>
              <w:t>0.040</w:t>
            </w:r>
          </w:p>
        </w:tc>
      </w:tr>
      <w:tr>
        <w:trPr>
          <w:trHeight w:val="437" w:hRule="exact"/>
        </w:trPr>
        <w:tc>
          <w:tcPr>
            <w:tcW w:w="1712" w:type="dxa"/>
            <w:tcBorders>
              <w:top w:val="nil"/>
              <w:left w:val="nil"/>
              <w:bottom w:val="nil"/>
              <w:right w:val="nil"/>
            </w:tcBorders>
          </w:tcPr>
          <w:p>
            <w:pPr>
              <w:pStyle w:val="TableParagraph"/>
              <w:spacing w:line="274" w:lineRule="exact"/>
              <w:ind w:left="72" w:right="352"/>
              <w:jc w:val="left"/>
              <w:rPr>
                <w:sz w:val="24"/>
              </w:rPr>
            </w:pPr>
            <w:r>
              <w:rPr>
                <w:sz w:val="24"/>
              </w:rPr>
              <w:t>SEM</w:t>
            </w:r>
          </w:p>
        </w:tc>
        <w:tc>
          <w:tcPr>
            <w:tcW w:w="755" w:type="dxa"/>
            <w:tcBorders>
              <w:top w:val="nil"/>
              <w:left w:val="nil"/>
              <w:bottom w:val="nil"/>
              <w:right w:val="nil"/>
            </w:tcBorders>
          </w:tcPr>
          <w:p>
            <w:pPr>
              <w:pStyle w:val="TableParagraph"/>
              <w:spacing w:line="274" w:lineRule="exact"/>
              <w:ind w:left="64" w:right="49"/>
              <w:rPr>
                <w:sz w:val="24"/>
              </w:rPr>
            </w:pPr>
            <w:r>
              <w:rPr>
                <w:sz w:val="24"/>
              </w:rPr>
              <w:t>12.4</w:t>
            </w:r>
          </w:p>
        </w:tc>
        <w:tc>
          <w:tcPr>
            <w:tcW w:w="742" w:type="dxa"/>
            <w:tcBorders>
              <w:top w:val="nil"/>
              <w:left w:val="nil"/>
              <w:bottom w:val="nil"/>
              <w:right w:val="nil"/>
            </w:tcBorders>
          </w:tcPr>
          <w:p>
            <w:pPr>
              <w:pStyle w:val="TableParagraph"/>
              <w:spacing w:line="274" w:lineRule="exact"/>
              <w:ind w:left="49" w:right="50"/>
              <w:rPr>
                <w:sz w:val="24"/>
              </w:rPr>
            </w:pPr>
            <w:r>
              <w:rPr>
                <w:sz w:val="24"/>
              </w:rPr>
              <w:t>0.14</w:t>
            </w:r>
          </w:p>
        </w:tc>
        <w:tc>
          <w:tcPr>
            <w:tcW w:w="742" w:type="dxa"/>
            <w:tcBorders>
              <w:top w:val="nil"/>
              <w:left w:val="nil"/>
              <w:bottom w:val="nil"/>
              <w:right w:val="nil"/>
            </w:tcBorders>
          </w:tcPr>
          <w:p>
            <w:pPr>
              <w:pStyle w:val="TableParagraph"/>
              <w:spacing w:line="274" w:lineRule="exact"/>
              <w:ind w:left="50" w:right="49"/>
              <w:rPr>
                <w:sz w:val="24"/>
              </w:rPr>
            </w:pPr>
            <w:r>
              <w:rPr>
                <w:sz w:val="24"/>
              </w:rPr>
              <w:t>14.3</w:t>
            </w:r>
          </w:p>
        </w:tc>
        <w:tc>
          <w:tcPr>
            <w:tcW w:w="742" w:type="dxa"/>
            <w:tcBorders>
              <w:top w:val="nil"/>
              <w:left w:val="nil"/>
              <w:bottom w:val="nil"/>
              <w:right w:val="nil"/>
            </w:tcBorders>
          </w:tcPr>
          <w:p>
            <w:pPr>
              <w:pStyle w:val="TableParagraph"/>
              <w:spacing w:line="274" w:lineRule="exact"/>
              <w:ind w:right="135"/>
              <w:jc w:val="right"/>
              <w:rPr>
                <w:sz w:val="24"/>
              </w:rPr>
            </w:pPr>
            <w:r>
              <w:rPr>
                <w:sz w:val="24"/>
              </w:rPr>
              <w:t>0.01</w:t>
            </w:r>
          </w:p>
        </w:tc>
        <w:tc>
          <w:tcPr>
            <w:tcW w:w="814" w:type="dxa"/>
            <w:tcBorders>
              <w:top w:val="nil"/>
              <w:left w:val="nil"/>
              <w:bottom w:val="nil"/>
              <w:right w:val="nil"/>
            </w:tcBorders>
          </w:tcPr>
          <w:p>
            <w:pPr>
              <w:pStyle w:val="TableParagraph"/>
              <w:spacing w:line="274" w:lineRule="exact"/>
              <w:ind w:left="53" w:right="120"/>
              <w:rPr>
                <w:sz w:val="24"/>
              </w:rPr>
            </w:pPr>
            <w:r>
              <w:rPr>
                <w:sz w:val="24"/>
              </w:rPr>
              <w:t>0.77</w:t>
            </w:r>
          </w:p>
        </w:tc>
        <w:tc>
          <w:tcPr>
            <w:tcW w:w="1036" w:type="dxa"/>
            <w:tcBorders>
              <w:top w:val="nil"/>
              <w:left w:val="nil"/>
              <w:bottom w:val="nil"/>
              <w:right w:val="nil"/>
            </w:tcBorders>
          </w:tcPr>
          <w:p>
            <w:pPr>
              <w:pStyle w:val="TableParagraph"/>
              <w:spacing w:line="274" w:lineRule="exact"/>
              <w:ind w:left="385"/>
              <w:jc w:val="left"/>
              <w:rPr>
                <w:sz w:val="24"/>
              </w:rPr>
            </w:pPr>
            <w:r>
              <w:rPr>
                <w:sz w:val="24"/>
              </w:rPr>
              <w:t>5.3</w:t>
            </w:r>
          </w:p>
        </w:tc>
        <w:tc>
          <w:tcPr>
            <w:tcW w:w="989" w:type="dxa"/>
            <w:tcBorders>
              <w:top w:val="nil"/>
              <w:left w:val="nil"/>
              <w:bottom w:val="nil"/>
              <w:right w:val="nil"/>
            </w:tcBorders>
          </w:tcPr>
          <w:p>
            <w:pPr>
              <w:pStyle w:val="TableParagraph"/>
              <w:spacing w:line="274" w:lineRule="exact"/>
              <w:ind w:left="289"/>
              <w:jc w:val="left"/>
              <w:rPr>
                <w:sz w:val="24"/>
              </w:rPr>
            </w:pPr>
            <w:r>
              <w:rPr>
                <w:sz w:val="24"/>
              </w:rPr>
              <w:t>3.1</w:t>
            </w:r>
          </w:p>
        </w:tc>
        <w:tc>
          <w:tcPr>
            <w:tcW w:w="1054" w:type="dxa"/>
            <w:tcBorders>
              <w:top w:val="nil"/>
              <w:left w:val="nil"/>
              <w:bottom w:val="nil"/>
              <w:right w:val="nil"/>
            </w:tcBorders>
          </w:tcPr>
          <w:p>
            <w:pPr>
              <w:pStyle w:val="TableParagraph"/>
              <w:spacing w:line="274" w:lineRule="exact"/>
              <w:ind w:left="159" w:right="68"/>
              <w:rPr>
                <w:sz w:val="24"/>
              </w:rPr>
            </w:pPr>
            <w:r>
              <w:rPr>
                <w:sz w:val="24"/>
              </w:rPr>
              <w:t>16.4</w:t>
            </w:r>
          </w:p>
        </w:tc>
        <w:tc>
          <w:tcPr>
            <w:tcW w:w="989" w:type="dxa"/>
            <w:tcBorders>
              <w:top w:val="nil"/>
              <w:left w:val="nil"/>
              <w:bottom w:val="nil"/>
              <w:right w:val="nil"/>
            </w:tcBorders>
          </w:tcPr>
          <w:p>
            <w:pPr>
              <w:pStyle w:val="TableParagraph"/>
              <w:spacing w:line="274" w:lineRule="exact"/>
              <w:ind w:left="68" w:right="51"/>
              <w:rPr>
                <w:sz w:val="24"/>
              </w:rPr>
            </w:pPr>
            <w:r>
              <w:rPr>
                <w:sz w:val="24"/>
              </w:rPr>
              <w:t>18.7</w:t>
            </w:r>
          </w:p>
        </w:tc>
        <w:tc>
          <w:tcPr>
            <w:tcW w:w="987" w:type="dxa"/>
            <w:tcBorders>
              <w:top w:val="nil"/>
              <w:left w:val="nil"/>
              <w:bottom w:val="nil"/>
              <w:right w:val="nil"/>
            </w:tcBorders>
          </w:tcPr>
          <w:p>
            <w:pPr>
              <w:pStyle w:val="TableParagraph"/>
              <w:spacing w:line="274" w:lineRule="exact"/>
              <w:ind w:left="59" w:right="58"/>
              <w:rPr>
                <w:sz w:val="24"/>
              </w:rPr>
            </w:pPr>
            <w:r>
              <w:rPr>
                <w:sz w:val="24"/>
              </w:rPr>
              <w:t>38</w:t>
            </w:r>
          </w:p>
        </w:tc>
        <w:tc>
          <w:tcPr>
            <w:tcW w:w="775" w:type="dxa"/>
            <w:tcBorders>
              <w:top w:val="nil"/>
              <w:left w:val="nil"/>
              <w:bottom w:val="nil"/>
              <w:right w:val="nil"/>
            </w:tcBorders>
          </w:tcPr>
          <w:p>
            <w:pPr>
              <w:pStyle w:val="TableParagraph"/>
              <w:spacing w:line="274" w:lineRule="exact"/>
              <w:ind w:right="148"/>
              <w:jc w:val="right"/>
              <w:rPr>
                <w:sz w:val="24"/>
              </w:rPr>
            </w:pPr>
            <w:r>
              <w:rPr>
                <w:sz w:val="24"/>
              </w:rPr>
              <w:t>0.25</w:t>
            </w:r>
          </w:p>
        </w:tc>
      </w:tr>
      <w:tr>
        <w:trPr>
          <w:trHeight w:val="693" w:hRule="exact"/>
        </w:trPr>
        <w:tc>
          <w:tcPr>
            <w:tcW w:w="1712" w:type="dxa"/>
            <w:tcBorders>
              <w:top w:val="nil"/>
              <w:left w:val="nil"/>
              <w:bottom w:val="nil"/>
              <w:right w:val="nil"/>
            </w:tcBorders>
          </w:tcPr>
          <w:p>
            <w:pPr>
              <w:pStyle w:val="TableParagraph"/>
              <w:spacing w:line="242" w:lineRule="auto" w:before="137"/>
              <w:ind w:left="72" w:right="352"/>
              <w:jc w:val="left"/>
              <w:rPr>
                <w:sz w:val="24"/>
              </w:rPr>
            </w:pPr>
            <w:r>
              <w:rPr>
                <w:sz w:val="24"/>
              </w:rPr>
              <w:t>Tanniferous species</w:t>
            </w:r>
          </w:p>
        </w:tc>
        <w:tc>
          <w:tcPr>
            <w:tcW w:w="755" w:type="dxa"/>
            <w:tcBorders>
              <w:top w:val="nil"/>
              <w:left w:val="nil"/>
              <w:bottom w:val="nil"/>
              <w:right w:val="nil"/>
            </w:tcBorders>
          </w:tcPr>
          <w:p>
            <w:pPr/>
          </w:p>
        </w:tc>
        <w:tc>
          <w:tcPr>
            <w:tcW w:w="742" w:type="dxa"/>
            <w:tcBorders>
              <w:top w:val="nil"/>
              <w:left w:val="nil"/>
              <w:bottom w:val="nil"/>
              <w:right w:val="nil"/>
            </w:tcBorders>
          </w:tcPr>
          <w:p>
            <w:pPr/>
          </w:p>
        </w:tc>
        <w:tc>
          <w:tcPr>
            <w:tcW w:w="742" w:type="dxa"/>
            <w:tcBorders>
              <w:top w:val="nil"/>
              <w:left w:val="nil"/>
              <w:bottom w:val="nil"/>
              <w:right w:val="nil"/>
            </w:tcBorders>
          </w:tcPr>
          <w:p>
            <w:pPr/>
          </w:p>
        </w:tc>
        <w:tc>
          <w:tcPr>
            <w:tcW w:w="742" w:type="dxa"/>
            <w:tcBorders>
              <w:top w:val="nil"/>
              <w:left w:val="nil"/>
              <w:bottom w:val="nil"/>
              <w:right w:val="nil"/>
            </w:tcBorders>
          </w:tcPr>
          <w:p>
            <w:pPr/>
          </w:p>
        </w:tc>
        <w:tc>
          <w:tcPr>
            <w:tcW w:w="814" w:type="dxa"/>
            <w:tcBorders>
              <w:top w:val="nil"/>
              <w:left w:val="nil"/>
              <w:bottom w:val="nil"/>
              <w:right w:val="nil"/>
            </w:tcBorders>
          </w:tcPr>
          <w:p>
            <w:pPr/>
          </w:p>
        </w:tc>
        <w:tc>
          <w:tcPr>
            <w:tcW w:w="1036" w:type="dxa"/>
            <w:tcBorders>
              <w:top w:val="nil"/>
              <w:left w:val="nil"/>
              <w:bottom w:val="nil"/>
              <w:right w:val="nil"/>
            </w:tcBorders>
          </w:tcPr>
          <w:p>
            <w:pPr/>
          </w:p>
        </w:tc>
        <w:tc>
          <w:tcPr>
            <w:tcW w:w="989" w:type="dxa"/>
            <w:tcBorders>
              <w:top w:val="nil"/>
              <w:left w:val="nil"/>
              <w:bottom w:val="nil"/>
              <w:right w:val="nil"/>
            </w:tcBorders>
          </w:tcPr>
          <w:p>
            <w:pPr/>
          </w:p>
        </w:tc>
        <w:tc>
          <w:tcPr>
            <w:tcW w:w="1054" w:type="dxa"/>
            <w:tcBorders>
              <w:top w:val="nil"/>
              <w:left w:val="nil"/>
              <w:bottom w:val="nil"/>
              <w:right w:val="nil"/>
            </w:tcBorders>
          </w:tcPr>
          <w:p>
            <w:pPr/>
          </w:p>
        </w:tc>
        <w:tc>
          <w:tcPr>
            <w:tcW w:w="989" w:type="dxa"/>
            <w:tcBorders>
              <w:top w:val="nil"/>
              <w:left w:val="nil"/>
              <w:bottom w:val="nil"/>
              <w:right w:val="nil"/>
            </w:tcBorders>
          </w:tcPr>
          <w:p>
            <w:pPr/>
          </w:p>
        </w:tc>
        <w:tc>
          <w:tcPr>
            <w:tcW w:w="987" w:type="dxa"/>
            <w:tcBorders>
              <w:top w:val="nil"/>
              <w:left w:val="nil"/>
              <w:bottom w:val="nil"/>
              <w:right w:val="nil"/>
            </w:tcBorders>
          </w:tcPr>
          <w:p>
            <w:pPr/>
          </w:p>
        </w:tc>
        <w:tc>
          <w:tcPr>
            <w:tcW w:w="775" w:type="dxa"/>
            <w:tcBorders>
              <w:top w:val="nil"/>
              <w:left w:val="nil"/>
              <w:bottom w:val="nil"/>
              <w:right w:val="nil"/>
            </w:tcBorders>
          </w:tcPr>
          <w:p>
            <w:pPr/>
          </w:p>
        </w:tc>
      </w:tr>
      <w:tr>
        <w:trPr>
          <w:trHeight w:val="300" w:hRule="exact"/>
        </w:trPr>
        <w:tc>
          <w:tcPr>
            <w:tcW w:w="1712" w:type="dxa"/>
            <w:tcBorders>
              <w:top w:val="nil"/>
              <w:left w:val="nil"/>
              <w:bottom w:val="nil"/>
              <w:right w:val="nil"/>
            </w:tcBorders>
          </w:tcPr>
          <w:p>
            <w:pPr>
              <w:pStyle w:val="TableParagraph"/>
              <w:spacing w:before="20"/>
              <w:ind w:left="72"/>
              <w:jc w:val="left"/>
              <w:rPr>
                <w:i/>
                <w:sz w:val="24"/>
              </w:rPr>
            </w:pPr>
            <w:r>
              <w:rPr>
                <w:i/>
                <w:sz w:val="24"/>
              </w:rPr>
              <w:t>C. sulphureus</w:t>
            </w:r>
          </w:p>
        </w:tc>
        <w:tc>
          <w:tcPr>
            <w:tcW w:w="755" w:type="dxa"/>
            <w:tcBorders>
              <w:top w:val="nil"/>
              <w:left w:val="nil"/>
              <w:bottom w:val="nil"/>
              <w:right w:val="nil"/>
            </w:tcBorders>
          </w:tcPr>
          <w:p>
            <w:pPr>
              <w:pStyle w:val="TableParagraph"/>
              <w:spacing w:before="20"/>
              <w:ind w:left="64" w:right="49"/>
              <w:rPr>
                <w:sz w:val="24"/>
              </w:rPr>
            </w:pPr>
            <w:r>
              <w:rPr>
                <w:sz w:val="24"/>
              </w:rPr>
              <w:t>35.3</w:t>
            </w:r>
          </w:p>
        </w:tc>
        <w:tc>
          <w:tcPr>
            <w:tcW w:w="742" w:type="dxa"/>
            <w:tcBorders>
              <w:top w:val="nil"/>
              <w:left w:val="nil"/>
              <w:bottom w:val="nil"/>
              <w:right w:val="nil"/>
            </w:tcBorders>
          </w:tcPr>
          <w:p>
            <w:pPr>
              <w:pStyle w:val="TableParagraph"/>
              <w:spacing w:before="20"/>
              <w:ind w:left="49" w:right="50"/>
              <w:rPr>
                <w:sz w:val="24"/>
              </w:rPr>
            </w:pPr>
            <w:r>
              <w:rPr>
                <w:sz w:val="24"/>
              </w:rPr>
              <w:t>0.12</w:t>
            </w:r>
          </w:p>
        </w:tc>
        <w:tc>
          <w:tcPr>
            <w:tcW w:w="742" w:type="dxa"/>
            <w:tcBorders>
              <w:top w:val="nil"/>
              <w:left w:val="nil"/>
              <w:bottom w:val="nil"/>
              <w:right w:val="nil"/>
            </w:tcBorders>
          </w:tcPr>
          <w:p>
            <w:pPr>
              <w:pStyle w:val="TableParagraph"/>
              <w:spacing w:before="20"/>
              <w:ind w:left="50" w:right="49"/>
              <w:rPr>
                <w:sz w:val="24"/>
              </w:rPr>
            </w:pPr>
            <w:r>
              <w:rPr>
                <w:sz w:val="24"/>
              </w:rPr>
              <w:t>81.2</w:t>
            </w:r>
          </w:p>
        </w:tc>
        <w:tc>
          <w:tcPr>
            <w:tcW w:w="742" w:type="dxa"/>
            <w:tcBorders>
              <w:top w:val="nil"/>
              <w:left w:val="nil"/>
              <w:bottom w:val="nil"/>
              <w:right w:val="nil"/>
            </w:tcBorders>
          </w:tcPr>
          <w:p>
            <w:pPr>
              <w:pStyle w:val="TableParagraph"/>
              <w:spacing w:before="20"/>
              <w:ind w:right="135"/>
              <w:jc w:val="right"/>
              <w:rPr>
                <w:sz w:val="24"/>
              </w:rPr>
            </w:pPr>
            <w:r>
              <w:rPr>
                <w:sz w:val="24"/>
              </w:rPr>
              <w:t>0.07</w:t>
            </w:r>
          </w:p>
        </w:tc>
        <w:tc>
          <w:tcPr>
            <w:tcW w:w="814" w:type="dxa"/>
            <w:tcBorders>
              <w:top w:val="nil"/>
              <w:left w:val="nil"/>
              <w:bottom w:val="nil"/>
              <w:right w:val="nil"/>
            </w:tcBorders>
          </w:tcPr>
          <w:p>
            <w:pPr>
              <w:pStyle w:val="TableParagraph"/>
              <w:spacing w:before="20"/>
              <w:ind w:left="53" w:right="120"/>
              <w:rPr>
                <w:sz w:val="24"/>
              </w:rPr>
            </w:pPr>
            <w:r>
              <w:rPr>
                <w:sz w:val="24"/>
              </w:rPr>
              <w:t>5.1</w:t>
            </w:r>
          </w:p>
        </w:tc>
        <w:tc>
          <w:tcPr>
            <w:tcW w:w="1036" w:type="dxa"/>
            <w:tcBorders>
              <w:top w:val="nil"/>
              <w:left w:val="nil"/>
              <w:bottom w:val="nil"/>
              <w:right w:val="nil"/>
            </w:tcBorders>
          </w:tcPr>
          <w:p>
            <w:pPr>
              <w:pStyle w:val="TableParagraph"/>
              <w:spacing w:line="296" w:lineRule="exact"/>
              <w:ind w:left="231"/>
              <w:jc w:val="left"/>
              <w:rPr>
                <w:sz w:val="16"/>
              </w:rPr>
            </w:pPr>
            <w:r>
              <w:rPr>
                <w:sz w:val="24"/>
              </w:rPr>
              <w:t>91.3</w:t>
            </w:r>
            <w:r>
              <w:rPr>
                <w:position w:val="11"/>
                <w:sz w:val="16"/>
              </w:rPr>
              <w:t>ab</w:t>
            </w:r>
          </w:p>
        </w:tc>
        <w:tc>
          <w:tcPr>
            <w:tcW w:w="989" w:type="dxa"/>
            <w:tcBorders>
              <w:top w:val="nil"/>
              <w:left w:val="nil"/>
              <w:bottom w:val="nil"/>
              <w:right w:val="nil"/>
            </w:tcBorders>
          </w:tcPr>
          <w:p>
            <w:pPr>
              <w:pStyle w:val="TableParagraph"/>
              <w:spacing w:line="296" w:lineRule="exact"/>
              <w:ind w:left="111"/>
              <w:jc w:val="left"/>
              <w:rPr>
                <w:sz w:val="16"/>
              </w:rPr>
            </w:pPr>
            <w:r>
              <w:rPr>
                <w:sz w:val="24"/>
              </w:rPr>
              <w:t>118.4</w:t>
            </w:r>
            <w:r>
              <w:rPr>
                <w:position w:val="11"/>
                <w:sz w:val="16"/>
              </w:rPr>
              <w:t>a</w:t>
            </w:r>
          </w:p>
        </w:tc>
        <w:tc>
          <w:tcPr>
            <w:tcW w:w="1054" w:type="dxa"/>
            <w:tcBorders>
              <w:top w:val="nil"/>
              <w:left w:val="nil"/>
              <w:bottom w:val="nil"/>
              <w:right w:val="nil"/>
            </w:tcBorders>
          </w:tcPr>
          <w:p>
            <w:pPr>
              <w:pStyle w:val="TableParagraph"/>
              <w:spacing w:line="296" w:lineRule="exact"/>
              <w:ind w:left="159" w:right="65"/>
              <w:rPr>
                <w:sz w:val="16"/>
              </w:rPr>
            </w:pPr>
            <w:r>
              <w:rPr>
                <w:sz w:val="24"/>
              </w:rPr>
              <w:t>408.3</w:t>
            </w:r>
            <w:r>
              <w:rPr>
                <w:position w:val="11"/>
                <w:sz w:val="16"/>
              </w:rPr>
              <w:t>a</w:t>
            </w:r>
          </w:p>
        </w:tc>
        <w:tc>
          <w:tcPr>
            <w:tcW w:w="989" w:type="dxa"/>
            <w:tcBorders>
              <w:top w:val="nil"/>
              <w:left w:val="nil"/>
              <w:bottom w:val="nil"/>
              <w:right w:val="nil"/>
            </w:tcBorders>
          </w:tcPr>
          <w:p>
            <w:pPr>
              <w:pStyle w:val="TableParagraph"/>
              <w:spacing w:line="296" w:lineRule="exact"/>
              <w:ind w:left="68" w:right="48"/>
              <w:rPr>
                <w:sz w:val="16"/>
              </w:rPr>
            </w:pPr>
            <w:r>
              <w:rPr>
                <w:sz w:val="24"/>
              </w:rPr>
              <w:t>337.9</w:t>
            </w:r>
            <w:r>
              <w:rPr>
                <w:position w:val="11"/>
                <w:sz w:val="16"/>
              </w:rPr>
              <w:t>a</w:t>
            </w:r>
          </w:p>
        </w:tc>
        <w:tc>
          <w:tcPr>
            <w:tcW w:w="987" w:type="dxa"/>
            <w:tcBorders>
              <w:top w:val="nil"/>
              <w:left w:val="nil"/>
              <w:bottom w:val="nil"/>
              <w:right w:val="nil"/>
            </w:tcBorders>
          </w:tcPr>
          <w:p>
            <w:pPr>
              <w:pStyle w:val="TableParagraph"/>
              <w:spacing w:line="296" w:lineRule="exact"/>
              <w:ind w:left="59" w:right="64"/>
              <w:rPr>
                <w:sz w:val="16"/>
              </w:rPr>
            </w:pPr>
            <w:r>
              <w:rPr>
                <w:sz w:val="24"/>
              </w:rPr>
              <w:t>486.2</w:t>
            </w:r>
            <w:r>
              <w:rPr>
                <w:position w:val="11"/>
                <w:sz w:val="16"/>
              </w:rPr>
              <w:t>edf</w:t>
            </w:r>
          </w:p>
        </w:tc>
        <w:tc>
          <w:tcPr>
            <w:tcW w:w="775" w:type="dxa"/>
            <w:tcBorders>
              <w:top w:val="nil"/>
              <w:left w:val="nil"/>
              <w:bottom w:val="nil"/>
              <w:right w:val="nil"/>
            </w:tcBorders>
          </w:tcPr>
          <w:p>
            <w:pPr>
              <w:pStyle w:val="TableParagraph"/>
              <w:spacing w:line="296" w:lineRule="exact"/>
              <w:ind w:right="146"/>
              <w:jc w:val="right"/>
              <w:rPr>
                <w:sz w:val="16"/>
              </w:rPr>
            </w:pPr>
            <w:r>
              <w:rPr>
                <w:sz w:val="24"/>
              </w:rPr>
              <w:t>7.9</w:t>
            </w:r>
            <w:r>
              <w:rPr>
                <w:position w:val="11"/>
                <w:sz w:val="16"/>
              </w:rPr>
              <w:t>ac</w:t>
            </w:r>
          </w:p>
        </w:tc>
      </w:tr>
      <w:tr>
        <w:trPr>
          <w:trHeight w:val="300" w:hRule="exact"/>
        </w:trPr>
        <w:tc>
          <w:tcPr>
            <w:tcW w:w="1712" w:type="dxa"/>
            <w:tcBorders>
              <w:top w:val="nil"/>
              <w:left w:val="nil"/>
              <w:bottom w:val="nil"/>
              <w:right w:val="nil"/>
            </w:tcBorders>
          </w:tcPr>
          <w:p>
            <w:pPr>
              <w:pStyle w:val="TableParagraph"/>
              <w:spacing w:before="23"/>
              <w:ind w:left="72"/>
              <w:jc w:val="left"/>
              <w:rPr>
                <w:i/>
                <w:sz w:val="24"/>
              </w:rPr>
            </w:pPr>
            <w:r>
              <w:rPr>
                <w:i/>
                <w:sz w:val="24"/>
              </w:rPr>
              <w:t>C. bipinnatus</w:t>
            </w:r>
          </w:p>
        </w:tc>
        <w:tc>
          <w:tcPr>
            <w:tcW w:w="755" w:type="dxa"/>
            <w:tcBorders>
              <w:top w:val="nil"/>
              <w:left w:val="nil"/>
              <w:bottom w:val="nil"/>
              <w:right w:val="nil"/>
            </w:tcBorders>
          </w:tcPr>
          <w:p>
            <w:pPr>
              <w:pStyle w:val="TableParagraph"/>
              <w:spacing w:before="23"/>
              <w:ind w:left="64" w:right="49"/>
              <w:rPr>
                <w:sz w:val="24"/>
              </w:rPr>
            </w:pPr>
            <w:r>
              <w:rPr>
                <w:sz w:val="24"/>
              </w:rPr>
              <w:t>66.8</w:t>
            </w:r>
          </w:p>
        </w:tc>
        <w:tc>
          <w:tcPr>
            <w:tcW w:w="742" w:type="dxa"/>
            <w:tcBorders>
              <w:top w:val="nil"/>
              <w:left w:val="nil"/>
              <w:bottom w:val="nil"/>
              <w:right w:val="nil"/>
            </w:tcBorders>
          </w:tcPr>
          <w:p>
            <w:pPr>
              <w:pStyle w:val="TableParagraph"/>
              <w:spacing w:before="23"/>
              <w:ind w:left="49" w:right="50"/>
              <w:rPr>
                <w:sz w:val="24"/>
              </w:rPr>
            </w:pPr>
            <w:r>
              <w:rPr>
                <w:sz w:val="24"/>
              </w:rPr>
              <w:t>0.16</w:t>
            </w:r>
          </w:p>
        </w:tc>
        <w:tc>
          <w:tcPr>
            <w:tcW w:w="742" w:type="dxa"/>
            <w:tcBorders>
              <w:top w:val="nil"/>
              <w:left w:val="nil"/>
              <w:bottom w:val="nil"/>
              <w:right w:val="nil"/>
            </w:tcBorders>
          </w:tcPr>
          <w:p>
            <w:pPr>
              <w:pStyle w:val="TableParagraph"/>
              <w:spacing w:before="23"/>
              <w:ind w:left="46" w:right="49"/>
              <w:rPr>
                <w:sz w:val="24"/>
              </w:rPr>
            </w:pPr>
            <w:r>
              <w:rPr>
                <w:sz w:val="24"/>
              </w:rPr>
              <w:t>75</w:t>
            </w:r>
          </w:p>
        </w:tc>
        <w:tc>
          <w:tcPr>
            <w:tcW w:w="742" w:type="dxa"/>
            <w:tcBorders>
              <w:top w:val="nil"/>
              <w:left w:val="nil"/>
              <w:bottom w:val="nil"/>
              <w:right w:val="nil"/>
            </w:tcBorders>
          </w:tcPr>
          <w:p>
            <w:pPr>
              <w:pStyle w:val="TableParagraph"/>
              <w:spacing w:before="23"/>
              <w:ind w:right="135"/>
              <w:jc w:val="right"/>
              <w:rPr>
                <w:sz w:val="24"/>
              </w:rPr>
            </w:pPr>
            <w:r>
              <w:rPr>
                <w:sz w:val="24"/>
              </w:rPr>
              <w:t>0.04</w:t>
            </w:r>
          </w:p>
        </w:tc>
        <w:tc>
          <w:tcPr>
            <w:tcW w:w="814" w:type="dxa"/>
            <w:tcBorders>
              <w:top w:val="nil"/>
              <w:left w:val="nil"/>
              <w:bottom w:val="nil"/>
              <w:right w:val="nil"/>
            </w:tcBorders>
          </w:tcPr>
          <w:p>
            <w:pPr>
              <w:pStyle w:val="TableParagraph"/>
              <w:spacing w:before="23"/>
              <w:ind w:left="53" w:right="120"/>
              <w:rPr>
                <w:sz w:val="24"/>
              </w:rPr>
            </w:pPr>
            <w:r>
              <w:rPr>
                <w:sz w:val="24"/>
              </w:rPr>
              <w:t>2.9</w:t>
            </w:r>
          </w:p>
        </w:tc>
        <w:tc>
          <w:tcPr>
            <w:tcW w:w="1036" w:type="dxa"/>
            <w:tcBorders>
              <w:top w:val="nil"/>
              <w:left w:val="nil"/>
              <w:bottom w:val="nil"/>
              <w:right w:val="nil"/>
            </w:tcBorders>
          </w:tcPr>
          <w:p>
            <w:pPr>
              <w:pStyle w:val="TableParagraph"/>
              <w:spacing w:line="299" w:lineRule="exact"/>
              <w:ind w:left="164"/>
              <w:jc w:val="left"/>
              <w:rPr>
                <w:sz w:val="16"/>
              </w:rPr>
            </w:pPr>
            <w:r>
              <w:rPr>
                <w:sz w:val="24"/>
              </w:rPr>
              <w:t>109.4</w:t>
            </w:r>
            <w:r>
              <w:rPr>
                <w:position w:val="11"/>
                <w:sz w:val="16"/>
              </w:rPr>
              <w:t>ad</w:t>
            </w:r>
          </w:p>
        </w:tc>
        <w:tc>
          <w:tcPr>
            <w:tcW w:w="989" w:type="dxa"/>
            <w:tcBorders>
              <w:top w:val="nil"/>
              <w:left w:val="nil"/>
              <w:bottom w:val="nil"/>
              <w:right w:val="nil"/>
            </w:tcBorders>
          </w:tcPr>
          <w:p>
            <w:pPr>
              <w:pStyle w:val="TableParagraph"/>
              <w:spacing w:line="299" w:lineRule="exact"/>
              <w:ind w:left="73"/>
              <w:jc w:val="left"/>
              <w:rPr>
                <w:sz w:val="16"/>
              </w:rPr>
            </w:pPr>
            <w:r>
              <w:rPr>
                <w:sz w:val="24"/>
              </w:rPr>
              <w:t>141.7</w:t>
            </w:r>
            <w:r>
              <w:rPr>
                <w:position w:val="11"/>
                <w:sz w:val="16"/>
              </w:rPr>
              <w:t>bc</w:t>
            </w:r>
          </w:p>
        </w:tc>
        <w:tc>
          <w:tcPr>
            <w:tcW w:w="1054" w:type="dxa"/>
            <w:tcBorders>
              <w:top w:val="nil"/>
              <w:left w:val="nil"/>
              <w:bottom w:val="nil"/>
              <w:right w:val="nil"/>
            </w:tcBorders>
          </w:tcPr>
          <w:p>
            <w:pPr>
              <w:pStyle w:val="TableParagraph"/>
              <w:spacing w:line="299" w:lineRule="exact"/>
              <w:ind w:left="154" w:right="71"/>
              <w:rPr>
                <w:sz w:val="16"/>
              </w:rPr>
            </w:pPr>
            <w:r>
              <w:rPr>
                <w:sz w:val="24"/>
              </w:rPr>
              <w:t>463.2</w:t>
            </w:r>
            <w:r>
              <w:rPr>
                <w:position w:val="11"/>
                <w:sz w:val="16"/>
              </w:rPr>
              <w:t>ad</w:t>
            </w:r>
          </w:p>
        </w:tc>
        <w:tc>
          <w:tcPr>
            <w:tcW w:w="989" w:type="dxa"/>
            <w:tcBorders>
              <w:top w:val="nil"/>
              <w:left w:val="nil"/>
              <w:bottom w:val="nil"/>
              <w:right w:val="nil"/>
            </w:tcBorders>
          </w:tcPr>
          <w:p>
            <w:pPr>
              <w:pStyle w:val="TableParagraph"/>
              <w:spacing w:line="299" w:lineRule="exact"/>
              <w:ind w:left="61" w:right="58"/>
              <w:rPr>
                <w:sz w:val="16"/>
              </w:rPr>
            </w:pPr>
            <w:r>
              <w:rPr>
                <w:sz w:val="24"/>
              </w:rPr>
              <w:t>389.7</w:t>
            </w:r>
            <w:r>
              <w:rPr>
                <w:position w:val="11"/>
                <w:sz w:val="16"/>
              </w:rPr>
              <w:t>af</w:t>
            </w:r>
          </w:p>
        </w:tc>
        <w:tc>
          <w:tcPr>
            <w:tcW w:w="987" w:type="dxa"/>
            <w:tcBorders>
              <w:top w:val="nil"/>
              <w:left w:val="nil"/>
              <w:bottom w:val="nil"/>
              <w:right w:val="nil"/>
            </w:tcBorders>
          </w:tcPr>
          <w:p>
            <w:pPr>
              <w:pStyle w:val="TableParagraph"/>
              <w:spacing w:line="299" w:lineRule="exact"/>
              <w:ind w:left="59" w:right="64"/>
              <w:rPr>
                <w:sz w:val="16"/>
              </w:rPr>
            </w:pPr>
            <w:r>
              <w:rPr>
                <w:sz w:val="24"/>
              </w:rPr>
              <w:t>428.6</w:t>
            </w:r>
            <w:r>
              <w:rPr>
                <w:position w:val="11"/>
                <w:sz w:val="16"/>
              </w:rPr>
              <w:t>edf</w:t>
            </w:r>
          </w:p>
        </w:tc>
        <w:tc>
          <w:tcPr>
            <w:tcW w:w="775" w:type="dxa"/>
            <w:tcBorders>
              <w:top w:val="nil"/>
              <w:left w:val="nil"/>
              <w:bottom w:val="nil"/>
              <w:right w:val="nil"/>
            </w:tcBorders>
          </w:tcPr>
          <w:p>
            <w:pPr>
              <w:pStyle w:val="TableParagraph"/>
              <w:spacing w:line="299" w:lineRule="exact"/>
              <w:ind w:right="169"/>
              <w:jc w:val="right"/>
              <w:rPr>
                <w:sz w:val="16"/>
              </w:rPr>
            </w:pPr>
            <w:r>
              <w:rPr>
                <w:sz w:val="24"/>
              </w:rPr>
              <w:t>9.1</w:t>
            </w:r>
            <w:r>
              <w:rPr>
                <w:position w:val="11"/>
                <w:sz w:val="16"/>
              </w:rPr>
              <w:t>a</w:t>
            </w:r>
          </w:p>
        </w:tc>
      </w:tr>
      <w:tr>
        <w:trPr>
          <w:trHeight w:val="300" w:hRule="exact"/>
        </w:trPr>
        <w:tc>
          <w:tcPr>
            <w:tcW w:w="1712" w:type="dxa"/>
            <w:tcBorders>
              <w:top w:val="nil"/>
              <w:left w:val="nil"/>
              <w:bottom w:val="nil"/>
              <w:right w:val="nil"/>
            </w:tcBorders>
          </w:tcPr>
          <w:p>
            <w:pPr>
              <w:pStyle w:val="TableParagraph"/>
              <w:spacing w:before="20"/>
              <w:ind w:left="72" w:right="352"/>
              <w:jc w:val="left"/>
              <w:rPr>
                <w:i/>
                <w:sz w:val="24"/>
              </w:rPr>
            </w:pPr>
            <w:r>
              <w:rPr>
                <w:i/>
                <w:sz w:val="24"/>
              </w:rPr>
              <w:t>T. lucida</w:t>
            </w:r>
          </w:p>
        </w:tc>
        <w:tc>
          <w:tcPr>
            <w:tcW w:w="755" w:type="dxa"/>
            <w:tcBorders>
              <w:top w:val="nil"/>
              <w:left w:val="nil"/>
              <w:bottom w:val="nil"/>
              <w:right w:val="nil"/>
            </w:tcBorders>
          </w:tcPr>
          <w:p>
            <w:pPr>
              <w:pStyle w:val="TableParagraph"/>
              <w:spacing w:before="20"/>
              <w:ind w:left="64" w:right="49"/>
              <w:rPr>
                <w:sz w:val="24"/>
              </w:rPr>
            </w:pPr>
            <w:r>
              <w:rPr>
                <w:sz w:val="24"/>
              </w:rPr>
              <w:t>39.8</w:t>
            </w:r>
          </w:p>
        </w:tc>
        <w:tc>
          <w:tcPr>
            <w:tcW w:w="742" w:type="dxa"/>
            <w:tcBorders>
              <w:top w:val="nil"/>
              <w:left w:val="nil"/>
              <w:bottom w:val="nil"/>
              <w:right w:val="nil"/>
            </w:tcBorders>
          </w:tcPr>
          <w:p>
            <w:pPr>
              <w:pStyle w:val="TableParagraph"/>
              <w:spacing w:before="20"/>
              <w:ind w:left="49" w:right="50"/>
              <w:rPr>
                <w:sz w:val="24"/>
              </w:rPr>
            </w:pPr>
            <w:r>
              <w:rPr>
                <w:sz w:val="24"/>
              </w:rPr>
              <w:t>0.51</w:t>
            </w:r>
          </w:p>
        </w:tc>
        <w:tc>
          <w:tcPr>
            <w:tcW w:w="742" w:type="dxa"/>
            <w:tcBorders>
              <w:top w:val="nil"/>
              <w:left w:val="nil"/>
              <w:bottom w:val="nil"/>
              <w:right w:val="nil"/>
            </w:tcBorders>
          </w:tcPr>
          <w:p>
            <w:pPr>
              <w:pStyle w:val="TableParagraph"/>
              <w:spacing w:before="20"/>
              <w:ind w:left="50" w:right="49"/>
              <w:rPr>
                <w:sz w:val="24"/>
              </w:rPr>
            </w:pPr>
            <w:r>
              <w:rPr>
                <w:sz w:val="24"/>
              </w:rPr>
              <w:t>86.1</w:t>
            </w:r>
          </w:p>
        </w:tc>
        <w:tc>
          <w:tcPr>
            <w:tcW w:w="742" w:type="dxa"/>
            <w:tcBorders>
              <w:top w:val="nil"/>
              <w:left w:val="nil"/>
              <w:bottom w:val="nil"/>
              <w:right w:val="nil"/>
            </w:tcBorders>
          </w:tcPr>
          <w:p>
            <w:pPr>
              <w:pStyle w:val="TableParagraph"/>
              <w:spacing w:before="20"/>
              <w:ind w:right="135"/>
              <w:jc w:val="right"/>
              <w:rPr>
                <w:sz w:val="24"/>
              </w:rPr>
            </w:pPr>
            <w:r>
              <w:rPr>
                <w:sz w:val="24"/>
              </w:rPr>
              <w:t>0.03</w:t>
            </w:r>
          </w:p>
        </w:tc>
        <w:tc>
          <w:tcPr>
            <w:tcW w:w="814" w:type="dxa"/>
            <w:tcBorders>
              <w:top w:val="nil"/>
              <w:left w:val="nil"/>
              <w:bottom w:val="nil"/>
              <w:right w:val="nil"/>
            </w:tcBorders>
          </w:tcPr>
          <w:p>
            <w:pPr>
              <w:pStyle w:val="TableParagraph"/>
              <w:spacing w:before="20"/>
              <w:ind w:left="53" w:right="120"/>
              <w:rPr>
                <w:sz w:val="24"/>
              </w:rPr>
            </w:pPr>
            <w:r>
              <w:rPr>
                <w:sz w:val="24"/>
              </w:rPr>
              <w:t>2.7</w:t>
            </w:r>
          </w:p>
        </w:tc>
        <w:tc>
          <w:tcPr>
            <w:tcW w:w="1036" w:type="dxa"/>
            <w:tcBorders>
              <w:top w:val="nil"/>
              <w:left w:val="nil"/>
              <w:bottom w:val="nil"/>
              <w:right w:val="nil"/>
            </w:tcBorders>
          </w:tcPr>
          <w:p>
            <w:pPr>
              <w:pStyle w:val="TableParagraph"/>
              <w:spacing w:line="296" w:lineRule="exact"/>
              <w:ind w:left="274"/>
              <w:jc w:val="left"/>
              <w:rPr>
                <w:sz w:val="16"/>
              </w:rPr>
            </w:pPr>
            <w:r>
              <w:rPr>
                <w:sz w:val="24"/>
              </w:rPr>
              <w:t>80.2</w:t>
            </w:r>
            <w:r>
              <w:rPr>
                <w:position w:val="11"/>
                <w:sz w:val="16"/>
              </w:rPr>
              <w:t>a</w:t>
            </w:r>
          </w:p>
        </w:tc>
        <w:tc>
          <w:tcPr>
            <w:tcW w:w="989" w:type="dxa"/>
            <w:tcBorders>
              <w:top w:val="nil"/>
              <w:left w:val="nil"/>
              <w:bottom w:val="nil"/>
              <w:right w:val="nil"/>
            </w:tcBorders>
          </w:tcPr>
          <w:p>
            <w:pPr>
              <w:pStyle w:val="TableParagraph"/>
              <w:spacing w:line="296" w:lineRule="exact"/>
              <w:ind w:left="68"/>
              <w:jc w:val="left"/>
              <w:rPr>
                <w:sz w:val="16"/>
              </w:rPr>
            </w:pPr>
            <w:r>
              <w:rPr>
                <w:sz w:val="24"/>
              </w:rPr>
              <w:t>120.8</w:t>
            </w:r>
            <w:r>
              <w:rPr>
                <w:position w:val="11"/>
                <w:sz w:val="16"/>
              </w:rPr>
              <w:t>ab</w:t>
            </w:r>
          </w:p>
        </w:tc>
        <w:tc>
          <w:tcPr>
            <w:tcW w:w="1054" w:type="dxa"/>
            <w:tcBorders>
              <w:top w:val="nil"/>
              <w:left w:val="nil"/>
              <w:bottom w:val="nil"/>
              <w:right w:val="nil"/>
            </w:tcBorders>
          </w:tcPr>
          <w:p>
            <w:pPr>
              <w:pStyle w:val="TableParagraph"/>
              <w:spacing w:line="296" w:lineRule="exact"/>
              <w:ind w:left="159" w:right="65"/>
              <w:rPr>
                <w:sz w:val="16"/>
              </w:rPr>
            </w:pPr>
            <w:r>
              <w:rPr>
                <w:sz w:val="24"/>
              </w:rPr>
              <w:t>591</w:t>
            </w:r>
            <w:r>
              <w:rPr>
                <w:position w:val="11"/>
                <w:sz w:val="16"/>
              </w:rPr>
              <w:t>b</w:t>
            </w:r>
          </w:p>
        </w:tc>
        <w:tc>
          <w:tcPr>
            <w:tcW w:w="989" w:type="dxa"/>
            <w:tcBorders>
              <w:top w:val="nil"/>
              <w:left w:val="nil"/>
              <w:bottom w:val="nil"/>
              <w:right w:val="nil"/>
            </w:tcBorders>
          </w:tcPr>
          <w:p>
            <w:pPr>
              <w:pStyle w:val="TableParagraph"/>
              <w:spacing w:line="296" w:lineRule="exact"/>
              <w:ind w:left="68" w:right="48"/>
              <w:rPr>
                <w:sz w:val="16"/>
              </w:rPr>
            </w:pPr>
            <w:r>
              <w:rPr>
                <w:position w:val="-10"/>
                <w:sz w:val="24"/>
              </w:rPr>
              <w:t>534</w:t>
            </w:r>
            <w:r>
              <w:rPr>
                <w:sz w:val="16"/>
              </w:rPr>
              <w:t>bcde</w:t>
            </w:r>
          </w:p>
        </w:tc>
        <w:tc>
          <w:tcPr>
            <w:tcW w:w="987" w:type="dxa"/>
            <w:tcBorders>
              <w:top w:val="nil"/>
              <w:left w:val="nil"/>
              <w:bottom w:val="nil"/>
              <w:right w:val="nil"/>
            </w:tcBorders>
          </w:tcPr>
          <w:p>
            <w:pPr>
              <w:pStyle w:val="TableParagraph"/>
              <w:spacing w:line="296" w:lineRule="exact"/>
              <w:ind w:left="59" w:right="56"/>
              <w:rPr>
                <w:sz w:val="16"/>
              </w:rPr>
            </w:pPr>
            <w:r>
              <w:rPr>
                <w:sz w:val="24"/>
              </w:rPr>
              <w:t>288.3</w:t>
            </w:r>
            <w:r>
              <w:rPr>
                <w:position w:val="11"/>
                <w:sz w:val="16"/>
              </w:rPr>
              <w:t>d</w:t>
            </w:r>
          </w:p>
        </w:tc>
        <w:tc>
          <w:tcPr>
            <w:tcW w:w="775" w:type="dxa"/>
            <w:tcBorders>
              <w:top w:val="nil"/>
              <w:left w:val="nil"/>
              <w:bottom w:val="nil"/>
              <w:right w:val="nil"/>
            </w:tcBorders>
          </w:tcPr>
          <w:p>
            <w:pPr>
              <w:pStyle w:val="TableParagraph"/>
              <w:spacing w:line="296" w:lineRule="exact"/>
              <w:ind w:right="128"/>
              <w:jc w:val="right"/>
              <w:rPr>
                <w:sz w:val="16"/>
              </w:rPr>
            </w:pPr>
            <w:r>
              <w:rPr>
                <w:sz w:val="24"/>
              </w:rPr>
              <w:t>7.1</w:t>
            </w:r>
            <w:r>
              <w:rPr>
                <w:position w:val="11"/>
                <w:sz w:val="16"/>
              </w:rPr>
              <w:t>cd</w:t>
            </w:r>
          </w:p>
        </w:tc>
      </w:tr>
      <w:tr>
        <w:trPr>
          <w:trHeight w:val="300" w:hRule="exact"/>
        </w:trPr>
        <w:tc>
          <w:tcPr>
            <w:tcW w:w="1712" w:type="dxa"/>
            <w:tcBorders>
              <w:top w:val="nil"/>
              <w:left w:val="nil"/>
              <w:bottom w:val="nil"/>
              <w:right w:val="nil"/>
            </w:tcBorders>
          </w:tcPr>
          <w:p>
            <w:pPr>
              <w:pStyle w:val="TableParagraph"/>
              <w:spacing w:before="22"/>
              <w:ind w:left="72" w:right="352"/>
              <w:jc w:val="left"/>
              <w:rPr>
                <w:i/>
                <w:sz w:val="24"/>
              </w:rPr>
            </w:pPr>
            <w:r>
              <w:rPr>
                <w:i/>
                <w:sz w:val="24"/>
              </w:rPr>
              <w:t>T. erecta</w:t>
            </w:r>
          </w:p>
        </w:tc>
        <w:tc>
          <w:tcPr>
            <w:tcW w:w="755" w:type="dxa"/>
            <w:tcBorders>
              <w:top w:val="nil"/>
              <w:left w:val="nil"/>
              <w:bottom w:val="nil"/>
              <w:right w:val="nil"/>
            </w:tcBorders>
          </w:tcPr>
          <w:p>
            <w:pPr>
              <w:pStyle w:val="TableParagraph"/>
              <w:spacing w:before="22"/>
              <w:ind w:left="64" w:right="49"/>
              <w:rPr>
                <w:sz w:val="24"/>
              </w:rPr>
            </w:pPr>
            <w:r>
              <w:rPr>
                <w:sz w:val="24"/>
              </w:rPr>
              <w:t>47.7</w:t>
            </w:r>
          </w:p>
        </w:tc>
        <w:tc>
          <w:tcPr>
            <w:tcW w:w="742" w:type="dxa"/>
            <w:tcBorders>
              <w:top w:val="nil"/>
              <w:left w:val="nil"/>
              <w:bottom w:val="nil"/>
              <w:right w:val="nil"/>
            </w:tcBorders>
          </w:tcPr>
          <w:p>
            <w:pPr>
              <w:pStyle w:val="TableParagraph"/>
              <w:spacing w:before="22"/>
              <w:ind w:left="49" w:right="50"/>
              <w:rPr>
                <w:sz w:val="24"/>
              </w:rPr>
            </w:pPr>
            <w:r>
              <w:rPr>
                <w:sz w:val="24"/>
              </w:rPr>
              <w:t>0.17</w:t>
            </w:r>
          </w:p>
        </w:tc>
        <w:tc>
          <w:tcPr>
            <w:tcW w:w="742" w:type="dxa"/>
            <w:tcBorders>
              <w:top w:val="nil"/>
              <w:left w:val="nil"/>
              <w:bottom w:val="nil"/>
              <w:right w:val="nil"/>
            </w:tcBorders>
          </w:tcPr>
          <w:p>
            <w:pPr>
              <w:pStyle w:val="TableParagraph"/>
              <w:spacing w:before="22"/>
              <w:ind w:left="50" w:right="49"/>
              <w:rPr>
                <w:sz w:val="24"/>
              </w:rPr>
            </w:pPr>
            <w:r>
              <w:rPr>
                <w:sz w:val="24"/>
              </w:rPr>
              <w:t>94.4</w:t>
            </w:r>
          </w:p>
        </w:tc>
        <w:tc>
          <w:tcPr>
            <w:tcW w:w="742" w:type="dxa"/>
            <w:tcBorders>
              <w:top w:val="nil"/>
              <w:left w:val="nil"/>
              <w:bottom w:val="nil"/>
              <w:right w:val="nil"/>
            </w:tcBorders>
          </w:tcPr>
          <w:p>
            <w:pPr>
              <w:pStyle w:val="TableParagraph"/>
              <w:spacing w:before="22"/>
              <w:ind w:right="135"/>
              <w:jc w:val="right"/>
              <w:rPr>
                <w:sz w:val="24"/>
              </w:rPr>
            </w:pPr>
            <w:r>
              <w:rPr>
                <w:sz w:val="24"/>
              </w:rPr>
              <w:t>0.07</w:t>
            </w:r>
          </w:p>
        </w:tc>
        <w:tc>
          <w:tcPr>
            <w:tcW w:w="814" w:type="dxa"/>
            <w:tcBorders>
              <w:top w:val="nil"/>
              <w:left w:val="nil"/>
              <w:bottom w:val="nil"/>
              <w:right w:val="nil"/>
            </w:tcBorders>
          </w:tcPr>
          <w:p>
            <w:pPr>
              <w:pStyle w:val="TableParagraph"/>
              <w:spacing w:before="22"/>
              <w:ind w:left="53" w:right="120"/>
              <w:rPr>
                <w:sz w:val="24"/>
              </w:rPr>
            </w:pPr>
            <w:r>
              <w:rPr>
                <w:sz w:val="24"/>
              </w:rPr>
              <w:t>2.6</w:t>
            </w:r>
          </w:p>
        </w:tc>
        <w:tc>
          <w:tcPr>
            <w:tcW w:w="1036" w:type="dxa"/>
            <w:tcBorders>
              <w:top w:val="nil"/>
              <w:left w:val="nil"/>
              <w:bottom w:val="nil"/>
              <w:right w:val="nil"/>
            </w:tcBorders>
          </w:tcPr>
          <w:p>
            <w:pPr>
              <w:pStyle w:val="TableParagraph"/>
              <w:spacing w:line="299" w:lineRule="exact"/>
              <w:ind w:left="202"/>
              <w:jc w:val="left"/>
              <w:rPr>
                <w:sz w:val="16"/>
              </w:rPr>
            </w:pPr>
            <w:r>
              <w:rPr>
                <w:sz w:val="24"/>
              </w:rPr>
              <w:t>119b</w:t>
            </w:r>
            <w:r>
              <w:rPr>
                <w:position w:val="11"/>
                <w:sz w:val="16"/>
              </w:rPr>
              <w:t>cd</w:t>
            </w:r>
          </w:p>
        </w:tc>
        <w:tc>
          <w:tcPr>
            <w:tcW w:w="989" w:type="dxa"/>
            <w:tcBorders>
              <w:top w:val="nil"/>
              <w:left w:val="nil"/>
              <w:bottom w:val="nil"/>
              <w:right w:val="nil"/>
            </w:tcBorders>
          </w:tcPr>
          <w:p>
            <w:pPr>
              <w:pStyle w:val="TableParagraph"/>
              <w:spacing w:line="299" w:lineRule="exact"/>
              <w:ind w:left="116"/>
              <w:jc w:val="left"/>
              <w:rPr>
                <w:sz w:val="16"/>
              </w:rPr>
            </w:pPr>
            <w:r>
              <w:rPr>
                <w:sz w:val="24"/>
              </w:rPr>
              <w:t>146.4</w:t>
            </w:r>
            <w:r>
              <w:rPr>
                <w:position w:val="11"/>
                <w:sz w:val="16"/>
              </w:rPr>
              <w:t>c</w:t>
            </w:r>
          </w:p>
        </w:tc>
        <w:tc>
          <w:tcPr>
            <w:tcW w:w="1054" w:type="dxa"/>
            <w:tcBorders>
              <w:top w:val="nil"/>
              <w:left w:val="nil"/>
              <w:bottom w:val="nil"/>
              <w:right w:val="nil"/>
            </w:tcBorders>
          </w:tcPr>
          <w:p>
            <w:pPr>
              <w:pStyle w:val="TableParagraph"/>
              <w:spacing w:line="299" w:lineRule="exact"/>
              <w:ind w:left="159" w:right="64"/>
              <w:rPr>
                <w:sz w:val="16"/>
              </w:rPr>
            </w:pPr>
            <w:r>
              <w:rPr>
                <w:sz w:val="24"/>
              </w:rPr>
              <w:t>738.4</w:t>
            </w:r>
            <w:r>
              <w:rPr>
                <w:position w:val="11"/>
                <w:sz w:val="16"/>
              </w:rPr>
              <w:t>c</w:t>
            </w:r>
          </w:p>
        </w:tc>
        <w:tc>
          <w:tcPr>
            <w:tcW w:w="989" w:type="dxa"/>
            <w:tcBorders>
              <w:top w:val="nil"/>
              <w:left w:val="nil"/>
              <w:bottom w:val="nil"/>
              <w:right w:val="nil"/>
            </w:tcBorders>
          </w:tcPr>
          <w:p>
            <w:pPr>
              <w:pStyle w:val="TableParagraph"/>
              <w:spacing w:line="299" w:lineRule="exact"/>
              <w:ind w:left="68" w:right="40"/>
              <w:rPr>
                <w:sz w:val="16"/>
              </w:rPr>
            </w:pPr>
            <w:r>
              <w:rPr>
                <w:sz w:val="24"/>
              </w:rPr>
              <w:t>618.7</w:t>
            </w:r>
            <w:r>
              <w:rPr>
                <w:position w:val="11"/>
                <w:sz w:val="16"/>
              </w:rPr>
              <w:t>cd</w:t>
            </w:r>
          </w:p>
        </w:tc>
        <w:tc>
          <w:tcPr>
            <w:tcW w:w="987" w:type="dxa"/>
            <w:tcBorders>
              <w:top w:val="nil"/>
              <w:left w:val="nil"/>
              <w:bottom w:val="nil"/>
              <w:right w:val="nil"/>
            </w:tcBorders>
          </w:tcPr>
          <w:p>
            <w:pPr>
              <w:pStyle w:val="TableParagraph"/>
              <w:spacing w:line="299" w:lineRule="exact"/>
              <w:ind w:left="59" w:right="57"/>
              <w:rPr>
                <w:sz w:val="16"/>
              </w:rPr>
            </w:pPr>
            <w:r>
              <w:rPr>
                <w:sz w:val="24"/>
              </w:rPr>
              <w:t>580.3</w:t>
            </w:r>
            <w:r>
              <w:rPr>
                <w:position w:val="11"/>
                <w:sz w:val="16"/>
              </w:rPr>
              <w:t>fe</w:t>
            </w:r>
          </w:p>
        </w:tc>
        <w:tc>
          <w:tcPr>
            <w:tcW w:w="775" w:type="dxa"/>
            <w:tcBorders>
              <w:top w:val="nil"/>
              <w:left w:val="nil"/>
              <w:bottom w:val="nil"/>
              <w:right w:val="nil"/>
            </w:tcBorders>
          </w:tcPr>
          <w:p>
            <w:pPr>
              <w:pStyle w:val="TableParagraph"/>
              <w:spacing w:line="299" w:lineRule="exact"/>
              <w:ind w:right="169"/>
              <w:jc w:val="right"/>
              <w:rPr>
                <w:sz w:val="16"/>
              </w:rPr>
            </w:pPr>
            <w:r>
              <w:rPr>
                <w:sz w:val="24"/>
              </w:rPr>
              <w:t>9.2</w:t>
            </w:r>
            <w:r>
              <w:rPr>
                <w:position w:val="11"/>
                <w:sz w:val="16"/>
              </w:rPr>
              <w:t>a</w:t>
            </w:r>
          </w:p>
        </w:tc>
      </w:tr>
      <w:tr>
        <w:trPr>
          <w:trHeight w:val="301" w:hRule="exact"/>
        </w:trPr>
        <w:tc>
          <w:tcPr>
            <w:tcW w:w="1712" w:type="dxa"/>
            <w:tcBorders>
              <w:top w:val="nil"/>
              <w:left w:val="nil"/>
              <w:bottom w:val="nil"/>
              <w:right w:val="nil"/>
            </w:tcBorders>
          </w:tcPr>
          <w:p>
            <w:pPr>
              <w:pStyle w:val="TableParagraph"/>
              <w:spacing w:before="21"/>
              <w:ind w:left="72"/>
              <w:jc w:val="left"/>
              <w:rPr>
                <w:i/>
                <w:sz w:val="24"/>
              </w:rPr>
            </w:pPr>
            <w:r>
              <w:rPr>
                <w:i/>
                <w:sz w:val="24"/>
              </w:rPr>
              <w:t>M. diplotricha</w:t>
            </w:r>
          </w:p>
        </w:tc>
        <w:tc>
          <w:tcPr>
            <w:tcW w:w="755" w:type="dxa"/>
            <w:tcBorders>
              <w:top w:val="nil"/>
              <w:left w:val="nil"/>
              <w:bottom w:val="nil"/>
              <w:right w:val="nil"/>
            </w:tcBorders>
          </w:tcPr>
          <w:p>
            <w:pPr>
              <w:pStyle w:val="TableParagraph"/>
              <w:spacing w:before="21"/>
              <w:ind w:left="64" w:right="49"/>
              <w:rPr>
                <w:sz w:val="24"/>
              </w:rPr>
            </w:pPr>
            <w:r>
              <w:rPr>
                <w:sz w:val="24"/>
              </w:rPr>
              <w:t>45.7</w:t>
            </w:r>
          </w:p>
        </w:tc>
        <w:tc>
          <w:tcPr>
            <w:tcW w:w="742" w:type="dxa"/>
            <w:tcBorders>
              <w:top w:val="nil"/>
              <w:left w:val="nil"/>
              <w:bottom w:val="nil"/>
              <w:right w:val="nil"/>
            </w:tcBorders>
          </w:tcPr>
          <w:p>
            <w:pPr>
              <w:pStyle w:val="TableParagraph"/>
              <w:spacing w:before="21"/>
              <w:ind w:left="49" w:right="50"/>
              <w:rPr>
                <w:sz w:val="24"/>
              </w:rPr>
            </w:pPr>
            <w:r>
              <w:rPr>
                <w:sz w:val="24"/>
              </w:rPr>
              <w:t>0.25</w:t>
            </w:r>
          </w:p>
        </w:tc>
        <w:tc>
          <w:tcPr>
            <w:tcW w:w="742" w:type="dxa"/>
            <w:tcBorders>
              <w:top w:val="nil"/>
              <w:left w:val="nil"/>
              <w:bottom w:val="nil"/>
              <w:right w:val="nil"/>
            </w:tcBorders>
          </w:tcPr>
          <w:p>
            <w:pPr>
              <w:pStyle w:val="TableParagraph"/>
              <w:spacing w:before="21"/>
              <w:ind w:left="50" w:right="49"/>
              <w:rPr>
                <w:sz w:val="24"/>
              </w:rPr>
            </w:pPr>
            <w:r>
              <w:rPr>
                <w:sz w:val="24"/>
              </w:rPr>
              <w:t>67.1</w:t>
            </w:r>
          </w:p>
        </w:tc>
        <w:tc>
          <w:tcPr>
            <w:tcW w:w="742" w:type="dxa"/>
            <w:tcBorders>
              <w:top w:val="nil"/>
              <w:left w:val="nil"/>
              <w:bottom w:val="nil"/>
              <w:right w:val="nil"/>
            </w:tcBorders>
          </w:tcPr>
          <w:p>
            <w:pPr>
              <w:pStyle w:val="TableParagraph"/>
              <w:spacing w:before="21"/>
              <w:ind w:right="135"/>
              <w:jc w:val="right"/>
              <w:rPr>
                <w:sz w:val="24"/>
              </w:rPr>
            </w:pPr>
            <w:r>
              <w:rPr>
                <w:sz w:val="24"/>
              </w:rPr>
              <w:t>0.04</w:t>
            </w:r>
          </w:p>
        </w:tc>
        <w:tc>
          <w:tcPr>
            <w:tcW w:w="814" w:type="dxa"/>
            <w:tcBorders>
              <w:top w:val="nil"/>
              <w:left w:val="nil"/>
              <w:bottom w:val="nil"/>
              <w:right w:val="nil"/>
            </w:tcBorders>
          </w:tcPr>
          <w:p>
            <w:pPr>
              <w:pStyle w:val="TableParagraph"/>
              <w:spacing w:before="21"/>
              <w:ind w:left="53" w:right="120"/>
              <w:rPr>
                <w:sz w:val="24"/>
              </w:rPr>
            </w:pPr>
            <w:r>
              <w:rPr>
                <w:sz w:val="24"/>
              </w:rPr>
              <w:t>2.8</w:t>
            </w:r>
          </w:p>
        </w:tc>
        <w:tc>
          <w:tcPr>
            <w:tcW w:w="1036" w:type="dxa"/>
            <w:tcBorders>
              <w:top w:val="nil"/>
              <w:left w:val="nil"/>
              <w:bottom w:val="nil"/>
              <w:right w:val="nil"/>
            </w:tcBorders>
          </w:tcPr>
          <w:p>
            <w:pPr>
              <w:pStyle w:val="TableParagraph"/>
              <w:spacing w:line="297" w:lineRule="exact"/>
              <w:ind w:left="236"/>
              <w:jc w:val="left"/>
              <w:rPr>
                <w:sz w:val="16"/>
              </w:rPr>
            </w:pPr>
            <w:r>
              <w:rPr>
                <w:sz w:val="24"/>
              </w:rPr>
              <w:t>87.6</w:t>
            </w:r>
            <w:r>
              <w:rPr>
                <w:position w:val="11"/>
                <w:sz w:val="16"/>
              </w:rPr>
              <w:t>ac</w:t>
            </w:r>
          </w:p>
        </w:tc>
        <w:tc>
          <w:tcPr>
            <w:tcW w:w="989" w:type="dxa"/>
            <w:tcBorders>
              <w:top w:val="nil"/>
              <w:left w:val="nil"/>
              <w:bottom w:val="nil"/>
              <w:right w:val="nil"/>
            </w:tcBorders>
          </w:tcPr>
          <w:p>
            <w:pPr>
              <w:pStyle w:val="TableParagraph"/>
              <w:spacing w:line="297" w:lineRule="exact"/>
              <w:ind w:left="111"/>
              <w:jc w:val="left"/>
              <w:rPr>
                <w:sz w:val="16"/>
              </w:rPr>
            </w:pPr>
            <w:r>
              <w:rPr>
                <w:sz w:val="24"/>
              </w:rPr>
              <w:t>112.7</w:t>
            </w:r>
            <w:r>
              <w:rPr>
                <w:position w:val="11"/>
                <w:sz w:val="16"/>
              </w:rPr>
              <w:t>a</w:t>
            </w:r>
          </w:p>
        </w:tc>
        <w:tc>
          <w:tcPr>
            <w:tcW w:w="1054" w:type="dxa"/>
            <w:tcBorders>
              <w:top w:val="nil"/>
              <w:left w:val="nil"/>
              <w:bottom w:val="nil"/>
              <w:right w:val="nil"/>
            </w:tcBorders>
          </w:tcPr>
          <w:p>
            <w:pPr>
              <w:pStyle w:val="TableParagraph"/>
              <w:spacing w:line="297" w:lineRule="exact"/>
              <w:ind w:left="159" w:right="67"/>
              <w:rPr>
                <w:sz w:val="16"/>
              </w:rPr>
            </w:pPr>
            <w:r>
              <w:rPr>
                <w:sz w:val="24"/>
              </w:rPr>
              <w:t>524.8</w:t>
            </w:r>
            <w:r>
              <w:rPr>
                <w:position w:val="11"/>
                <w:sz w:val="16"/>
              </w:rPr>
              <w:t>db</w:t>
            </w:r>
          </w:p>
        </w:tc>
        <w:tc>
          <w:tcPr>
            <w:tcW w:w="989" w:type="dxa"/>
            <w:tcBorders>
              <w:top w:val="nil"/>
              <w:left w:val="nil"/>
              <w:bottom w:val="nil"/>
              <w:right w:val="nil"/>
            </w:tcBorders>
          </w:tcPr>
          <w:p>
            <w:pPr>
              <w:pStyle w:val="TableParagraph"/>
              <w:spacing w:line="297" w:lineRule="exact"/>
              <w:ind w:left="68" w:right="55"/>
              <w:rPr>
                <w:sz w:val="16"/>
              </w:rPr>
            </w:pPr>
            <w:r>
              <w:rPr>
                <w:sz w:val="24"/>
              </w:rPr>
              <w:t>489.5</w:t>
            </w:r>
            <w:r>
              <w:rPr>
                <w:position w:val="11"/>
                <w:sz w:val="16"/>
              </w:rPr>
              <w:t>df</w:t>
            </w:r>
          </w:p>
        </w:tc>
        <w:tc>
          <w:tcPr>
            <w:tcW w:w="987" w:type="dxa"/>
            <w:tcBorders>
              <w:top w:val="nil"/>
              <w:left w:val="nil"/>
              <w:bottom w:val="nil"/>
              <w:right w:val="nil"/>
            </w:tcBorders>
          </w:tcPr>
          <w:p>
            <w:pPr>
              <w:pStyle w:val="TableParagraph"/>
              <w:spacing w:line="297" w:lineRule="exact"/>
              <w:ind w:left="59" w:right="61"/>
              <w:rPr>
                <w:sz w:val="16"/>
              </w:rPr>
            </w:pPr>
            <w:r>
              <w:rPr>
                <w:sz w:val="24"/>
              </w:rPr>
              <w:t>352.9</w:t>
            </w:r>
            <w:r>
              <w:rPr>
                <w:position w:val="11"/>
                <w:sz w:val="16"/>
              </w:rPr>
              <w:t>df</w:t>
            </w:r>
          </w:p>
        </w:tc>
        <w:tc>
          <w:tcPr>
            <w:tcW w:w="775" w:type="dxa"/>
            <w:tcBorders>
              <w:top w:val="nil"/>
              <w:left w:val="nil"/>
              <w:bottom w:val="nil"/>
              <w:right w:val="nil"/>
            </w:tcBorders>
          </w:tcPr>
          <w:p>
            <w:pPr>
              <w:pStyle w:val="TableParagraph"/>
              <w:spacing w:line="296" w:lineRule="exact"/>
              <w:ind w:right="82"/>
              <w:jc w:val="right"/>
              <w:rPr>
                <w:sz w:val="16"/>
              </w:rPr>
            </w:pPr>
            <w:r>
              <w:rPr>
                <w:w w:val="95"/>
                <w:position w:val="-10"/>
                <w:sz w:val="24"/>
              </w:rPr>
              <w:t>8.1</w:t>
            </w:r>
            <w:r>
              <w:rPr>
                <w:w w:val="95"/>
                <w:sz w:val="16"/>
              </w:rPr>
              <w:t>ade</w:t>
            </w:r>
          </w:p>
        </w:tc>
      </w:tr>
      <w:tr>
        <w:trPr>
          <w:trHeight w:val="322" w:hRule="exact"/>
        </w:trPr>
        <w:tc>
          <w:tcPr>
            <w:tcW w:w="1712" w:type="dxa"/>
            <w:tcBorders>
              <w:top w:val="nil"/>
              <w:left w:val="nil"/>
              <w:bottom w:val="nil"/>
              <w:right w:val="nil"/>
            </w:tcBorders>
          </w:tcPr>
          <w:p>
            <w:pPr>
              <w:pStyle w:val="TableParagraph"/>
              <w:spacing w:before="22"/>
              <w:ind w:left="72"/>
              <w:jc w:val="left"/>
              <w:rPr>
                <w:i/>
                <w:sz w:val="24"/>
              </w:rPr>
            </w:pPr>
            <w:r>
              <w:rPr>
                <w:i/>
                <w:sz w:val="24"/>
              </w:rPr>
              <w:t>M. divaricatum</w:t>
            </w:r>
          </w:p>
        </w:tc>
        <w:tc>
          <w:tcPr>
            <w:tcW w:w="755" w:type="dxa"/>
            <w:tcBorders>
              <w:top w:val="nil"/>
              <w:left w:val="nil"/>
              <w:bottom w:val="nil"/>
              <w:right w:val="nil"/>
            </w:tcBorders>
          </w:tcPr>
          <w:p>
            <w:pPr>
              <w:pStyle w:val="TableParagraph"/>
              <w:spacing w:before="22"/>
              <w:ind w:left="64" w:right="49"/>
              <w:rPr>
                <w:sz w:val="24"/>
              </w:rPr>
            </w:pPr>
            <w:r>
              <w:rPr>
                <w:sz w:val="24"/>
              </w:rPr>
              <w:t>53.4</w:t>
            </w:r>
          </w:p>
        </w:tc>
        <w:tc>
          <w:tcPr>
            <w:tcW w:w="742" w:type="dxa"/>
            <w:tcBorders>
              <w:top w:val="nil"/>
              <w:left w:val="nil"/>
              <w:bottom w:val="nil"/>
              <w:right w:val="nil"/>
            </w:tcBorders>
          </w:tcPr>
          <w:p>
            <w:pPr>
              <w:pStyle w:val="TableParagraph"/>
              <w:spacing w:before="22"/>
              <w:ind w:left="49" w:right="50"/>
              <w:rPr>
                <w:sz w:val="24"/>
              </w:rPr>
            </w:pPr>
            <w:r>
              <w:rPr>
                <w:sz w:val="24"/>
              </w:rPr>
              <w:t>0.24</w:t>
            </w:r>
          </w:p>
        </w:tc>
        <w:tc>
          <w:tcPr>
            <w:tcW w:w="742" w:type="dxa"/>
            <w:tcBorders>
              <w:top w:val="nil"/>
              <w:left w:val="nil"/>
              <w:bottom w:val="nil"/>
              <w:right w:val="nil"/>
            </w:tcBorders>
          </w:tcPr>
          <w:p>
            <w:pPr>
              <w:pStyle w:val="TableParagraph"/>
              <w:spacing w:before="22"/>
              <w:ind w:left="50" w:right="49"/>
              <w:rPr>
                <w:sz w:val="24"/>
              </w:rPr>
            </w:pPr>
            <w:r>
              <w:rPr>
                <w:sz w:val="24"/>
              </w:rPr>
              <w:t>34.1</w:t>
            </w:r>
          </w:p>
        </w:tc>
        <w:tc>
          <w:tcPr>
            <w:tcW w:w="742" w:type="dxa"/>
            <w:tcBorders>
              <w:top w:val="nil"/>
              <w:left w:val="nil"/>
              <w:bottom w:val="nil"/>
              <w:right w:val="nil"/>
            </w:tcBorders>
          </w:tcPr>
          <w:p>
            <w:pPr>
              <w:pStyle w:val="TableParagraph"/>
              <w:spacing w:before="22"/>
              <w:ind w:right="135"/>
              <w:jc w:val="right"/>
              <w:rPr>
                <w:sz w:val="24"/>
              </w:rPr>
            </w:pPr>
            <w:r>
              <w:rPr>
                <w:sz w:val="24"/>
              </w:rPr>
              <w:t>0.04</w:t>
            </w:r>
          </w:p>
        </w:tc>
        <w:tc>
          <w:tcPr>
            <w:tcW w:w="814" w:type="dxa"/>
            <w:tcBorders>
              <w:top w:val="nil"/>
              <w:left w:val="nil"/>
              <w:bottom w:val="nil"/>
              <w:right w:val="nil"/>
            </w:tcBorders>
          </w:tcPr>
          <w:p>
            <w:pPr>
              <w:pStyle w:val="TableParagraph"/>
              <w:spacing w:before="22"/>
              <w:ind w:right="76"/>
              <w:rPr>
                <w:sz w:val="24"/>
              </w:rPr>
            </w:pPr>
            <w:r>
              <w:rPr>
                <w:w w:val="99"/>
                <w:sz w:val="24"/>
              </w:rPr>
              <w:t>2</w:t>
            </w:r>
          </w:p>
        </w:tc>
        <w:tc>
          <w:tcPr>
            <w:tcW w:w="1036" w:type="dxa"/>
            <w:tcBorders>
              <w:top w:val="nil"/>
              <w:left w:val="nil"/>
              <w:bottom w:val="nil"/>
              <w:right w:val="nil"/>
            </w:tcBorders>
          </w:tcPr>
          <w:p>
            <w:pPr>
              <w:pStyle w:val="TableParagraph"/>
              <w:spacing w:line="299" w:lineRule="exact"/>
              <w:ind w:left="274"/>
              <w:jc w:val="left"/>
              <w:rPr>
                <w:sz w:val="16"/>
              </w:rPr>
            </w:pPr>
            <w:r>
              <w:rPr>
                <w:sz w:val="24"/>
              </w:rPr>
              <w:t>73.8</w:t>
            </w:r>
            <w:r>
              <w:rPr>
                <w:position w:val="11"/>
                <w:sz w:val="16"/>
              </w:rPr>
              <w:t>a</w:t>
            </w:r>
          </w:p>
        </w:tc>
        <w:tc>
          <w:tcPr>
            <w:tcW w:w="989" w:type="dxa"/>
            <w:tcBorders>
              <w:top w:val="nil"/>
              <w:left w:val="nil"/>
              <w:bottom w:val="nil"/>
              <w:right w:val="nil"/>
            </w:tcBorders>
          </w:tcPr>
          <w:p>
            <w:pPr>
              <w:pStyle w:val="TableParagraph"/>
              <w:spacing w:line="299" w:lineRule="exact"/>
              <w:ind w:left="179"/>
              <w:jc w:val="left"/>
              <w:rPr>
                <w:sz w:val="16"/>
              </w:rPr>
            </w:pPr>
            <w:r>
              <w:rPr>
                <w:sz w:val="24"/>
              </w:rPr>
              <w:t>85.1</w:t>
            </w:r>
            <w:r>
              <w:rPr>
                <w:position w:val="11"/>
                <w:sz w:val="16"/>
              </w:rPr>
              <w:t>d</w:t>
            </w:r>
          </w:p>
        </w:tc>
        <w:tc>
          <w:tcPr>
            <w:tcW w:w="1054" w:type="dxa"/>
            <w:tcBorders>
              <w:top w:val="nil"/>
              <w:left w:val="nil"/>
              <w:bottom w:val="nil"/>
              <w:right w:val="nil"/>
            </w:tcBorders>
          </w:tcPr>
          <w:p>
            <w:pPr>
              <w:pStyle w:val="TableParagraph"/>
              <w:spacing w:line="299" w:lineRule="exact"/>
              <w:ind w:left="154" w:right="71"/>
              <w:rPr>
                <w:sz w:val="16"/>
              </w:rPr>
            </w:pPr>
            <w:r>
              <w:rPr>
                <w:sz w:val="24"/>
              </w:rPr>
              <w:t>493.3</w:t>
            </w:r>
            <w:r>
              <w:rPr>
                <w:position w:val="11"/>
                <w:sz w:val="16"/>
              </w:rPr>
              <w:t>ab</w:t>
            </w:r>
          </w:p>
        </w:tc>
        <w:tc>
          <w:tcPr>
            <w:tcW w:w="989" w:type="dxa"/>
            <w:tcBorders>
              <w:top w:val="nil"/>
              <w:left w:val="nil"/>
              <w:bottom w:val="nil"/>
              <w:right w:val="nil"/>
            </w:tcBorders>
          </w:tcPr>
          <w:p>
            <w:pPr>
              <w:pStyle w:val="TableParagraph"/>
              <w:spacing w:line="299" w:lineRule="exact"/>
              <w:ind w:left="68" w:right="58"/>
              <w:rPr>
                <w:sz w:val="16"/>
              </w:rPr>
            </w:pPr>
            <w:r>
              <w:rPr>
                <w:sz w:val="24"/>
              </w:rPr>
              <w:t>417.5</w:t>
            </w:r>
            <w:r>
              <w:rPr>
                <w:position w:val="11"/>
                <w:sz w:val="16"/>
              </w:rPr>
              <w:t>aef</w:t>
            </w:r>
          </w:p>
        </w:tc>
        <w:tc>
          <w:tcPr>
            <w:tcW w:w="987" w:type="dxa"/>
            <w:tcBorders>
              <w:top w:val="nil"/>
              <w:left w:val="nil"/>
              <w:bottom w:val="nil"/>
              <w:right w:val="nil"/>
            </w:tcBorders>
          </w:tcPr>
          <w:p>
            <w:pPr>
              <w:pStyle w:val="TableParagraph"/>
              <w:spacing w:line="299" w:lineRule="exact"/>
              <w:ind w:left="59" w:right="56"/>
              <w:rPr>
                <w:sz w:val="16"/>
              </w:rPr>
            </w:pPr>
            <w:r>
              <w:rPr>
                <w:sz w:val="24"/>
              </w:rPr>
              <w:t>302</w:t>
            </w:r>
            <w:r>
              <w:rPr>
                <w:position w:val="11"/>
                <w:sz w:val="16"/>
              </w:rPr>
              <w:t>d</w:t>
            </w:r>
          </w:p>
        </w:tc>
        <w:tc>
          <w:tcPr>
            <w:tcW w:w="775" w:type="dxa"/>
            <w:tcBorders>
              <w:top w:val="nil"/>
              <w:left w:val="nil"/>
              <w:bottom w:val="nil"/>
              <w:right w:val="nil"/>
            </w:tcBorders>
          </w:tcPr>
          <w:p>
            <w:pPr>
              <w:pStyle w:val="TableParagraph"/>
              <w:spacing w:line="299" w:lineRule="exact"/>
              <w:ind w:right="128"/>
              <w:jc w:val="right"/>
              <w:rPr>
                <w:sz w:val="16"/>
              </w:rPr>
            </w:pPr>
            <w:r>
              <w:rPr>
                <w:sz w:val="24"/>
              </w:rPr>
              <w:t>7.3</w:t>
            </w:r>
            <w:r>
              <w:rPr>
                <w:position w:val="11"/>
                <w:sz w:val="16"/>
              </w:rPr>
              <w:t>ce</w:t>
            </w:r>
          </w:p>
        </w:tc>
      </w:tr>
      <w:tr>
        <w:trPr>
          <w:trHeight w:val="300" w:hRule="exact"/>
        </w:trPr>
        <w:tc>
          <w:tcPr>
            <w:tcW w:w="1712" w:type="dxa"/>
            <w:tcBorders>
              <w:top w:val="nil"/>
              <w:left w:val="nil"/>
              <w:bottom w:val="nil"/>
              <w:right w:val="nil"/>
            </w:tcBorders>
          </w:tcPr>
          <w:p>
            <w:pPr>
              <w:pStyle w:val="TableParagraph"/>
              <w:spacing w:line="274" w:lineRule="exact"/>
              <w:ind w:left="72"/>
              <w:jc w:val="left"/>
              <w:rPr>
                <w:sz w:val="24"/>
              </w:rPr>
            </w:pPr>
            <w:r>
              <w:rPr>
                <w:w w:val="100"/>
                <w:sz w:val="24"/>
              </w:rPr>
              <w:t>P</w:t>
            </w:r>
          </w:p>
        </w:tc>
        <w:tc>
          <w:tcPr>
            <w:tcW w:w="755" w:type="dxa"/>
            <w:tcBorders>
              <w:top w:val="nil"/>
              <w:left w:val="nil"/>
              <w:bottom w:val="nil"/>
              <w:right w:val="nil"/>
            </w:tcBorders>
          </w:tcPr>
          <w:p>
            <w:pPr>
              <w:pStyle w:val="TableParagraph"/>
              <w:spacing w:line="274" w:lineRule="exact"/>
              <w:ind w:left="64" w:right="49"/>
              <w:rPr>
                <w:sz w:val="24"/>
              </w:rPr>
            </w:pPr>
            <w:r>
              <w:rPr>
                <w:sz w:val="24"/>
              </w:rPr>
              <w:t>0.748</w:t>
            </w:r>
          </w:p>
        </w:tc>
        <w:tc>
          <w:tcPr>
            <w:tcW w:w="742" w:type="dxa"/>
            <w:tcBorders>
              <w:top w:val="nil"/>
              <w:left w:val="nil"/>
              <w:bottom w:val="nil"/>
              <w:right w:val="nil"/>
            </w:tcBorders>
          </w:tcPr>
          <w:p>
            <w:pPr>
              <w:pStyle w:val="TableParagraph"/>
              <w:spacing w:line="274" w:lineRule="exact"/>
              <w:ind w:left="50" w:right="50"/>
              <w:rPr>
                <w:sz w:val="24"/>
              </w:rPr>
            </w:pPr>
            <w:r>
              <w:rPr>
                <w:sz w:val="24"/>
              </w:rPr>
              <w:t>0.710</w:t>
            </w:r>
          </w:p>
        </w:tc>
        <w:tc>
          <w:tcPr>
            <w:tcW w:w="742" w:type="dxa"/>
            <w:tcBorders>
              <w:top w:val="nil"/>
              <w:left w:val="nil"/>
              <w:bottom w:val="nil"/>
              <w:right w:val="nil"/>
            </w:tcBorders>
          </w:tcPr>
          <w:p>
            <w:pPr>
              <w:pStyle w:val="TableParagraph"/>
              <w:spacing w:line="274" w:lineRule="exact"/>
              <w:ind w:left="51" w:right="49"/>
              <w:rPr>
                <w:sz w:val="24"/>
              </w:rPr>
            </w:pPr>
            <w:r>
              <w:rPr>
                <w:sz w:val="24"/>
              </w:rPr>
              <w:t>0.340</w:t>
            </w:r>
          </w:p>
        </w:tc>
        <w:tc>
          <w:tcPr>
            <w:tcW w:w="742" w:type="dxa"/>
            <w:tcBorders>
              <w:top w:val="nil"/>
              <w:left w:val="nil"/>
              <w:bottom w:val="nil"/>
              <w:right w:val="nil"/>
            </w:tcBorders>
          </w:tcPr>
          <w:p>
            <w:pPr>
              <w:pStyle w:val="TableParagraph"/>
              <w:spacing w:line="274" w:lineRule="exact"/>
              <w:ind w:right="68"/>
              <w:jc w:val="right"/>
              <w:rPr>
                <w:sz w:val="24"/>
              </w:rPr>
            </w:pPr>
            <w:r>
              <w:rPr>
                <w:sz w:val="24"/>
              </w:rPr>
              <w:t>0.572</w:t>
            </w:r>
          </w:p>
        </w:tc>
        <w:tc>
          <w:tcPr>
            <w:tcW w:w="814" w:type="dxa"/>
            <w:tcBorders>
              <w:top w:val="nil"/>
              <w:left w:val="nil"/>
              <w:bottom w:val="nil"/>
              <w:right w:val="nil"/>
            </w:tcBorders>
          </w:tcPr>
          <w:p>
            <w:pPr>
              <w:pStyle w:val="TableParagraph"/>
              <w:spacing w:line="274" w:lineRule="exact"/>
              <w:ind w:left="53" w:right="120"/>
              <w:rPr>
                <w:sz w:val="24"/>
              </w:rPr>
            </w:pPr>
            <w:r>
              <w:rPr>
                <w:sz w:val="24"/>
              </w:rPr>
              <w:t>0.401</w:t>
            </w:r>
          </w:p>
        </w:tc>
        <w:tc>
          <w:tcPr>
            <w:tcW w:w="1036" w:type="dxa"/>
            <w:tcBorders>
              <w:top w:val="nil"/>
              <w:left w:val="nil"/>
              <w:bottom w:val="nil"/>
              <w:right w:val="nil"/>
            </w:tcBorders>
          </w:tcPr>
          <w:p>
            <w:pPr>
              <w:pStyle w:val="TableParagraph"/>
              <w:spacing w:line="274" w:lineRule="exact"/>
              <w:ind w:left="250"/>
              <w:jc w:val="left"/>
              <w:rPr>
                <w:sz w:val="24"/>
              </w:rPr>
            </w:pPr>
            <w:r>
              <w:rPr>
                <w:sz w:val="24"/>
              </w:rPr>
              <w:t>0.026</w:t>
            </w:r>
          </w:p>
        </w:tc>
        <w:tc>
          <w:tcPr>
            <w:tcW w:w="989" w:type="dxa"/>
            <w:tcBorders>
              <w:top w:val="nil"/>
              <w:left w:val="nil"/>
              <w:bottom w:val="nil"/>
              <w:right w:val="nil"/>
            </w:tcBorders>
          </w:tcPr>
          <w:p>
            <w:pPr>
              <w:pStyle w:val="TableParagraph"/>
              <w:spacing w:line="274" w:lineRule="exact"/>
              <w:ind w:left="155"/>
              <w:jc w:val="left"/>
              <w:rPr>
                <w:sz w:val="24"/>
              </w:rPr>
            </w:pPr>
            <w:r>
              <w:rPr>
                <w:sz w:val="24"/>
              </w:rPr>
              <w:t>0.001</w:t>
            </w:r>
          </w:p>
        </w:tc>
        <w:tc>
          <w:tcPr>
            <w:tcW w:w="1054" w:type="dxa"/>
            <w:tcBorders>
              <w:top w:val="nil"/>
              <w:left w:val="nil"/>
              <w:bottom w:val="nil"/>
              <w:right w:val="nil"/>
            </w:tcBorders>
          </w:tcPr>
          <w:p>
            <w:pPr>
              <w:pStyle w:val="TableParagraph"/>
              <w:spacing w:line="274" w:lineRule="exact"/>
              <w:ind w:left="159" w:right="68"/>
              <w:rPr>
                <w:sz w:val="24"/>
              </w:rPr>
            </w:pPr>
            <w:r>
              <w:rPr>
                <w:sz w:val="24"/>
              </w:rPr>
              <w:t>0.001</w:t>
            </w:r>
          </w:p>
        </w:tc>
        <w:tc>
          <w:tcPr>
            <w:tcW w:w="989" w:type="dxa"/>
            <w:tcBorders>
              <w:top w:val="nil"/>
              <w:left w:val="nil"/>
              <w:bottom w:val="nil"/>
              <w:right w:val="nil"/>
            </w:tcBorders>
          </w:tcPr>
          <w:p>
            <w:pPr>
              <w:pStyle w:val="TableParagraph"/>
              <w:spacing w:line="274" w:lineRule="exact"/>
              <w:ind w:left="68" w:right="51"/>
              <w:rPr>
                <w:sz w:val="24"/>
              </w:rPr>
            </w:pPr>
            <w:r>
              <w:rPr>
                <w:sz w:val="24"/>
              </w:rPr>
              <w:t>0.002</w:t>
            </w:r>
          </w:p>
        </w:tc>
        <w:tc>
          <w:tcPr>
            <w:tcW w:w="987" w:type="dxa"/>
            <w:tcBorders>
              <w:top w:val="nil"/>
              <w:left w:val="nil"/>
              <w:bottom w:val="nil"/>
              <w:right w:val="nil"/>
            </w:tcBorders>
          </w:tcPr>
          <w:p>
            <w:pPr>
              <w:pStyle w:val="TableParagraph"/>
              <w:spacing w:line="274" w:lineRule="exact"/>
              <w:ind w:left="59" w:right="59"/>
              <w:rPr>
                <w:sz w:val="24"/>
              </w:rPr>
            </w:pPr>
            <w:r>
              <w:rPr>
                <w:sz w:val="24"/>
              </w:rPr>
              <w:t>0.037</w:t>
            </w:r>
          </w:p>
        </w:tc>
        <w:tc>
          <w:tcPr>
            <w:tcW w:w="775" w:type="dxa"/>
            <w:tcBorders>
              <w:top w:val="nil"/>
              <w:left w:val="nil"/>
              <w:bottom w:val="nil"/>
              <w:right w:val="nil"/>
            </w:tcBorders>
          </w:tcPr>
          <w:p>
            <w:pPr>
              <w:pStyle w:val="TableParagraph"/>
              <w:spacing w:line="274" w:lineRule="exact"/>
              <w:ind w:right="81"/>
              <w:jc w:val="right"/>
              <w:rPr>
                <w:sz w:val="24"/>
              </w:rPr>
            </w:pPr>
            <w:r>
              <w:rPr>
                <w:sz w:val="24"/>
              </w:rPr>
              <w:t>0.019</w:t>
            </w:r>
          </w:p>
        </w:tc>
      </w:tr>
      <w:tr>
        <w:trPr>
          <w:trHeight w:val="632" w:hRule="exact"/>
        </w:trPr>
        <w:tc>
          <w:tcPr>
            <w:tcW w:w="1712" w:type="dxa"/>
            <w:tcBorders>
              <w:top w:val="nil"/>
              <w:left w:val="nil"/>
              <w:bottom w:val="double" w:sz="6" w:space="0" w:color="000000"/>
              <w:right w:val="nil"/>
            </w:tcBorders>
          </w:tcPr>
          <w:p>
            <w:pPr>
              <w:pStyle w:val="TableParagraph"/>
              <w:ind w:left="72" w:right="352"/>
              <w:jc w:val="left"/>
              <w:rPr>
                <w:sz w:val="24"/>
              </w:rPr>
            </w:pPr>
            <w:r>
              <w:rPr>
                <w:sz w:val="24"/>
              </w:rPr>
              <w:t>SEM</w:t>
            </w:r>
          </w:p>
        </w:tc>
        <w:tc>
          <w:tcPr>
            <w:tcW w:w="755" w:type="dxa"/>
            <w:tcBorders>
              <w:top w:val="nil"/>
              <w:left w:val="nil"/>
              <w:bottom w:val="double" w:sz="6" w:space="0" w:color="000000"/>
              <w:right w:val="nil"/>
            </w:tcBorders>
          </w:tcPr>
          <w:p>
            <w:pPr>
              <w:pStyle w:val="TableParagraph"/>
              <w:ind w:left="64" w:right="49"/>
              <w:rPr>
                <w:sz w:val="24"/>
              </w:rPr>
            </w:pPr>
            <w:r>
              <w:rPr>
                <w:sz w:val="24"/>
              </w:rPr>
              <w:t>8.8</w:t>
            </w:r>
          </w:p>
        </w:tc>
        <w:tc>
          <w:tcPr>
            <w:tcW w:w="742" w:type="dxa"/>
            <w:tcBorders>
              <w:top w:val="nil"/>
              <w:left w:val="nil"/>
              <w:bottom w:val="double" w:sz="6" w:space="0" w:color="000000"/>
              <w:right w:val="nil"/>
            </w:tcBorders>
          </w:tcPr>
          <w:p>
            <w:pPr>
              <w:pStyle w:val="TableParagraph"/>
              <w:ind w:left="50" w:right="50"/>
              <w:rPr>
                <w:sz w:val="24"/>
              </w:rPr>
            </w:pPr>
            <w:r>
              <w:rPr>
                <w:sz w:val="24"/>
              </w:rPr>
              <w:t>0.1</w:t>
            </w:r>
          </w:p>
        </w:tc>
        <w:tc>
          <w:tcPr>
            <w:tcW w:w="742" w:type="dxa"/>
            <w:tcBorders>
              <w:top w:val="nil"/>
              <w:left w:val="nil"/>
              <w:bottom w:val="double" w:sz="6" w:space="0" w:color="000000"/>
              <w:right w:val="nil"/>
            </w:tcBorders>
          </w:tcPr>
          <w:p>
            <w:pPr>
              <w:pStyle w:val="TableParagraph"/>
              <w:ind w:left="50" w:right="49"/>
              <w:rPr>
                <w:sz w:val="24"/>
              </w:rPr>
            </w:pPr>
            <w:r>
              <w:rPr>
                <w:sz w:val="24"/>
              </w:rPr>
              <w:t>10.1</w:t>
            </w:r>
          </w:p>
        </w:tc>
        <w:tc>
          <w:tcPr>
            <w:tcW w:w="742" w:type="dxa"/>
            <w:tcBorders>
              <w:top w:val="nil"/>
              <w:left w:val="nil"/>
              <w:bottom w:val="double" w:sz="6" w:space="0" w:color="000000"/>
              <w:right w:val="nil"/>
            </w:tcBorders>
          </w:tcPr>
          <w:p>
            <w:pPr>
              <w:pStyle w:val="TableParagraph"/>
              <w:ind w:right="68"/>
              <w:jc w:val="right"/>
              <w:rPr>
                <w:sz w:val="24"/>
              </w:rPr>
            </w:pPr>
            <w:r>
              <w:rPr>
                <w:sz w:val="24"/>
              </w:rPr>
              <w:t>0.009</w:t>
            </w:r>
          </w:p>
        </w:tc>
        <w:tc>
          <w:tcPr>
            <w:tcW w:w="814" w:type="dxa"/>
            <w:tcBorders>
              <w:top w:val="nil"/>
              <w:left w:val="nil"/>
              <w:bottom w:val="double" w:sz="6" w:space="0" w:color="000000"/>
              <w:right w:val="nil"/>
            </w:tcBorders>
          </w:tcPr>
          <w:p>
            <w:pPr>
              <w:pStyle w:val="TableParagraph"/>
              <w:ind w:left="53" w:right="120"/>
              <w:rPr>
                <w:sz w:val="24"/>
              </w:rPr>
            </w:pPr>
            <w:r>
              <w:rPr>
                <w:sz w:val="24"/>
              </w:rPr>
              <w:t>0.6</w:t>
            </w:r>
          </w:p>
        </w:tc>
        <w:tc>
          <w:tcPr>
            <w:tcW w:w="1036" w:type="dxa"/>
            <w:tcBorders>
              <w:top w:val="nil"/>
              <w:left w:val="nil"/>
              <w:bottom w:val="double" w:sz="6" w:space="0" w:color="000000"/>
              <w:right w:val="nil"/>
            </w:tcBorders>
          </w:tcPr>
          <w:p>
            <w:pPr>
              <w:pStyle w:val="TableParagraph"/>
              <w:ind w:left="385"/>
              <w:jc w:val="left"/>
              <w:rPr>
                <w:sz w:val="24"/>
              </w:rPr>
            </w:pPr>
            <w:r>
              <w:rPr>
                <w:sz w:val="24"/>
              </w:rPr>
              <w:t>3.7</w:t>
            </w:r>
          </w:p>
        </w:tc>
        <w:tc>
          <w:tcPr>
            <w:tcW w:w="989" w:type="dxa"/>
            <w:tcBorders>
              <w:top w:val="nil"/>
              <w:left w:val="nil"/>
              <w:bottom w:val="double" w:sz="6" w:space="0" w:color="000000"/>
              <w:right w:val="nil"/>
            </w:tcBorders>
          </w:tcPr>
          <w:p>
            <w:pPr>
              <w:pStyle w:val="TableParagraph"/>
              <w:ind w:left="289"/>
              <w:jc w:val="left"/>
              <w:rPr>
                <w:sz w:val="24"/>
              </w:rPr>
            </w:pPr>
            <w:r>
              <w:rPr>
                <w:sz w:val="24"/>
              </w:rPr>
              <w:t>2.2</w:t>
            </w:r>
          </w:p>
        </w:tc>
        <w:tc>
          <w:tcPr>
            <w:tcW w:w="1054" w:type="dxa"/>
            <w:tcBorders>
              <w:top w:val="nil"/>
              <w:left w:val="nil"/>
              <w:bottom w:val="double" w:sz="6" w:space="0" w:color="000000"/>
              <w:right w:val="nil"/>
            </w:tcBorders>
          </w:tcPr>
          <w:p>
            <w:pPr>
              <w:pStyle w:val="TableParagraph"/>
              <w:ind w:left="159" w:right="68"/>
              <w:rPr>
                <w:sz w:val="24"/>
              </w:rPr>
            </w:pPr>
            <w:r>
              <w:rPr>
                <w:sz w:val="24"/>
              </w:rPr>
              <w:t>11.6</w:t>
            </w:r>
          </w:p>
        </w:tc>
        <w:tc>
          <w:tcPr>
            <w:tcW w:w="989" w:type="dxa"/>
            <w:tcBorders>
              <w:top w:val="nil"/>
              <w:left w:val="nil"/>
              <w:bottom w:val="double" w:sz="6" w:space="0" w:color="000000"/>
              <w:right w:val="nil"/>
            </w:tcBorders>
          </w:tcPr>
          <w:p>
            <w:pPr>
              <w:pStyle w:val="TableParagraph"/>
              <w:ind w:left="68" w:right="49"/>
              <w:rPr>
                <w:sz w:val="24"/>
              </w:rPr>
            </w:pPr>
            <w:r>
              <w:rPr>
                <w:sz w:val="24"/>
              </w:rPr>
              <w:t>13</w:t>
            </w:r>
          </w:p>
        </w:tc>
        <w:tc>
          <w:tcPr>
            <w:tcW w:w="987" w:type="dxa"/>
            <w:tcBorders>
              <w:top w:val="nil"/>
              <w:left w:val="nil"/>
              <w:bottom w:val="double" w:sz="6" w:space="0" w:color="000000"/>
              <w:right w:val="nil"/>
            </w:tcBorders>
          </w:tcPr>
          <w:p>
            <w:pPr>
              <w:pStyle w:val="TableParagraph"/>
              <w:ind w:left="59" w:right="58"/>
              <w:rPr>
                <w:sz w:val="24"/>
              </w:rPr>
            </w:pPr>
            <w:r>
              <w:rPr>
                <w:sz w:val="24"/>
              </w:rPr>
              <w:t>27</w:t>
            </w:r>
          </w:p>
        </w:tc>
        <w:tc>
          <w:tcPr>
            <w:tcW w:w="775" w:type="dxa"/>
            <w:tcBorders>
              <w:top w:val="nil"/>
              <w:left w:val="nil"/>
              <w:bottom w:val="double" w:sz="6" w:space="0" w:color="000000"/>
              <w:right w:val="nil"/>
            </w:tcBorders>
          </w:tcPr>
          <w:p>
            <w:pPr>
              <w:pStyle w:val="TableParagraph"/>
              <w:ind w:left="223"/>
              <w:jc w:val="left"/>
              <w:rPr>
                <w:sz w:val="24"/>
              </w:rPr>
            </w:pPr>
            <w:r>
              <w:rPr>
                <w:sz w:val="24"/>
              </w:rPr>
              <w:t>0.2</w:t>
            </w:r>
          </w:p>
        </w:tc>
      </w:tr>
      <w:tr>
        <w:trPr>
          <w:trHeight w:val="843" w:hRule="exact"/>
        </w:trPr>
        <w:tc>
          <w:tcPr>
            <w:tcW w:w="11336" w:type="dxa"/>
            <w:gridSpan w:val="12"/>
            <w:tcBorders>
              <w:top w:val="double" w:sz="6" w:space="0" w:color="000000"/>
              <w:left w:val="nil"/>
              <w:bottom w:val="nil"/>
              <w:right w:val="nil"/>
            </w:tcBorders>
          </w:tcPr>
          <w:p>
            <w:pPr>
              <w:pStyle w:val="TableParagraph"/>
              <w:ind w:left="72" w:right="61"/>
              <w:jc w:val="both"/>
              <w:rPr>
                <w:sz w:val="18"/>
              </w:rPr>
            </w:pPr>
            <w:r>
              <w:rPr>
                <w:sz w:val="18"/>
              </w:rPr>
              <w:t>a: Fermentation rate at 4 hours of fermentation; ca: Fermentation rate in fraction a; b: potential gas production; cb: Fermentation rate in fraction b; lag: Phase prior to initiating fermentation of the NDF; GP: gas production; dDM: digestibility of dry matter; dOM: digestibility of organic matter; dNDF: digestibility of neutral detergent fiber; ME: metabolizable energy; abcdef: differences in the letters in the columns indicate significant differences (P &lt;0.05). SEM: Standard error of the mean.</w:t>
            </w:r>
          </w:p>
        </w:tc>
      </w:tr>
    </w:tbl>
    <w:p>
      <w:pPr>
        <w:spacing w:after="0"/>
        <w:jc w:val="both"/>
        <w:rPr>
          <w:sz w:val="18"/>
        </w:rPr>
        <w:sectPr>
          <w:pgSz w:w="15840" w:h="12240" w:orient="landscape"/>
          <w:pgMar w:header="0" w:footer="1478" w:top="1140" w:bottom="1660" w:left="1300" w:right="2140"/>
        </w:sectPr>
      </w:pPr>
    </w:p>
    <w:p>
      <w:pPr>
        <w:pStyle w:val="BodyText"/>
        <w:spacing w:line="480" w:lineRule="auto" w:before="52"/>
        <w:ind w:left="419" w:right="49"/>
      </w:pPr>
      <w:r>
        <w:rPr/>
        <w:t>Table 5: Effect from three inclusion levels of tannin extract (ml /g DMS) added to a base diet, on the parameters of </w:t>
      </w:r>
      <w:r>
        <w:rPr>
          <w:i/>
        </w:rPr>
        <w:t>in vitro </w:t>
      </w:r>
      <w:r>
        <w:rPr/>
        <w:t>ruminal fermentation kinetics.</w:t>
      </w:r>
    </w:p>
    <w:p>
      <w:pPr>
        <w:pStyle w:val="BodyText"/>
        <w:rPr>
          <w:sz w:val="20"/>
        </w:rPr>
      </w:pPr>
    </w:p>
    <w:p>
      <w:pPr>
        <w:pStyle w:val="BodyText"/>
        <w:spacing w:before="1"/>
        <w:rPr>
          <w:sz w:val="29"/>
        </w:rPr>
      </w:pPr>
    </w:p>
    <w:tbl>
      <w:tblPr>
        <w:tblW w:w="0" w:type="auto"/>
        <w:jc w:val="left"/>
        <w:tblInd w:w="102"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732"/>
        <w:gridCol w:w="1125"/>
        <w:gridCol w:w="763"/>
        <w:gridCol w:w="656"/>
        <w:gridCol w:w="787"/>
        <w:gridCol w:w="677"/>
        <w:gridCol w:w="696"/>
        <w:gridCol w:w="842"/>
        <w:gridCol w:w="797"/>
        <w:gridCol w:w="795"/>
        <w:gridCol w:w="604"/>
      </w:tblGrid>
      <w:tr>
        <w:trPr>
          <w:trHeight w:val="939" w:hRule="exact"/>
        </w:trPr>
        <w:tc>
          <w:tcPr>
            <w:tcW w:w="1732" w:type="dxa"/>
            <w:tcBorders>
              <w:left w:val="nil"/>
              <w:bottom w:val="nil"/>
              <w:right w:val="nil"/>
            </w:tcBorders>
          </w:tcPr>
          <w:p>
            <w:pPr>
              <w:pStyle w:val="TableParagraph"/>
              <w:jc w:val="left"/>
              <w:rPr>
                <w:sz w:val="24"/>
              </w:rPr>
            </w:pPr>
          </w:p>
          <w:p>
            <w:pPr>
              <w:pStyle w:val="TableParagraph"/>
              <w:jc w:val="left"/>
              <w:rPr>
                <w:sz w:val="24"/>
              </w:rPr>
            </w:pPr>
          </w:p>
          <w:p>
            <w:pPr>
              <w:pStyle w:val="TableParagraph"/>
              <w:ind w:left="71"/>
              <w:jc w:val="left"/>
              <w:rPr>
                <w:sz w:val="24"/>
              </w:rPr>
            </w:pPr>
            <w:r>
              <w:rPr>
                <w:sz w:val="24"/>
              </w:rPr>
              <w:t>Species</w:t>
            </w:r>
          </w:p>
        </w:tc>
        <w:tc>
          <w:tcPr>
            <w:tcW w:w="1125" w:type="dxa"/>
            <w:tcBorders>
              <w:left w:val="nil"/>
              <w:bottom w:val="nil"/>
              <w:right w:val="nil"/>
            </w:tcBorders>
          </w:tcPr>
          <w:p>
            <w:pPr>
              <w:pStyle w:val="TableParagraph"/>
              <w:spacing w:before="9"/>
              <w:jc w:val="left"/>
              <w:rPr>
                <w:sz w:val="23"/>
              </w:rPr>
            </w:pPr>
          </w:p>
          <w:p>
            <w:pPr>
              <w:pStyle w:val="TableParagraph"/>
              <w:spacing w:line="242" w:lineRule="auto"/>
              <w:ind w:left="102" w:right="55"/>
              <w:jc w:val="left"/>
              <w:rPr>
                <w:sz w:val="24"/>
              </w:rPr>
            </w:pPr>
            <w:r>
              <w:rPr>
                <w:sz w:val="24"/>
              </w:rPr>
              <w:t>Inclusion level</w:t>
            </w:r>
          </w:p>
        </w:tc>
        <w:tc>
          <w:tcPr>
            <w:tcW w:w="3580" w:type="dxa"/>
            <w:gridSpan w:val="5"/>
            <w:tcBorders>
              <w:left w:val="nil"/>
              <w:bottom w:val="nil"/>
              <w:right w:val="nil"/>
            </w:tcBorders>
          </w:tcPr>
          <w:p>
            <w:pPr>
              <w:pStyle w:val="TableParagraph"/>
              <w:spacing w:before="9"/>
              <w:jc w:val="left"/>
              <w:rPr>
                <w:sz w:val="23"/>
              </w:rPr>
            </w:pPr>
          </w:p>
          <w:p>
            <w:pPr>
              <w:pStyle w:val="TableParagraph"/>
              <w:ind w:right="79"/>
              <w:rPr>
                <w:sz w:val="24"/>
              </w:rPr>
            </w:pPr>
            <w:r>
              <w:rPr>
                <w:sz w:val="24"/>
              </w:rPr>
              <w:t>Fermentation parameters (ml</w:t>
            </w:r>
          </w:p>
          <w:p>
            <w:pPr>
              <w:pStyle w:val="TableParagraph"/>
              <w:tabs>
                <w:tab w:pos="1195" w:val="left" w:leader="none"/>
                <w:tab w:pos="3505" w:val="left" w:leader="none"/>
              </w:tabs>
              <w:spacing w:before="2"/>
              <w:ind w:right="70"/>
              <w:rPr>
                <w:sz w:val="24"/>
              </w:rPr>
            </w:pPr>
            <w:r>
              <w:rPr>
                <w:w w:val="100"/>
                <w:sz w:val="24"/>
                <w:u w:val="single"/>
              </w:rPr>
              <w:t> </w:t>
            </w:r>
            <w:r>
              <w:rPr>
                <w:sz w:val="24"/>
                <w:u w:val="single"/>
              </w:rPr>
              <w:tab/>
              <w:t>gas/g</w:t>
            </w:r>
            <w:r>
              <w:rPr>
                <w:spacing w:val="-4"/>
                <w:sz w:val="24"/>
                <w:u w:val="single"/>
              </w:rPr>
              <w:t> </w:t>
            </w:r>
            <w:r>
              <w:rPr>
                <w:sz w:val="24"/>
                <w:u w:val="single"/>
              </w:rPr>
              <w:t>DM)</w:t>
              <w:tab/>
            </w:r>
          </w:p>
        </w:tc>
        <w:tc>
          <w:tcPr>
            <w:tcW w:w="3038" w:type="dxa"/>
            <w:gridSpan w:val="4"/>
            <w:tcBorders>
              <w:left w:val="nil"/>
              <w:bottom w:val="nil"/>
              <w:right w:val="nil"/>
            </w:tcBorders>
          </w:tcPr>
          <w:p>
            <w:pPr>
              <w:pStyle w:val="TableParagraph"/>
              <w:spacing w:line="274" w:lineRule="exact" w:before="6"/>
              <w:ind w:left="152" w:right="83" w:hanging="1"/>
              <w:rPr>
                <w:sz w:val="24"/>
              </w:rPr>
            </w:pPr>
            <w:r>
              <w:rPr>
                <w:sz w:val="24"/>
              </w:rPr>
              <w:t>Digestibility of substrates (g/kg DM) and ME (MJ /kg</w:t>
            </w:r>
          </w:p>
          <w:p>
            <w:pPr>
              <w:pStyle w:val="TableParagraph"/>
              <w:tabs>
                <w:tab w:pos="1328" w:val="left" w:leader="none"/>
                <w:tab w:pos="3037" w:val="left" w:leader="none"/>
              </w:tabs>
              <w:spacing w:line="274" w:lineRule="exact"/>
              <w:ind w:left="70"/>
              <w:rPr>
                <w:sz w:val="24"/>
              </w:rPr>
            </w:pPr>
            <w:r>
              <w:rPr>
                <w:w w:val="100"/>
                <w:sz w:val="24"/>
                <w:u w:val="single"/>
              </w:rPr>
              <w:t> </w:t>
            </w:r>
            <w:r>
              <w:rPr>
                <w:sz w:val="24"/>
                <w:u w:val="single"/>
              </w:rPr>
              <w:tab/>
              <w:t>DM)</w:t>
              <w:tab/>
            </w:r>
          </w:p>
        </w:tc>
      </w:tr>
      <w:tr>
        <w:trPr>
          <w:trHeight w:val="490" w:hRule="exact"/>
        </w:trPr>
        <w:tc>
          <w:tcPr>
            <w:tcW w:w="1732" w:type="dxa"/>
            <w:tcBorders>
              <w:top w:val="nil"/>
              <w:left w:val="nil"/>
              <w:bottom w:val="nil"/>
              <w:right w:val="nil"/>
            </w:tcBorders>
          </w:tcPr>
          <w:p>
            <w:pPr/>
          </w:p>
        </w:tc>
        <w:tc>
          <w:tcPr>
            <w:tcW w:w="1125" w:type="dxa"/>
            <w:tcBorders>
              <w:top w:val="nil"/>
              <w:left w:val="nil"/>
              <w:bottom w:val="nil"/>
              <w:right w:val="nil"/>
            </w:tcBorders>
          </w:tcPr>
          <w:p>
            <w:pPr/>
          </w:p>
        </w:tc>
        <w:tc>
          <w:tcPr>
            <w:tcW w:w="763" w:type="dxa"/>
            <w:tcBorders>
              <w:top w:val="nil"/>
              <w:left w:val="nil"/>
              <w:bottom w:val="nil"/>
              <w:right w:val="nil"/>
            </w:tcBorders>
          </w:tcPr>
          <w:p>
            <w:pPr>
              <w:pStyle w:val="TableParagraph"/>
              <w:spacing w:before="63"/>
              <w:ind w:right="20"/>
              <w:rPr>
                <w:i/>
                <w:sz w:val="24"/>
              </w:rPr>
            </w:pPr>
            <w:r>
              <w:rPr>
                <w:i/>
                <w:w w:val="99"/>
                <w:sz w:val="24"/>
              </w:rPr>
              <w:t>a</w:t>
            </w:r>
          </w:p>
        </w:tc>
        <w:tc>
          <w:tcPr>
            <w:tcW w:w="656" w:type="dxa"/>
            <w:tcBorders>
              <w:top w:val="nil"/>
              <w:left w:val="nil"/>
              <w:bottom w:val="nil"/>
              <w:right w:val="nil"/>
            </w:tcBorders>
          </w:tcPr>
          <w:p>
            <w:pPr>
              <w:pStyle w:val="TableParagraph"/>
              <w:spacing w:before="63"/>
              <w:ind w:left="193"/>
              <w:jc w:val="left"/>
              <w:rPr>
                <w:i/>
                <w:sz w:val="24"/>
              </w:rPr>
            </w:pPr>
            <w:r>
              <w:rPr>
                <w:i/>
                <w:sz w:val="24"/>
              </w:rPr>
              <w:t>ca</w:t>
            </w:r>
          </w:p>
        </w:tc>
        <w:tc>
          <w:tcPr>
            <w:tcW w:w="787" w:type="dxa"/>
            <w:tcBorders>
              <w:top w:val="nil"/>
              <w:left w:val="nil"/>
              <w:bottom w:val="nil"/>
              <w:right w:val="nil"/>
            </w:tcBorders>
          </w:tcPr>
          <w:p>
            <w:pPr>
              <w:pStyle w:val="TableParagraph"/>
              <w:spacing w:before="63"/>
              <w:ind w:left="15"/>
              <w:rPr>
                <w:i/>
                <w:sz w:val="24"/>
              </w:rPr>
            </w:pPr>
            <w:r>
              <w:rPr>
                <w:i/>
                <w:w w:val="99"/>
                <w:sz w:val="24"/>
              </w:rPr>
              <w:t>b</w:t>
            </w:r>
          </w:p>
        </w:tc>
        <w:tc>
          <w:tcPr>
            <w:tcW w:w="677" w:type="dxa"/>
            <w:tcBorders>
              <w:top w:val="nil"/>
              <w:left w:val="nil"/>
              <w:bottom w:val="nil"/>
              <w:right w:val="nil"/>
            </w:tcBorders>
          </w:tcPr>
          <w:p>
            <w:pPr>
              <w:pStyle w:val="TableParagraph"/>
              <w:spacing w:before="63"/>
              <w:ind w:left="85"/>
              <w:jc w:val="left"/>
              <w:rPr>
                <w:i/>
                <w:sz w:val="24"/>
              </w:rPr>
            </w:pPr>
            <w:r>
              <w:rPr>
                <w:i/>
                <w:sz w:val="24"/>
              </w:rPr>
              <w:t>cb</w:t>
            </w:r>
          </w:p>
        </w:tc>
        <w:tc>
          <w:tcPr>
            <w:tcW w:w="696" w:type="dxa"/>
            <w:tcBorders>
              <w:top w:val="nil"/>
              <w:left w:val="nil"/>
              <w:bottom w:val="nil"/>
              <w:right w:val="nil"/>
            </w:tcBorders>
          </w:tcPr>
          <w:p>
            <w:pPr>
              <w:pStyle w:val="TableParagraph"/>
              <w:spacing w:before="63"/>
              <w:ind w:right="172"/>
              <w:jc w:val="right"/>
              <w:rPr>
                <w:i/>
                <w:sz w:val="24"/>
              </w:rPr>
            </w:pPr>
            <w:r>
              <w:rPr>
                <w:i/>
                <w:w w:val="95"/>
                <w:sz w:val="24"/>
              </w:rPr>
              <w:t>Lag</w:t>
            </w:r>
          </w:p>
        </w:tc>
        <w:tc>
          <w:tcPr>
            <w:tcW w:w="842" w:type="dxa"/>
            <w:tcBorders>
              <w:top w:val="nil"/>
              <w:left w:val="nil"/>
              <w:bottom w:val="nil"/>
              <w:right w:val="nil"/>
            </w:tcBorders>
          </w:tcPr>
          <w:p>
            <w:pPr>
              <w:pStyle w:val="TableParagraph"/>
              <w:spacing w:before="63"/>
              <w:ind w:left="185"/>
              <w:jc w:val="left"/>
              <w:rPr>
                <w:sz w:val="24"/>
              </w:rPr>
            </w:pPr>
            <w:r>
              <w:rPr>
                <w:sz w:val="24"/>
              </w:rPr>
              <w:t>dDM</w:t>
            </w:r>
          </w:p>
        </w:tc>
        <w:tc>
          <w:tcPr>
            <w:tcW w:w="797" w:type="dxa"/>
            <w:tcBorders>
              <w:top w:val="nil"/>
              <w:left w:val="nil"/>
              <w:bottom w:val="nil"/>
              <w:right w:val="nil"/>
            </w:tcBorders>
          </w:tcPr>
          <w:p>
            <w:pPr>
              <w:pStyle w:val="TableParagraph"/>
              <w:spacing w:before="63"/>
              <w:ind w:left="78" w:right="74"/>
              <w:rPr>
                <w:sz w:val="24"/>
              </w:rPr>
            </w:pPr>
            <w:r>
              <w:rPr>
                <w:sz w:val="24"/>
              </w:rPr>
              <w:t>dOM</w:t>
            </w:r>
          </w:p>
        </w:tc>
        <w:tc>
          <w:tcPr>
            <w:tcW w:w="795" w:type="dxa"/>
            <w:tcBorders>
              <w:top w:val="nil"/>
              <w:left w:val="nil"/>
              <w:bottom w:val="nil"/>
              <w:right w:val="nil"/>
            </w:tcBorders>
          </w:tcPr>
          <w:p>
            <w:pPr>
              <w:pStyle w:val="TableParagraph"/>
              <w:spacing w:before="63"/>
              <w:ind w:left="77" w:right="51"/>
              <w:rPr>
                <w:sz w:val="24"/>
              </w:rPr>
            </w:pPr>
            <w:r>
              <w:rPr>
                <w:sz w:val="24"/>
              </w:rPr>
              <w:t>dNDF</w:t>
            </w:r>
          </w:p>
        </w:tc>
        <w:tc>
          <w:tcPr>
            <w:tcW w:w="604" w:type="dxa"/>
            <w:tcBorders>
              <w:top w:val="nil"/>
              <w:left w:val="nil"/>
              <w:bottom w:val="nil"/>
              <w:right w:val="nil"/>
            </w:tcBorders>
          </w:tcPr>
          <w:p>
            <w:pPr>
              <w:pStyle w:val="TableParagraph"/>
              <w:spacing w:before="63"/>
              <w:ind w:left="123"/>
              <w:jc w:val="left"/>
              <w:rPr>
                <w:sz w:val="24"/>
              </w:rPr>
            </w:pPr>
            <w:r>
              <w:rPr>
                <w:sz w:val="24"/>
              </w:rPr>
              <w:t>ME</w:t>
            </w:r>
          </w:p>
        </w:tc>
      </w:tr>
      <w:tr>
        <w:trPr>
          <w:trHeight w:val="833" w:hRule="exact"/>
        </w:trPr>
        <w:tc>
          <w:tcPr>
            <w:tcW w:w="1732" w:type="dxa"/>
            <w:tcBorders>
              <w:top w:val="nil"/>
              <w:left w:val="nil"/>
              <w:right w:val="nil"/>
            </w:tcBorders>
          </w:tcPr>
          <w:p>
            <w:pPr>
              <w:pStyle w:val="TableParagraph"/>
              <w:spacing w:before="125"/>
              <w:ind w:left="71"/>
              <w:jc w:val="left"/>
              <w:rPr>
                <w:sz w:val="24"/>
              </w:rPr>
            </w:pPr>
            <w:r>
              <w:rPr>
                <w:sz w:val="24"/>
              </w:rPr>
              <w:t>Base diet</w:t>
            </w:r>
          </w:p>
        </w:tc>
        <w:tc>
          <w:tcPr>
            <w:tcW w:w="1125" w:type="dxa"/>
            <w:tcBorders>
              <w:top w:val="nil"/>
              <w:left w:val="nil"/>
              <w:right w:val="nil"/>
            </w:tcBorders>
          </w:tcPr>
          <w:p>
            <w:pPr/>
          </w:p>
        </w:tc>
        <w:tc>
          <w:tcPr>
            <w:tcW w:w="763" w:type="dxa"/>
            <w:tcBorders>
              <w:top w:val="nil"/>
              <w:left w:val="nil"/>
              <w:right w:val="nil"/>
            </w:tcBorders>
          </w:tcPr>
          <w:p>
            <w:pPr>
              <w:pStyle w:val="TableParagraph"/>
              <w:spacing w:before="125"/>
              <w:ind w:right="152"/>
              <w:jc w:val="right"/>
              <w:rPr>
                <w:sz w:val="24"/>
              </w:rPr>
            </w:pPr>
            <w:r>
              <w:rPr>
                <w:sz w:val="24"/>
              </w:rPr>
              <w:t>28.5</w:t>
            </w:r>
          </w:p>
        </w:tc>
        <w:tc>
          <w:tcPr>
            <w:tcW w:w="656" w:type="dxa"/>
            <w:tcBorders>
              <w:top w:val="nil"/>
              <w:left w:val="nil"/>
              <w:right w:val="nil"/>
            </w:tcBorders>
          </w:tcPr>
          <w:p>
            <w:pPr>
              <w:pStyle w:val="TableParagraph"/>
              <w:spacing w:before="125"/>
              <w:ind w:left="154"/>
              <w:jc w:val="left"/>
              <w:rPr>
                <w:sz w:val="24"/>
              </w:rPr>
            </w:pPr>
            <w:r>
              <w:rPr>
                <w:sz w:val="24"/>
              </w:rPr>
              <w:t>0.2</w:t>
            </w:r>
          </w:p>
        </w:tc>
        <w:tc>
          <w:tcPr>
            <w:tcW w:w="787" w:type="dxa"/>
            <w:tcBorders>
              <w:top w:val="nil"/>
              <w:left w:val="nil"/>
              <w:right w:val="nil"/>
            </w:tcBorders>
          </w:tcPr>
          <w:p>
            <w:pPr>
              <w:pStyle w:val="TableParagraph"/>
              <w:spacing w:before="125"/>
              <w:ind w:left="79" w:right="66"/>
              <w:rPr>
                <w:sz w:val="24"/>
              </w:rPr>
            </w:pPr>
            <w:r>
              <w:rPr>
                <w:sz w:val="24"/>
              </w:rPr>
              <w:t>381.7</w:t>
            </w:r>
          </w:p>
        </w:tc>
        <w:tc>
          <w:tcPr>
            <w:tcW w:w="677" w:type="dxa"/>
            <w:tcBorders>
              <w:top w:val="nil"/>
              <w:left w:val="nil"/>
              <w:right w:val="nil"/>
            </w:tcBorders>
          </w:tcPr>
          <w:p>
            <w:pPr>
              <w:pStyle w:val="TableParagraph"/>
              <w:spacing w:before="125"/>
              <w:ind w:left="123"/>
              <w:jc w:val="left"/>
              <w:rPr>
                <w:sz w:val="24"/>
              </w:rPr>
            </w:pPr>
            <w:r>
              <w:rPr>
                <w:sz w:val="24"/>
              </w:rPr>
              <w:t>0.04</w:t>
            </w:r>
          </w:p>
        </w:tc>
        <w:tc>
          <w:tcPr>
            <w:tcW w:w="696" w:type="dxa"/>
            <w:tcBorders>
              <w:top w:val="nil"/>
              <w:left w:val="nil"/>
              <w:right w:val="nil"/>
            </w:tcBorders>
          </w:tcPr>
          <w:p>
            <w:pPr>
              <w:pStyle w:val="TableParagraph"/>
              <w:spacing w:before="125"/>
              <w:ind w:right="208"/>
              <w:jc w:val="right"/>
              <w:rPr>
                <w:sz w:val="24"/>
              </w:rPr>
            </w:pPr>
            <w:r>
              <w:rPr>
                <w:w w:val="95"/>
                <w:sz w:val="24"/>
              </w:rPr>
              <w:t>7.8</w:t>
            </w:r>
          </w:p>
        </w:tc>
        <w:tc>
          <w:tcPr>
            <w:tcW w:w="842" w:type="dxa"/>
            <w:tcBorders>
              <w:top w:val="nil"/>
              <w:left w:val="nil"/>
              <w:right w:val="nil"/>
            </w:tcBorders>
          </w:tcPr>
          <w:p>
            <w:pPr>
              <w:pStyle w:val="TableParagraph"/>
              <w:spacing w:before="125"/>
              <w:ind w:left="142"/>
              <w:jc w:val="left"/>
              <w:rPr>
                <w:sz w:val="24"/>
              </w:rPr>
            </w:pPr>
            <w:r>
              <w:rPr>
                <w:sz w:val="24"/>
              </w:rPr>
              <w:t>735.7</w:t>
            </w:r>
          </w:p>
        </w:tc>
        <w:tc>
          <w:tcPr>
            <w:tcW w:w="797" w:type="dxa"/>
            <w:tcBorders>
              <w:top w:val="nil"/>
              <w:left w:val="nil"/>
              <w:right w:val="nil"/>
            </w:tcBorders>
          </w:tcPr>
          <w:p>
            <w:pPr>
              <w:pStyle w:val="TableParagraph"/>
              <w:spacing w:before="125"/>
              <w:ind w:left="78" w:right="78"/>
              <w:rPr>
                <w:sz w:val="24"/>
              </w:rPr>
            </w:pPr>
            <w:r>
              <w:rPr>
                <w:sz w:val="24"/>
              </w:rPr>
              <w:t>682.5</w:t>
            </w:r>
          </w:p>
        </w:tc>
        <w:tc>
          <w:tcPr>
            <w:tcW w:w="795" w:type="dxa"/>
            <w:tcBorders>
              <w:top w:val="nil"/>
              <w:left w:val="nil"/>
              <w:right w:val="nil"/>
            </w:tcBorders>
          </w:tcPr>
          <w:p>
            <w:pPr>
              <w:pStyle w:val="TableParagraph"/>
              <w:spacing w:before="125"/>
              <w:ind w:left="77" w:right="46"/>
              <w:rPr>
                <w:sz w:val="24"/>
              </w:rPr>
            </w:pPr>
            <w:r>
              <w:rPr>
                <w:sz w:val="24"/>
              </w:rPr>
              <w:t>661.8</w:t>
            </w:r>
          </w:p>
        </w:tc>
        <w:tc>
          <w:tcPr>
            <w:tcW w:w="604" w:type="dxa"/>
            <w:tcBorders>
              <w:top w:val="nil"/>
              <w:left w:val="nil"/>
              <w:right w:val="nil"/>
            </w:tcBorders>
          </w:tcPr>
          <w:p>
            <w:pPr>
              <w:pStyle w:val="TableParagraph"/>
              <w:spacing w:before="125"/>
              <w:ind w:left="71"/>
              <w:jc w:val="left"/>
              <w:rPr>
                <w:sz w:val="24"/>
              </w:rPr>
            </w:pPr>
            <w:r>
              <w:rPr>
                <w:sz w:val="24"/>
              </w:rPr>
              <w:t>10.7</w:t>
            </w:r>
          </w:p>
        </w:tc>
      </w:tr>
      <w:tr>
        <w:trPr>
          <w:trHeight w:val="358" w:hRule="exact"/>
        </w:trPr>
        <w:tc>
          <w:tcPr>
            <w:tcW w:w="1732" w:type="dxa"/>
            <w:tcBorders>
              <w:left w:val="nil"/>
              <w:bottom w:val="nil"/>
              <w:right w:val="nil"/>
            </w:tcBorders>
          </w:tcPr>
          <w:p>
            <w:pPr>
              <w:pStyle w:val="TableParagraph"/>
              <w:spacing w:before="34"/>
              <w:ind w:left="71"/>
              <w:jc w:val="left"/>
              <w:rPr>
                <w:i/>
                <w:sz w:val="24"/>
              </w:rPr>
            </w:pPr>
            <w:r>
              <w:rPr>
                <w:i/>
                <w:sz w:val="24"/>
              </w:rPr>
              <w:t>C. sulphureus</w:t>
            </w:r>
          </w:p>
        </w:tc>
        <w:tc>
          <w:tcPr>
            <w:tcW w:w="1125" w:type="dxa"/>
            <w:tcBorders>
              <w:left w:val="nil"/>
              <w:bottom w:val="nil"/>
              <w:right w:val="nil"/>
            </w:tcBorders>
          </w:tcPr>
          <w:p>
            <w:pPr>
              <w:pStyle w:val="TableParagraph"/>
              <w:spacing w:before="34"/>
              <w:ind w:left="102" w:right="55"/>
              <w:jc w:val="left"/>
              <w:rPr>
                <w:sz w:val="24"/>
              </w:rPr>
            </w:pPr>
            <w:r>
              <w:rPr>
                <w:sz w:val="24"/>
              </w:rPr>
              <w:t>High</w:t>
            </w:r>
          </w:p>
        </w:tc>
        <w:tc>
          <w:tcPr>
            <w:tcW w:w="763" w:type="dxa"/>
            <w:tcBorders>
              <w:left w:val="nil"/>
              <w:bottom w:val="nil"/>
              <w:right w:val="nil"/>
            </w:tcBorders>
          </w:tcPr>
          <w:p>
            <w:pPr>
              <w:pStyle w:val="TableParagraph"/>
              <w:spacing w:before="34"/>
              <w:ind w:right="152"/>
              <w:jc w:val="right"/>
              <w:rPr>
                <w:sz w:val="24"/>
              </w:rPr>
            </w:pPr>
            <w:r>
              <w:rPr>
                <w:sz w:val="24"/>
              </w:rPr>
              <w:t>19.2</w:t>
            </w:r>
          </w:p>
        </w:tc>
        <w:tc>
          <w:tcPr>
            <w:tcW w:w="656" w:type="dxa"/>
            <w:tcBorders>
              <w:left w:val="nil"/>
              <w:bottom w:val="nil"/>
              <w:right w:val="nil"/>
            </w:tcBorders>
          </w:tcPr>
          <w:p>
            <w:pPr>
              <w:pStyle w:val="TableParagraph"/>
              <w:spacing w:before="34"/>
              <w:ind w:left="87"/>
              <w:jc w:val="left"/>
              <w:rPr>
                <w:sz w:val="24"/>
              </w:rPr>
            </w:pPr>
            <w:r>
              <w:rPr>
                <w:sz w:val="24"/>
              </w:rPr>
              <w:t>0.08</w:t>
            </w:r>
          </w:p>
        </w:tc>
        <w:tc>
          <w:tcPr>
            <w:tcW w:w="787" w:type="dxa"/>
            <w:tcBorders>
              <w:left w:val="nil"/>
              <w:bottom w:val="nil"/>
              <w:right w:val="nil"/>
            </w:tcBorders>
          </w:tcPr>
          <w:p>
            <w:pPr>
              <w:pStyle w:val="TableParagraph"/>
              <w:spacing w:before="34"/>
              <w:ind w:left="79" w:right="66"/>
              <w:rPr>
                <w:sz w:val="24"/>
              </w:rPr>
            </w:pPr>
            <w:r>
              <w:rPr>
                <w:sz w:val="24"/>
              </w:rPr>
              <w:t>440.8</w:t>
            </w:r>
          </w:p>
        </w:tc>
        <w:tc>
          <w:tcPr>
            <w:tcW w:w="677" w:type="dxa"/>
            <w:tcBorders>
              <w:left w:val="nil"/>
              <w:bottom w:val="nil"/>
              <w:right w:val="nil"/>
            </w:tcBorders>
          </w:tcPr>
          <w:p>
            <w:pPr>
              <w:pStyle w:val="TableParagraph"/>
              <w:spacing w:before="34"/>
              <w:ind w:left="123"/>
              <w:jc w:val="left"/>
              <w:rPr>
                <w:sz w:val="24"/>
              </w:rPr>
            </w:pPr>
            <w:r>
              <w:rPr>
                <w:sz w:val="24"/>
              </w:rPr>
              <w:t>0.01</w:t>
            </w:r>
          </w:p>
        </w:tc>
        <w:tc>
          <w:tcPr>
            <w:tcW w:w="696" w:type="dxa"/>
            <w:tcBorders>
              <w:left w:val="nil"/>
              <w:bottom w:val="nil"/>
              <w:right w:val="nil"/>
            </w:tcBorders>
          </w:tcPr>
          <w:p>
            <w:pPr>
              <w:pStyle w:val="TableParagraph"/>
              <w:spacing w:before="34"/>
              <w:ind w:right="208"/>
              <w:jc w:val="right"/>
              <w:rPr>
                <w:sz w:val="24"/>
              </w:rPr>
            </w:pPr>
            <w:r>
              <w:rPr>
                <w:w w:val="95"/>
                <w:sz w:val="24"/>
              </w:rPr>
              <w:t>5.5</w:t>
            </w:r>
          </w:p>
        </w:tc>
        <w:tc>
          <w:tcPr>
            <w:tcW w:w="842" w:type="dxa"/>
            <w:tcBorders>
              <w:left w:val="nil"/>
              <w:bottom w:val="nil"/>
              <w:right w:val="nil"/>
            </w:tcBorders>
          </w:tcPr>
          <w:p>
            <w:pPr>
              <w:pStyle w:val="TableParagraph"/>
              <w:spacing w:before="34"/>
              <w:ind w:left="142"/>
              <w:jc w:val="left"/>
              <w:rPr>
                <w:sz w:val="24"/>
              </w:rPr>
            </w:pPr>
            <w:r>
              <w:rPr>
                <w:sz w:val="24"/>
              </w:rPr>
              <w:t>676.7</w:t>
            </w:r>
          </w:p>
        </w:tc>
        <w:tc>
          <w:tcPr>
            <w:tcW w:w="797" w:type="dxa"/>
            <w:tcBorders>
              <w:left w:val="nil"/>
              <w:bottom w:val="nil"/>
              <w:right w:val="nil"/>
            </w:tcBorders>
          </w:tcPr>
          <w:p>
            <w:pPr>
              <w:pStyle w:val="TableParagraph"/>
              <w:spacing w:before="34"/>
              <w:ind w:left="78" w:right="78"/>
              <w:rPr>
                <w:sz w:val="24"/>
              </w:rPr>
            </w:pPr>
            <w:r>
              <w:rPr>
                <w:sz w:val="24"/>
              </w:rPr>
              <w:t>631.6</w:t>
            </w:r>
          </w:p>
        </w:tc>
        <w:tc>
          <w:tcPr>
            <w:tcW w:w="795" w:type="dxa"/>
            <w:tcBorders>
              <w:left w:val="nil"/>
              <w:bottom w:val="nil"/>
              <w:right w:val="nil"/>
            </w:tcBorders>
          </w:tcPr>
          <w:p>
            <w:pPr>
              <w:pStyle w:val="TableParagraph"/>
              <w:spacing w:before="34"/>
              <w:ind w:left="77" w:right="46"/>
              <w:rPr>
                <w:sz w:val="24"/>
              </w:rPr>
            </w:pPr>
            <w:r>
              <w:rPr>
                <w:sz w:val="24"/>
              </w:rPr>
              <w:t>436.1</w:t>
            </w:r>
          </w:p>
        </w:tc>
        <w:tc>
          <w:tcPr>
            <w:tcW w:w="604" w:type="dxa"/>
            <w:tcBorders>
              <w:left w:val="nil"/>
              <w:bottom w:val="nil"/>
              <w:right w:val="nil"/>
            </w:tcBorders>
          </w:tcPr>
          <w:p>
            <w:pPr>
              <w:pStyle w:val="TableParagraph"/>
              <w:spacing w:before="34"/>
              <w:ind w:left="138"/>
              <w:jc w:val="left"/>
              <w:rPr>
                <w:sz w:val="24"/>
              </w:rPr>
            </w:pPr>
            <w:r>
              <w:rPr>
                <w:sz w:val="24"/>
              </w:rPr>
              <w:t>9.9</w:t>
            </w:r>
          </w:p>
        </w:tc>
      </w:tr>
      <w:tr>
        <w:trPr>
          <w:trHeight w:val="300"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spacing w:before="1"/>
              <w:ind w:left="102" w:right="55"/>
              <w:jc w:val="left"/>
              <w:rPr>
                <w:sz w:val="24"/>
              </w:rPr>
            </w:pPr>
            <w:r>
              <w:rPr>
                <w:sz w:val="24"/>
              </w:rPr>
              <w:t>Medium</w:t>
            </w:r>
          </w:p>
        </w:tc>
        <w:tc>
          <w:tcPr>
            <w:tcW w:w="763" w:type="dxa"/>
            <w:tcBorders>
              <w:top w:val="nil"/>
              <w:left w:val="nil"/>
              <w:bottom w:val="nil"/>
              <w:right w:val="nil"/>
            </w:tcBorders>
          </w:tcPr>
          <w:p>
            <w:pPr>
              <w:pStyle w:val="TableParagraph"/>
              <w:spacing w:before="1"/>
              <w:ind w:left="236"/>
              <w:jc w:val="left"/>
              <w:rPr>
                <w:sz w:val="24"/>
              </w:rPr>
            </w:pPr>
            <w:r>
              <w:rPr>
                <w:sz w:val="24"/>
              </w:rPr>
              <w:t>17</w:t>
            </w:r>
          </w:p>
        </w:tc>
        <w:tc>
          <w:tcPr>
            <w:tcW w:w="656" w:type="dxa"/>
            <w:tcBorders>
              <w:top w:val="nil"/>
              <w:left w:val="nil"/>
              <w:bottom w:val="nil"/>
              <w:right w:val="nil"/>
            </w:tcBorders>
          </w:tcPr>
          <w:p>
            <w:pPr>
              <w:pStyle w:val="TableParagraph"/>
              <w:spacing w:before="1"/>
              <w:ind w:left="87"/>
              <w:jc w:val="left"/>
              <w:rPr>
                <w:sz w:val="24"/>
              </w:rPr>
            </w:pPr>
            <w:r>
              <w:rPr>
                <w:sz w:val="24"/>
              </w:rPr>
              <w:t>0.16</w:t>
            </w:r>
          </w:p>
        </w:tc>
        <w:tc>
          <w:tcPr>
            <w:tcW w:w="787" w:type="dxa"/>
            <w:tcBorders>
              <w:top w:val="nil"/>
              <w:left w:val="nil"/>
              <w:bottom w:val="nil"/>
              <w:right w:val="nil"/>
            </w:tcBorders>
          </w:tcPr>
          <w:p>
            <w:pPr>
              <w:pStyle w:val="TableParagraph"/>
              <w:spacing w:before="1"/>
              <w:ind w:left="79" w:right="66"/>
              <w:rPr>
                <w:sz w:val="24"/>
              </w:rPr>
            </w:pPr>
            <w:r>
              <w:rPr>
                <w:sz w:val="24"/>
              </w:rPr>
              <w:t>544.3</w:t>
            </w:r>
          </w:p>
        </w:tc>
        <w:tc>
          <w:tcPr>
            <w:tcW w:w="677" w:type="dxa"/>
            <w:tcBorders>
              <w:top w:val="nil"/>
              <w:left w:val="nil"/>
              <w:bottom w:val="nil"/>
              <w:right w:val="nil"/>
            </w:tcBorders>
          </w:tcPr>
          <w:p>
            <w:pPr>
              <w:pStyle w:val="TableParagraph"/>
              <w:spacing w:before="1"/>
              <w:ind w:left="123"/>
              <w:jc w:val="left"/>
              <w:rPr>
                <w:sz w:val="24"/>
              </w:rPr>
            </w:pPr>
            <w:r>
              <w:rPr>
                <w:sz w:val="24"/>
              </w:rPr>
              <w:t>0.01</w:t>
            </w:r>
          </w:p>
        </w:tc>
        <w:tc>
          <w:tcPr>
            <w:tcW w:w="696" w:type="dxa"/>
            <w:tcBorders>
              <w:top w:val="nil"/>
              <w:left w:val="nil"/>
              <w:bottom w:val="nil"/>
              <w:right w:val="nil"/>
            </w:tcBorders>
          </w:tcPr>
          <w:p>
            <w:pPr>
              <w:pStyle w:val="TableParagraph"/>
              <w:spacing w:before="1"/>
              <w:ind w:right="208"/>
              <w:jc w:val="right"/>
              <w:rPr>
                <w:sz w:val="24"/>
              </w:rPr>
            </w:pPr>
            <w:r>
              <w:rPr>
                <w:w w:val="95"/>
                <w:sz w:val="24"/>
              </w:rPr>
              <w:t>8.3</w:t>
            </w:r>
          </w:p>
        </w:tc>
        <w:tc>
          <w:tcPr>
            <w:tcW w:w="842" w:type="dxa"/>
            <w:tcBorders>
              <w:top w:val="nil"/>
              <w:left w:val="nil"/>
              <w:bottom w:val="nil"/>
              <w:right w:val="nil"/>
            </w:tcBorders>
          </w:tcPr>
          <w:p>
            <w:pPr>
              <w:pStyle w:val="TableParagraph"/>
              <w:spacing w:before="1"/>
              <w:ind w:left="142"/>
              <w:jc w:val="left"/>
              <w:rPr>
                <w:sz w:val="24"/>
              </w:rPr>
            </w:pPr>
            <w:r>
              <w:rPr>
                <w:sz w:val="24"/>
              </w:rPr>
              <w:t>697.2</w:t>
            </w:r>
          </w:p>
        </w:tc>
        <w:tc>
          <w:tcPr>
            <w:tcW w:w="797" w:type="dxa"/>
            <w:tcBorders>
              <w:top w:val="nil"/>
              <w:left w:val="nil"/>
              <w:bottom w:val="nil"/>
              <w:right w:val="nil"/>
            </w:tcBorders>
          </w:tcPr>
          <w:p>
            <w:pPr>
              <w:pStyle w:val="TableParagraph"/>
              <w:spacing w:before="1"/>
              <w:ind w:left="78" w:right="78"/>
              <w:rPr>
                <w:sz w:val="24"/>
              </w:rPr>
            </w:pPr>
            <w:r>
              <w:rPr>
                <w:sz w:val="24"/>
              </w:rPr>
              <w:t>655.5</w:t>
            </w:r>
          </w:p>
        </w:tc>
        <w:tc>
          <w:tcPr>
            <w:tcW w:w="795" w:type="dxa"/>
            <w:tcBorders>
              <w:top w:val="nil"/>
              <w:left w:val="nil"/>
              <w:bottom w:val="nil"/>
              <w:right w:val="nil"/>
            </w:tcBorders>
          </w:tcPr>
          <w:p>
            <w:pPr>
              <w:pStyle w:val="TableParagraph"/>
              <w:spacing w:before="1"/>
              <w:ind w:left="77" w:right="44"/>
              <w:rPr>
                <w:sz w:val="24"/>
              </w:rPr>
            </w:pPr>
            <w:r>
              <w:rPr>
                <w:sz w:val="24"/>
              </w:rPr>
              <w:t>486</w:t>
            </w:r>
          </w:p>
        </w:tc>
        <w:tc>
          <w:tcPr>
            <w:tcW w:w="604" w:type="dxa"/>
            <w:tcBorders>
              <w:top w:val="nil"/>
              <w:left w:val="nil"/>
              <w:bottom w:val="nil"/>
              <w:right w:val="nil"/>
            </w:tcBorders>
          </w:tcPr>
          <w:p>
            <w:pPr>
              <w:pStyle w:val="TableParagraph"/>
              <w:spacing w:before="1"/>
              <w:ind w:left="71"/>
              <w:jc w:val="left"/>
              <w:rPr>
                <w:sz w:val="24"/>
              </w:rPr>
            </w:pPr>
            <w:r>
              <w:rPr>
                <w:sz w:val="24"/>
              </w:rPr>
              <w:t>10.3</w:t>
            </w:r>
          </w:p>
        </w:tc>
      </w:tr>
      <w:tr>
        <w:trPr>
          <w:trHeight w:val="449"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spacing w:line="274" w:lineRule="exact"/>
              <w:ind w:left="102" w:right="55"/>
              <w:jc w:val="left"/>
              <w:rPr>
                <w:sz w:val="24"/>
              </w:rPr>
            </w:pPr>
            <w:r>
              <w:rPr>
                <w:sz w:val="24"/>
              </w:rPr>
              <w:t>Low</w:t>
            </w:r>
          </w:p>
        </w:tc>
        <w:tc>
          <w:tcPr>
            <w:tcW w:w="763" w:type="dxa"/>
            <w:tcBorders>
              <w:top w:val="nil"/>
              <w:left w:val="nil"/>
              <w:bottom w:val="nil"/>
              <w:right w:val="nil"/>
            </w:tcBorders>
          </w:tcPr>
          <w:p>
            <w:pPr>
              <w:pStyle w:val="TableParagraph"/>
              <w:spacing w:line="274" w:lineRule="exact"/>
              <w:ind w:left="207"/>
              <w:jc w:val="left"/>
              <w:rPr>
                <w:sz w:val="24"/>
              </w:rPr>
            </w:pPr>
            <w:r>
              <w:rPr>
                <w:sz w:val="24"/>
              </w:rPr>
              <w:t>9.1</w:t>
            </w:r>
          </w:p>
        </w:tc>
        <w:tc>
          <w:tcPr>
            <w:tcW w:w="656" w:type="dxa"/>
            <w:tcBorders>
              <w:top w:val="nil"/>
              <w:left w:val="nil"/>
              <w:bottom w:val="nil"/>
              <w:right w:val="nil"/>
            </w:tcBorders>
          </w:tcPr>
          <w:p>
            <w:pPr>
              <w:pStyle w:val="TableParagraph"/>
              <w:spacing w:line="274" w:lineRule="exact"/>
              <w:ind w:left="154"/>
              <w:jc w:val="left"/>
              <w:rPr>
                <w:sz w:val="24"/>
              </w:rPr>
            </w:pPr>
            <w:r>
              <w:rPr>
                <w:sz w:val="24"/>
              </w:rPr>
              <w:t>0.5</w:t>
            </w:r>
          </w:p>
        </w:tc>
        <w:tc>
          <w:tcPr>
            <w:tcW w:w="787" w:type="dxa"/>
            <w:tcBorders>
              <w:top w:val="nil"/>
              <w:left w:val="nil"/>
              <w:bottom w:val="nil"/>
              <w:right w:val="nil"/>
            </w:tcBorders>
          </w:tcPr>
          <w:p>
            <w:pPr>
              <w:pStyle w:val="TableParagraph"/>
              <w:spacing w:line="274" w:lineRule="exact"/>
              <w:ind w:left="79" w:right="66"/>
              <w:rPr>
                <w:sz w:val="24"/>
              </w:rPr>
            </w:pPr>
            <w:r>
              <w:rPr>
                <w:sz w:val="24"/>
              </w:rPr>
              <w:t>548.5</w:t>
            </w:r>
          </w:p>
        </w:tc>
        <w:tc>
          <w:tcPr>
            <w:tcW w:w="677" w:type="dxa"/>
            <w:tcBorders>
              <w:top w:val="nil"/>
              <w:left w:val="nil"/>
              <w:bottom w:val="nil"/>
              <w:right w:val="nil"/>
            </w:tcBorders>
          </w:tcPr>
          <w:p>
            <w:pPr>
              <w:pStyle w:val="TableParagraph"/>
              <w:spacing w:line="274" w:lineRule="exact"/>
              <w:ind w:left="123"/>
              <w:jc w:val="left"/>
              <w:rPr>
                <w:sz w:val="24"/>
              </w:rPr>
            </w:pPr>
            <w:r>
              <w:rPr>
                <w:sz w:val="24"/>
              </w:rPr>
              <w:t>0.02</w:t>
            </w:r>
          </w:p>
        </w:tc>
        <w:tc>
          <w:tcPr>
            <w:tcW w:w="696" w:type="dxa"/>
            <w:tcBorders>
              <w:top w:val="nil"/>
              <w:left w:val="nil"/>
              <w:bottom w:val="nil"/>
              <w:right w:val="nil"/>
            </w:tcBorders>
          </w:tcPr>
          <w:p>
            <w:pPr>
              <w:pStyle w:val="TableParagraph"/>
              <w:spacing w:line="274" w:lineRule="exact"/>
              <w:ind w:right="208"/>
              <w:jc w:val="right"/>
              <w:rPr>
                <w:sz w:val="24"/>
              </w:rPr>
            </w:pPr>
            <w:r>
              <w:rPr>
                <w:w w:val="95"/>
                <w:sz w:val="24"/>
              </w:rPr>
              <w:t>7.7</w:t>
            </w:r>
          </w:p>
        </w:tc>
        <w:tc>
          <w:tcPr>
            <w:tcW w:w="842" w:type="dxa"/>
            <w:tcBorders>
              <w:top w:val="nil"/>
              <w:left w:val="nil"/>
              <w:bottom w:val="nil"/>
              <w:right w:val="nil"/>
            </w:tcBorders>
          </w:tcPr>
          <w:p>
            <w:pPr>
              <w:pStyle w:val="TableParagraph"/>
              <w:spacing w:line="274" w:lineRule="exact"/>
              <w:ind w:left="142"/>
              <w:jc w:val="left"/>
              <w:rPr>
                <w:sz w:val="24"/>
              </w:rPr>
            </w:pPr>
            <w:r>
              <w:rPr>
                <w:sz w:val="24"/>
              </w:rPr>
              <w:t>741.3</w:t>
            </w:r>
          </w:p>
        </w:tc>
        <w:tc>
          <w:tcPr>
            <w:tcW w:w="797" w:type="dxa"/>
            <w:tcBorders>
              <w:top w:val="nil"/>
              <w:left w:val="nil"/>
              <w:bottom w:val="nil"/>
              <w:right w:val="nil"/>
            </w:tcBorders>
          </w:tcPr>
          <w:p>
            <w:pPr>
              <w:pStyle w:val="TableParagraph"/>
              <w:spacing w:line="274" w:lineRule="exact"/>
              <w:ind w:left="78" w:right="78"/>
              <w:rPr>
                <w:sz w:val="24"/>
              </w:rPr>
            </w:pPr>
            <w:r>
              <w:rPr>
                <w:sz w:val="24"/>
              </w:rPr>
              <w:t>692.9</w:t>
            </w:r>
          </w:p>
        </w:tc>
        <w:tc>
          <w:tcPr>
            <w:tcW w:w="795" w:type="dxa"/>
            <w:tcBorders>
              <w:top w:val="nil"/>
              <w:left w:val="nil"/>
              <w:bottom w:val="nil"/>
              <w:right w:val="nil"/>
            </w:tcBorders>
          </w:tcPr>
          <w:p>
            <w:pPr>
              <w:pStyle w:val="TableParagraph"/>
              <w:spacing w:line="274" w:lineRule="exact"/>
              <w:ind w:left="77" w:right="46"/>
              <w:rPr>
                <w:sz w:val="24"/>
              </w:rPr>
            </w:pPr>
            <w:r>
              <w:rPr>
                <w:sz w:val="24"/>
              </w:rPr>
              <w:t>556.7</w:t>
            </w:r>
          </w:p>
        </w:tc>
        <w:tc>
          <w:tcPr>
            <w:tcW w:w="604" w:type="dxa"/>
            <w:tcBorders>
              <w:top w:val="nil"/>
              <w:left w:val="nil"/>
              <w:bottom w:val="nil"/>
              <w:right w:val="nil"/>
            </w:tcBorders>
          </w:tcPr>
          <w:p>
            <w:pPr>
              <w:pStyle w:val="TableParagraph"/>
              <w:spacing w:line="274" w:lineRule="exact"/>
              <w:ind w:left="71"/>
              <w:jc w:val="left"/>
              <w:rPr>
                <w:sz w:val="24"/>
              </w:rPr>
            </w:pPr>
            <w:r>
              <w:rPr>
                <w:sz w:val="24"/>
              </w:rPr>
              <w:t>10.9</w:t>
            </w:r>
          </w:p>
        </w:tc>
      </w:tr>
      <w:tr>
        <w:trPr>
          <w:trHeight w:val="451" w:hRule="exact"/>
        </w:trPr>
        <w:tc>
          <w:tcPr>
            <w:tcW w:w="1732" w:type="dxa"/>
            <w:tcBorders>
              <w:top w:val="nil"/>
              <w:left w:val="nil"/>
              <w:bottom w:val="nil"/>
              <w:right w:val="nil"/>
            </w:tcBorders>
          </w:tcPr>
          <w:p>
            <w:pPr>
              <w:pStyle w:val="TableParagraph"/>
              <w:spacing w:before="149"/>
              <w:ind w:left="71"/>
              <w:jc w:val="left"/>
              <w:rPr>
                <w:i/>
                <w:sz w:val="24"/>
              </w:rPr>
            </w:pPr>
            <w:r>
              <w:rPr>
                <w:i/>
                <w:sz w:val="24"/>
              </w:rPr>
              <w:t>C. bipinnatus</w:t>
            </w:r>
          </w:p>
        </w:tc>
        <w:tc>
          <w:tcPr>
            <w:tcW w:w="1125" w:type="dxa"/>
            <w:tcBorders>
              <w:top w:val="nil"/>
              <w:left w:val="nil"/>
              <w:bottom w:val="nil"/>
              <w:right w:val="nil"/>
            </w:tcBorders>
          </w:tcPr>
          <w:p>
            <w:pPr>
              <w:pStyle w:val="TableParagraph"/>
              <w:spacing w:before="149"/>
              <w:ind w:left="102" w:right="55"/>
              <w:jc w:val="left"/>
              <w:rPr>
                <w:sz w:val="24"/>
              </w:rPr>
            </w:pPr>
            <w:r>
              <w:rPr>
                <w:sz w:val="24"/>
              </w:rPr>
              <w:t>High</w:t>
            </w:r>
          </w:p>
        </w:tc>
        <w:tc>
          <w:tcPr>
            <w:tcW w:w="763" w:type="dxa"/>
            <w:tcBorders>
              <w:top w:val="nil"/>
              <w:left w:val="nil"/>
              <w:bottom w:val="nil"/>
              <w:right w:val="nil"/>
            </w:tcBorders>
          </w:tcPr>
          <w:p>
            <w:pPr>
              <w:pStyle w:val="TableParagraph"/>
              <w:spacing w:before="149"/>
              <w:ind w:left="207"/>
              <w:jc w:val="left"/>
              <w:rPr>
                <w:sz w:val="24"/>
              </w:rPr>
            </w:pPr>
            <w:r>
              <w:rPr>
                <w:sz w:val="24"/>
              </w:rPr>
              <w:t>3.2</w:t>
            </w:r>
          </w:p>
        </w:tc>
        <w:tc>
          <w:tcPr>
            <w:tcW w:w="656" w:type="dxa"/>
            <w:tcBorders>
              <w:top w:val="nil"/>
              <w:left w:val="nil"/>
              <w:bottom w:val="nil"/>
              <w:right w:val="nil"/>
            </w:tcBorders>
          </w:tcPr>
          <w:p>
            <w:pPr>
              <w:pStyle w:val="TableParagraph"/>
              <w:spacing w:before="149"/>
              <w:ind w:left="154"/>
              <w:jc w:val="left"/>
              <w:rPr>
                <w:sz w:val="24"/>
              </w:rPr>
            </w:pPr>
            <w:r>
              <w:rPr>
                <w:sz w:val="24"/>
              </w:rPr>
              <w:t>0.4</w:t>
            </w:r>
          </w:p>
        </w:tc>
        <w:tc>
          <w:tcPr>
            <w:tcW w:w="787" w:type="dxa"/>
            <w:tcBorders>
              <w:top w:val="nil"/>
              <w:left w:val="nil"/>
              <w:bottom w:val="nil"/>
              <w:right w:val="nil"/>
            </w:tcBorders>
          </w:tcPr>
          <w:p>
            <w:pPr>
              <w:pStyle w:val="TableParagraph"/>
              <w:spacing w:before="149"/>
              <w:ind w:left="79" w:right="66"/>
              <w:rPr>
                <w:sz w:val="24"/>
              </w:rPr>
            </w:pPr>
            <w:r>
              <w:rPr>
                <w:sz w:val="24"/>
              </w:rPr>
              <w:t>285.4</w:t>
            </w:r>
          </w:p>
        </w:tc>
        <w:tc>
          <w:tcPr>
            <w:tcW w:w="677" w:type="dxa"/>
            <w:tcBorders>
              <w:top w:val="nil"/>
              <w:left w:val="nil"/>
              <w:bottom w:val="nil"/>
              <w:right w:val="nil"/>
            </w:tcBorders>
          </w:tcPr>
          <w:p>
            <w:pPr>
              <w:pStyle w:val="TableParagraph"/>
              <w:spacing w:before="149"/>
              <w:ind w:left="123"/>
              <w:jc w:val="left"/>
              <w:rPr>
                <w:sz w:val="24"/>
              </w:rPr>
            </w:pPr>
            <w:r>
              <w:rPr>
                <w:sz w:val="24"/>
              </w:rPr>
              <w:t>0.04</w:t>
            </w:r>
          </w:p>
        </w:tc>
        <w:tc>
          <w:tcPr>
            <w:tcW w:w="696" w:type="dxa"/>
            <w:tcBorders>
              <w:top w:val="nil"/>
              <w:left w:val="nil"/>
              <w:bottom w:val="nil"/>
              <w:right w:val="nil"/>
            </w:tcBorders>
          </w:tcPr>
          <w:p>
            <w:pPr>
              <w:pStyle w:val="TableParagraph"/>
              <w:spacing w:before="149"/>
              <w:ind w:right="208"/>
              <w:jc w:val="right"/>
              <w:rPr>
                <w:sz w:val="24"/>
              </w:rPr>
            </w:pPr>
            <w:r>
              <w:rPr>
                <w:w w:val="95"/>
                <w:sz w:val="24"/>
              </w:rPr>
              <w:t>4.7</w:t>
            </w:r>
          </w:p>
        </w:tc>
        <w:tc>
          <w:tcPr>
            <w:tcW w:w="842" w:type="dxa"/>
            <w:tcBorders>
              <w:top w:val="nil"/>
              <w:left w:val="nil"/>
              <w:bottom w:val="nil"/>
              <w:right w:val="nil"/>
            </w:tcBorders>
          </w:tcPr>
          <w:p>
            <w:pPr>
              <w:pStyle w:val="TableParagraph"/>
              <w:spacing w:before="149"/>
              <w:ind w:left="142"/>
              <w:jc w:val="left"/>
              <w:rPr>
                <w:sz w:val="24"/>
              </w:rPr>
            </w:pPr>
            <w:r>
              <w:rPr>
                <w:sz w:val="24"/>
              </w:rPr>
              <w:t>432.4</w:t>
            </w:r>
          </w:p>
        </w:tc>
        <w:tc>
          <w:tcPr>
            <w:tcW w:w="797" w:type="dxa"/>
            <w:tcBorders>
              <w:top w:val="nil"/>
              <w:left w:val="nil"/>
              <w:bottom w:val="nil"/>
              <w:right w:val="nil"/>
            </w:tcBorders>
          </w:tcPr>
          <w:p>
            <w:pPr>
              <w:pStyle w:val="TableParagraph"/>
              <w:spacing w:before="149"/>
              <w:ind w:left="78" w:right="78"/>
              <w:rPr>
                <w:sz w:val="24"/>
              </w:rPr>
            </w:pPr>
            <w:r>
              <w:rPr>
                <w:sz w:val="24"/>
              </w:rPr>
              <w:t>406.9</w:t>
            </w:r>
          </w:p>
        </w:tc>
        <w:tc>
          <w:tcPr>
            <w:tcW w:w="795" w:type="dxa"/>
            <w:tcBorders>
              <w:top w:val="nil"/>
              <w:left w:val="nil"/>
              <w:bottom w:val="nil"/>
              <w:right w:val="nil"/>
            </w:tcBorders>
          </w:tcPr>
          <w:p>
            <w:pPr>
              <w:pStyle w:val="TableParagraph"/>
              <w:spacing w:before="149"/>
              <w:ind w:left="77" w:right="46"/>
              <w:rPr>
                <w:sz w:val="24"/>
              </w:rPr>
            </w:pPr>
            <w:r>
              <w:rPr>
                <w:sz w:val="24"/>
              </w:rPr>
              <w:t>39.8</w:t>
            </w:r>
          </w:p>
        </w:tc>
        <w:tc>
          <w:tcPr>
            <w:tcW w:w="604" w:type="dxa"/>
            <w:tcBorders>
              <w:top w:val="nil"/>
              <w:left w:val="nil"/>
              <w:bottom w:val="nil"/>
              <w:right w:val="nil"/>
            </w:tcBorders>
          </w:tcPr>
          <w:p>
            <w:pPr>
              <w:pStyle w:val="TableParagraph"/>
              <w:spacing w:before="149"/>
              <w:ind w:left="138"/>
              <w:jc w:val="left"/>
              <w:rPr>
                <w:sz w:val="24"/>
              </w:rPr>
            </w:pPr>
            <w:r>
              <w:rPr>
                <w:sz w:val="24"/>
              </w:rPr>
              <w:t>6.4</w:t>
            </w:r>
          </w:p>
        </w:tc>
      </w:tr>
      <w:tr>
        <w:trPr>
          <w:trHeight w:val="300"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ind w:left="102" w:right="55"/>
              <w:jc w:val="left"/>
              <w:rPr>
                <w:sz w:val="24"/>
              </w:rPr>
            </w:pPr>
            <w:r>
              <w:rPr>
                <w:sz w:val="24"/>
              </w:rPr>
              <w:t>Medium</w:t>
            </w:r>
          </w:p>
        </w:tc>
        <w:tc>
          <w:tcPr>
            <w:tcW w:w="763" w:type="dxa"/>
            <w:tcBorders>
              <w:top w:val="nil"/>
              <w:left w:val="nil"/>
              <w:bottom w:val="nil"/>
              <w:right w:val="nil"/>
            </w:tcBorders>
          </w:tcPr>
          <w:p>
            <w:pPr>
              <w:pStyle w:val="TableParagraph"/>
              <w:ind w:left="236"/>
              <w:jc w:val="left"/>
              <w:rPr>
                <w:sz w:val="24"/>
              </w:rPr>
            </w:pPr>
            <w:r>
              <w:rPr>
                <w:sz w:val="24"/>
              </w:rPr>
              <w:t>26</w:t>
            </w:r>
          </w:p>
        </w:tc>
        <w:tc>
          <w:tcPr>
            <w:tcW w:w="656" w:type="dxa"/>
            <w:tcBorders>
              <w:top w:val="nil"/>
              <w:left w:val="nil"/>
              <w:bottom w:val="nil"/>
              <w:right w:val="nil"/>
            </w:tcBorders>
          </w:tcPr>
          <w:p>
            <w:pPr>
              <w:pStyle w:val="TableParagraph"/>
              <w:ind w:left="154"/>
              <w:jc w:val="left"/>
              <w:rPr>
                <w:sz w:val="24"/>
              </w:rPr>
            </w:pPr>
            <w:r>
              <w:rPr>
                <w:sz w:val="24"/>
              </w:rPr>
              <w:t>0.1</w:t>
            </w:r>
          </w:p>
        </w:tc>
        <w:tc>
          <w:tcPr>
            <w:tcW w:w="787" w:type="dxa"/>
            <w:tcBorders>
              <w:top w:val="nil"/>
              <w:left w:val="nil"/>
              <w:bottom w:val="nil"/>
              <w:right w:val="nil"/>
            </w:tcBorders>
          </w:tcPr>
          <w:p>
            <w:pPr>
              <w:pStyle w:val="TableParagraph"/>
              <w:ind w:left="79" w:right="66"/>
              <w:rPr>
                <w:sz w:val="24"/>
              </w:rPr>
            </w:pPr>
            <w:r>
              <w:rPr>
                <w:sz w:val="24"/>
              </w:rPr>
              <w:t>274.8</w:t>
            </w:r>
          </w:p>
        </w:tc>
        <w:tc>
          <w:tcPr>
            <w:tcW w:w="677" w:type="dxa"/>
            <w:tcBorders>
              <w:top w:val="nil"/>
              <w:left w:val="nil"/>
              <w:bottom w:val="nil"/>
              <w:right w:val="nil"/>
            </w:tcBorders>
          </w:tcPr>
          <w:p>
            <w:pPr>
              <w:pStyle w:val="TableParagraph"/>
              <w:ind w:left="123"/>
              <w:jc w:val="left"/>
              <w:rPr>
                <w:sz w:val="24"/>
              </w:rPr>
            </w:pPr>
            <w:r>
              <w:rPr>
                <w:sz w:val="24"/>
              </w:rPr>
              <w:t>0.04</w:t>
            </w:r>
          </w:p>
        </w:tc>
        <w:tc>
          <w:tcPr>
            <w:tcW w:w="696" w:type="dxa"/>
            <w:tcBorders>
              <w:top w:val="nil"/>
              <w:left w:val="nil"/>
              <w:bottom w:val="nil"/>
              <w:right w:val="nil"/>
            </w:tcBorders>
          </w:tcPr>
          <w:p>
            <w:pPr>
              <w:pStyle w:val="TableParagraph"/>
              <w:ind w:right="208"/>
              <w:jc w:val="right"/>
              <w:rPr>
                <w:sz w:val="24"/>
              </w:rPr>
            </w:pPr>
            <w:r>
              <w:rPr>
                <w:w w:val="95"/>
                <w:sz w:val="24"/>
              </w:rPr>
              <w:t>5.7</w:t>
            </w:r>
          </w:p>
        </w:tc>
        <w:tc>
          <w:tcPr>
            <w:tcW w:w="842" w:type="dxa"/>
            <w:tcBorders>
              <w:top w:val="nil"/>
              <w:left w:val="nil"/>
              <w:bottom w:val="nil"/>
              <w:right w:val="nil"/>
            </w:tcBorders>
          </w:tcPr>
          <w:p>
            <w:pPr>
              <w:pStyle w:val="TableParagraph"/>
              <w:ind w:left="142"/>
              <w:jc w:val="left"/>
              <w:rPr>
                <w:sz w:val="24"/>
              </w:rPr>
            </w:pPr>
            <w:r>
              <w:rPr>
                <w:sz w:val="24"/>
              </w:rPr>
              <w:t>626.9</w:t>
            </w:r>
          </w:p>
        </w:tc>
        <w:tc>
          <w:tcPr>
            <w:tcW w:w="797" w:type="dxa"/>
            <w:tcBorders>
              <w:top w:val="nil"/>
              <w:left w:val="nil"/>
              <w:bottom w:val="nil"/>
              <w:right w:val="nil"/>
            </w:tcBorders>
          </w:tcPr>
          <w:p>
            <w:pPr>
              <w:pStyle w:val="TableParagraph"/>
              <w:ind w:left="78" w:right="78"/>
              <w:rPr>
                <w:sz w:val="24"/>
              </w:rPr>
            </w:pPr>
            <w:r>
              <w:rPr>
                <w:sz w:val="24"/>
              </w:rPr>
              <w:t>594.4</w:t>
            </w:r>
          </w:p>
        </w:tc>
        <w:tc>
          <w:tcPr>
            <w:tcW w:w="795" w:type="dxa"/>
            <w:tcBorders>
              <w:top w:val="nil"/>
              <w:left w:val="nil"/>
              <w:bottom w:val="nil"/>
              <w:right w:val="nil"/>
            </w:tcBorders>
          </w:tcPr>
          <w:p>
            <w:pPr>
              <w:pStyle w:val="TableParagraph"/>
              <w:ind w:left="77" w:right="46"/>
              <w:rPr>
                <w:sz w:val="24"/>
              </w:rPr>
            </w:pPr>
            <w:r>
              <w:rPr>
                <w:sz w:val="24"/>
              </w:rPr>
              <w:t>443.9</w:t>
            </w:r>
          </w:p>
        </w:tc>
        <w:tc>
          <w:tcPr>
            <w:tcW w:w="604" w:type="dxa"/>
            <w:tcBorders>
              <w:top w:val="nil"/>
              <w:left w:val="nil"/>
              <w:bottom w:val="nil"/>
              <w:right w:val="nil"/>
            </w:tcBorders>
          </w:tcPr>
          <w:p>
            <w:pPr>
              <w:pStyle w:val="TableParagraph"/>
              <w:ind w:left="138"/>
              <w:jc w:val="left"/>
              <w:rPr>
                <w:sz w:val="24"/>
              </w:rPr>
            </w:pPr>
            <w:r>
              <w:rPr>
                <w:sz w:val="24"/>
              </w:rPr>
              <w:t>9.3</w:t>
            </w:r>
          </w:p>
        </w:tc>
      </w:tr>
      <w:tr>
        <w:trPr>
          <w:trHeight w:val="449"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spacing w:line="274" w:lineRule="exact"/>
              <w:ind w:left="102" w:right="55"/>
              <w:jc w:val="left"/>
              <w:rPr>
                <w:sz w:val="24"/>
              </w:rPr>
            </w:pPr>
            <w:r>
              <w:rPr>
                <w:sz w:val="24"/>
              </w:rPr>
              <w:t>Low</w:t>
            </w:r>
          </w:p>
        </w:tc>
        <w:tc>
          <w:tcPr>
            <w:tcW w:w="763" w:type="dxa"/>
            <w:tcBorders>
              <w:top w:val="nil"/>
              <w:left w:val="nil"/>
              <w:bottom w:val="nil"/>
              <w:right w:val="nil"/>
            </w:tcBorders>
          </w:tcPr>
          <w:p>
            <w:pPr>
              <w:pStyle w:val="TableParagraph"/>
              <w:spacing w:line="274" w:lineRule="exact"/>
              <w:ind w:right="152"/>
              <w:jc w:val="right"/>
              <w:rPr>
                <w:sz w:val="24"/>
              </w:rPr>
            </w:pPr>
            <w:r>
              <w:rPr>
                <w:sz w:val="24"/>
              </w:rPr>
              <w:t>16.4</w:t>
            </w:r>
          </w:p>
        </w:tc>
        <w:tc>
          <w:tcPr>
            <w:tcW w:w="656" w:type="dxa"/>
            <w:tcBorders>
              <w:top w:val="nil"/>
              <w:left w:val="nil"/>
              <w:bottom w:val="nil"/>
              <w:right w:val="nil"/>
            </w:tcBorders>
          </w:tcPr>
          <w:p>
            <w:pPr>
              <w:pStyle w:val="TableParagraph"/>
              <w:spacing w:line="274" w:lineRule="exact"/>
              <w:ind w:left="154"/>
              <w:jc w:val="left"/>
              <w:rPr>
                <w:sz w:val="24"/>
              </w:rPr>
            </w:pPr>
            <w:r>
              <w:rPr>
                <w:sz w:val="24"/>
              </w:rPr>
              <w:t>0.2</w:t>
            </w:r>
          </w:p>
        </w:tc>
        <w:tc>
          <w:tcPr>
            <w:tcW w:w="787" w:type="dxa"/>
            <w:tcBorders>
              <w:top w:val="nil"/>
              <w:left w:val="nil"/>
              <w:bottom w:val="nil"/>
              <w:right w:val="nil"/>
            </w:tcBorders>
          </w:tcPr>
          <w:p>
            <w:pPr>
              <w:pStyle w:val="TableParagraph"/>
              <w:spacing w:line="274" w:lineRule="exact"/>
              <w:ind w:left="79" w:right="66"/>
              <w:rPr>
                <w:sz w:val="24"/>
              </w:rPr>
            </w:pPr>
            <w:r>
              <w:rPr>
                <w:sz w:val="24"/>
              </w:rPr>
              <w:t>585.1</w:t>
            </w:r>
          </w:p>
        </w:tc>
        <w:tc>
          <w:tcPr>
            <w:tcW w:w="677" w:type="dxa"/>
            <w:tcBorders>
              <w:top w:val="nil"/>
              <w:left w:val="nil"/>
              <w:bottom w:val="nil"/>
              <w:right w:val="nil"/>
            </w:tcBorders>
          </w:tcPr>
          <w:p>
            <w:pPr>
              <w:pStyle w:val="TableParagraph"/>
              <w:spacing w:line="274" w:lineRule="exact"/>
              <w:ind w:left="123"/>
              <w:jc w:val="left"/>
              <w:rPr>
                <w:sz w:val="24"/>
              </w:rPr>
            </w:pPr>
            <w:r>
              <w:rPr>
                <w:sz w:val="24"/>
              </w:rPr>
              <w:t>0.02</w:t>
            </w:r>
          </w:p>
        </w:tc>
        <w:tc>
          <w:tcPr>
            <w:tcW w:w="696" w:type="dxa"/>
            <w:tcBorders>
              <w:top w:val="nil"/>
              <w:left w:val="nil"/>
              <w:bottom w:val="nil"/>
              <w:right w:val="nil"/>
            </w:tcBorders>
          </w:tcPr>
          <w:p>
            <w:pPr>
              <w:pStyle w:val="TableParagraph"/>
              <w:spacing w:line="274" w:lineRule="exact"/>
              <w:ind w:right="208"/>
              <w:jc w:val="right"/>
              <w:rPr>
                <w:sz w:val="24"/>
              </w:rPr>
            </w:pPr>
            <w:r>
              <w:rPr>
                <w:w w:val="95"/>
                <w:sz w:val="24"/>
              </w:rPr>
              <w:t>6.6</w:t>
            </w:r>
          </w:p>
        </w:tc>
        <w:tc>
          <w:tcPr>
            <w:tcW w:w="842" w:type="dxa"/>
            <w:tcBorders>
              <w:top w:val="nil"/>
              <w:left w:val="nil"/>
              <w:bottom w:val="nil"/>
              <w:right w:val="nil"/>
            </w:tcBorders>
          </w:tcPr>
          <w:p>
            <w:pPr>
              <w:pStyle w:val="TableParagraph"/>
              <w:spacing w:line="274" w:lineRule="exact"/>
              <w:ind w:left="142"/>
              <w:jc w:val="left"/>
              <w:rPr>
                <w:sz w:val="24"/>
              </w:rPr>
            </w:pPr>
            <w:r>
              <w:rPr>
                <w:sz w:val="24"/>
              </w:rPr>
              <w:t>692.3</w:t>
            </w:r>
          </w:p>
        </w:tc>
        <w:tc>
          <w:tcPr>
            <w:tcW w:w="797" w:type="dxa"/>
            <w:tcBorders>
              <w:top w:val="nil"/>
              <w:left w:val="nil"/>
              <w:bottom w:val="nil"/>
              <w:right w:val="nil"/>
            </w:tcBorders>
          </w:tcPr>
          <w:p>
            <w:pPr>
              <w:pStyle w:val="TableParagraph"/>
              <w:spacing w:line="274" w:lineRule="exact"/>
              <w:ind w:left="78" w:right="78"/>
              <w:rPr>
                <w:sz w:val="24"/>
              </w:rPr>
            </w:pPr>
            <w:r>
              <w:rPr>
                <w:sz w:val="24"/>
              </w:rPr>
              <w:t>684.9</w:t>
            </w:r>
          </w:p>
        </w:tc>
        <w:tc>
          <w:tcPr>
            <w:tcW w:w="795" w:type="dxa"/>
            <w:tcBorders>
              <w:top w:val="nil"/>
              <w:left w:val="nil"/>
              <w:bottom w:val="nil"/>
              <w:right w:val="nil"/>
            </w:tcBorders>
          </w:tcPr>
          <w:p>
            <w:pPr>
              <w:pStyle w:val="TableParagraph"/>
              <w:spacing w:line="274" w:lineRule="exact"/>
              <w:ind w:left="77" w:right="46"/>
              <w:rPr>
                <w:sz w:val="24"/>
              </w:rPr>
            </w:pPr>
            <w:r>
              <w:rPr>
                <w:sz w:val="24"/>
              </w:rPr>
              <w:t>622.1</w:t>
            </w:r>
          </w:p>
        </w:tc>
        <w:tc>
          <w:tcPr>
            <w:tcW w:w="604" w:type="dxa"/>
            <w:tcBorders>
              <w:top w:val="nil"/>
              <w:left w:val="nil"/>
              <w:bottom w:val="nil"/>
              <w:right w:val="nil"/>
            </w:tcBorders>
          </w:tcPr>
          <w:p>
            <w:pPr>
              <w:pStyle w:val="TableParagraph"/>
              <w:spacing w:line="274" w:lineRule="exact"/>
              <w:ind w:left="71"/>
              <w:jc w:val="left"/>
              <w:rPr>
                <w:sz w:val="24"/>
              </w:rPr>
            </w:pPr>
            <w:r>
              <w:rPr>
                <w:sz w:val="24"/>
              </w:rPr>
              <w:t>10.8</w:t>
            </w:r>
          </w:p>
        </w:tc>
      </w:tr>
      <w:tr>
        <w:trPr>
          <w:trHeight w:val="451" w:hRule="exact"/>
        </w:trPr>
        <w:tc>
          <w:tcPr>
            <w:tcW w:w="1732" w:type="dxa"/>
            <w:tcBorders>
              <w:top w:val="nil"/>
              <w:left w:val="nil"/>
              <w:bottom w:val="nil"/>
              <w:right w:val="nil"/>
            </w:tcBorders>
          </w:tcPr>
          <w:p>
            <w:pPr>
              <w:pStyle w:val="TableParagraph"/>
              <w:spacing w:before="149"/>
              <w:ind w:left="71"/>
              <w:jc w:val="left"/>
              <w:rPr>
                <w:i/>
                <w:sz w:val="24"/>
              </w:rPr>
            </w:pPr>
            <w:r>
              <w:rPr>
                <w:i/>
                <w:sz w:val="24"/>
              </w:rPr>
              <w:t>T. lucida</w:t>
            </w:r>
          </w:p>
        </w:tc>
        <w:tc>
          <w:tcPr>
            <w:tcW w:w="1125" w:type="dxa"/>
            <w:tcBorders>
              <w:top w:val="nil"/>
              <w:left w:val="nil"/>
              <w:bottom w:val="nil"/>
              <w:right w:val="nil"/>
            </w:tcBorders>
          </w:tcPr>
          <w:p>
            <w:pPr>
              <w:pStyle w:val="TableParagraph"/>
              <w:spacing w:before="149"/>
              <w:ind w:left="102" w:right="55"/>
              <w:jc w:val="left"/>
              <w:rPr>
                <w:sz w:val="24"/>
              </w:rPr>
            </w:pPr>
            <w:r>
              <w:rPr>
                <w:sz w:val="24"/>
              </w:rPr>
              <w:t>High</w:t>
            </w:r>
          </w:p>
        </w:tc>
        <w:tc>
          <w:tcPr>
            <w:tcW w:w="763" w:type="dxa"/>
            <w:tcBorders>
              <w:top w:val="nil"/>
              <w:left w:val="nil"/>
              <w:bottom w:val="nil"/>
              <w:right w:val="nil"/>
            </w:tcBorders>
          </w:tcPr>
          <w:p>
            <w:pPr>
              <w:pStyle w:val="TableParagraph"/>
              <w:spacing w:before="149"/>
              <w:ind w:right="152"/>
              <w:jc w:val="right"/>
              <w:rPr>
                <w:sz w:val="24"/>
              </w:rPr>
            </w:pPr>
            <w:r>
              <w:rPr>
                <w:sz w:val="24"/>
              </w:rPr>
              <w:t>43.7</w:t>
            </w:r>
          </w:p>
        </w:tc>
        <w:tc>
          <w:tcPr>
            <w:tcW w:w="656" w:type="dxa"/>
            <w:tcBorders>
              <w:top w:val="nil"/>
              <w:left w:val="nil"/>
              <w:bottom w:val="nil"/>
              <w:right w:val="nil"/>
            </w:tcBorders>
          </w:tcPr>
          <w:p>
            <w:pPr>
              <w:pStyle w:val="TableParagraph"/>
              <w:spacing w:before="149"/>
              <w:ind w:left="154"/>
              <w:jc w:val="left"/>
              <w:rPr>
                <w:sz w:val="24"/>
              </w:rPr>
            </w:pPr>
            <w:r>
              <w:rPr>
                <w:sz w:val="24"/>
              </w:rPr>
              <w:t>0.1</w:t>
            </w:r>
          </w:p>
        </w:tc>
        <w:tc>
          <w:tcPr>
            <w:tcW w:w="787" w:type="dxa"/>
            <w:tcBorders>
              <w:top w:val="nil"/>
              <w:left w:val="nil"/>
              <w:bottom w:val="nil"/>
              <w:right w:val="nil"/>
            </w:tcBorders>
          </w:tcPr>
          <w:p>
            <w:pPr>
              <w:pStyle w:val="TableParagraph"/>
              <w:spacing w:before="149"/>
              <w:ind w:left="79" w:right="66"/>
              <w:rPr>
                <w:sz w:val="24"/>
              </w:rPr>
            </w:pPr>
            <w:r>
              <w:rPr>
                <w:sz w:val="24"/>
              </w:rPr>
              <w:t>526.2</w:t>
            </w:r>
          </w:p>
        </w:tc>
        <w:tc>
          <w:tcPr>
            <w:tcW w:w="677" w:type="dxa"/>
            <w:tcBorders>
              <w:top w:val="nil"/>
              <w:left w:val="nil"/>
              <w:bottom w:val="nil"/>
              <w:right w:val="nil"/>
            </w:tcBorders>
          </w:tcPr>
          <w:p>
            <w:pPr>
              <w:pStyle w:val="TableParagraph"/>
              <w:spacing w:before="149"/>
              <w:ind w:left="123"/>
              <w:jc w:val="left"/>
              <w:rPr>
                <w:sz w:val="24"/>
              </w:rPr>
            </w:pPr>
            <w:r>
              <w:rPr>
                <w:sz w:val="24"/>
              </w:rPr>
              <w:t>0.02</w:t>
            </w:r>
          </w:p>
        </w:tc>
        <w:tc>
          <w:tcPr>
            <w:tcW w:w="696" w:type="dxa"/>
            <w:tcBorders>
              <w:top w:val="nil"/>
              <w:left w:val="nil"/>
              <w:bottom w:val="nil"/>
              <w:right w:val="nil"/>
            </w:tcBorders>
          </w:tcPr>
          <w:p>
            <w:pPr>
              <w:pStyle w:val="TableParagraph"/>
              <w:spacing w:before="149"/>
              <w:ind w:right="208"/>
              <w:jc w:val="right"/>
              <w:rPr>
                <w:sz w:val="24"/>
              </w:rPr>
            </w:pPr>
            <w:r>
              <w:rPr>
                <w:w w:val="95"/>
                <w:sz w:val="24"/>
              </w:rPr>
              <w:t>6.4</w:t>
            </w:r>
          </w:p>
        </w:tc>
        <w:tc>
          <w:tcPr>
            <w:tcW w:w="842" w:type="dxa"/>
            <w:tcBorders>
              <w:top w:val="nil"/>
              <w:left w:val="nil"/>
              <w:bottom w:val="nil"/>
              <w:right w:val="nil"/>
            </w:tcBorders>
          </w:tcPr>
          <w:p>
            <w:pPr>
              <w:pStyle w:val="TableParagraph"/>
              <w:spacing w:before="149"/>
              <w:ind w:left="142"/>
              <w:jc w:val="left"/>
              <w:rPr>
                <w:sz w:val="24"/>
              </w:rPr>
            </w:pPr>
            <w:r>
              <w:rPr>
                <w:sz w:val="24"/>
              </w:rPr>
              <w:t>716.3</w:t>
            </w:r>
          </w:p>
        </w:tc>
        <w:tc>
          <w:tcPr>
            <w:tcW w:w="797" w:type="dxa"/>
            <w:tcBorders>
              <w:top w:val="nil"/>
              <w:left w:val="nil"/>
              <w:bottom w:val="nil"/>
              <w:right w:val="nil"/>
            </w:tcBorders>
          </w:tcPr>
          <w:p>
            <w:pPr>
              <w:pStyle w:val="TableParagraph"/>
              <w:spacing w:before="149"/>
              <w:ind w:left="78" w:right="78"/>
              <w:rPr>
                <w:sz w:val="24"/>
              </w:rPr>
            </w:pPr>
            <w:r>
              <w:rPr>
                <w:sz w:val="24"/>
              </w:rPr>
              <w:t>670.3</w:t>
            </w:r>
          </w:p>
        </w:tc>
        <w:tc>
          <w:tcPr>
            <w:tcW w:w="795" w:type="dxa"/>
            <w:tcBorders>
              <w:top w:val="nil"/>
              <w:left w:val="nil"/>
              <w:bottom w:val="nil"/>
              <w:right w:val="nil"/>
            </w:tcBorders>
          </w:tcPr>
          <w:p>
            <w:pPr>
              <w:pStyle w:val="TableParagraph"/>
              <w:spacing w:before="149"/>
              <w:ind w:left="77" w:right="46"/>
              <w:rPr>
                <w:sz w:val="24"/>
              </w:rPr>
            </w:pPr>
            <w:r>
              <w:rPr>
                <w:sz w:val="24"/>
              </w:rPr>
              <w:t>608.9</w:t>
            </w:r>
          </w:p>
        </w:tc>
        <w:tc>
          <w:tcPr>
            <w:tcW w:w="604" w:type="dxa"/>
            <w:tcBorders>
              <w:top w:val="nil"/>
              <w:left w:val="nil"/>
              <w:bottom w:val="nil"/>
              <w:right w:val="nil"/>
            </w:tcBorders>
          </w:tcPr>
          <w:p>
            <w:pPr>
              <w:pStyle w:val="TableParagraph"/>
              <w:spacing w:before="149"/>
              <w:ind w:left="71"/>
              <w:jc w:val="left"/>
              <w:rPr>
                <w:sz w:val="24"/>
              </w:rPr>
            </w:pPr>
            <w:r>
              <w:rPr>
                <w:sz w:val="24"/>
              </w:rPr>
              <w:t>10.5</w:t>
            </w:r>
          </w:p>
        </w:tc>
      </w:tr>
      <w:tr>
        <w:trPr>
          <w:trHeight w:val="300"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ind w:left="102" w:right="55"/>
              <w:jc w:val="left"/>
              <w:rPr>
                <w:sz w:val="24"/>
              </w:rPr>
            </w:pPr>
            <w:r>
              <w:rPr>
                <w:sz w:val="24"/>
              </w:rPr>
              <w:t>Medium</w:t>
            </w:r>
          </w:p>
        </w:tc>
        <w:tc>
          <w:tcPr>
            <w:tcW w:w="763" w:type="dxa"/>
            <w:tcBorders>
              <w:top w:val="nil"/>
              <w:left w:val="nil"/>
              <w:bottom w:val="nil"/>
              <w:right w:val="nil"/>
            </w:tcBorders>
          </w:tcPr>
          <w:p>
            <w:pPr>
              <w:pStyle w:val="TableParagraph"/>
              <w:ind w:left="207"/>
              <w:jc w:val="left"/>
              <w:rPr>
                <w:sz w:val="24"/>
              </w:rPr>
            </w:pPr>
            <w:r>
              <w:rPr>
                <w:sz w:val="24"/>
              </w:rPr>
              <w:t>0.5</w:t>
            </w:r>
          </w:p>
        </w:tc>
        <w:tc>
          <w:tcPr>
            <w:tcW w:w="656" w:type="dxa"/>
            <w:tcBorders>
              <w:top w:val="nil"/>
              <w:left w:val="nil"/>
              <w:bottom w:val="nil"/>
              <w:right w:val="nil"/>
            </w:tcBorders>
          </w:tcPr>
          <w:p>
            <w:pPr>
              <w:pStyle w:val="TableParagraph"/>
              <w:ind w:right="19"/>
              <w:rPr>
                <w:sz w:val="24"/>
              </w:rPr>
            </w:pPr>
            <w:r>
              <w:rPr>
                <w:w w:val="99"/>
                <w:sz w:val="24"/>
              </w:rPr>
              <w:t>0</w:t>
            </w:r>
          </w:p>
        </w:tc>
        <w:tc>
          <w:tcPr>
            <w:tcW w:w="787" w:type="dxa"/>
            <w:tcBorders>
              <w:top w:val="nil"/>
              <w:left w:val="nil"/>
              <w:bottom w:val="nil"/>
              <w:right w:val="nil"/>
            </w:tcBorders>
          </w:tcPr>
          <w:p>
            <w:pPr>
              <w:pStyle w:val="TableParagraph"/>
              <w:ind w:left="79" w:right="66"/>
              <w:rPr>
                <w:sz w:val="24"/>
              </w:rPr>
            </w:pPr>
            <w:r>
              <w:rPr>
                <w:sz w:val="24"/>
              </w:rPr>
              <w:t>574.1</w:t>
            </w:r>
          </w:p>
        </w:tc>
        <w:tc>
          <w:tcPr>
            <w:tcW w:w="677" w:type="dxa"/>
            <w:tcBorders>
              <w:top w:val="nil"/>
              <w:left w:val="nil"/>
              <w:bottom w:val="nil"/>
              <w:right w:val="nil"/>
            </w:tcBorders>
          </w:tcPr>
          <w:p>
            <w:pPr>
              <w:pStyle w:val="TableParagraph"/>
              <w:ind w:left="123"/>
              <w:jc w:val="left"/>
              <w:rPr>
                <w:sz w:val="24"/>
              </w:rPr>
            </w:pPr>
            <w:r>
              <w:rPr>
                <w:sz w:val="24"/>
              </w:rPr>
              <w:t>0.02</w:t>
            </w:r>
          </w:p>
        </w:tc>
        <w:tc>
          <w:tcPr>
            <w:tcW w:w="696" w:type="dxa"/>
            <w:tcBorders>
              <w:top w:val="nil"/>
              <w:left w:val="nil"/>
              <w:bottom w:val="nil"/>
              <w:right w:val="nil"/>
            </w:tcBorders>
          </w:tcPr>
          <w:p>
            <w:pPr>
              <w:pStyle w:val="TableParagraph"/>
              <w:ind w:right="208"/>
              <w:jc w:val="right"/>
              <w:rPr>
                <w:sz w:val="24"/>
              </w:rPr>
            </w:pPr>
            <w:r>
              <w:rPr>
                <w:w w:val="95"/>
                <w:sz w:val="24"/>
              </w:rPr>
              <w:t>5.7</w:t>
            </w:r>
          </w:p>
        </w:tc>
        <w:tc>
          <w:tcPr>
            <w:tcW w:w="842" w:type="dxa"/>
            <w:tcBorders>
              <w:top w:val="nil"/>
              <w:left w:val="nil"/>
              <w:bottom w:val="nil"/>
              <w:right w:val="nil"/>
            </w:tcBorders>
          </w:tcPr>
          <w:p>
            <w:pPr>
              <w:pStyle w:val="TableParagraph"/>
              <w:ind w:left="142"/>
              <w:jc w:val="left"/>
              <w:rPr>
                <w:sz w:val="24"/>
              </w:rPr>
            </w:pPr>
            <w:r>
              <w:rPr>
                <w:sz w:val="24"/>
              </w:rPr>
              <w:t>731.6</w:t>
            </w:r>
          </w:p>
        </w:tc>
        <w:tc>
          <w:tcPr>
            <w:tcW w:w="797" w:type="dxa"/>
            <w:tcBorders>
              <w:top w:val="nil"/>
              <w:left w:val="nil"/>
              <w:bottom w:val="nil"/>
              <w:right w:val="nil"/>
            </w:tcBorders>
          </w:tcPr>
          <w:p>
            <w:pPr>
              <w:pStyle w:val="TableParagraph"/>
              <w:ind w:left="78" w:right="78"/>
              <w:rPr>
                <w:sz w:val="24"/>
              </w:rPr>
            </w:pPr>
            <w:r>
              <w:rPr>
                <w:sz w:val="24"/>
              </w:rPr>
              <w:t>686.6</w:t>
            </w:r>
          </w:p>
        </w:tc>
        <w:tc>
          <w:tcPr>
            <w:tcW w:w="795" w:type="dxa"/>
            <w:tcBorders>
              <w:top w:val="nil"/>
              <w:left w:val="nil"/>
              <w:bottom w:val="nil"/>
              <w:right w:val="nil"/>
            </w:tcBorders>
          </w:tcPr>
          <w:p>
            <w:pPr>
              <w:pStyle w:val="TableParagraph"/>
              <w:ind w:left="77" w:right="46"/>
              <w:rPr>
                <w:sz w:val="24"/>
              </w:rPr>
            </w:pPr>
            <w:r>
              <w:rPr>
                <w:sz w:val="24"/>
              </w:rPr>
              <w:t>628.1</w:t>
            </w:r>
          </w:p>
        </w:tc>
        <w:tc>
          <w:tcPr>
            <w:tcW w:w="604" w:type="dxa"/>
            <w:tcBorders>
              <w:top w:val="nil"/>
              <w:left w:val="nil"/>
              <w:bottom w:val="nil"/>
              <w:right w:val="nil"/>
            </w:tcBorders>
          </w:tcPr>
          <w:p>
            <w:pPr>
              <w:pStyle w:val="TableParagraph"/>
              <w:ind w:left="71"/>
              <w:jc w:val="left"/>
              <w:rPr>
                <w:sz w:val="24"/>
              </w:rPr>
            </w:pPr>
            <w:r>
              <w:rPr>
                <w:sz w:val="24"/>
              </w:rPr>
              <w:t>10.8</w:t>
            </w:r>
          </w:p>
        </w:tc>
      </w:tr>
      <w:tr>
        <w:trPr>
          <w:trHeight w:val="449"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spacing w:line="274" w:lineRule="exact"/>
              <w:ind w:left="102" w:right="55"/>
              <w:jc w:val="left"/>
              <w:rPr>
                <w:sz w:val="24"/>
              </w:rPr>
            </w:pPr>
            <w:r>
              <w:rPr>
                <w:sz w:val="24"/>
              </w:rPr>
              <w:t>Low</w:t>
            </w:r>
          </w:p>
        </w:tc>
        <w:tc>
          <w:tcPr>
            <w:tcW w:w="763" w:type="dxa"/>
            <w:tcBorders>
              <w:top w:val="nil"/>
              <w:left w:val="nil"/>
              <w:bottom w:val="nil"/>
              <w:right w:val="nil"/>
            </w:tcBorders>
          </w:tcPr>
          <w:p>
            <w:pPr>
              <w:pStyle w:val="TableParagraph"/>
              <w:spacing w:line="274" w:lineRule="exact"/>
              <w:ind w:left="207"/>
              <w:jc w:val="left"/>
              <w:rPr>
                <w:sz w:val="24"/>
              </w:rPr>
            </w:pPr>
            <w:r>
              <w:rPr>
                <w:sz w:val="24"/>
              </w:rPr>
              <w:t>0.3</w:t>
            </w:r>
          </w:p>
        </w:tc>
        <w:tc>
          <w:tcPr>
            <w:tcW w:w="656" w:type="dxa"/>
            <w:tcBorders>
              <w:top w:val="nil"/>
              <w:left w:val="nil"/>
              <w:bottom w:val="nil"/>
              <w:right w:val="nil"/>
            </w:tcBorders>
          </w:tcPr>
          <w:p>
            <w:pPr>
              <w:pStyle w:val="TableParagraph"/>
              <w:spacing w:line="274" w:lineRule="exact"/>
              <w:ind w:right="19"/>
              <w:rPr>
                <w:sz w:val="24"/>
              </w:rPr>
            </w:pPr>
            <w:r>
              <w:rPr>
                <w:w w:val="99"/>
                <w:sz w:val="24"/>
              </w:rPr>
              <w:t>0</w:t>
            </w:r>
          </w:p>
        </w:tc>
        <w:tc>
          <w:tcPr>
            <w:tcW w:w="787" w:type="dxa"/>
            <w:tcBorders>
              <w:top w:val="nil"/>
              <w:left w:val="nil"/>
              <w:bottom w:val="nil"/>
              <w:right w:val="nil"/>
            </w:tcBorders>
          </w:tcPr>
          <w:p>
            <w:pPr>
              <w:pStyle w:val="TableParagraph"/>
              <w:spacing w:line="274" w:lineRule="exact"/>
              <w:ind w:left="79" w:right="66"/>
              <w:rPr>
                <w:sz w:val="24"/>
              </w:rPr>
            </w:pPr>
            <w:r>
              <w:rPr>
                <w:sz w:val="24"/>
              </w:rPr>
              <w:t>751.9</w:t>
            </w:r>
          </w:p>
        </w:tc>
        <w:tc>
          <w:tcPr>
            <w:tcW w:w="677" w:type="dxa"/>
            <w:tcBorders>
              <w:top w:val="nil"/>
              <w:left w:val="nil"/>
              <w:bottom w:val="nil"/>
              <w:right w:val="nil"/>
            </w:tcBorders>
          </w:tcPr>
          <w:p>
            <w:pPr>
              <w:pStyle w:val="TableParagraph"/>
              <w:spacing w:line="274" w:lineRule="exact"/>
              <w:ind w:left="123"/>
              <w:jc w:val="left"/>
              <w:rPr>
                <w:sz w:val="24"/>
              </w:rPr>
            </w:pPr>
            <w:r>
              <w:rPr>
                <w:sz w:val="24"/>
              </w:rPr>
              <w:t>0.02</w:t>
            </w:r>
          </w:p>
        </w:tc>
        <w:tc>
          <w:tcPr>
            <w:tcW w:w="696" w:type="dxa"/>
            <w:tcBorders>
              <w:top w:val="nil"/>
              <w:left w:val="nil"/>
              <w:bottom w:val="nil"/>
              <w:right w:val="nil"/>
            </w:tcBorders>
          </w:tcPr>
          <w:p>
            <w:pPr>
              <w:pStyle w:val="TableParagraph"/>
              <w:spacing w:line="274" w:lineRule="exact"/>
              <w:ind w:right="208"/>
              <w:jc w:val="right"/>
              <w:rPr>
                <w:sz w:val="24"/>
              </w:rPr>
            </w:pPr>
            <w:r>
              <w:rPr>
                <w:w w:val="95"/>
                <w:sz w:val="24"/>
              </w:rPr>
              <w:t>5.4</w:t>
            </w:r>
          </w:p>
        </w:tc>
        <w:tc>
          <w:tcPr>
            <w:tcW w:w="842" w:type="dxa"/>
            <w:tcBorders>
              <w:top w:val="nil"/>
              <w:left w:val="nil"/>
              <w:bottom w:val="nil"/>
              <w:right w:val="nil"/>
            </w:tcBorders>
          </w:tcPr>
          <w:p>
            <w:pPr>
              <w:pStyle w:val="TableParagraph"/>
              <w:spacing w:line="274" w:lineRule="exact"/>
              <w:ind w:left="142"/>
              <w:jc w:val="left"/>
              <w:rPr>
                <w:sz w:val="24"/>
              </w:rPr>
            </w:pPr>
            <w:r>
              <w:rPr>
                <w:sz w:val="24"/>
              </w:rPr>
              <w:t>742.1</w:t>
            </w:r>
          </w:p>
        </w:tc>
        <w:tc>
          <w:tcPr>
            <w:tcW w:w="797" w:type="dxa"/>
            <w:tcBorders>
              <w:top w:val="nil"/>
              <w:left w:val="nil"/>
              <w:bottom w:val="nil"/>
              <w:right w:val="nil"/>
            </w:tcBorders>
          </w:tcPr>
          <w:p>
            <w:pPr>
              <w:pStyle w:val="TableParagraph"/>
              <w:spacing w:line="274" w:lineRule="exact"/>
              <w:ind w:left="78" w:right="78"/>
              <w:rPr>
                <w:sz w:val="24"/>
              </w:rPr>
            </w:pPr>
            <w:r>
              <w:rPr>
                <w:sz w:val="24"/>
              </w:rPr>
              <w:t>691.5</w:t>
            </w:r>
          </w:p>
        </w:tc>
        <w:tc>
          <w:tcPr>
            <w:tcW w:w="795" w:type="dxa"/>
            <w:tcBorders>
              <w:top w:val="nil"/>
              <w:left w:val="nil"/>
              <w:bottom w:val="nil"/>
              <w:right w:val="nil"/>
            </w:tcBorders>
          </w:tcPr>
          <w:p>
            <w:pPr>
              <w:pStyle w:val="TableParagraph"/>
              <w:spacing w:line="274" w:lineRule="exact"/>
              <w:ind w:left="77" w:right="46"/>
              <w:rPr>
                <w:sz w:val="24"/>
              </w:rPr>
            </w:pPr>
            <w:r>
              <w:rPr>
                <w:sz w:val="24"/>
              </w:rPr>
              <w:t>664.9</w:t>
            </w:r>
          </w:p>
        </w:tc>
        <w:tc>
          <w:tcPr>
            <w:tcW w:w="604" w:type="dxa"/>
            <w:tcBorders>
              <w:top w:val="nil"/>
              <w:left w:val="nil"/>
              <w:bottom w:val="nil"/>
              <w:right w:val="nil"/>
            </w:tcBorders>
          </w:tcPr>
          <w:p>
            <w:pPr>
              <w:pStyle w:val="TableParagraph"/>
              <w:spacing w:line="274" w:lineRule="exact"/>
              <w:ind w:left="71"/>
              <w:jc w:val="left"/>
              <w:rPr>
                <w:sz w:val="24"/>
              </w:rPr>
            </w:pPr>
            <w:r>
              <w:rPr>
                <w:sz w:val="24"/>
              </w:rPr>
              <w:t>10.9</w:t>
            </w:r>
          </w:p>
        </w:tc>
      </w:tr>
      <w:tr>
        <w:trPr>
          <w:trHeight w:val="451" w:hRule="exact"/>
        </w:trPr>
        <w:tc>
          <w:tcPr>
            <w:tcW w:w="1732" w:type="dxa"/>
            <w:tcBorders>
              <w:top w:val="nil"/>
              <w:left w:val="nil"/>
              <w:bottom w:val="nil"/>
              <w:right w:val="nil"/>
            </w:tcBorders>
          </w:tcPr>
          <w:p>
            <w:pPr>
              <w:pStyle w:val="TableParagraph"/>
              <w:spacing w:before="149"/>
              <w:ind w:left="71"/>
              <w:jc w:val="left"/>
              <w:rPr>
                <w:i/>
                <w:sz w:val="24"/>
              </w:rPr>
            </w:pPr>
            <w:r>
              <w:rPr>
                <w:i/>
                <w:sz w:val="24"/>
              </w:rPr>
              <w:t>T. erecta</w:t>
            </w:r>
          </w:p>
        </w:tc>
        <w:tc>
          <w:tcPr>
            <w:tcW w:w="1125" w:type="dxa"/>
            <w:tcBorders>
              <w:top w:val="nil"/>
              <w:left w:val="nil"/>
              <w:bottom w:val="nil"/>
              <w:right w:val="nil"/>
            </w:tcBorders>
          </w:tcPr>
          <w:p>
            <w:pPr>
              <w:pStyle w:val="TableParagraph"/>
              <w:spacing w:before="149"/>
              <w:ind w:left="102" w:right="55"/>
              <w:jc w:val="left"/>
              <w:rPr>
                <w:sz w:val="24"/>
              </w:rPr>
            </w:pPr>
            <w:r>
              <w:rPr>
                <w:sz w:val="24"/>
              </w:rPr>
              <w:t>High</w:t>
            </w:r>
          </w:p>
        </w:tc>
        <w:tc>
          <w:tcPr>
            <w:tcW w:w="763" w:type="dxa"/>
            <w:tcBorders>
              <w:top w:val="nil"/>
              <w:left w:val="nil"/>
              <w:bottom w:val="nil"/>
              <w:right w:val="nil"/>
            </w:tcBorders>
          </w:tcPr>
          <w:p>
            <w:pPr>
              <w:pStyle w:val="TableParagraph"/>
              <w:spacing w:before="149"/>
              <w:ind w:right="152"/>
              <w:jc w:val="right"/>
              <w:rPr>
                <w:sz w:val="24"/>
              </w:rPr>
            </w:pPr>
            <w:r>
              <w:rPr>
                <w:sz w:val="24"/>
              </w:rPr>
              <w:t>15.6</w:t>
            </w:r>
          </w:p>
        </w:tc>
        <w:tc>
          <w:tcPr>
            <w:tcW w:w="656" w:type="dxa"/>
            <w:tcBorders>
              <w:top w:val="nil"/>
              <w:left w:val="nil"/>
              <w:bottom w:val="nil"/>
              <w:right w:val="nil"/>
            </w:tcBorders>
          </w:tcPr>
          <w:p>
            <w:pPr>
              <w:pStyle w:val="TableParagraph"/>
              <w:spacing w:before="149"/>
              <w:ind w:left="154"/>
              <w:jc w:val="left"/>
              <w:rPr>
                <w:sz w:val="24"/>
              </w:rPr>
            </w:pPr>
            <w:r>
              <w:rPr>
                <w:sz w:val="24"/>
              </w:rPr>
              <w:t>0.3</w:t>
            </w:r>
          </w:p>
        </w:tc>
        <w:tc>
          <w:tcPr>
            <w:tcW w:w="787" w:type="dxa"/>
            <w:tcBorders>
              <w:top w:val="nil"/>
              <w:left w:val="nil"/>
              <w:bottom w:val="nil"/>
              <w:right w:val="nil"/>
            </w:tcBorders>
          </w:tcPr>
          <w:p>
            <w:pPr>
              <w:pStyle w:val="TableParagraph"/>
              <w:spacing w:before="149"/>
              <w:ind w:left="79" w:right="66"/>
              <w:rPr>
                <w:sz w:val="24"/>
              </w:rPr>
            </w:pPr>
            <w:r>
              <w:rPr>
                <w:sz w:val="24"/>
              </w:rPr>
              <w:t>567.6</w:t>
            </w:r>
          </w:p>
        </w:tc>
        <w:tc>
          <w:tcPr>
            <w:tcW w:w="677" w:type="dxa"/>
            <w:tcBorders>
              <w:top w:val="nil"/>
              <w:left w:val="nil"/>
              <w:bottom w:val="nil"/>
              <w:right w:val="nil"/>
            </w:tcBorders>
          </w:tcPr>
          <w:p>
            <w:pPr>
              <w:pStyle w:val="TableParagraph"/>
              <w:spacing w:before="149"/>
              <w:ind w:left="123"/>
              <w:jc w:val="left"/>
              <w:rPr>
                <w:sz w:val="24"/>
              </w:rPr>
            </w:pPr>
            <w:r>
              <w:rPr>
                <w:sz w:val="24"/>
              </w:rPr>
              <w:t>0.02</w:t>
            </w:r>
          </w:p>
        </w:tc>
        <w:tc>
          <w:tcPr>
            <w:tcW w:w="696" w:type="dxa"/>
            <w:tcBorders>
              <w:top w:val="nil"/>
              <w:left w:val="nil"/>
              <w:bottom w:val="nil"/>
              <w:right w:val="nil"/>
            </w:tcBorders>
          </w:tcPr>
          <w:p>
            <w:pPr>
              <w:pStyle w:val="TableParagraph"/>
              <w:spacing w:before="149"/>
              <w:ind w:right="208"/>
              <w:jc w:val="right"/>
              <w:rPr>
                <w:sz w:val="24"/>
              </w:rPr>
            </w:pPr>
            <w:r>
              <w:rPr>
                <w:w w:val="95"/>
                <w:sz w:val="24"/>
              </w:rPr>
              <w:t>6.8</w:t>
            </w:r>
          </w:p>
        </w:tc>
        <w:tc>
          <w:tcPr>
            <w:tcW w:w="842" w:type="dxa"/>
            <w:tcBorders>
              <w:top w:val="nil"/>
              <w:left w:val="nil"/>
              <w:bottom w:val="nil"/>
              <w:right w:val="nil"/>
            </w:tcBorders>
          </w:tcPr>
          <w:p>
            <w:pPr>
              <w:pStyle w:val="TableParagraph"/>
              <w:spacing w:before="149"/>
              <w:ind w:left="142"/>
              <w:jc w:val="left"/>
              <w:rPr>
                <w:sz w:val="24"/>
              </w:rPr>
            </w:pPr>
            <w:r>
              <w:rPr>
                <w:sz w:val="24"/>
              </w:rPr>
              <w:t>737.3</w:t>
            </w:r>
          </w:p>
        </w:tc>
        <w:tc>
          <w:tcPr>
            <w:tcW w:w="797" w:type="dxa"/>
            <w:tcBorders>
              <w:top w:val="nil"/>
              <w:left w:val="nil"/>
              <w:bottom w:val="nil"/>
              <w:right w:val="nil"/>
            </w:tcBorders>
          </w:tcPr>
          <w:p>
            <w:pPr>
              <w:pStyle w:val="TableParagraph"/>
              <w:spacing w:before="149"/>
              <w:ind w:left="78" w:right="78"/>
              <w:rPr>
                <w:sz w:val="24"/>
              </w:rPr>
            </w:pPr>
            <w:r>
              <w:rPr>
                <w:sz w:val="24"/>
              </w:rPr>
              <w:t>689.8</w:t>
            </w:r>
          </w:p>
        </w:tc>
        <w:tc>
          <w:tcPr>
            <w:tcW w:w="795" w:type="dxa"/>
            <w:tcBorders>
              <w:top w:val="nil"/>
              <w:left w:val="nil"/>
              <w:bottom w:val="nil"/>
              <w:right w:val="nil"/>
            </w:tcBorders>
          </w:tcPr>
          <w:p>
            <w:pPr>
              <w:pStyle w:val="TableParagraph"/>
              <w:spacing w:before="149"/>
              <w:ind w:left="77" w:right="46"/>
              <w:rPr>
                <w:sz w:val="24"/>
              </w:rPr>
            </w:pPr>
            <w:r>
              <w:rPr>
                <w:sz w:val="24"/>
              </w:rPr>
              <w:t>378.3</w:t>
            </w:r>
          </w:p>
        </w:tc>
        <w:tc>
          <w:tcPr>
            <w:tcW w:w="604" w:type="dxa"/>
            <w:tcBorders>
              <w:top w:val="nil"/>
              <w:left w:val="nil"/>
              <w:bottom w:val="nil"/>
              <w:right w:val="nil"/>
            </w:tcBorders>
          </w:tcPr>
          <w:p>
            <w:pPr>
              <w:pStyle w:val="TableParagraph"/>
              <w:spacing w:before="149"/>
              <w:ind w:left="71"/>
              <w:jc w:val="left"/>
              <w:rPr>
                <w:sz w:val="24"/>
              </w:rPr>
            </w:pPr>
            <w:r>
              <w:rPr>
                <w:sz w:val="24"/>
              </w:rPr>
              <w:t>10.8</w:t>
            </w:r>
          </w:p>
        </w:tc>
      </w:tr>
      <w:tr>
        <w:trPr>
          <w:trHeight w:val="300"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ind w:left="102" w:right="55"/>
              <w:jc w:val="left"/>
              <w:rPr>
                <w:sz w:val="24"/>
              </w:rPr>
            </w:pPr>
            <w:r>
              <w:rPr>
                <w:sz w:val="24"/>
              </w:rPr>
              <w:t>Medium</w:t>
            </w:r>
          </w:p>
        </w:tc>
        <w:tc>
          <w:tcPr>
            <w:tcW w:w="763" w:type="dxa"/>
            <w:tcBorders>
              <w:top w:val="nil"/>
              <w:left w:val="nil"/>
              <w:bottom w:val="nil"/>
              <w:right w:val="nil"/>
            </w:tcBorders>
          </w:tcPr>
          <w:p>
            <w:pPr>
              <w:pStyle w:val="TableParagraph"/>
              <w:ind w:right="152"/>
              <w:jc w:val="right"/>
              <w:rPr>
                <w:sz w:val="24"/>
              </w:rPr>
            </w:pPr>
            <w:r>
              <w:rPr>
                <w:sz w:val="24"/>
              </w:rPr>
              <w:t>96.5</w:t>
            </w:r>
          </w:p>
        </w:tc>
        <w:tc>
          <w:tcPr>
            <w:tcW w:w="656" w:type="dxa"/>
            <w:tcBorders>
              <w:top w:val="nil"/>
              <w:left w:val="nil"/>
              <w:bottom w:val="nil"/>
              <w:right w:val="nil"/>
            </w:tcBorders>
          </w:tcPr>
          <w:p>
            <w:pPr>
              <w:pStyle w:val="TableParagraph"/>
              <w:ind w:left="87"/>
              <w:jc w:val="left"/>
              <w:rPr>
                <w:sz w:val="24"/>
              </w:rPr>
            </w:pPr>
            <w:r>
              <w:rPr>
                <w:sz w:val="24"/>
              </w:rPr>
              <w:t>0.04</w:t>
            </w:r>
          </w:p>
        </w:tc>
        <w:tc>
          <w:tcPr>
            <w:tcW w:w="787" w:type="dxa"/>
            <w:tcBorders>
              <w:top w:val="nil"/>
              <w:left w:val="nil"/>
              <w:bottom w:val="nil"/>
              <w:right w:val="nil"/>
            </w:tcBorders>
          </w:tcPr>
          <w:p>
            <w:pPr>
              <w:pStyle w:val="TableParagraph"/>
              <w:ind w:left="79" w:right="66"/>
              <w:rPr>
                <w:sz w:val="24"/>
              </w:rPr>
            </w:pPr>
            <w:r>
              <w:rPr>
                <w:sz w:val="24"/>
              </w:rPr>
              <w:t>515.5</w:t>
            </w:r>
          </w:p>
        </w:tc>
        <w:tc>
          <w:tcPr>
            <w:tcW w:w="677" w:type="dxa"/>
            <w:tcBorders>
              <w:top w:val="nil"/>
              <w:left w:val="nil"/>
              <w:bottom w:val="nil"/>
              <w:right w:val="nil"/>
            </w:tcBorders>
          </w:tcPr>
          <w:p>
            <w:pPr>
              <w:pStyle w:val="TableParagraph"/>
              <w:ind w:left="123"/>
              <w:jc w:val="left"/>
              <w:rPr>
                <w:sz w:val="24"/>
              </w:rPr>
            </w:pPr>
            <w:r>
              <w:rPr>
                <w:sz w:val="24"/>
              </w:rPr>
              <w:t>0.02</w:t>
            </w:r>
          </w:p>
        </w:tc>
        <w:tc>
          <w:tcPr>
            <w:tcW w:w="696" w:type="dxa"/>
            <w:tcBorders>
              <w:top w:val="nil"/>
              <w:left w:val="nil"/>
              <w:bottom w:val="nil"/>
              <w:right w:val="nil"/>
            </w:tcBorders>
          </w:tcPr>
          <w:p>
            <w:pPr>
              <w:pStyle w:val="TableParagraph"/>
              <w:ind w:right="208"/>
              <w:jc w:val="right"/>
              <w:rPr>
                <w:sz w:val="24"/>
              </w:rPr>
            </w:pPr>
            <w:r>
              <w:rPr>
                <w:w w:val="95"/>
                <w:sz w:val="24"/>
              </w:rPr>
              <w:t>7.8</w:t>
            </w:r>
          </w:p>
        </w:tc>
        <w:tc>
          <w:tcPr>
            <w:tcW w:w="842" w:type="dxa"/>
            <w:tcBorders>
              <w:top w:val="nil"/>
              <w:left w:val="nil"/>
              <w:bottom w:val="nil"/>
              <w:right w:val="nil"/>
            </w:tcBorders>
          </w:tcPr>
          <w:p>
            <w:pPr>
              <w:pStyle w:val="TableParagraph"/>
              <w:ind w:left="243"/>
              <w:jc w:val="left"/>
              <w:rPr>
                <w:sz w:val="24"/>
              </w:rPr>
            </w:pPr>
            <w:r>
              <w:rPr>
                <w:sz w:val="24"/>
              </w:rPr>
              <w:t>705</w:t>
            </w:r>
          </w:p>
        </w:tc>
        <w:tc>
          <w:tcPr>
            <w:tcW w:w="797" w:type="dxa"/>
            <w:tcBorders>
              <w:top w:val="nil"/>
              <w:left w:val="nil"/>
              <w:bottom w:val="nil"/>
              <w:right w:val="nil"/>
            </w:tcBorders>
          </w:tcPr>
          <w:p>
            <w:pPr>
              <w:pStyle w:val="TableParagraph"/>
              <w:ind w:left="78" w:right="78"/>
              <w:rPr>
                <w:sz w:val="24"/>
              </w:rPr>
            </w:pPr>
            <w:r>
              <w:rPr>
                <w:sz w:val="24"/>
              </w:rPr>
              <w:t>655.9</w:t>
            </w:r>
          </w:p>
        </w:tc>
        <w:tc>
          <w:tcPr>
            <w:tcW w:w="795" w:type="dxa"/>
            <w:tcBorders>
              <w:top w:val="nil"/>
              <w:left w:val="nil"/>
              <w:bottom w:val="nil"/>
              <w:right w:val="nil"/>
            </w:tcBorders>
          </w:tcPr>
          <w:p>
            <w:pPr>
              <w:pStyle w:val="TableParagraph"/>
              <w:ind w:left="77" w:right="46"/>
              <w:rPr>
                <w:sz w:val="24"/>
              </w:rPr>
            </w:pPr>
            <w:r>
              <w:rPr>
                <w:sz w:val="24"/>
              </w:rPr>
              <w:t>345.8</w:t>
            </w:r>
          </w:p>
        </w:tc>
        <w:tc>
          <w:tcPr>
            <w:tcW w:w="604" w:type="dxa"/>
            <w:tcBorders>
              <w:top w:val="nil"/>
              <w:left w:val="nil"/>
              <w:bottom w:val="nil"/>
              <w:right w:val="nil"/>
            </w:tcBorders>
          </w:tcPr>
          <w:p>
            <w:pPr>
              <w:pStyle w:val="TableParagraph"/>
              <w:ind w:left="71"/>
              <w:jc w:val="left"/>
              <w:rPr>
                <w:sz w:val="24"/>
              </w:rPr>
            </w:pPr>
            <w:r>
              <w:rPr>
                <w:sz w:val="24"/>
              </w:rPr>
              <w:t>10.3</w:t>
            </w:r>
          </w:p>
        </w:tc>
      </w:tr>
      <w:tr>
        <w:trPr>
          <w:trHeight w:val="449"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spacing w:line="274" w:lineRule="exact"/>
              <w:ind w:left="102" w:right="55"/>
              <w:jc w:val="left"/>
              <w:rPr>
                <w:sz w:val="24"/>
              </w:rPr>
            </w:pPr>
            <w:r>
              <w:rPr>
                <w:sz w:val="24"/>
              </w:rPr>
              <w:t>Low</w:t>
            </w:r>
          </w:p>
        </w:tc>
        <w:tc>
          <w:tcPr>
            <w:tcW w:w="763" w:type="dxa"/>
            <w:tcBorders>
              <w:top w:val="nil"/>
              <w:left w:val="nil"/>
              <w:bottom w:val="nil"/>
              <w:right w:val="nil"/>
            </w:tcBorders>
          </w:tcPr>
          <w:p>
            <w:pPr>
              <w:pStyle w:val="TableParagraph"/>
              <w:spacing w:line="274" w:lineRule="exact"/>
              <w:ind w:left="236"/>
              <w:jc w:val="left"/>
              <w:rPr>
                <w:sz w:val="24"/>
              </w:rPr>
            </w:pPr>
            <w:r>
              <w:rPr>
                <w:sz w:val="24"/>
              </w:rPr>
              <w:t>42</w:t>
            </w:r>
          </w:p>
        </w:tc>
        <w:tc>
          <w:tcPr>
            <w:tcW w:w="656" w:type="dxa"/>
            <w:tcBorders>
              <w:top w:val="nil"/>
              <w:left w:val="nil"/>
              <w:bottom w:val="nil"/>
              <w:right w:val="nil"/>
            </w:tcBorders>
          </w:tcPr>
          <w:p>
            <w:pPr>
              <w:pStyle w:val="TableParagraph"/>
              <w:spacing w:line="274" w:lineRule="exact"/>
              <w:ind w:left="154"/>
              <w:jc w:val="left"/>
              <w:rPr>
                <w:sz w:val="24"/>
              </w:rPr>
            </w:pPr>
            <w:r>
              <w:rPr>
                <w:sz w:val="24"/>
              </w:rPr>
              <w:t>0.1</w:t>
            </w:r>
          </w:p>
        </w:tc>
        <w:tc>
          <w:tcPr>
            <w:tcW w:w="787" w:type="dxa"/>
            <w:tcBorders>
              <w:top w:val="nil"/>
              <w:left w:val="nil"/>
              <w:bottom w:val="nil"/>
              <w:right w:val="nil"/>
            </w:tcBorders>
          </w:tcPr>
          <w:p>
            <w:pPr>
              <w:pStyle w:val="TableParagraph"/>
              <w:spacing w:line="274" w:lineRule="exact"/>
              <w:ind w:left="79" w:right="66"/>
              <w:rPr>
                <w:sz w:val="24"/>
              </w:rPr>
            </w:pPr>
            <w:r>
              <w:rPr>
                <w:sz w:val="24"/>
              </w:rPr>
              <w:t>409.2</w:t>
            </w:r>
          </w:p>
        </w:tc>
        <w:tc>
          <w:tcPr>
            <w:tcW w:w="677" w:type="dxa"/>
            <w:tcBorders>
              <w:top w:val="nil"/>
              <w:left w:val="nil"/>
              <w:bottom w:val="nil"/>
              <w:right w:val="nil"/>
            </w:tcBorders>
          </w:tcPr>
          <w:p>
            <w:pPr>
              <w:pStyle w:val="TableParagraph"/>
              <w:spacing w:line="274" w:lineRule="exact"/>
              <w:ind w:left="123"/>
              <w:jc w:val="left"/>
              <w:rPr>
                <w:sz w:val="24"/>
              </w:rPr>
            </w:pPr>
            <w:r>
              <w:rPr>
                <w:sz w:val="24"/>
              </w:rPr>
              <w:t>0.05</w:t>
            </w:r>
          </w:p>
        </w:tc>
        <w:tc>
          <w:tcPr>
            <w:tcW w:w="696" w:type="dxa"/>
            <w:tcBorders>
              <w:top w:val="nil"/>
              <w:left w:val="nil"/>
              <w:bottom w:val="nil"/>
              <w:right w:val="nil"/>
            </w:tcBorders>
          </w:tcPr>
          <w:p>
            <w:pPr>
              <w:pStyle w:val="TableParagraph"/>
              <w:spacing w:line="274" w:lineRule="exact"/>
              <w:ind w:right="208"/>
              <w:jc w:val="right"/>
              <w:rPr>
                <w:sz w:val="24"/>
              </w:rPr>
            </w:pPr>
            <w:r>
              <w:rPr>
                <w:w w:val="95"/>
                <w:sz w:val="24"/>
              </w:rPr>
              <w:t>9.8</w:t>
            </w:r>
          </w:p>
        </w:tc>
        <w:tc>
          <w:tcPr>
            <w:tcW w:w="842" w:type="dxa"/>
            <w:tcBorders>
              <w:top w:val="nil"/>
              <w:left w:val="nil"/>
              <w:bottom w:val="nil"/>
              <w:right w:val="nil"/>
            </w:tcBorders>
          </w:tcPr>
          <w:p>
            <w:pPr>
              <w:pStyle w:val="TableParagraph"/>
              <w:spacing w:line="274" w:lineRule="exact"/>
              <w:ind w:left="142"/>
              <w:jc w:val="left"/>
              <w:rPr>
                <w:sz w:val="24"/>
              </w:rPr>
            </w:pPr>
            <w:r>
              <w:rPr>
                <w:sz w:val="24"/>
              </w:rPr>
              <w:t>713.2</w:t>
            </w:r>
          </w:p>
        </w:tc>
        <w:tc>
          <w:tcPr>
            <w:tcW w:w="797" w:type="dxa"/>
            <w:tcBorders>
              <w:top w:val="nil"/>
              <w:left w:val="nil"/>
              <w:bottom w:val="nil"/>
              <w:right w:val="nil"/>
            </w:tcBorders>
          </w:tcPr>
          <w:p>
            <w:pPr>
              <w:pStyle w:val="TableParagraph"/>
              <w:spacing w:line="274" w:lineRule="exact"/>
              <w:ind w:left="78" w:right="78"/>
              <w:rPr>
                <w:sz w:val="24"/>
              </w:rPr>
            </w:pPr>
            <w:r>
              <w:rPr>
                <w:sz w:val="24"/>
              </w:rPr>
              <w:t>660.7</w:t>
            </w:r>
          </w:p>
        </w:tc>
        <w:tc>
          <w:tcPr>
            <w:tcW w:w="795" w:type="dxa"/>
            <w:tcBorders>
              <w:top w:val="nil"/>
              <w:left w:val="nil"/>
              <w:bottom w:val="nil"/>
              <w:right w:val="nil"/>
            </w:tcBorders>
          </w:tcPr>
          <w:p>
            <w:pPr>
              <w:pStyle w:val="TableParagraph"/>
              <w:spacing w:line="274" w:lineRule="exact"/>
              <w:ind w:left="77" w:right="46"/>
              <w:rPr>
                <w:sz w:val="24"/>
              </w:rPr>
            </w:pPr>
            <w:r>
              <w:rPr>
                <w:sz w:val="24"/>
              </w:rPr>
              <w:t>367.9</w:t>
            </w:r>
          </w:p>
        </w:tc>
        <w:tc>
          <w:tcPr>
            <w:tcW w:w="604" w:type="dxa"/>
            <w:tcBorders>
              <w:top w:val="nil"/>
              <w:left w:val="nil"/>
              <w:bottom w:val="nil"/>
              <w:right w:val="nil"/>
            </w:tcBorders>
          </w:tcPr>
          <w:p>
            <w:pPr>
              <w:pStyle w:val="TableParagraph"/>
              <w:spacing w:line="274" w:lineRule="exact"/>
              <w:ind w:left="71"/>
              <w:jc w:val="left"/>
              <w:rPr>
                <w:sz w:val="24"/>
              </w:rPr>
            </w:pPr>
            <w:r>
              <w:rPr>
                <w:sz w:val="24"/>
              </w:rPr>
              <w:t>10.4</w:t>
            </w:r>
          </w:p>
        </w:tc>
      </w:tr>
      <w:tr>
        <w:trPr>
          <w:trHeight w:val="451" w:hRule="exact"/>
        </w:trPr>
        <w:tc>
          <w:tcPr>
            <w:tcW w:w="1732" w:type="dxa"/>
            <w:tcBorders>
              <w:top w:val="nil"/>
              <w:left w:val="nil"/>
              <w:bottom w:val="nil"/>
              <w:right w:val="nil"/>
            </w:tcBorders>
          </w:tcPr>
          <w:p>
            <w:pPr>
              <w:pStyle w:val="TableParagraph"/>
              <w:spacing w:before="149"/>
              <w:ind w:left="71"/>
              <w:jc w:val="left"/>
              <w:rPr>
                <w:i/>
                <w:sz w:val="24"/>
              </w:rPr>
            </w:pPr>
            <w:r>
              <w:rPr>
                <w:i/>
                <w:sz w:val="24"/>
              </w:rPr>
              <w:t>M. diplotricha</w:t>
            </w:r>
          </w:p>
        </w:tc>
        <w:tc>
          <w:tcPr>
            <w:tcW w:w="1125" w:type="dxa"/>
            <w:tcBorders>
              <w:top w:val="nil"/>
              <w:left w:val="nil"/>
              <w:bottom w:val="nil"/>
              <w:right w:val="nil"/>
            </w:tcBorders>
          </w:tcPr>
          <w:p>
            <w:pPr>
              <w:pStyle w:val="TableParagraph"/>
              <w:spacing w:before="149"/>
              <w:ind w:left="102" w:right="55"/>
              <w:jc w:val="left"/>
              <w:rPr>
                <w:sz w:val="24"/>
              </w:rPr>
            </w:pPr>
            <w:r>
              <w:rPr>
                <w:sz w:val="24"/>
              </w:rPr>
              <w:t>High</w:t>
            </w:r>
          </w:p>
        </w:tc>
        <w:tc>
          <w:tcPr>
            <w:tcW w:w="763" w:type="dxa"/>
            <w:tcBorders>
              <w:top w:val="nil"/>
              <w:left w:val="nil"/>
              <w:bottom w:val="nil"/>
              <w:right w:val="nil"/>
            </w:tcBorders>
          </w:tcPr>
          <w:p>
            <w:pPr>
              <w:pStyle w:val="TableParagraph"/>
              <w:spacing w:before="149"/>
              <w:ind w:left="207"/>
              <w:jc w:val="left"/>
              <w:rPr>
                <w:sz w:val="24"/>
              </w:rPr>
            </w:pPr>
            <w:r>
              <w:rPr>
                <w:sz w:val="24"/>
              </w:rPr>
              <w:t>4.3</w:t>
            </w:r>
          </w:p>
        </w:tc>
        <w:tc>
          <w:tcPr>
            <w:tcW w:w="656" w:type="dxa"/>
            <w:tcBorders>
              <w:top w:val="nil"/>
              <w:left w:val="nil"/>
              <w:bottom w:val="nil"/>
              <w:right w:val="nil"/>
            </w:tcBorders>
          </w:tcPr>
          <w:p>
            <w:pPr>
              <w:pStyle w:val="TableParagraph"/>
              <w:spacing w:before="149"/>
              <w:ind w:left="154"/>
              <w:jc w:val="left"/>
              <w:rPr>
                <w:sz w:val="24"/>
              </w:rPr>
            </w:pPr>
            <w:r>
              <w:rPr>
                <w:sz w:val="24"/>
              </w:rPr>
              <w:t>0.1</w:t>
            </w:r>
          </w:p>
        </w:tc>
        <w:tc>
          <w:tcPr>
            <w:tcW w:w="787" w:type="dxa"/>
            <w:tcBorders>
              <w:top w:val="nil"/>
              <w:left w:val="nil"/>
              <w:bottom w:val="nil"/>
              <w:right w:val="nil"/>
            </w:tcBorders>
          </w:tcPr>
          <w:p>
            <w:pPr>
              <w:pStyle w:val="TableParagraph"/>
              <w:spacing w:before="149"/>
              <w:ind w:left="79" w:right="63"/>
              <w:rPr>
                <w:sz w:val="24"/>
              </w:rPr>
            </w:pPr>
            <w:r>
              <w:rPr>
                <w:sz w:val="24"/>
              </w:rPr>
              <w:t>85</w:t>
            </w:r>
          </w:p>
        </w:tc>
        <w:tc>
          <w:tcPr>
            <w:tcW w:w="677" w:type="dxa"/>
            <w:tcBorders>
              <w:top w:val="nil"/>
              <w:left w:val="nil"/>
              <w:bottom w:val="nil"/>
              <w:right w:val="nil"/>
            </w:tcBorders>
          </w:tcPr>
          <w:p>
            <w:pPr>
              <w:pStyle w:val="TableParagraph"/>
              <w:spacing w:before="149"/>
              <w:ind w:left="123"/>
              <w:jc w:val="left"/>
              <w:rPr>
                <w:sz w:val="24"/>
              </w:rPr>
            </w:pPr>
            <w:r>
              <w:rPr>
                <w:sz w:val="24"/>
              </w:rPr>
              <w:t>0.01</w:t>
            </w:r>
          </w:p>
        </w:tc>
        <w:tc>
          <w:tcPr>
            <w:tcW w:w="696" w:type="dxa"/>
            <w:tcBorders>
              <w:top w:val="nil"/>
              <w:left w:val="nil"/>
              <w:bottom w:val="nil"/>
              <w:right w:val="nil"/>
            </w:tcBorders>
          </w:tcPr>
          <w:p>
            <w:pPr>
              <w:pStyle w:val="TableParagraph"/>
              <w:spacing w:before="149"/>
              <w:ind w:right="244"/>
              <w:jc w:val="right"/>
              <w:rPr>
                <w:sz w:val="24"/>
              </w:rPr>
            </w:pPr>
            <w:r>
              <w:rPr>
                <w:sz w:val="24"/>
              </w:rPr>
              <w:t>10</w:t>
            </w:r>
          </w:p>
        </w:tc>
        <w:tc>
          <w:tcPr>
            <w:tcW w:w="842" w:type="dxa"/>
            <w:tcBorders>
              <w:top w:val="nil"/>
              <w:left w:val="nil"/>
              <w:bottom w:val="nil"/>
              <w:right w:val="nil"/>
            </w:tcBorders>
          </w:tcPr>
          <w:p>
            <w:pPr>
              <w:pStyle w:val="TableParagraph"/>
              <w:spacing w:before="149"/>
              <w:ind w:left="142"/>
              <w:jc w:val="left"/>
              <w:rPr>
                <w:sz w:val="24"/>
              </w:rPr>
            </w:pPr>
            <w:r>
              <w:rPr>
                <w:sz w:val="24"/>
              </w:rPr>
              <w:t>411.9</w:t>
            </w:r>
          </w:p>
        </w:tc>
        <w:tc>
          <w:tcPr>
            <w:tcW w:w="797" w:type="dxa"/>
            <w:tcBorders>
              <w:top w:val="nil"/>
              <w:left w:val="nil"/>
              <w:bottom w:val="nil"/>
              <w:right w:val="nil"/>
            </w:tcBorders>
          </w:tcPr>
          <w:p>
            <w:pPr>
              <w:pStyle w:val="TableParagraph"/>
              <w:spacing w:before="149"/>
              <w:ind w:left="78" w:right="78"/>
              <w:rPr>
                <w:sz w:val="24"/>
              </w:rPr>
            </w:pPr>
            <w:r>
              <w:rPr>
                <w:sz w:val="24"/>
              </w:rPr>
              <w:t>394.7</w:t>
            </w:r>
          </w:p>
        </w:tc>
        <w:tc>
          <w:tcPr>
            <w:tcW w:w="795" w:type="dxa"/>
            <w:tcBorders>
              <w:top w:val="nil"/>
              <w:left w:val="nil"/>
              <w:bottom w:val="nil"/>
              <w:right w:val="nil"/>
            </w:tcBorders>
          </w:tcPr>
          <w:p>
            <w:pPr>
              <w:pStyle w:val="TableParagraph"/>
              <w:spacing w:before="149"/>
              <w:ind w:left="77" w:right="46"/>
              <w:rPr>
                <w:sz w:val="24"/>
              </w:rPr>
            </w:pPr>
            <w:r>
              <w:rPr>
                <w:sz w:val="24"/>
              </w:rPr>
              <w:t>6.3</w:t>
            </w:r>
          </w:p>
        </w:tc>
        <w:tc>
          <w:tcPr>
            <w:tcW w:w="604" w:type="dxa"/>
            <w:tcBorders>
              <w:top w:val="nil"/>
              <w:left w:val="nil"/>
              <w:bottom w:val="nil"/>
              <w:right w:val="nil"/>
            </w:tcBorders>
          </w:tcPr>
          <w:p>
            <w:pPr>
              <w:pStyle w:val="TableParagraph"/>
              <w:spacing w:before="149"/>
              <w:ind w:left="138"/>
              <w:jc w:val="left"/>
              <w:rPr>
                <w:sz w:val="24"/>
              </w:rPr>
            </w:pPr>
            <w:r>
              <w:rPr>
                <w:sz w:val="24"/>
              </w:rPr>
              <w:t>6.2</w:t>
            </w:r>
          </w:p>
        </w:tc>
      </w:tr>
      <w:tr>
        <w:trPr>
          <w:trHeight w:val="300"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ind w:left="102" w:right="55"/>
              <w:jc w:val="left"/>
              <w:rPr>
                <w:sz w:val="24"/>
              </w:rPr>
            </w:pPr>
            <w:r>
              <w:rPr>
                <w:sz w:val="24"/>
              </w:rPr>
              <w:t>Medium</w:t>
            </w:r>
          </w:p>
        </w:tc>
        <w:tc>
          <w:tcPr>
            <w:tcW w:w="763" w:type="dxa"/>
            <w:tcBorders>
              <w:top w:val="nil"/>
              <w:left w:val="nil"/>
              <w:bottom w:val="nil"/>
              <w:right w:val="nil"/>
            </w:tcBorders>
          </w:tcPr>
          <w:p>
            <w:pPr>
              <w:pStyle w:val="TableParagraph"/>
              <w:ind w:right="152"/>
              <w:jc w:val="right"/>
              <w:rPr>
                <w:sz w:val="24"/>
              </w:rPr>
            </w:pPr>
            <w:r>
              <w:rPr>
                <w:sz w:val="24"/>
              </w:rPr>
              <w:t>26.7</w:t>
            </w:r>
          </w:p>
        </w:tc>
        <w:tc>
          <w:tcPr>
            <w:tcW w:w="656" w:type="dxa"/>
            <w:tcBorders>
              <w:top w:val="nil"/>
              <w:left w:val="nil"/>
              <w:bottom w:val="nil"/>
              <w:right w:val="nil"/>
            </w:tcBorders>
          </w:tcPr>
          <w:p>
            <w:pPr>
              <w:pStyle w:val="TableParagraph"/>
              <w:ind w:left="87"/>
              <w:jc w:val="left"/>
              <w:rPr>
                <w:sz w:val="24"/>
              </w:rPr>
            </w:pPr>
            <w:r>
              <w:rPr>
                <w:sz w:val="24"/>
              </w:rPr>
              <w:t>0.05</w:t>
            </w:r>
          </w:p>
        </w:tc>
        <w:tc>
          <w:tcPr>
            <w:tcW w:w="787" w:type="dxa"/>
            <w:tcBorders>
              <w:top w:val="nil"/>
              <w:left w:val="nil"/>
              <w:bottom w:val="nil"/>
              <w:right w:val="nil"/>
            </w:tcBorders>
          </w:tcPr>
          <w:p>
            <w:pPr>
              <w:pStyle w:val="TableParagraph"/>
              <w:ind w:left="79" w:right="63"/>
              <w:rPr>
                <w:sz w:val="24"/>
              </w:rPr>
            </w:pPr>
            <w:r>
              <w:rPr>
                <w:sz w:val="24"/>
              </w:rPr>
              <w:t>150</w:t>
            </w:r>
          </w:p>
        </w:tc>
        <w:tc>
          <w:tcPr>
            <w:tcW w:w="677" w:type="dxa"/>
            <w:tcBorders>
              <w:top w:val="nil"/>
              <w:left w:val="nil"/>
              <w:bottom w:val="nil"/>
              <w:right w:val="nil"/>
            </w:tcBorders>
          </w:tcPr>
          <w:p>
            <w:pPr>
              <w:pStyle w:val="TableParagraph"/>
              <w:ind w:left="123"/>
              <w:jc w:val="left"/>
              <w:rPr>
                <w:sz w:val="24"/>
              </w:rPr>
            </w:pPr>
            <w:r>
              <w:rPr>
                <w:sz w:val="24"/>
              </w:rPr>
              <w:t>0.03</w:t>
            </w:r>
          </w:p>
        </w:tc>
        <w:tc>
          <w:tcPr>
            <w:tcW w:w="696" w:type="dxa"/>
            <w:tcBorders>
              <w:top w:val="nil"/>
              <w:left w:val="nil"/>
              <w:bottom w:val="nil"/>
              <w:right w:val="nil"/>
            </w:tcBorders>
          </w:tcPr>
          <w:p>
            <w:pPr>
              <w:pStyle w:val="TableParagraph"/>
              <w:ind w:right="208"/>
              <w:jc w:val="right"/>
              <w:rPr>
                <w:sz w:val="24"/>
              </w:rPr>
            </w:pPr>
            <w:r>
              <w:rPr>
                <w:w w:val="95"/>
                <w:sz w:val="24"/>
              </w:rPr>
              <w:t>5.9</w:t>
            </w:r>
          </w:p>
        </w:tc>
        <w:tc>
          <w:tcPr>
            <w:tcW w:w="842" w:type="dxa"/>
            <w:tcBorders>
              <w:top w:val="nil"/>
              <w:left w:val="nil"/>
              <w:bottom w:val="nil"/>
              <w:right w:val="nil"/>
            </w:tcBorders>
          </w:tcPr>
          <w:p>
            <w:pPr>
              <w:pStyle w:val="TableParagraph"/>
              <w:ind w:left="142"/>
              <w:jc w:val="left"/>
              <w:rPr>
                <w:sz w:val="24"/>
              </w:rPr>
            </w:pPr>
            <w:r>
              <w:rPr>
                <w:sz w:val="24"/>
              </w:rPr>
              <w:t>697.1</w:t>
            </w:r>
          </w:p>
        </w:tc>
        <w:tc>
          <w:tcPr>
            <w:tcW w:w="797" w:type="dxa"/>
            <w:tcBorders>
              <w:top w:val="nil"/>
              <w:left w:val="nil"/>
              <w:bottom w:val="nil"/>
              <w:right w:val="nil"/>
            </w:tcBorders>
          </w:tcPr>
          <w:p>
            <w:pPr>
              <w:pStyle w:val="TableParagraph"/>
              <w:ind w:left="78" w:right="78"/>
              <w:rPr>
                <w:sz w:val="24"/>
              </w:rPr>
            </w:pPr>
            <w:r>
              <w:rPr>
                <w:sz w:val="24"/>
              </w:rPr>
              <w:t>647.4</w:t>
            </w:r>
          </w:p>
        </w:tc>
        <w:tc>
          <w:tcPr>
            <w:tcW w:w="795" w:type="dxa"/>
            <w:tcBorders>
              <w:top w:val="nil"/>
              <w:left w:val="nil"/>
              <w:bottom w:val="nil"/>
              <w:right w:val="nil"/>
            </w:tcBorders>
          </w:tcPr>
          <w:p>
            <w:pPr>
              <w:pStyle w:val="TableParagraph"/>
              <w:ind w:left="77" w:right="46"/>
              <w:rPr>
                <w:sz w:val="24"/>
              </w:rPr>
            </w:pPr>
            <w:r>
              <w:rPr>
                <w:sz w:val="24"/>
              </w:rPr>
              <w:t>38.9</w:t>
            </w:r>
          </w:p>
        </w:tc>
        <w:tc>
          <w:tcPr>
            <w:tcW w:w="604" w:type="dxa"/>
            <w:tcBorders>
              <w:top w:val="nil"/>
              <w:left w:val="nil"/>
              <w:bottom w:val="nil"/>
              <w:right w:val="nil"/>
            </w:tcBorders>
          </w:tcPr>
          <w:p>
            <w:pPr>
              <w:pStyle w:val="TableParagraph"/>
              <w:ind w:left="71"/>
              <w:jc w:val="left"/>
              <w:rPr>
                <w:sz w:val="24"/>
              </w:rPr>
            </w:pPr>
            <w:r>
              <w:rPr>
                <w:sz w:val="24"/>
              </w:rPr>
              <w:t>10.2</w:t>
            </w:r>
          </w:p>
        </w:tc>
      </w:tr>
      <w:tr>
        <w:trPr>
          <w:trHeight w:val="449"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spacing w:line="274" w:lineRule="exact"/>
              <w:ind w:left="102" w:right="55"/>
              <w:jc w:val="left"/>
              <w:rPr>
                <w:sz w:val="24"/>
              </w:rPr>
            </w:pPr>
            <w:r>
              <w:rPr>
                <w:sz w:val="24"/>
              </w:rPr>
              <w:t>Low</w:t>
            </w:r>
          </w:p>
        </w:tc>
        <w:tc>
          <w:tcPr>
            <w:tcW w:w="763" w:type="dxa"/>
            <w:tcBorders>
              <w:top w:val="nil"/>
              <w:left w:val="nil"/>
              <w:bottom w:val="nil"/>
              <w:right w:val="nil"/>
            </w:tcBorders>
          </w:tcPr>
          <w:p>
            <w:pPr>
              <w:pStyle w:val="TableParagraph"/>
              <w:spacing w:line="274" w:lineRule="exact"/>
              <w:ind w:right="85"/>
              <w:jc w:val="right"/>
              <w:rPr>
                <w:sz w:val="24"/>
              </w:rPr>
            </w:pPr>
            <w:r>
              <w:rPr>
                <w:w w:val="95"/>
                <w:sz w:val="24"/>
              </w:rPr>
              <w:t>220.8</w:t>
            </w:r>
          </w:p>
        </w:tc>
        <w:tc>
          <w:tcPr>
            <w:tcW w:w="656" w:type="dxa"/>
            <w:tcBorders>
              <w:top w:val="nil"/>
              <w:left w:val="nil"/>
              <w:bottom w:val="nil"/>
              <w:right w:val="nil"/>
            </w:tcBorders>
          </w:tcPr>
          <w:p>
            <w:pPr>
              <w:pStyle w:val="TableParagraph"/>
              <w:spacing w:line="274" w:lineRule="exact"/>
              <w:ind w:left="87"/>
              <w:jc w:val="left"/>
              <w:rPr>
                <w:sz w:val="24"/>
              </w:rPr>
            </w:pPr>
            <w:r>
              <w:rPr>
                <w:sz w:val="24"/>
              </w:rPr>
              <w:t>0.02</w:t>
            </w:r>
          </w:p>
        </w:tc>
        <w:tc>
          <w:tcPr>
            <w:tcW w:w="787" w:type="dxa"/>
            <w:tcBorders>
              <w:top w:val="nil"/>
              <w:left w:val="nil"/>
              <w:bottom w:val="nil"/>
              <w:right w:val="nil"/>
            </w:tcBorders>
          </w:tcPr>
          <w:p>
            <w:pPr>
              <w:pStyle w:val="TableParagraph"/>
              <w:spacing w:line="274" w:lineRule="exact"/>
              <w:ind w:left="79" w:right="66"/>
              <w:rPr>
                <w:sz w:val="24"/>
              </w:rPr>
            </w:pPr>
            <w:r>
              <w:rPr>
                <w:sz w:val="24"/>
              </w:rPr>
              <w:t>136.7</w:t>
            </w:r>
          </w:p>
        </w:tc>
        <w:tc>
          <w:tcPr>
            <w:tcW w:w="677" w:type="dxa"/>
            <w:tcBorders>
              <w:top w:val="nil"/>
              <w:left w:val="nil"/>
              <w:bottom w:val="nil"/>
              <w:right w:val="nil"/>
            </w:tcBorders>
          </w:tcPr>
          <w:p>
            <w:pPr>
              <w:pStyle w:val="TableParagraph"/>
              <w:spacing w:line="274" w:lineRule="exact"/>
              <w:ind w:left="123"/>
              <w:jc w:val="left"/>
              <w:rPr>
                <w:sz w:val="24"/>
              </w:rPr>
            </w:pPr>
            <w:r>
              <w:rPr>
                <w:sz w:val="24"/>
              </w:rPr>
              <w:t>0.11</w:t>
            </w:r>
          </w:p>
        </w:tc>
        <w:tc>
          <w:tcPr>
            <w:tcW w:w="696" w:type="dxa"/>
            <w:tcBorders>
              <w:top w:val="nil"/>
              <w:left w:val="nil"/>
              <w:bottom w:val="nil"/>
              <w:right w:val="nil"/>
            </w:tcBorders>
          </w:tcPr>
          <w:p>
            <w:pPr>
              <w:pStyle w:val="TableParagraph"/>
              <w:spacing w:line="274" w:lineRule="exact"/>
              <w:ind w:right="141"/>
              <w:jc w:val="right"/>
              <w:rPr>
                <w:sz w:val="24"/>
              </w:rPr>
            </w:pPr>
            <w:r>
              <w:rPr>
                <w:sz w:val="24"/>
              </w:rPr>
              <w:t>10.1</w:t>
            </w:r>
          </w:p>
        </w:tc>
        <w:tc>
          <w:tcPr>
            <w:tcW w:w="842" w:type="dxa"/>
            <w:tcBorders>
              <w:top w:val="nil"/>
              <w:left w:val="nil"/>
              <w:bottom w:val="nil"/>
              <w:right w:val="nil"/>
            </w:tcBorders>
          </w:tcPr>
          <w:p>
            <w:pPr>
              <w:pStyle w:val="TableParagraph"/>
              <w:spacing w:line="274" w:lineRule="exact"/>
              <w:ind w:left="142"/>
              <w:jc w:val="left"/>
              <w:rPr>
                <w:sz w:val="24"/>
              </w:rPr>
            </w:pPr>
            <w:r>
              <w:rPr>
                <w:sz w:val="24"/>
              </w:rPr>
              <w:t>657.1</w:t>
            </w:r>
          </w:p>
        </w:tc>
        <w:tc>
          <w:tcPr>
            <w:tcW w:w="797" w:type="dxa"/>
            <w:tcBorders>
              <w:top w:val="nil"/>
              <w:left w:val="nil"/>
              <w:bottom w:val="nil"/>
              <w:right w:val="nil"/>
            </w:tcBorders>
          </w:tcPr>
          <w:p>
            <w:pPr>
              <w:pStyle w:val="TableParagraph"/>
              <w:spacing w:line="274" w:lineRule="exact"/>
              <w:ind w:left="78" w:right="78"/>
              <w:rPr>
                <w:sz w:val="24"/>
              </w:rPr>
            </w:pPr>
            <w:r>
              <w:rPr>
                <w:sz w:val="24"/>
              </w:rPr>
              <w:t>598.6</w:t>
            </w:r>
          </w:p>
        </w:tc>
        <w:tc>
          <w:tcPr>
            <w:tcW w:w="795" w:type="dxa"/>
            <w:tcBorders>
              <w:top w:val="nil"/>
              <w:left w:val="nil"/>
              <w:bottom w:val="nil"/>
              <w:right w:val="nil"/>
            </w:tcBorders>
          </w:tcPr>
          <w:p>
            <w:pPr>
              <w:pStyle w:val="TableParagraph"/>
              <w:spacing w:line="274" w:lineRule="exact"/>
              <w:ind w:left="77" w:right="46"/>
              <w:rPr>
                <w:sz w:val="24"/>
              </w:rPr>
            </w:pPr>
            <w:r>
              <w:rPr>
                <w:sz w:val="24"/>
              </w:rPr>
              <w:t>65.1</w:t>
            </w:r>
          </w:p>
        </w:tc>
        <w:tc>
          <w:tcPr>
            <w:tcW w:w="604" w:type="dxa"/>
            <w:tcBorders>
              <w:top w:val="nil"/>
              <w:left w:val="nil"/>
              <w:bottom w:val="nil"/>
              <w:right w:val="nil"/>
            </w:tcBorders>
          </w:tcPr>
          <w:p>
            <w:pPr>
              <w:pStyle w:val="TableParagraph"/>
              <w:spacing w:line="274" w:lineRule="exact"/>
              <w:ind w:left="138"/>
              <w:jc w:val="left"/>
              <w:rPr>
                <w:sz w:val="24"/>
              </w:rPr>
            </w:pPr>
            <w:r>
              <w:rPr>
                <w:sz w:val="24"/>
              </w:rPr>
              <w:t>9.4</w:t>
            </w:r>
          </w:p>
        </w:tc>
      </w:tr>
      <w:tr>
        <w:trPr>
          <w:trHeight w:val="451" w:hRule="exact"/>
        </w:trPr>
        <w:tc>
          <w:tcPr>
            <w:tcW w:w="1732" w:type="dxa"/>
            <w:tcBorders>
              <w:top w:val="nil"/>
              <w:left w:val="nil"/>
              <w:bottom w:val="nil"/>
              <w:right w:val="nil"/>
            </w:tcBorders>
          </w:tcPr>
          <w:p>
            <w:pPr>
              <w:pStyle w:val="TableParagraph"/>
              <w:spacing w:before="149"/>
              <w:ind w:left="71"/>
              <w:jc w:val="left"/>
              <w:rPr>
                <w:i/>
                <w:sz w:val="24"/>
              </w:rPr>
            </w:pPr>
            <w:r>
              <w:rPr>
                <w:i/>
                <w:sz w:val="24"/>
              </w:rPr>
              <w:t>M. divaricatum</w:t>
            </w:r>
          </w:p>
        </w:tc>
        <w:tc>
          <w:tcPr>
            <w:tcW w:w="1125" w:type="dxa"/>
            <w:tcBorders>
              <w:top w:val="nil"/>
              <w:left w:val="nil"/>
              <w:bottom w:val="nil"/>
              <w:right w:val="nil"/>
            </w:tcBorders>
          </w:tcPr>
          <w:p>
            <w:pPr>
              <w:pStyle w:val="TableParagraph"/>
              <w:spacing w:before="149"/>
              <w:ind w:left="102" w:right="55"/>
              <w:jc w:val="left"/>
              <w:rPr>
                <w:sz w:val="24"/>
              </w:rPr>
            </w:pPr>
            <w:r>
              <w:rPr>
                <w:sz w:val="24"/>
              </w:rPr>
              <w:t>High</w:t>
            </w:r>
          </w:p>
        </w:tc>
        <w:tc>
          <w:tcPr>
            <w:tcW w:w="763" w:type="dxa"/>
            <w:tcBorders>
              <w:top w:val="nil"/>
              <w:left w:val="nil"/>
              <w:bottom w:val="nil"/>
              <w:right w:val="nil"/>
            </w:tcBorders>
          </w:tcPr>
          <w:p>
            <w:pPr>
              <w:pStyle w:val="TableParagraph"/>
              <w:spacing w:before="149"/>
              <w:ind w:right="152"/>
              <w:jc w:val="right"/>
              <w:rPr>
                <w:sz w:val="24"/>
              </w:rPr>
            </w:pPr>
            <w:r>
              <w:rPr>
                <w:sz w:val="24"/>
              </w:rPr>
              <w:t>43.2</w:t>
            </w:r>
          </w:p>
        </w:tc>
        <w:tc>
          <w:tcPr>
            <w:tcW w:w="656" w:type="dxa"/>
            <w:tcBorders>
              <w:top w:val="nil"/>
              <w:left w:val="nil"/>
              <w:bottom w:val="nil"/>
              <w:right w:val="nil"/>
            </w:tcBorders>
          </w:tcPr>
          <w:p>
            <w:pPr>
              <w:pStyle w:val="TableParagraph"/>
              <w:spacing w:before="149"/>
              <w:ind w:left="154"/>
              <w:jc w:val="left"/>
              <w:rPr>
                <w:sz w:val="24"/>
              </w:rPr>
            </w:pPr>
            <w:r>
              <w:rPr>
                <w:sz w:val="24"/>
              </w:rPr>
              <w:t>0.1</w:t>
            </w:r>
          </w:p>
        </w:tc>
        <w:tc>
          <w:tcPr>
            <w:tcW w:w="787" w:type="dxa"/>
            <w:tcBorders>
              <w:top w:val="nil"/>
              <w:left w:val="nil"/>
              <w:bottom w:val="nil"/>
              <w:right w:val="nil"/>
            </w:tcBorders>
          </w:tcPr>
          <w:p>
            <w:pPr>
              <w:pStyle w:val="TableParagraph"/>
              <w:spacing w:before="149"/>
              <w:ind w:left="79" w:right="66"/>
              <w:rPr>
                <w:sz w:val="24"/>
              </w:rPr>
            </w:pPr>
            <w:r>
              <w:rPr>
                <w:sz w:val="24"/>
              </w:rPr>
              <w:t>477.6</w:t>
            </w:r>
          </w:p>
        </w:tc>
        <w:tc>
          <w:tcPr>
            <w:tcW w:w="677" w:type="dxa"/>
            <w:tcBorders>
              <w:top w:val="nil"/>
              <w:left w:val="nil"/>
              <w:bottom w:val="nil"/>
              <w:right w:val="nil"/>
            </w:tcBorders>
          </w:tcPr>
          <w:p>
            <w:pPr>
              <w:pStyle w:val="TableParagraph"/>
              <w:spacing w:before="149"/>
              <w:ind w:left="123"/>
              <w:jc w:val="left"/>
              <w:rPr>
                <w:sz w:val="24"/>
              </w:rPr>
            </w:pPr>
            <w:r>
              <w:rPr>
                <w:sz w:val="24"/>
              </w:rPr>
              <w:t>0.02</w:t>
            </w:r>
          </w:p>
        </w:tc>
        <w:tc>
          <w:tcPr>
            <w:tcW w:w="696" w:type="dxa"/>
            <w:tcBorders>
              <w:top w:val="nil"/>
              <w:left w:val="nil"/>
              <w:bottom w:val="nil"/>
              <w:right w:val="nil"/>
            </w:tcBorders>
          </w:tcPr>
          <w:p>
            <w:pPr>
              <w:pStyle w:val="TableParagraph"/>
              <w:spacing w:before="149"/>
              <w:ind w:right="65"/>
              <w:rPr>
                <w:sz w:val="24"/>
              </w:rPr>
            </w:pPr>
            <w:r>
              <w:rPr>
                <w:w w:val="99"/>
                <w:sz w:val="24"/>
              </w:rPr>
              <w:t>5</w:t>
            </w:r>
          </w:p>
        </w:tc>
        <w:tc>
          <w:tcPr>
            <w:tcW w:w="842" w:type="dxa"/>
            <w:tcBorders>
              <w:top w:val="nil"/>
              <w:left w:val="nil"/>
              <w:bottom w:val="nil"/>
              <w:right w:val="nil"/>
            </w:tcBorders>
          </w:tcPr>
          <w:p>
            <w:pPr>
              <w:pStyle w:val="TableParagraph"/>
              <w:spacing w:before="149"/>
              <w:ind w:left="142"/>
              <w:jc w:val="left"/>
              <w:rPr>
                <w:sz w:val="24"/>
              </w:rPr>
            </w:pPr>
            <w:r>
              <w:rPr>
                <w:sz w:val="24"/>
              </w:rPr>
              <w:t>695.2</w:t>
            </w:r>
          </w:p>
        </w:tc>
        <w:tc>
          <w:tcPr>
            <w:tcW w:w="797" w:type="dxa"/>
            <w:tcBorders>
              <w:top w:val="nil"/>
              <w:left w:val="nil"/>
              <w:bottom w:val="nil"/>
              <w:right w:val="nil"/>
            </w:tcBorders>
          </w:tcPr>
          <w:p>
            <w:pPr>
              <w:pStyle w:val="TableParagraph"/>
              <w:spacing w:before="149"/>
              <w:ind w:left="78" w:right="78"/>
              <w:rPr>
                <w:sz w:val="24"/>
              </w:rPr>
            </w:pPr>
            <w:r>
              <w:rPr>
                <w:sz w:val="24"/>
              </w:rPr>
              <w:t>653.3</w:t>
            </w:r>
          </w:p>
        </w:tc>
        <w:tc>
          <w:tcPr>
            <w:tcW w:w="795" w:type="dxa"/>
            <w:tcBorders>
              <w:top w:val="nil"/>
              <w:left w:val="nil"/>
              <w:bottom w:val="nil"/>
              <w:right w:val="nil"/>
            </w:tcBorders>
          </w:tcPr>
          <w:p>
            <w:pPr>
              <w:pStyle w:val="TableParagraph"/>
              <w:spacing w:before="149"/>
              <w:ind w:left="77" w:right="46"/>
              <w:rPr>
                <w:sz w:val="24"/>
              </w:rPr>
            </w:pPr>
            <w:r>
              <w:rPr>
                <w:sz w:val="24"/>
              </w:rPr>
              <w:t>541.5</w:t>
            </w:r>
          </w:p>
        </w:tc>
        <w:tc>
          <w:tcPr>
            <w:tcW w:w="604" w:type="dxa"/>
            <w:tcBorders>
              <w:top w:val="nil"/>
              <w:left w:val="nil"/>
              <w:bottom w:val="nil"/>
              <w:right w:val="nil"/>
            </w:tcBorders>
          </w:tcPr>
          <w:p>
            <w:pPr>
              <w:pStyle w:val="TableParagraph"/>
              <w:spacing w:before="149"/>
              <w:ind w:left="71"/>
              <w:jc w:val="left"/>
              <w:rPr>
                <w:sz w:val="24"/>
              </w:rPr>
            </w:pPr>
            <w:r>
              <w:rPr>
                <w:sz w:val="24"/>
              </w:rPr>
              <w:t>10.3</w:t>
            </w:r>
          </w:p>
        </w:tc>
      </w:tr>
      <w:tr>
        <w:trPr>
          <w:trHeight w:val="300" w:hRule="exact"/>
        </w:trPr>
        <w:tc>
          <w:tcPr>
            <w:tcW w:w="1732" w:type="dxa"/>
            <w:tcBorders>
              <w:top w:val="nil"/>
              <w:left w:val="nil"/>
              <w:bottom w:val="nil"/>
              <w:right w:val="nil"/>
            </w:tcBorders>
          </w:tcPr>
          <w:p>
            <w:pPr/>
          </w:p>
        </w:tc>
        <w:tc>
          <w:tcPr>
            <w:tcW w:w="1125" w:type="dxa"/>
            <w:tcBorders>
              <w:top w:val="nil"/>
              <w:left w:val="nil"/>
              <w:bottom w:val="nil"/>
              <w:right w:val="nil"/>
            </w:tcBorders>
          </w:tcPr>
          <w:p>
            <w:pPr>
              <w:pStyle w:val="TableParagraph"/>
              <w:ind w:left="102" w:right="55"/>
              <w:jc w:val="left"/>
              <w:rPr>
                <w:sz w:val="24"/>
              </w:rPr>
            </w:pPr>
            <w:r>
              <w:rPr>
                <w:sz w:val="24"/>
              </w:rPr>
              <w:t>Medium</w:t>
            </w:r>
          </w:p>
        </w:tc>
        <w:tc>
          <w:tcPr>
            <w:tcW w:w="763" w:type="dxa"/>
            <w:tcBorders>
              <w:top w:val="nil"/>
              <w:left w:val="nil"/>
              <w:bottom w:val="nil"/>
              <w:right w:val="nil"/>
            </w:tcBorders>
          </w:tcPr>
          <w:p>
            <w:pPr>
              <w:pStyle w:val="TableParagraph"/>
              <w:ind w:right="152"/>
              <w:jc w:val="right"/>
              <w:rPr>
                <w:sz w:val="24"/>
              </w:rPr>
            </w:pPr>
            <w:r>
              <w:rPr>
                <w:sz w:val="24"/>
              </w:rPr>
              <w:t>24.2</w:t>
            </w:r>
          </w:p>
        </w:tc>
        <w:tc>
          <w:tcPr>
            <w:tcW w:w="656" w:type="dxa"/>
            <w:tcBorders>
              <w:top w:val="nil"/>
              <w:left w:val="nil"/>
              <w:bottom w:val="nil"/>
              <w:right w:val="nil"/>
            </w:tcBorders>
          </w:tcPr>
          <w:p>
            <w:pPr>
              <w:pStyle w:val="TableParagraph"/>
              <w:ind w:left="154"/>
              <w:jc w:val="left"/>
              <w:rPr>
                <w:sz w:val="24"/>
              </w:rPr>
            </w:pPr>
            <w:r>
              <w:rPr>
                <w:sz w:val="24"/>
              </w:rPr>
              <w:t>0.3</w:t>
            </w:r>
          </w:p>
        </w:tc>
        <w:tc>
          <w:tcPr>
            <w:tcW w:w="787" w:type="dxa"/>
            <w:tcBorders>
              <w:top w:val="nil"/>
              <w:left w:val="nil"/>
              <w:bottom w:val="nil"/>
              <w:right w:val="nil"/>
            </w:tcBorders>
          </w:tcPr>
          <w:p>
            <w:pPr>
              <w:pStyle w:val="TableParagraph"/>
              <w:ind w:left="79" w:right="66"/>
              <w:rPr>
                <w:sz w:val="24"/>
              </w:rPr>
            </w:pPr>
            <w:r>
              <w:rPr>
                <w:sz w:val="24"/>
              </w:rPr>
              <w:t>590.6</w:t>
            </w:r>
          </w:p>
        </w:tc>
        <w:tc>
          <w:tcPr>
            <w:tcW w:w="677" w:type="dxa"/>
            <w:tcBorders>
              <w:top w:val="nil"/>
              <w:left w:val="nil"/>
              <w:bottom w:val="nil"/>
              <w:right w:val="nil"/>
            </w:tcBorders>
          </w:tcPr>
          <w:p>
            <w:pPr>
              <w:pStyle w:val="TableParagraph"/>
              <w:ind w:left="123"/>
              <w:jc w:val="left"/>
              <w:rPr>
                <w:sz w:val="24"/>
              </w:rPr>
            </w:pPr>
            <w:r>
              <w:rPr>
                <w:sz w:val="24"/>
              </w:rPr>
              <w:t>0.02</w:t>
            </w:r>
          </w:p>
        </w:tc>
        <w:tc>
          <w:tcPr>
            <w:tcW w:w="696" w:type="dxa"/>
            <w:tcBorders>
              <w:top w:val="nil"/>
              <w:left w:val="nil"/>
              <w:bottom w:val="nil"/>
              <w:right w:val="nil"/>
            </w:tcBorders>
          </w:tcPr>
          <w:p>
            <w:pPr>
              <w:pStyle w:val="TableParagraph"/>
              <w:ind w:right="208"/>
              <w:jc w:val="right"/>
              <w:rPr>
                <w:sz w:val="24"/>
              </w:rPr>
            </w:pPr>
            <w:r>
              <w:rPr>
                <w:w w:val="95"/>
                <w:sz w:val="24"/>
              </w:rPr>
              <w:t>5.8</w:t>
            </w:r>
          </w:p>
        </w:tc>
        <w:tc>
          <w:tcPr>
            <w:tcW w:w="842" w:type="dxa"/>
            <w:tcBorders>
              <w:top w:val="nil"/>
              <w:left w:val="nil"/>
              <w:bottom w:val="nil"/>
              <w:right w:val="nil"/>
            </w:tcBorders>
          </w:tcPr>
          <w:p>
            <w:pPr>
              <w:pStyle w:val="TableParagraph"/>
              <w:ind w:left="142"/>
              <w:jc w:val="left"/>
              <w:rPr>
                <w:sz w:val="24"/>
              </w:rPr>
            </w:pPr>
            <w:r>
              <w:rPr>
                <w:sz w:val="24"/>
              </w:rPr>
              <w:t>701.3</w:t>
            </w:r>
          </w:p>
        </w:tc>
        <w:tc>
          <w:tcPr>
            <w:tcW w:w="797" w:type="dxa"/>
            <w:tcBorders>
              <w:top w:val="nil"/>
              <w:left w:val="nil"/>
              <w:bottom w:val="nil"/>
              <w:right w:val="nil"/>
            </w:tcBorders>
          </w:tcPr>
          <w:p>
            <w:pPr>
              <w:pStyle w:val="TableParagraph"/>
              <w:ind w:left="78" w:right="78"/>
              <w:rPr>
                <w:sz w:val="24"/>
              </w:rPr>
            </w:pPr>
            <w:r>
              <w:rPr>
                <w:sz w:val="24"/>
              </w:rPr>
              <w:t>652.7</w:t>
            </w:r>
          </w:p>
        </w:tc>
        <w:tc>
          <w:tcPr>
            <w:tcW w:w="795" w:type="dxa"/>
            <w:tcBorders>
              <w:top w:val="nil"/>
              <w:left w:val="nil"/>
              <w:bottom w:val="nil"/>
              <w:right w:val="nil"/>
            </w:tcBorders>
          </w:tcPr>
          <w:p>
            <w:pPr>
              <w:pStyle w:val="TableParagraph"/>
              <w:ind w:left="77" w:right="46"/>
              <w:rPr>
                <w:sz w:val="24"/>
              </w:rPr>
            </w:pPr>
            <w:r>
              <w:rPr>
                <w:sz w:val="24"/>
              </w:rPr>
              <w:t>588.8</w:t>
            </w:r>
          </w:p>
        </w:tc>
        <w:tc>
          <w:tcPr>
            <w:tcW w:w="604" w:type="dxa"/>
            <w:tcBorders>
              <w:top w:val="nil"/>
              <w:left w:val="nil"/>
              <w:bottom w:val="nil"/>
              <w:right w:val="nil"/>
            </w:tcBorders>
          </w:tcPr>
          <w:p>
            <w:pPr>
              <w:pStyle w:val="TableParagraph"/>
              <w:ind w:left="71"/>
              <w:jc w:val="left"/>
              <w:rPr>
                <w:sz w:val="24"/>
              </w:rPr>
            </w:pPr>
            <w:r>
              <w:rPr>
                <w:sz w:val="24"/>
              </w:rPr>
              <w:t>10.3</w:t>
            </w:r>
          </w:p>
        </w:tc>
      </w:tr>
      <w:tr>
        <w:trPr>
          <w:trHeight w:val="620" w:hRule="exact"/>
        </w:trPr>
        <w:tc>
          <w:tcPr>
            <w:tcW w:w="1732" w:type="dxa"/>
            <w:tcBorders>
              <w:top w:val="nil"/>
              <w:left w:val="nil"/>
              <w:right w:val="nil"/>
            </w:tcBorders>
          </w:tcPr>
          <w:p>
            <w:pPr/>
          </w:p>
        </w:tc>
        <w:tc>
          <w:tcPr>
            <w:tcW w:w="1125" w:type="dxa"/>
            <w:tcBorders>
              <w:top w:val="nil"/>
              <w:left w:val="nil"/>
              <w:right w:val="nil"/>
            </w:tcBorders>
          </w:tcPr>
          <w:p>
            <w:pPr>
              <w:pStyle w:val="TableParagraph"/>
              <w:spacing w:line="274" w:lineRule="exact"/>
              <w:ind w:left="102" w:right="55"/>
              <w:jc w:val="left"/>
              <w:rPr>
                <w:sz w:val="24"/>
              </w:rPr>
            </w:pPr>
            <w:r>
              <w:rPr>
                <w:sz w:val="24"/>
              </w:rPr>
              <w:t>Low</w:t>
            </w:r>
          </w:p>
        </w:tc>
        <w:tc>
          <w:tcPr>
            <w:tcW w:w="763" w:type="dxa"/>
            <w:tcBorders>
              <w:top w:val="nil"/>
              <w:left w:val="nil"/>
              <w:right w:val="nil"/>
            </w:tcBorders>
          </w:tcPr>
          <w:p>
            <w:pPr>
              <w:pStyle w:val="TableParagraph"/>
              <w:spacing w:line="274" w:lineRule="exact"/>
              <w:ind w:left="207"/>
              <w:jc w:val="left"/>
              <w:rPr>
                <w:sz w:val="24"/>
              </w:rPr>
            </w:pPr>
            <w:r>
              <w:rPr>
                <w:sz w:val="24"/>
              </w:rPr>
              <w:t>3.5</w:t>
            </w:r>
          </w:p>
        </w:tc>
        <w:tc>
          <w:tcPr>
            <w:tcW w:w="656" w:type="dxa"/>
            <w:tcBorders>
              <w:top w:val="nil"/>
              <w:left w:val="nil"/>
              <w:right w:val="nil"/>
            </w:tcBorders>
          </w:tcPr>
          <w:p>
            <w:pPr>
              <w:pStyle w:val="TableParagraph"/>
              <w:spacing w:line="274" w:lineRule="exact"/>
              <w:ind w:right="19"/>
              <w:rPr>
                <w:sz w:val="24"/>
              </w:rPr>
            </w:pPr>
            <w:r>
              <w:rPr>
                <w:w w:val="99"/>
                <w:sz w:val="24"/>
              </w:rPr>
              <w:t>0</w:t>
            </w:r>
          </w:p>
        </w:tc>
        <w:tc>
          <w:tcPr>
            <w:tcW w:w="787" w:type="dxa"/>
            <w:tcBorders>
              <w:top w:val="nil"/>
              <w:left w:val="nil"/>
              <w:right w:val="nil"/>
            </w:tcBorders>
          </w:tcPr>
          <w:p>
            <w:pPr>
              <w:pStyle w:val="TableParagraph"/>
              <w:spacing w:line="274" w:lineRule="exact"/>
              <w:ind w:left="79" w:right="66"/>
              <w:rPr>
                <w:sz w:val="24"/>
              </w:rPr>
            </w:pPr>
            <w:r>
              <w:rPr>
                <w:sz w:val="24"/>
              </w:rPr>
              <w:t>631.5</w:t>
            </w:r>
          </w:p>
        </w:tc>
        <w:tc>
          <w:tcPr>
            <w:tcW w:w="677" w:type="dxa"/>
            <w:tcBorders>
              <w:top w:val="nil"/>
              <w:left w:val="nil"/>
              <w:right w:val="nil"/>
            </w:tcBorders>
          </w:tcPr>
          <w:p>
            <w:pPr>
              <w:pStyle w:val="TableParagraph"/>
              <w:spacing w:line="274" w:lineRule="exact"/>
              <w:ind w:left="123"/>
              <w:jc w:val="left"/>
              <w:rPr>
                <w:sz w:val="24"/>
              </w:rPr>
            </w:pPr>
            <w:r>
              <w:rPr>
                <w:sz w:val="24"/>
              </w:rPr>
              <w:t>0.02</w:t>
            </w:r>
          </w:p>
        </w:tc>
        <w:tc>
          <w:tcPr>
            <w:tcW w:w="696" w:type="dxa"/>
            <w:tcBorders>
              <w:top w:val="nil"/>
              <w:left w:val="nil"/>
              <w:right w:val="nil"/>
            </w:tcBorders>
          </w:tcPr>
          <w:p>
            <w:pPr>
              <w:pStyle w:val="TableParagraph"/>
              <w:spacing w:line="274" w:lineRule="exact"/>
              <w:ind w:right="140"/>
              <w:jc w:val="right"/>
              <w:rPr>
                <w:sz w:val="24"/>
              </w:rPr>
            </w:pPr>
            <w:r>
              <w:rPr>
                <w:sz w:val="24"/>
              </w:rPr>
              <w:t>5.33</w:t>
            </w:r>
          </w:p>
        </w:tc>
        <w:tc>
          <w:tcPr>
            <w:tcW w:w="842" w:type="dxa"/>
            <w:tcBorders>
              <w:top w:val="nil"/>
              <w:left w:val="nil"/>
              <w:right w:val="nil"/>
            </w:tcBorders>
          </w:tcPr>
          <w:p>
            <w:pPr>
              <w:pStyle w:val="TableParagraph"/>
              <w:spacing w:line="274" w:lineRule="exact"/>
              <w:ind w:left="142"/>
              <w:jc w:val="left"/>
              <w:rPr>
                <w:sz w:val="24"/>
              </w:rPr>
            </w:pPr>
            <w:r>
              <w:rPr>
                <w:sz w:val="24"/>
              </w:rPr>
              <w:t>711.7</w:t>
            </w:r>
          </w:p>
        </w:tc>
        <w:tc>
          <w:tcPr>
            <w:tcW w:w="797" w:type="dxa"/>
            <w:tcBorders>
              <w:top w:val="nil"/>
              <w:left w:val="nil"/>
              <w:right w:val="nil"/>
            </w:tcBorders>
          </w:tcPr>
          <w:p>
            <w:pPr>
              <w:pStyle w:val="TableParagraph"/>
              <w:spacing w:line="274" w:lineRule="exact"/>
              <w:ind w:left="78" w:right="78"/>
              <w:rPr>
                <w:sz w:val="24"/>
              </w:rPr>
            </w:pPr>
            <w:r>
              <w:rPr>
                <w:sz w:val="24"/>
              </w:rPr>
              <w:t>667.2</w:t>
            </w:r>
          </w:p>
        </w:tc>
        <w:tc>
          <w:tcPr>
            <w:tcW w:w="795" w:type="dxa"/>
            <w:tcBorders>
              <w:top w:val="nil"/>
              <w:left w:val="nil"/>
              <w:right w:val="nil"/>
            </w:tcBorders>
          </w:tcPr>
          <w:p>
            <w:pPr>
              <w:pStyle w:val="TableParagraph"/>
              <w:spacing w:line="274" w:lineRule="exact"/>
              <w:ind w:left="77" w:right="46"/>
              <w:rPr>
                <w:sz w:val="24"/>
              </w:rPr>
            </w:pPr>
            <w:r>
              <w:rPr>
                <w:sz w:val="24"/>
              </w:rPr>
              <w:t>585.8</w:t>
            </w:r>
          </w:p>
        </w:tc>
        <w:tc>
          <w:tcPr>
            <w:tcW w:w="604" w:type="dxa"/>
            <w:tcBorders>
              <w:top w:val="nil"/>
              <w:left w:val="nil"/>
              <w:right w:val="nil"/>
            </w:tcBorders>
          </w:tcPr>
          <w:p>
            <w:pPr>
              <w:pStyle w:val="TableParagraph"/>
              <w:spacing w:line="274" w:lineRule="exact"/>
              <w:ind w:left="71"/>
              <w:jc w:val="left"/>
              <w:rPr>
                <w:sz w:val="24"/>
              </w:rPr>
            </w:pPr>
            <w:r>
              <w:rPr>
                <w:sz w:val="24"/>
              </w:rPr>
              <w:t>10.5</w:t>
            </w:r>
          </w:p>
        </w:tc>
      </w:tr>
      <w:tr>
        <w:trPr>
          <w:trHeight w:val="632" w:hRule="exact"/>
        </w:trPr>
        <w:tc>
          <w:tcPr>
            <w:tcW w:w="9474" w:type="dxa"/>
            <w:gridSpan w:val="11"/>
            <w:tcBorders>
              <w:left w:val="nil"/>
              <w:bottom w:val="nil"/>
              <w:right w:val="nil"/>
            </w:tcBorders>
          </w:tcPr>
          <w:p>
            <w:pPr>
              <w:pStyle w:val="TableParagraph"/>
              <w:ind w:left="71" w:right="73"/>
              <w:jc w:val="both"/>
              <w:rPr>
                <w:sz w:val="18"/>
              </w:rPr>
            </w:pPr>
            <w:r>
              <w:rPr>
                <w:sz w:val="18"/>
              </w:rPr>
              <w:t>a: Fermentation rate at 4 hours of fermentation; ca: Fermentation rate in fraction a; b: potential gas production; cb: Fermentation rate in fraction b; lag: Phase prior to initiating fermentation of the NDF; dDM: digestibility of dry matter; dOM: digestibility of organic matter; dNDF: digestibility of neutral detergent fiber; ME: metabolizable energy.</w:t>
            </w:r>
          </w:p>
        </w:tc>
      </w:tr>
    </w:tbl>
    <w:p>
      <w:pPr>
        <w:spacing w:after="0"/>
        <w:jc w:val="both"/>
        <w:rPr>
          <w:sz w:val="18"/>
        </w:rPr>
        <w:sectPr>
          <w:footerReference w:type="default" r:id="rId23"/>
          <w:pgSz w:w="12240" w:h="15840"/>
          <w:pgMar w:footer="1478" w:header="0" w:top="1360" w:bottom="1660" w:left="1280" w:right="1280"/>
          <w:pgNumType w:start="58"/>
        </w:sectPr>
      </w:pPr>
    </w:p>
    <w:p>
      <w:pPr>
        <w:pStyle w:val="BodyText"/>
        <w:spacing w:line="480" w:lineRule="auto" w:before="52"/>
        <w:ind w:left="119" w:right="152"/>
      </w:pPr>
      <w:r>
        <w:rPr/>
        <w:t>Table 6: Effect on the parameters of </w:t>
      </w:r>
      <w:r>
        <w:rPr>
          <w:i/>
          <w:spacing w:val="-3"/>
        </w:rPr>
        <w:t>in </w:t>
      </w:r>
      <w:r>
        <w:rPr>
          <w:i/>
        </w:rPr>
        <w:t>vitro </w:t>
      </w:r>
      <w:r>
        <w:rPr/>
        <w:t>ruminal fermentation kinetics from  three inclusion levels of tannin extract </w:t>
      </w:r>
      <w:r>
        <w:rPr>
          <w:spacing w:val="-3"/>
        </w:rPr>
        <w:t>(ml </w:t>
      </w:r>
      <w:r>
        <w:rPr/>
        <w:t>/g DM) added to a base</w:t>
      </w:r>
      <w:r>
        <w:rPr>
          <w:spacing w:val="-16"/>
        </w:rPr>
        <w:t> </w:t>
      </w:r>
      <w:r>
        <w:rPr/>
        <w:t>diet.</w:t>
      </w:r>
    </w:p>
    <w:p>
      <w:pPr>
        <w:pStyle w:val="BodyText"/>
        <w:rPr>
          <w:sz w:val="20"/>
        </w:rPr>
      </w:pPr>
    </w:p>
    <w:p>
      <w:pPr>
        <w:pStyle w:val="BodyText"/>
        <w:spacing w:before="1"/>
        <w:rPr>
          <w:sz w:val="29"/>
        </w:rPr>
      </w:pPr>
    </w:p>
    <w:tbl>
      <w:tblPr>
        <w:tblW w:w="0" w:type="auto"/>
        <w:jc w:val="left"/>
        <w:tblInd w:w="105"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734"/>
        <w:gridCol w:w="777"/>
        <w:gridCol w:w="740"/>
        <w:gridCol w:w="830"/>
        <w:gridCol w:w="743"/>
        <w:gridCol w:w="814"/>
        <w:gridCol w:w="840"/>
        <w:gridCol w:w="797"/>
        <w:gridCol w:w="859"/>
        <w:gridCol w:w="736"/>
      </w:tblGrid>
      <w:tr>
        <w:trPr>
          <w:trHeight w:val="939" w:hRule="exact"/>
        </w:trPr>
        <w:tc>
          <w:tcPr>
            <w:tcW w:w="1734" w:type="dxa"/>
            <w:tcBorders>
              <w:left w:val="nil"/>
              <w:bottom w:val="nil"/>
              <w:right w:val="nil"/>
            </w:tcBorders>
          </w:tcPr>
          <w:p>
            <w:pPr>
              <w:pStyle w:val="TableParagraph"/>
              <w:jc w:val="left"/>
              <w:rPr>
                <w:sz w:val="24"/>
              </w:rPr>
            </w:pPr>
          </w:p>
          <w:p>
            <w:pPr>
              <w:pStyle w:val="TableParagraph"/>
              <w:jc w:val="left"/>
              <w:rPr>
                <w:sz w:val="24"/>
              </w:rPr>
            </w:pPr>
          </w:p>
          <w:p>
            <w:pPr>
              <w:pStyle w:val="TableParagraph"/>
              <w:ind w:left="72"/>
              <w:jc w:val="left"/>
              <w:rPr>
                <w:sz w:val="24"/>
              </w:rPr>
            </w:pPr>
            <w:r>
              <w:rPr>
                <w:sz w:val="24"/>
              </w:rPr>
              <w:t>Inclusion level</w:t>
            </w:r>
          </w:p>
        </w:tc>
        <w:tc>
          <w:tcPr>
            <w:tcW w:w="3903" w:type="dxa"/>
            <w:gridSpan w:val="5"/>
            <w:tcBorders>
              <w:left w:val="nil"/>
              <w:bottom w:val="nil"/>
              <w:right w:val="nil"/>
            </w:tcBorders>
          </w:tcPr>
          <w:p>
            <w:pPr>
              <w:pStyle w:val="TableParagraph"/>
              <w:spacing w:before="9"/>
              <w:jc w:val="left"/>
              <w:rPr>
                <w:sz w:val="23"/>
              </w:rPr>
            </w:pPr>
          </w:p>
          <w:p>
            <w:pPr>
              <w:pStyle w:val="TableParagraph"/>
              <w:ind w:right="49"/>
              <w:rPr>
                <w:sz w:val="24"/>
              </w:rPr>
            </w:pPr>
            <w:r>
              <w:rPr>
                <w:sz w:val="24"/>
              </w:rPr>
              <w:t>Fermentation parameters (ml</w:t>
            </w:r>
          </w:p>
          <w:p>
            <w:pPr>
              <w:pStyle w:val="TableParagraph"/>
              <w:tabs>
                <w:tab w:pos="1344" w:val="left" w:leader="none"/>
                <w:tab w:pos="3793" w:val="left" w:leader="none"/>
              </w:tabs>
              <w:spacing w:before="2"/>
              <w:ind w:right="40"/>
              <w:rPr>
                <w:sz w:val="24"/>
              </w:rPr>
            </w:pPr>
            <w:r>
              <w:rPr>
                <w:w w:val="100"/>
                <w:sz w:val="24"/>
                <w:u w:val="single"/>
              </w:rPr>
              <w:t> </w:t>
            </w:r>
            <w:r>
              <w:rPr>
                <w:sz w:val="24"/>
                <w:u w:val="single"/>
              </w:rPr>
              <w:tab/>
              <w:t>gas/g</w:t>
            </w:r>
            <w:r>
              <w:rPr>
                <w:spacing w:val="-4"/>
                <w:sz w:val="24"/>
                <w:u w:val="single"/>
              </w:rPr>
              <w:t> </w:t>
            </w:r>
            <w:r>
              <w:rPr>
                <w:sz w:val="24"/>
                <w:u w:val="single"/>
              </w:rPr>
              <w:t>DM)</w:t>
              <w:tab/>
            </w:r>
          </w:p>
        </w:tc>
        <w:tc>
          <w:tcPr>
            <w:tcW w:w="3233" w:type="dxa"/>
            <w:gridSpan w:val="4"/>
            <w:tcBorders>
              <w:left w:val="nil"/>
              <w:bottom w:val="nil"/>
              <w:right w:val="nil"/>
            </w:tcBorders>
          </w:tcPr>
          <w:p>
            <w:pPr>
              <w:pStyle w:val="TableParagraph"/>
              <w:spacing w:line="274" w:lineRule="exact" w:before="6"/>
              <w:ind w:left="269" w:right="199" w:hanging="3"/>
              <w:rPr>
                <w:sz w:val="24"/>
              </w:rPr>
            </w:pPr>
            <w:r>
              <w:rPr>
                <w:i/>
                <w:sz w:val="24"/>
              </w:rPr>
              <w:t>In vitro </w:t>
            </w:r>
            <w:r>
              <w:rPr>
                <w:sz w:val="24"/>
              </w:rPr>
              <w:t>digestibility of substrates  (g/kg DM) and</w:t>
            </w:r>
          </w:p>
          <w:p>
            <w:pPr>
              <w:pStyle w:val="TableParagraph"/>
              <w:tabs>
                <w:tab w:pos="783" w:val="left" w:leader="none"/>
                <w:tab w:pos="3232" w:val="left" w:leader="none"/>
              </w:tabs>
              <w:spacing w:line="274" w:lineRule="exact"/>
              <w:ind w:left="68"/>
              <w:rPr>
                <w:sz w:val="24"/>
              </w:rPr>
            </w:pPr>
            <w:r>
              <w:rPr>
                <w:w w:val="100"/>
                <w:sz w:val="24"/>
                <w:u w:val="single"/>
              </w:rPr>
              <w:t> </w:t>
            </w:r>
            <w:r>
              <w:rPr>
                <w:sz w:val="24"/>
                <w:u w:val="single"/>
              </w:rPr>
              <w:tab/>
              <w:t>ME (MJ /kg</w:t>
            </w:r>
            <w:r>
              <w:rPr>
                <w:spacing w:val="-13"/>
                <w:sz w:val="24"/>
                <w:u w:val="single"/>
              </w:rPr>
              <w:t> </w:t>
            </w:r>
            <w:r>
              <w:rPr>
                <w:sz w:val="24"/>
                <w:u w:val="single"/>
              </w:rPr>
              <w:t>DM)</w:t>
              <w:tab/>
            </w:r>
          </w:p>
        </w:tc>
      </w:tr>
      <w:tr>
        <w:trPr>
          <w:trHeight w:val="367" w:hRule="exact"/>
        </w:trPr>
        <w:tc>
          <w:tcPr>
            <w:tcW w:w="1734" w:type="dxa"/>
            <w:tcBorders>
              <w:top w:val="nil"/>
              <w:left w:val="nil"/>
              <w:right w:val="nil"/>
            </w:tcBorders>
          </w:tcPr>
          <w:p>
            <w:pPr/>
          </w:p>
        </w:tc>
        <w:tc>
          <w:tcPr>
            <w:tcW w:w="777" w:type="dxa"/>
            <w:tcBorders>
              <w:top w:val="nil"/>
              <w:left w:val="nil"/>
              <w:right w:val="nil"/>
            </w:tcBorders>
          </w:tcPr>
          <w:p>
            <w:pPr>
              <w:pStyle w:val="TableParagraph"/>
              <w:spacing w:before="63"/>
              <w:ind w:left="28"/>
              <w:rPr>
                <w:i/>
                <w:sz w:val="24"/>
              </w:rPr>
            </w:pPr>
            <w:r>
              <w:rPr>
                <w:i/>
                <w:w w:val="99"/>
                <w:sz w:val="24"/>
              </w:rPr>
              <w:t>a</w:t>
            </w:r>
          </w:p>
        </w:tc>
        <w:tc>
          <w:tcPr>
            <w:tcW w:w="740" w:type="dxa"/>
            <w:tcBorders>
              <w:top w:val="nil"/>
              <w:left w:val="nil"/>
              <w:right w:val="nil"/>
            </w:tcBorders>
          </w:tcPr>
          <w:p>
            <w:pPr>
              <w:pStyle w:val="TableParagraph"/>
              <w:spacing w:before="63"/>
              <w:ind w:left="241"/>
              <w:jc w:val="left"/>
              <w:rPr>
                <w:i/>
                <w:sz w:val="24"/>
              </w:rPr>
            </w:pPr>
            <w:r>
              <w:rPr>
                <w:i/>
                <w:sz w:val="24"/>
              </w:rPr>
              <w:t>ca</w:t>
            </w:r>
          </w:p>
        </w:tc>
        <w:tc>
          <w:tcPr>
            <w:tcW w:w="830" w:type="dxa"/>
            <w:tcBorders>
              <w:top w:val="nil"/>
              <w:left w:val="nil"/>
              <w:right w:val="nil"/>
            </w:tcBorders>
          </w:tcPr>
          <w:p>
            <w:pPr>
              <w:pStyle w:val="TableParagraph"/>
              <w:spacing w:before="63"/>
              <w:ind w:right="1"/>
              <w:rPr>
                <w:i/>
                <w:sz w:val="24"/>
              </w:rPr>
            </w:pPr>
            <w:r>
              <w:rPr>
                <w:i/>
                <w:w w:val="99"/>
                <w:sz w:val="24"/>
              </w:rPr>
              <w:t>b</w:t>
            </w:r>
          </w:p>
        </w:tc>
        <w:tc>
          <w:tcPr>
            <w:tcW w:w="743" w:type="dxa"/>
            <w:tcBorders>
              <w:top w:val="nil"/>
              <w:left w:val="nil"/>
              <w:right w:val="nil"/>
            </w:tcBorders>
          </w:tcPr>
          <w:p>
            <w:pPr>
              <w:pStyle w:val="TableParagraph"/>
              <w:spacing w:before="63"/>
              <w:ind w:left="48" w:right="51"/>
              <w:rPr>
                <w:i/>
                <w:sz w:val="24"/>
              </w:rPr>
            </w:pPr>
            <w:r>
              <w:rPr>
                <w:i/>
                <w:sz w:val="24"/>
              </w:rPr>
              <w:t>cb</w:t>
            </w:r>
          </w:p>
        </w:tc>
        <w:tc>
          <w:tcPr>
            <w:tcW w:w="814" w:type="dxa"/>
            <w:tcBorders>
              <w:top w:val="nil"/>
              <w:left w:val="nil"/>
              <w:right w:val="nil"/>
            </w:tcBorders>
          </w:tcPr>
          <w:p>
            <w:pPr>
              <w:pStyle w:val="TableParagraph"/>
              <w:spacing w:before="63"/>
              <w:ind w:left="49" w:right="120"/>
              <w:rPr>
                <w:i/>
                <w:sz w:val="24"/>
              </w:rPr>
            </w:pPr>
            <w:r>
              <w:rPr>
                <w:i/>
                <w:sz w:val="24"/>
              </w:rPr>
              <w:t>lag</w:t>
            </w:r>
          </w:p>
        </w:tc>
        <w:tc>
          <w:tcPr>
            <w:tcW w:w="840" w:type="dxa"/>
            <w:tcBorders>
              <w:top w:val="nil"/>
              <w:left w:val="nil"/>
              <w:right w:val="nil"/>
            </w:tcBorders>
          </w:tcPr>
          <w:p>
            <w:pPr>
              <w:pStyle w:val="TableParagraph"/>
              <w:spacing w:before="63"/>
              <w:ind w:right="147"/>
              <w:jc w:val="right"/>
              <w:rPr>
                <w:sz w:val="24"/>
              </w:rPr>
            </w:pPr>
            <w:r>
              <w:rPr>
                <w:w w:val="95"/>
                <w:sz w:val="24"/>
              </w:rPr>
              <w:t>dDM</w:t>
            </w:r>
          </w:p>
        </w:tc>
        <w:tc>
          <w:tcPr>
            <w:tcW w:w="797" w:type="dxa"/>
            <w:tcBorders>
              <w:top w:val="nil"/>
              <w:left w:val="nil"/>
              <w:right w:val="nil"/>
            </w:tcBorders>
          </w:tcPr>
          <w:p>
            <w:pPr>
              <w:pStyle w:val="TableParagraph"/>
              <w:spacing w:before="63"/>
              <w:ind w:right="134"/>
              <w:jc w:val="right"/>
              <w:rPr>
                <w:sz w:val="24"/>
              </w:rPr>
            </w:pPr>
            <w:r>
              <w:rPr>
                <w:sz w:val="24"/>
              </w:rPr>
              <w:t>dOM</w:t>
            </w:r>
          </w:p>
        </w:tc>
        <w:tc>
          <w:tcPr>
            <w:tcW w:w="859" w:type="dxa"/>
            <w:tcBorders>
              <w:top w:val="nil"/>
              <w:left w:val="nil"/>
              <w:right w:val="nil"/>
            </w:tcBorders>
          </w:tcPr>
          <w:p>
            <w:pPr>
              <w:pStyle w:val="TableParagraph"/>
              <w:spacing w:before="63"/>
              <w:ind w:right="104"/>
              <w:jc w:val="right"/>
              <w:rPr>
                <w:sz w:val="24"/>
              </w:rPr>
            </w:pPr>
            <w:r>
              <w:rPr>
                <w:sz w:val="24"/>
              </w:rPr>
              <w:t>dNDF</w:t>
            </w:r>
          </w:p>
        </w:tc>
        <w:tc>
          <w:tcPr>
            <w:tcW w:w="736" w:type="dxa"/>
            <w:tcBorders>
              <w:top w:val="nil"/>
              <w:left w:val="nil"/>
              <w:right w:val="nil"/>
            </w:tcBorders>
          </w:tcPr>
          <w:p>
            <w:pPr>
              <w:pStyle w:val="TableParagraph"/>
              <w:spacing w:before="63"/>
              <w:ind w:left="42" w:right="45"/>
              <w:rPr>
                <w:sz w:val="24"/>
              </w:rPr>
            </w:pPr>
            <w:r>
              <w:rPr>
                <w:sz w:val="24"/>
              </w:rPr>
              <w:t>ME</w:t>
            </w:r>
          </w:p>
        </w:tc>
      </w:tr>
      <w:tr>
        <w:trPr>
          <w:trHeight w:val="523" w:hRule="exact"/>
        </w:trPr>
        <w:tc>
          <w:tcPr>
            <w:tcW w:w="1734" w:type="dxa"/>
            <w:tcBorders>
              <w:left w:val="nil"/>
              <w:bottom w:val="nil"/>
              <w:right w:val="nil"/>
            </w:tcBorders>
          </w:tcPr>
          <w:p>
            <w:pPr>
              <w:pStyle w:val="TableParagraph"/>
              <w:spacing w:before="139"/>
              <w:ind w:left="72"/>
              <w:jc w:val="left"/>
              <w:rPr>
                <w:sz w:val="24"/>
              </w:rPr>
            </w:pPr>
            <w:r>
              <w:rPr>
                <w:sz w:val="24"/>
              </w:rPr>
              <w:t>High</w:t>
            </w:r>
          </w:p>
        </w:tc>
        <w:tc>
          <w:tcPr>
            <w:tcW w:w="777" w:type="dxa"/>
            <w:tcBorders>
              <w:left w:val="nil"/>
              <w:bottom w:val="nil"/>
              <w:right w:val="nil"/>
            </w:tcBorders>
          </w:tcPr>
          <w:p>
            <w:pPr>
              <w:pStyle w:val="TableParagraph"/>
              <w:spacing w:before="139"/>
              <w:ind w:left="172"/>
              <w:jc w:val="left"/>
              <w:rPr>
                <w:sz w:val="24"/>
              </w:rPr>
            </w:pPr>
            <w:r>
              <w:rPr>
                <w:sz w:val="24"/>
              </w:rPr>
              <w:t>21.6</w:t>
            </w:r>
          </w:p>
        </w:tc>
        <w:tc>
          <w:tcPr>
            <w:tcW w:w="740" w:type="dxa"/>
            <w:tcBorders>
              <w:left w:val="nil"/>
              <w:bottom w:val="nil"/>
              <w:right w:val="nil"/>
            </w:tcBorders>
          </w:tcPr>
          <w:p>
            <w:pPr>
              <w:pStyle w:val="TableParagraph"/>
              <w:spacing w:before="139"/>
              <w:ind w:left="202"/>
              <w:jc w:val="left"/>
              <w:rPr>
                <w:sz w:val="24"/>
              </w:rPr>
            </w:pPr>
            <w:r>
              <w:rPr>
                <w:sz w:val="24"/>
              </w:rPr>
              <w:t>0.2</w:t>
            </w:r>
          </w:p>
        </w:tc>
        <w:tc>
          <w:tcPr>
            <w:tcW w:w="830" w:type="dxa"/>
            <w:tcBorders>
              <w:left w:val="nil"/>
              <w:bottom w:val="nil"/>
              <w:right w:val="nil"/>
            </w:tcBorders>
          </w:tcPr>
          <w:p>
            <w:pPr>
              <w:pStyle w:val="TableParagraph"/>
              <w:spacing w:before="139"/>
              <w:ind w:left="50" w:right="50"/>
              <w:rPr>
                <w:sz w:val="24"/>
              </w:rPr>
            </w:pPr>
            <w:r>
              <w:rPr>
                <w:sz w:val="24"/>
              </w:rPr>
              <w:t>397</w:t>
            </w:r>
          </w:p>
        </w:tc>
        <w:tc>
          <w:tcPr>
            <w:tcW w:w="743" w:type="dxa"/>
            <w:tcBorders>
              <w:left w:val="nil"/>
              <w:bottom w:val="nil"/>
              <w:right w:val="nil"/>
            </w:tcBorders>
          </w:tcPr>
          <w:p>
            <w:pPr>
              <w:pStyle w:val="TableParagraph"/>
              <w:spacing w:before="139"/>
              <w:ind w:left="50" w:right="51"/>
              <w:rPr>
                <w:sz w:val="24"/>
              </w:rPr>
            </w:pPr>
            <w:r>
              <w:rPr>
                <w:sz w:val="24"/>
              </w:rPr>
              <w:t>0.02</w:t>
            </w:r>
          </w:p>
        </w:tc>
        <w:tc>
          <w:tcPr>
            <w:tcW w:w="814" w:type="dxa"/>
            <w:tcBorders>
              <w:left w:val="nil"/>
              <w:bottom w:val="nil"/>
              <w:right w:val="nil"/>
            </w:tcBorders>
          </w:tcPr>
          <w:p>
            <w:pPr>
              <w:pStyle w:val="TableParagraph"/>
              <w:spacing w:before="139"/>
              <w:ind w:left="53" w:right="120"/>
              <w:rPr>
                <w:sz w:val="24"/>
              </w:rPr>
            </w:pPr>
            <w:r>
              <w:rPr>
                <w:sz w:val="24"/>
              </w:rPr>
              <w:t>6.4</w:t>
            </w:r>
          </w:p>
        </w:tc>
        <w:tc>
          <w:tcPr>
            <w:tcW w:w="840" w:type="dxa"/>
            <w:tcBorders>
              <w:left w:val="nil"/>
              <w:bottom w:val="nil"/>
              <w:right w:val="nil"/>
            </w:tcBorders>
          </w:tcPr>
          <w:p>
            <w:pPr>
              <w:pStyle w:val="TableParagraph"/>
              <w:spacing w:before="139"/>
              <w:ind w:right="95"/>
              <w:jc w:val="right"/>
              <w:rPr>
                <w:sz w:val="24"/>
              </w:rPr>
            </w:pPr>
            <w:r>
              <w:rPr>
                <w:w w:val="95"/>
                <w:sz w:val="24"/>
              </w:rPr>
              <w:t>611.6</w:t>
            </w:r>
          </w:p>
        </w:tc>
        <w:tc>
          <w:tcPr>
            <w:tcW w:w="797" w:type="dxa"/>
            <w:tcBorders>
              <w:left w:val="nil"/>
              <w:bottom w:val="nil"/>
              <w:right w:val="nil"/>
            </w:tcBorders>
          </w:tcPr>
          <w:p>
            <w:pPr>
              <w:pStyle w:val="TableParagraph"/>
              <w:spacing w:before="139"/>
              <w:ind w:right="194"/>
              <w:jc w:val="right"/>
              <w:rPr>
                <w:sz w:val="24"/>
              </w:rPr>
            </w:pPr>
            <w:r>
              <w:rPr>
                <w:w w:val="95"/>
                <w:sz w:val="24"/>
              </w:rPr>
              <w:t>574</w:t>
            </w:r>
          </w:p>
        </w:tc>
        <w:tc>
          <w:tcPr>
            <w:tcW w:w="859" w:type="dxa"/>
            <w:tcBorders>
              <w:left w:val="nil"/>
              <w:bottom w:val="nil"/>
              <w:right w:val="nil"/>
            </w:tcBorders>
          </w:tcPr>
          <w:p>
            <w:pPr>
              <w:pStyle w:val="TableParagraph"/>
              <w:spacing w:before="139"/>
              <w:ind w:left="241"/>
              <w:jc w:val="left"/>
              <w:rPr>
                <w:sz w:val="24"/>
              </w:rPr>
            </w:pPr>
            <w:r>
              <w:rPr>
                <w:sz w:val="24"/>
              </w:rPr>
              <w:t>335</w:t>
            </w:r>
          </w:p>
        </w:tc>
        <w:tc>
          <w:tcPr>
            <w:tcW w:w="736" w:type="dxa"/>
            <w:tcBorders>
              <w:left w:val="nil"/>
              <w:bottom w:val="nil"/>
              <w:right w:val="nil"/>
            </w:tcBorders>
          </w:tcPr>
          <w:p>
            <w:pPr>
              <w:pStyle w:val="TableParagraph"/>
              <w:spacing w:before="139"/>
              <w:ind w:left="49" w:right="45"/>
              <w:rPr>
                <w:sz w:val="24"/>
              </w:rPr>
            </w:pPr>
            <w:r>
              <w:rPr>
                <w:sz w:val="24"/>
              </w:rPr>
              <w:t>9.01</w:t>
            </w:r>
          </w:p>
        </w:tc>
      </w:tr>
      <w:tr>
        <w:trPr>
          <w:trHeight w:val="420" w:hRule="exact"/>
        </w:trPr>
        <w:tc>
          <w:tcPr>
            <w:tcW w:w="1734" w:type="dxa"/>
            <w:tcBorders>
              <w:top w:val="nil"/>
              <w:left w:val="nil"/>
              <w:bottom w:val="nil"/>
              <w:right w:val="nil"/>
            </w:tcBorders>
          </w:tcPr>
          <w:p>
            <w:pPr>
              <w:pStyle w:val="TableParagraph"/>
              <w:spacing w:before="60"/>
              <w:ind w:left="72"/>
              <w:jc w:val="left"/>
              <w:rPr>
                <w:sz w:val="24"/>
              </w:rPr>
            </w:pPr>
            <w:r>
              <w:rPr>
                <w:sz w:val="24"/>
              </w:rPr>
              <w:t>Medium</w:t>
            </w:r>
          </w:p>
        </w:tc>
        <w:tc>
          <w:tcPr>
            <w:tcW w:w="777" w:type="dxa"/>
            <w:tcBorders>
              <w:top w:val="nil"/>
              <w:left w:val="nil"/>
              <w:bottom w:val="nil"/>
              <w:right w:val="nil"/>
            </w:tcBorders>
          </w:tcPr>
          <w:p>
            <w:pPr>
              <w:pStyle w:val="TableParagraph"/>
              <w:spacing w:before="60"/>
              <w:ind w:left="172"/>
              <w:jc w:val="left"/>
              <w:rPr>
                <w:sz w:val="24"/>
              </w:rPr>
            </w:pPr>
            <w:r>
              <w:rPr>
                <w:sz w:val="24"/>
              </w:rPr>
              <w:t>31.8</w:t>
            </w:r>
          </w:p>
        </w:tc>
        <w:tc>
          <w:tcPr>
            <w:tcW w:w="740" w:type="dxa"/>
            <w:tcBorders>
              <w:top w:val="nil"/>
              <w:left w:val="nil"/>
              <w:bottom w:val="nil"/>
              <w:right w:val="nil"/>
            </w:tcBorders>
          </w:tcPr>
          <w:p>
            <w:pPr>
              <w:pStyle w:val="TableParagraph"/>
              <w:spacing w:before="60"/>
              <w:ind w:left="202"/>
              <w:jc w:val="left"/>
              <w:rPr>
                <w:sz w:val="24"/>
              </w:rPr>
            </w:pPr>
            <w:r>
              <w:rPr>
                <w:sz w:val="24"/>
              </w:rPr>
              <w:t>0.1</w:t>
            </w:r>
          </w:p>
        </w:tc>
        <w:tc>
          <w:tcPr>
            <w:tcW w:w="830" w:type="dxa"/>
            <w:tcBorders>
              <w:top w:val="nil"/>
              <w:left w:val="nil"/>
              <w:bottom w:val="nil"/>
              <w:right w:val="nil"/>
            </w:tcBorders>
          </w:tcPr>
          <w:p>
            <w:pPr>
              <w:pStyle w:val="TableParagraph"/>
              <w:spacing w:before="60"/>
              <w:ind w:left="48" w:right="50"/>
              <w:rPr>
                <w:sz w:val="24"/>
              </w:rPr>
            </w:pPr>
            <w:r>
              <w:rPr>
                <w:sz w:val="24"/>
              </w:rPr>
              <w:t>441.6</w:t>
            </w:r>
          </w:p>
        </w:tc>
        <w:tc>
          <w:tcPr>
            <w:tcW w:w="743" w:type="dxa"/>
            <w:tcBorders>
              <w:top w:val="nil"/>
              <w:left w:val="nil"/>
              <w:bottom w:val="nil"/>
              <w:right w:val="nil"/>
            </w:tcBorders>
          </w:tcPr>
          <w:p>
            <w:pPr>
              <w:pStyle w:val="TableParagraph"/>
              <w:spacing w:before="60"/>
              <w:ind w:left="50" w:right="51"/>
              <w:rPr>
                <w:sz w:val="24"/>
              </w:rPr>
            </w:pPr>
            <w:r>
              <w:rPr>
                <w:sz w:val="24"/>
              </w:rPr>
              <w:t>0.02</w:t>
            </w:r>
          </w:p>
        </w:tc>
        <w:tc>
          <w:tcPr>
            <w:tcW w:w="814" w:type="dxa"/>
            <w:tcBorders>
              <w:top w:val="nil"/>
              <w:left w:val="nil"/>
              <w:bottom w:val="nil"/>
              <w:right w:val="nil"/>
            </w:tcBorders>
          </w:tcPr>
          <w:p>
            <w:pPr>
              <w:pStyle w:val="TableParagraph"/>
              <w:spacing w:before="60"/>
              <w:ind w:left="53" w:right="120"/>
              <w:rPr>
                <w:sz w:val="24"/>
              </w:rPr>
            </w:pPr>
            <w:r>
              <w:rPr>
                <w:sz w:val="24"/>
              </w:rPr>
              <w:t>6.5</w:t>
            </w:r>
          </w:p>
        </w:tc>
        <w:tc>
          <w:tcPr>
            <w:tcW w:w="840" w:type="dxa"/>
            <w:tcBorders>
              <w:top w:val="nil"/>
              <w:left w:val="nil"/>
              <w:bottom w:val="nil"/>
              <w:right w:val="nil"/>
            </w:tcBorders>
          </w:tcPr>
          <w:p>
            <w:pPr>
              <w:pStyle w:val="TableParagraph"/>
              <w:spacing w:before="60"/>
              <w:ind w:right="194"/>
              <w:jc w:val="right"/>
              <w:rPr>
                <w:sz w:val="24"/>
              </w:rPr>
            </w:pPr>
            <w:r>
              <w:rPr>
                <w:w w:val="95"/>
                <w:sz w:val="24"/>
              </w:rPr>
              <w:t>693</w:t>
            </w:r>
          </w:p>
        </w:tc>
        <w:tc>
          <w:tcPr>
            <w:tcW w:w="797" w:type="dxa"/>
            <w:tcBorders>
              <w:top w:val="nil"/>
              <w:left w:val="nil"/>
              <w:bottom w:val="nil"/>
              <w:right w:val="nil"/>
            </w:tcBorders>
          </w:tcPr>
          <w:p>
            <w:pPr>
              <w:pStyle w:val="TableParagraph"/>
              <w:spacing w:before="60"/>
              <w:ind w:right="95"/>
              <w:jc w:val="right"/>
              <w:rPr>
                <w:sz w:val="24"/>
              </w:rPr>
            </w:pPr>
            <w:r>
              <w:rPr>
                <w:w w:val="95"/>
                <w:sz w:val="24"/>
              </w:rPr>
              <w:t>648.8</w:t>
            </w:r>
          </w:p>
        </w:tc>
        <w:tc>
          <w:tcPr>
            <w:tcW w:w="859" w:type="dxa"/>
            <w:tcBorders>
              <w:top w:val="nil"/>
              <w:left w:val="nil"/>
              <w:bottom w:val="nil"/>
              <w:right w:val="nil"/>
            </w:tcBorders>
          </w:tcPr>
          <w:p>
            <w:pPr>
              <w:pStyle w:val="TableParagraph"/>
              <w:spacing w:before="60"/>
              <w:ind w:left="241"/>
              <w:jc w:val="left"/>
              <w:rPr>
                <w:sz w:val="24"/>
              </w:rPr>
            </w:pPr>
            <w:r>
              <w:rPr>
                <w:sz w:val="24"/>
              </w:rPr>
              <w:t>422</w:t>
            </w:r>
          </w:p>
        </w:tc>
        <w:tc>
          <w:tcPr>
            <w:tcW w:w="736" w:type="dxa"/>
            <w:tcBorders>
              <w:top w:val="nil"/>
              <w:left w:val="nil"/>
              <w:bottom w:val="nil"/>
              <w:right w:val="nil"/>
            </w:tcBorders>
          </w:tcPr>
          <w:p>
            <w:pPr>
              <w:pStyle w:val="TableParagraph"/>
              <w:spacing w:before="60"/>
              <w:ind w:left="48" w:right="45"/>
              <w:rPr>
                <w:sz w:val="24"/>
              </w:rPr>
            </w:pPr>
            <w:r>
              <w:rPr>
                <w:sz w:val="24"/>
              </w:rPr>
              <w:t>10.2</w:t>
            </w:r>
          </w:p>
        </w:tc>
      </w:tr>
      <w:tr>
        <w:trPr>
          <w:trHeight w:val="420" w:hRule="exact"/>
        </w:trPr>
        <w:tc>
          <w:tcPr>
            <w:tcW w:w="1734" w:type="dxa"/>
            <w:tcBorders>
              <w:top w:val="nil"/>
              <w:left w:val="nil"/>
              <w:bottom w:val="nil"/>
              <w:right w:val="nil"/>
            </w:tcBorders>
          </w:tcPr>
          <w:p>
            <w:pPr>
              <w:pStyle w:val="TableParagraph"/>
              <w:spacing w:before="58"/>
              <w:ind w:left="72"/>
              <w:jc w:val="left"/>
              <w:rPr>
                <w:sz w:val="24"/>
              </w:rPr>
            </w:pPr>
            <w:r>
              <w:rPr>
                <w:sz w:val="24"/>
              </w:rPr>
              <w:t>Low</w:t>
            </w:r>
          </w:p>
        </w:tc>
        <w:tc>
          <w:tcPr>
            <w:tcW w:w="777" w:type="dxa"/>
            <w:tcBorders>
              <w:top w:val="nil"/>
              <w:left w:val="nil"/>
              <w:bottom w:val="nil"/>
              <w:right w:val="nil"/>
            </w:tcBorders>
          </w:tcPr>
          <w:p>
            <w:pPr>
              <w:pStyle w:val="TableParagraph"/>
              <w:spacing w:before="58"/>
              <w:ind w:left="172"/>
              <w:jc w:val="left"/>
              <w:rPr>
                <w:sz w:val="24"/>
              </w:rPr>
            </w:pPr>
            <w:r>
              <w:rPr>
                <w:sz w:val="24"/>
              </w:rPr>
              <w:t>48.7</w:t>
            </w:r>
          </w:p>
        </w:tc>
        <w:tc>
          <w:tcPr>
            <w:tcW w:w="740" w:type="dxa"/>
            <w:tcBorders>
              <w:top w:val="nil"/>
              <w:left w:val="nil"/>
              <w:bottom w:val="nil"/>
              <w:right w:val="nil"/>
            </w:tcBorders>
          </w:tcPr>
          <w:p>
            <w:pPr>
              <w:pStyle w:val="TableParagraph"/>
              <w:spacing w:before="58"/>
              <w:ind w:left="202"/>
              <w:jc w:val="left"/>
              <w:rPr>
                <w:sz w:val="24"/>
              </w:rPr>
            </w:pPr>
            <w:r>
              <w:rPr>
                <w:sz w:val="24"/>
              </w:rPr>
              <w:t>0.1</w:t>
            </w:r>
          </w:p>
        </w:tc>
        <w:tc>
          <w:tcPr>
            <w:tcW w:w="830" w:type="dxa"/>
            <w:tcBorders>
              <w:top w:val="nil"/>
              <w:left w:val="nil"/>
              <w:bottom w:val="nil"/>
              <w:right w:val="nil"/>
            </w:tcBorders>
          </w:tcPr>
          <w:p>
            <w:pPr>
              <w:pStyle w:val="TableParagraph"/>
              <w:spacing w:before="58"/>
              <w:ind w:left="50" w:right="50"/>
              <w:rPr>
                <w:sz w:val="24"/>
              </w:rPr>
            </w:pPr>
            <w:r>
              <w:rPr>
                <w:sz w:val="24"/>
              </w:rPr>
              <w:t>511</w:t>
            </w:r>
          </w:p>
        </w:tc>
        <w:tc>
          <w:tcPr>
            <w:tcW w:w="743" w:type="dxa"/>
            <w:tcBorders>
              <w:top w:val="nil"/>
              <w:left w:val="nil"/>
              <w:bottom w:val="nil"/>
              <w:right w:val="nil"/>
            </w:tcBorders>
          </w:tcPr>
          <w:p>
            <w:pPr>
              <w:pStyle w:val="TableParagraph"/>
              <w:spacing w:before="58"/>
              <w:ind w:left="50" w:right="51"/>
              <w:rPr>
                <w:sz w:val="24"/>
              </w:rPr>
            </w:pPr>
            <w:r>
              <w:rPr>
                <w:sz w:val="24"/>
              </w:rPr>
              <w:t>0.04</w:t>
            </w:r>
          </w:p>
        </w:tc>
        <w:tc>
          <w:tcPr>
            <w:tcW w:w="814" w:type="dxa"/>
            <w:tcBorders>
              <w:top w:val="nil"/>
              <w:left w:val="nil"/>
              <w:bottom w:val="nil"/>
              <w:right w:val="nil"/>
            </w:tcBorders>
          </w:tcPr>
          <w:p>
            <w:pPr>
              <w:pStyle w:val="TableParagraph"/>
              <w:spacing w:before="58"/>
              <w:ind w:left="53" w:right="120"/>
              <w:rPr>
                <w:sz w:val="24"/>
              </w:rPr>
            </w:pPr>
            <w:r>
              <w:rPr>
                <w:sz w:val="24"/>
              </w:rPr>
              <w:t>7.5</w:t>
            </w:r>
          </w:p>
        </w:tc>
        <w:tc>
          <w:tcPr>
            <w:tcW w:w="840" w:type="dxa"/>
            <w:tcBorders>
              <w:top w:val="nil"/>
              <w:left w:val="nil"/>
              <w:bottom w:val="nil"/>
              <w:right w:val="nil"/>
            </w:tcBorders>
          </w:tcPr>
          <w:p>
            <w:pPr>
              <w:pStyle w:val="TableParagraph"/>
              <w:spacing w:before="58"/>
              <w:ind w:right="95"/>
              <w:jc w:val="right"/>
              <w:rPr>
                <w:sz w:val="24"/>
              </w:rPr>
            </w:pPr>
            <w:r>
              <w:rPr>
                <w:w w:val="95"/>
                <w:sz w:val="24"/>
              </w:rPr>
              <w:t>709.6</w:t>
            </w:r>
          </w:p>
        </w:tc>
        <w:tc>
          <w:tcPr>
            <w:tcW w:w="797" w:type="dxa"/>
            <w:tcBorders>
              <w:top w:val="nil"/>
              <w:left w:val="nil"/>
              <w:bottom w:val="nil"/>
              <w:right w:val="nil"/>
            </w:tcBorders>
          </w:tcPr>
          <w:p>
            <w:pPr>
              <w:pStyle w:val="TableParagraph"/>
              <w:spacing w:before="58"/>
              <w:ind w:right="194"/>
              <w:jc w:val="right"/>
              <w:rPr>
                <w:sz w:val="24"/>
              </w:rPr>
            </w:pPr>
            <w:r>
              <w:rPr>
                <w:w w:val="95"/>
                <w:sz w:val="24"/>
              </w:rPr>
              <w:t>666</w:t>
            </w:r>
          </w:p>
        </w:tc>
        <w:tc>
          <w:tcPr>
            <w:tcW w:w="859" w:type="dxa"/>
            <w:tcBorders>
              <w:top w:val="nil"/>
              <w:left w:val="nil"/>
              <w:bottom w:val="nil"/>
              <w:right w:val="nil"/>
            </w:tcBorders>
          </w:tcPr>
          <w:p>
            <w:pPr>
              <w:pStyle w:val="TableParagraph"/>
              <w:spacing w:before="58"/>
              <w:ind w:left="241"/>
              <w:jc w:val="left"/>
              <w:rPr>
                <w:sz w:val="24"/>
              </w:rPr>
            </w:pPr>
            <w:r>
              <w:rPr>
                <w:sz w:val="24"/>
              </w:rPr>
              <w:t>477</w:t>
            </w:r>
          </w:p>
        </w:tc>
        <w:tc>
          <w:tcPr>
            <w:tcW w:w="736" w:type="dxa"/>
            <w:tcBorders>
              <w:top w:val="nil"/>
              <w:left w:val="nil"/>
              <w:bottom w:val="nil"/>
              <w:right w:val="nil"/>
            </w:tcBorders>
          </w:tcPr>
          <w:p>
            <w:pPr>
              <w:pStyle w:val="TableParagraph"/>
              <w:spacing w:before="58"/>
              <w:ind w:left="48" w:right="45"/>
              <w:rPr>
                <w:sz w:val="24"/>
              </w:rPr>
            </w:pPr>
            <w:r>
              <w:rPr>
                <w:sz w:val="24"/>
              </w:rPr>
              <w:t>10.5</w:t>
            </w:r>
          </w:p>
        </w:tc>
      </w:tr>
      <w:tr>
        <w:trPr>
          <w:trHeight w:val="420" w:hRule="exact"/>
        </w:trPr>
        <w:tc>
          <w:tcPr>
            <w:tcW w:w="1734" w:type="dxa"/>
            <w:tcBorders>
              <w:top w:val="nil"/>
              <w:left w:val="nil"/>
              <w:bottom w:val="nil"/>
              <w:right w:val="nil"/>
            </w:tcBorders>
          </w:tcPr>
          <w:p>
            <w:pPr>
              <w:pStyle w:val="TableParagraph"/>
              <w:spacing w:before="61"/>
              <w:ind w:left="72"/>
              <w:jc w:val="left"/>
              <w:rPr>
                <w:sz w:val="24"/>
              </w:rPr>
            </w:pPr>
            <w:r>
              <w:rPr>
                <w:w w:val="100"/>
                <w:sz w:val="24"/>
              </w:rPr>
              <w:t>P</w:t>
            </w:r>
          </w:p>
        </w:tc>
        <w:tc>
          <w:tcPr>
            <w:tcW w:w="777" w:type="dxa"/>
            <w:tcBorders>
              <w:top w:val="nil"/>
              <w:left w:val="nil"/>
              <w:bottom w:val="nil"/>
              <w:right w:val="nil"/>
            </w:tcBorders>
          </w:tcPr>
          <w:p>
            <w:pPr>
              <w:pStyle w:val="TableParagraph"/>
              <w:spacing w:before="61"/>
              <w:ind w:left="105"/>
              <w:jc w:val="left"/>
              <w:rPr>
                <w:sz w:val="24"/>
              </w:rPr>
            </w:pPr>
            <w:r>
              <w:rPr>
                <w:sz w:val="24"/>
              </w:rPr>
              <w:t>0.711</w:t>
            </w:r>
          </w:p>
        </w:tc>
        <w:tc>
          <w:tcPr>
            <w:tcW w:w="740" w:type="dxa"/>
            <w:tcBorders>
              <w:top w:val="nil"/>
              <w:left w:val="nil"/>
              <w:bottom w:val="nil"/>
              <w:right w:val="nil"/>
            </w:tcBorders>
          </w:tcPr>
          <w:p>
            <w:pPr>
              <w:pStyle w:val="TableParagraph"/>
              <w:spacing w:before="61"/>
              <w:ind w:right="66"/>
              <w:jc w:val="right"/>
              <w:rPr>
                <w:sz w:val="24"/>
              </w:rPr>
            </w:pPr>
            <w:r>
              <w:rPr>
                <w:sz w:val="24"/>
              </w:rPr>
              <w:t>0.663</w:t>
            </w:r>
          </w:p>
        </w:tc>
        <w:tc>
          <w:tcPr>
            <w:tcW w:w="830" w:type="dxa"/>
            <w:tcBorders>
              <w:top w:val="nil"/>
              <w:left w:val="nil"/>
              <w:bottom w:val="nil"/>
              <w:right w:val="nil"/>
            </w:tcBorders>
          </w:tcPr>
          <w:p>
            <w:pPr>
              <w:pStyle w:val="TableParagraph"/>
              <w:spacing w:before="61"/>
              <w:ind w:left="48" w:right="50"/>
              <w:rPr>
                <w:sz w:val="24"/>
              </w:rPr>
            </w:pPr>
            <w:r>
              <w:rPr>
                <w:sz w:val="24"/>
              </w:rPr>
              <w:t>0.155</w:t>
            </w:r>
          </w:p>
        </w:tc>
        <w:tc>
          <w:tcPr>
            <w:tcW w:w="743" w:type="dxa"/>
            <w:tcBorders>
              <w:top w:val="nil"/>
              <w:left w:val="nil"/>
              <w:bottom w:val="nil"/>
              <w:right w:val="nil"/>
            </w:tcBorders>
          </w:tcPr>
          <w:p>
            <w:pPr>
              <w:pStyle w:val="TableParagraph"/>
              <w:spacing w:before="61"/>
              <w:ind w:left="50" w:right="51"/>
              <w:rPr>
                <w:sz w:val="24"/>
              </w:rPr>
            </w:pPr>
            <w:r>
              <w:rPr>
                <w:sz w:val="24"/>
              </w:rPr>
              <w:t>0.306</w:t>
            </w:r>
          </w:p>
        </w:tc>
        <w:tc>
          <w:tcPr>
            <w:tcW w:w="814" w:type="dxa"/>
            <w:tcBorders>
              <w:top w:val="nil"/>
              <w:left w:val="nil"/>
              <w:bottom w:val="nil"/>
              <w:right w:val="nil"/>
            </w:tcBorders>
          </w:tcPr>
          <w:p>
            <w:pPr>
              <w:pStyle w:val="TableParagraph"/>
              <w:spacing w:before="61"/>
              <w:ind w:left="53" w:right="120"/>
              <w:rPr>
                <w:sz w:val="24"/>
              </w:rPr>
            </w:pPr>
            <w:r>
              <w:rPr>
                <w:sz w:val="24"/>
              </w:rPr>
              <w:t>0.373</w:t>
            </w:r>
          </w:p>
        </w:tc>
        <w:tc>
          <w:tcPr>
            <w:tcW w:w="840" w:type="dxa"/>
            <w:tcBorders>
              <w:top w:val="nil"/>
              <w:left w:val="nil"/>
              <w:bottom w:val="nil"/>
              <w:right w:val="nil"/>
            </w:tcBorders>
          </w:tcPr>
          <w:p>
            <w:pPr>
              <w:pStyle w:val="TableParagraph"/>
              <w:spacing w:before="61"/>
              <w:ind w:right="95"/>
              <w:jc w:val="right"/>
              <w:rPr>
                <w:sz w:val="24"/>
              </w:rPr>
            </w:pPr>
            <w:r>
              <w:rPr>
                <w:sz w:val="24"/>
              </w:rPr>
              <w:t>0.093</w:t>
            </w:r>
          </w:p>
        </w:tc>
        <w:tc>
          <w:tcPr>
            <w:tcW w:w="797" w:type="dxa"/>
            <w:tcBorders>
              <w:top w:val="nil"/>
              <w:left w:val="nil"/>
              <w:bottom w:val="nil"/>
              <w:right w:val="nil"/>
            </w:tcBorders>
          </w:tcPr>
          <w:p>
            <w:pPr>
              <w:pStyle w:val="TableParagraph"/>
              <w:spacing w:before="61"/>
              <w:ind w:right="95"/>
              <w:jc w:val="right"/>
              <w:rPr>
                <w:sz w:val="24"/>
              </w:rPr>
            </w:pPr>
            <w:r>
              <w:rPr>
                <w:sz w:val="24"/>
              </w:rPr>
              <w:t>0.108</w:t>
            </w:r>
          </w:p>
        </w:tc>
        <w:tc>
          <w:tcPr>
            <w:tcW w:w="859" w:type="dxa"/>
            <w:tcBorders>
              <w:top w:val="nil"/>
              <w:left w:val="nil"/>
              <w:bottom w:val="nil"/>
              <w:right w:val="nil"/>
            </w:tcBorders>
          </w:tcPr>
          <w:p>
            <w:pPr>
              <w:pStyle w:val="TableParagraph"/>
              <w:spacing w:before="61"/>
              <w:ind w:right="113"/>
              <w:jc w:val="right"/>
              <w:rPr>
                <w:sz w:val="24"/>
              </w:rPr>
            </w:pPr>
            <w:r>
              <w:rPr>
                <w:sz w:val="24"/>
              </w:rPr>
              <w:t>0.143</w:t>
            </w:r>
          </w:p>
        </w:tc>
        <w:tc>
          <w:tcPr>
            <w:tcW w:w="736" w:type="dxa"/>
            <w:tcBorders>
              <w:top w:val="nil"/>
              <w:left w:val="nil"/>
              <w:bottom w:val="nil"/>
              <w:right w:val="nil"/>
            </w:tcBorders>
          </w:tcPr>
          <w:p>
            <w:pPr>
              <w:pStyle w:val="TableParagraph"/>
              <w:spacing w:before="61"/>
              <w:ind w:left="49" w:right="45"/>
              <w:rPr>
                <w:sz w:val="24"/>
              </w:rPr>
            </w:pPr>
            <w:r>
              <w:rPr>
                <w:sz w:val="24"/>
              </w:rPr>
              <w:t>0.108</w:t>
            </w:r>
          </w:p>
        </w:tc>
      </w:tr>
      <w:tr>
        <w:trPr>
          <w:trHeight w:val="557" w:hRule="exact"/>
        </w:trPr>
        <w:tc>
          <w:tcPr>
            <w:tcW w:w="1734" w:type="dxa"/>
            <w:tcBorders>
              <w:top w:val="nil"/>
              <w:left w:val="nil"/>
              <w:bottom w:val="nil"/>
              <w:right w:val="nil"/>
            </w:tcBorders>
          </w:tcPr>
          <w:p>
            <w:pPr>
              <w:pStyle w:val="TableParagraph"/>
              <w:spacing w:before="58"/>
              <w:ind w:left="72"/>
              <w:jc w:val="left"/>
              <w:rPr>
                <w:sz w:val="24"/>
              </w:rPr>
            </w:pPr>
            <w:r>
              <w:rPr>
                <w:sz w:val="24"/>
              </w:rPr>
              <w:t>SEM</w:t>
            </w:r>
          </w:p>
        </w:tc>
        <w:tc>
          <w:tcPr>
            <w:tcW w:w="777" w:type="dxa"/>
            <w:tcBorders>
              <w:top w:val="nil"/>
              <w:left w:val="nil"/>
              <w:bottom w:val="nil"/>
              <w:right w:val="nil"/>
            </w:tcBorders>
          </w:tcPr>
          <w:p>
            <w:pPr>
              <w:pStyle w:val="TableParagraph"/>
              <w:spacing w:before="58"/>
              <w:ind w:left="172"/>
              <w:jc w:val="left"/>
              <w:rPr>
                <w:sz w:val="24"/>
              </w:rPr>
            </w:pPr>
            <w:r>
              <w:rPr>
                <w:sz w:val="24"/>
              </w:rPr>
              <w:t>32.6</w:t>
            </w:r>
          </w:p>
        </w:tc>
        <w:tc>
          <w:tcPr>
            <w:tcW w:w="740" w:type="dxa"/>
            <w:tcBorders>
              <w:top w:val="nil"/>
              <w:left w:val="nil"/>
              <w:bottom w:val="nil"/>
              <w:right w:val="nil"/>
            </w:tcBorders>
          </w:tcPr>
          <w:p>
            <w:pPr>
              <w:pStyle w:val="TableParagraph"/>
              <w:spacing w:before="58"/>
              <w:ind w:right="134"/>
              <w:jc w:val="right"/>
              <w:rPr>
                <w:sz w:val="24"/>
              </w:rPr>
            </w:pPr>
            <w:r>
              <w:rPr>
                <w:sz w:val="24"/>
              </w:rPr>
              <w:t>0.08</w:t>
            </w:r>
          </w:p>
        </w:tc>
        <w:tc>
          <w:tcPr>
            <w:tcW w:w="830" w:type="dxa"/>
            <w:tcBorders>
              <w:top w:val="nil"/>
              <w:left w:val="nil"/>
              <w:bottom w:val="nil"/>
              <w:right w:val="nil"/>
            </w:tcBorders>
          </w:tcPr>
          <w:p>
            <w:pPr>
              <w:pStyle w:val="TableParagraph"/>
              <w:spacing w:before="58"/>
              <w:ind w:left="48" w:right="50"/>
              <w:rPr>
                <w:sz w:val="24"/>
              </w:rPr>
            </w:pPr>
            <w:r>
              <w:rPr>
                <w:sz w:val="24"/>
              </w:rPr>
              <w:t>53.8</w:t>
            </w:r>
          </w:p>
        </w:tc>
        <w:tc>
          <w:tcPr>
            <w:tcW w:w="743" w:type="dxa"/>
            <w:tcBorders>
              <w:top w:val="nil"/>
              <w:left w:val="nil"/>
              <w:bottom w:val="nil"/>
              <w:right w:val="nil"/>
            </w:tcBorders>
          </w:tcPr>
          <w:p>
            <w:pPr>
              <w:pStyle w:val="TableParagraph"/>
              <w:spacing w:before="58"/>
              <w:ind w:left="50" w:right="51"/>
              <w:rPr>
                <w:sz w:val="24"/>
              </w:rPr>
            </w:pPr>
            <w:r>
              <w:rPr>
                <w:sz w:val="24"/>
              </w:rPr>
              <w:t>0.01</w:t>
            </w:r>
          </w:p>
        </w:tc>
        <w:tc>
          <w:tcPr>
            <w:tcW w:w="814" w:type="dxa"/>
            <w:tcBorders>
              <w:top w:val="nil"/>
              <w:left w:val="nil"/>
              <w:bottom w:val="nil"/>
              <w:right w:val="nil"/>
            </w:tcBorders>
          </w:tcPr>
          <w:p>
            <w:pPr>
              <w:pStyle w:val="TableParagraph"/>
              <w:spacing w:before="58"/>
              <w:ind w:left="53" w:right="120"/>
              <w:rPr>
                <w:sz w:val="24"/>
              </w:rPr>
            </w:pPr>
            <w:r>
              <w:rPr>
                <w:sz w:val="24"/>
              </w:rPr>
              <w:t>0.8</w:t>
            </w:r>
          </w:p>
        </w:tc>
        <w:tc>
          <w:tcPr>
            <w:tcW w:w="840" w:type="dxa"/>
            <w:tcBorders>
              <w:top w:val="nil"/>
              <w:left w:val="nil"/>
              <w:bottom w:val="nil"/>
              <w:right w:val="nil"/>
            </w:tcBorders>
          </w:tcPr>
          <w:p>
            <w:pPr>
              <w:pStyle w:val="TableParagraph"/>
              <w:spacing w:before="58"/>
              <w:ind w:right="162"/>
              <w:jc w:val="right"/>
              <w:rPr>
                <w:sz w:val="24"/>
              </w:rPr>
            </w:pPr>
            <w:r>
              <w:rPr>
                <w:sz w:val="24"/>
              </w:rPr>
              <w:t>42.6</w:t>
            </w:r>
          </w:p>
        </w:tc>
        <w:tc>
          <w:tcPr>
            <w:tcW w:w="797" w:type="dxa"/>
            <w:tcBorders>
              <w:top w:val="nil"/>
              <w:left w:val="nil"/>
              <w:bottom w:val="nil"/>
              <w:right w:val="nil"/>
            </w:tcBorders>
          </w:tcPr>
          <w:p>
            <w:pPr>
              <w:pStyle w:val="TableParagraph"/>
              <w:spacing w:before="58"/>
              <w:ind w:right="162"/>
              <w:jc w:val="right"/>
              <w:rPr>
                <w:sz w:val="24"/>
              </w:rPr>
            </w:pPr>
            <w:r>
              <w:rPr>
                <w:sz w:val="24"/>
              </w:rPr>
              <w:t>41.1</w:t>
            </w:r>
          </w:p>
        </w:tc>
        <w:tc>
          <w:tcPr>
            <w:tcW w:w="859" w:type="dxa"/>
            <w:tcBorders>
              <w:top w:val="nil"/>
              <w:left w:val="nil"/>
              <w:bottom w:val="nil"/>
              <w:right w:val="nil"/>
            </w:tcBorders>
          </w:tcPr>
          <w:p>
            <w:pPr>
              <w:pStyle w:val="TableParagraph"/>
              <w:spacing w:before="58"/>
              <w:ind w:left="207"/>
              <w:jc w:val="left"/>
              <w:rPr>
                <w:sz w:val="24"/>
              </w:rPr>
            </w:pPr>
            <w:r>
              <w:rPr>
                <w:sz w:val="24"/>
              </w:rPr>
              <w:t>65.6</w:t>
            </w:r>
          </w:p>
        </w:tc>
        <w:tc>
          <w:tcPr>
            <w:tcW w:w="736" w:type="dxa"/>
            <w:tcBorders>
              <w:top w:val="nil"/>
              <w:left w:val="nil"/>
              <w:bottom w:val="nil"/>
              <w:right w:val="nil"/>
            </w:tcBorders>
          </w:tcPr>
          <w:p>
            <w:pPr>
              <w:pStyle w:val="TableParagraph"/>
              <w:spacing w:before="58"/>
              <w:ind w:left="49" w:right="45"/>
              <w:rPr>
                <w:sz w:val="24"/>
              </w:rPr>
            </w:pPr>
            <w:r>
              <w:rPr>
                <w:sz w:val="24"/>
              </w:rPr>
              <w:t>0.6</w:t>
            </w:r>
          </w:p>
        </w:tc>
      </w:tr>
      <w:tr>
        <w:trPr>
          <w:trHeight w:val="739" w:hRule="exact"/>
        </w:trPr>
        <w:tc>
          <w:tcPr>
            <w:tcW w:w="1734" w:type="dxa"/>
            <w:tcBorders>
              <w:top w:val="nil"/>
              <w:left w:val="nil"/>
              <w:bottom w:val="nil"/>
              <w:right w:val="nil"/>
            </w:tcBorders>
          </w:tcPr>
          <w:p>
            <w:pPr>
              <w:pStyle w:val="TableParagraph"/>
              <w:spacing w:line="274" w:lineRule="exact" w:before="203"/>
              <w:ind w:left="72" w:right="374"/>
              <w:jc w:val="left"/>
              <w:rPr>
                <w:sz w:val="24"/>
              </w:rPr>
            </w:pPr>
            <w:r>
              <w:rPr>
                <w:sz w:val="24"/>
              </w:rPr>
              <w:t>Tanniferous species</w:t>
            </w:r>
          </w:p>
        </w:tc>
        <w:tc>
          <w:tcPr>
            <w:tcW w:w="777" w:type="dxa"/>
            <w:tcBorders>
              <w:top w:val="nil"/>
              <w:left w:val="nil"/>
              <w:bottom w:val="nil"/>
              <w:right w:val="nil"/>
            </w:tcBorders>
          </w:tcPr>
          <w:p>
            <w:pPr/>
          </w:p>
        </w:tc>
        <w:tc>
          <w:tcPr>
            <w:tcW w:w="740" w:type="dxa"/>
            <w:tcBorders>
              <w:top w:val="nil"/>
              <w:left w:val="nil"/>
              <w:bottom w:val="nil"/>
              <w:right w:val="nil"/>
            </w:tcBorders>
          </w:tcPr>
          <w:p>
            <w:pPr/>
          </w:p>
        </w:tc>
        <w:tc>
          <w:tcPr>
            <w:tcW w:w="830" w:type="dxa"/>
            <w:tcBorders>
              <w:top w:val="nil"/>
              <w:left w:val="nil"/>
              <w:bottom w:val="nil"/>
              <w:right w:val="nil"/>
            </w:tcBorders>
          </w:tcPr>
          <w:p>
            <w:pPr/>
          </w:p>
        </w:tc>
        <w:tc>
          <w:tcPr>
            <w:tcW w:w="743" w:type="dxa"/>
            <w:tcBorders>
              <w:top w:val="nil"/>
              <w:left w:val="nil"/>
              <w:bottom w:val="nil"/>
              <w:right w:val="nil"/>
            </w:tcBorders>
          </w:tcPr>
          <w:p>
            <w:pPr/>
          </w:p>
        </w:tc>
        <w:tc>
          <w:tcPr>
            <w:tcW w:w="814" w:type="dxa"/>
            <w:tcBorders>
              <w:top w:val="nil"/>
              <w:left w:val="nil"/>
              <w:bottom w:val="nil"/>
              <w:right w:val="nil"/>
            </w:tcBorders>
          </w:tcPr>
          <w:p>
            <w:pPr/>
          </w:p>
        </w:tc>
        <w:tc>
          <w:tcPr>
            <w:tcW w:w="840" w:type="dxa"/>
            <w:tcBorders>
              <w:top w:val="nil"/>
              <w:left w:val="nil"/>
              <w:bottom w:val="nil"/>
              <w:right w:val="nil"/>
            </w:tcBorders>
          </w:tcPr>
          <w:p>
            <w:pPr/>
          </w:p>
        </w:tc>
        <w:tc>
          <w:tcPr>
            <w:tcW w:w="797" w:type="dxa"/>
            <w:tcBorders>
              <w:top w:val="nil"/>
              <w:left w:val="nil"/>
              <w:bottom w:val="nil"/>
              <w:right w:val="nil"/>
            </w:tcBorders>
          </w:tcPr>
          <w:p>
            <w:pPr/>
          </w:p>
        </w:tc>
        <w:tc>
          <w:tcPr>
            <w:tcW w:w="859" w:type="dxa"/>
            <w:tcBorders>
              <w:top w:val="nil"/>
              <w:left w:val="nil"/>
              <w:bottom w:val="nil"/>
              <w:right w:val="nil"/>
            </w:tcBorders>
          </w:tcPr>
          <w:p>
            <w:pPr/>
          </w:p>
        </w:tc>
        <w:tc>
          <w:tcPr>
            <w:tcW w:w="736" w:type="dxa"/>
            <w:tcBorders>
              <w:top w:val="nil"/>
              <w:left w:val="nil"/>
              <w:bottom w:val="nil"/>
              <w:right w:val="nil"/>
            </w:tcBorders>
          </w:tcPr>
          <w:p>
            <w:pPr/>
          </w:p>
        </w:tc>
      </w:tr>
      <w:tr>
        <w:trPr>
          <w:trHeight w:val="348" w:hRule="exact"/>
        </w:trPr>
        <w:tc>
          <w:tcPr>
            <w:tcW w:w="1734" w:type="dxa"/>
            <w:tcBorders>
              <w:top w:val="nil"/>
              <w:left w:val="nil"/>
              <w:bottom w:val="nil"/>
              <w:right w:val="nil"/>
            </w:tcBorders>
          </w:tcPr>
          <w:p>
            <w:pPr>
              <w:pStyle w:val="TableParagraph"/>
              <w:spacing w:before="11"/>
              <w:ind w:left="72"/>
              <w:jc w:val="left"/>
              <w:rPr>
                <w:i/>
                <w:sz w:val="24"/>
              </w:rPr>
            </w:pPr>
            <w:r>
              <w:rPr>
                <w:i/>
                <w:sz w:val="24"/>
              </w:rPr>
              <w:t>C. sulphureus</w:t>
            </w:r>
          </w:p>
        </w:tc>
        <w:tc>
          <w:tcPr>
            <w:tcW w:w="777" w:type="dxa"/>
            <w:tcBorders>
              <w:top w:val="nil"/>
              <w:left w:val="nil"/>
              <w:bottom w:val="nil"/>
              <w:right w:val="nil"/>
            </w:tcBorders>
          </w:tcPr>
          <w:p>
            <w:pPr>
              <w:pStyle w:val="TableParagraph"/>
              <w:spacing w:before="11"/>
              <w:ind w:left="172"/>
              <w:jc w:val="left"/>
              <w:rPr>
                <w:sz w:val="24"/>
              </w:rPr>
            </w:pPr>
            <w:r>
              <w:rPr>
                <w:sz w:val="24"/>
              </w:rPr>
              <w:t>15.1</w:t>
            </w:r>
          </w:p>
        </w:tc>
        <w:tc>
          <w:tcPr>
            <w:tcW w:w="740" w:type="dxa"/>
            <w:tcBorders>
              <w:top w:val="nil"/>
              <w:left w:val="nil"/>
              <w:bottom w:val="nil"/>
              <w:right w:val="nil"/>
            </w:tcBorders>
          </w:tcPr>
          <w:p>
            <w:pPr>
              <w:pStyle w:val="TableParagraph"/>
              <w:spacing w:before="11"/>
              <w:ind w:right="134"/>
              <w:jc w:val="right"/>
              <w:rPr>
                <w:sz w:val="24"/>
              </w:rPr>
            </w:pPr>
            <w:r>
              <w:rPr>
                <w:sz w:val="24"/>
              </w:rPr>
              <w:t>0.23</w:t>
            </w:r>
          </w:p>
        </w:tc>
        <w:tc>
          <w:tcPr>
            <w:tcW w:w="830" w:type="dxa"/>
            <w:tcBorders>
              <w:top w:val="nil"/>
              <w:left w:val="nil"/>
              <w:bottom w:val="nil"/>
              <w:right w:val="nil"/>
            </w:tcBorders>
          </w:tcPr>
          <w:p>
            <w:pPr>
              <w:pStyle w:val="TableParagraph"/>
              <w:spacing w:line="287" w:lineRule="exact"/>
              <w:ind w:left="50" w:right="50"/>
              <w:rPr>
                <w:sz w:val="16"/>
              </w:rPr>
            </w:pPr>
            <w:r>
              <w:rPr>
                <w:sz w:val="24"/>
              </w:rPr>
              <w:t>511.2</w:t>
            </w:r>
            <w:r>
              <w:rPr>
                <w:position w:val="11"/>
                <w:sz w:val="16"/>
              </w:rPr>
              <w:t>a</w:t>
            </w:r>
          </w:p>
        </w:tc>
        <w:tc>
          <w:tcPr>
            <w:tcW w:w="743" w:type="dxa"/>
            <w:tcBorders>
              <w:top w:val="nil"/>
              <w:left w:val="nil"/>
              <w:bottom w:val="nil"/>
              <w:right w:val="nil"/>
            </w:tcBorders>
          </w:tcPr>
          <w:p>
            <w:pPr>
              <w:pStyle w:val="TableParagraph"/>
              <w:spacing w:before="11"/>
              <w:ind w:left="50" w:right="51"/>
              <w:rPr>
                <w:sz w:val="24"/>
              </w:rPr>
            </w:pPr>
            <w:r>
              <w:rPr>
                <w:sz w:val="24"/>
              </w:rPr>
              <w:t>0.01</w:t>
            </w:r>
          </w:p>
        </w:tc>
        <w:tc>
          <w:tcPr>
            <w:tcW w:w="814" w:type="dxa"/>
            <w:tcBorders>
              <w:top w:val="nil"/>
              <w:left w:val="nil"/>
              <w:bottom w:val="nil"/>
              <w:right w:val="nil"/>
            </w:tcBorders>
          </w:tcPr>
          <w:p>
            <w:pPr>
              <w:pStyle w:val="TableParagraph"/>
              <w:spacing w:before="11"/>
              <w:ind w:left="53" w:right="120"/>
              <w:rPr>
                <w:sz w:val="24"/>
              </w:rPr>
            </w:pPr>
            <w:r>
              <w:rPr>
                <w:sz w:val="24"/>
              </w:rPr>
              <w:t>7.2</w:t>
            </w:r>
          </w:p>
        </w:tc>
        <w:tc>
          <w:tcPr>
            <w:tcW w:w="840" w:type="dxa"/>
            <w:tcBorders>
              <w:top w:val="nil"/>
              <w:left w:val="nil"/>
              <w:bottom w:val="nil"/>
              <w:right w:val="nil"/>
            </w:tcBorders>
          </w:tcPr>
          <w:p>
            <w:pPr>
              <w:pStyle w:val="TableParagraph"/>
              <w:spacing w:before="11"/>
              <w:ind w:right="194"/>
              <w:jc w:val="right"/>
              <w:rPr>
                <w:sz w:val="24"/>
              </w:rPr>
            </w:pPr>
            <w:r>
              <w:rPr>
                <w:w w:val="95"/>
                <w:sz w:val="24"/>
              </w:rPr>
              <w:t>705</w:t>
            </w:r>
          </w:p>
        </w:tc>
        <w:tc>
          <w:tcPr>
            <w:tcW w:w="797" w:type="dxa"/>
            <w:tcBorders>
              <w:top w:val="nil"/>
              <w:left w:val="nil"/>
              <w:bottom w:val="nil"/>
              <w:right w:val="nil"/>
            </w:tcBorders>
          </w:tcPr>
          <w:p>
            <w:pPr>
              <w:pStyle w:val="TableParagraph"/>
              <w:spacing w:before="11"/>
              <w:ind w:right="194"/>
              <w:jc w:val="right"/>
              <w:rPr>
                <w:sz w:val="24"/>
              </w:rPr>
            </w:pPr>
            <w:r>
              <w:rPr>
                <w:w w:val="95"/>
                <w:sz w:val="24"/>
              </w:rPr>
              <w:t>660</w:t>
            </w:r>
          </w:p>
        </w:tc>
        <w:tc>
          <w:tcPr>
            <w:tcW w:w="859" w:type="dxa"/>
            <w:tcBorders>
              <w:top w:val="nil"/>
              <w:left w:val="nil"/>
              <w:bottom w:val="nil"/>
              <w:right w:val="nil"/>
            </w:tcBorders>
          </w:tcPr>
          <w:p>
            <w:pPr>
              <w:pStyle w:val="TableParagraph"/>
              <w:spacing w:line="287" w:lineRule="exact"/>
              <w:ind w:left="197"/>
              <w:jc w:val="left"/>
              <w:rPr>
                <w:sz w:val="16"/>
              </w:rPr>
            </w:pPr>
            <w:r>
              <w:rPr>
                <w:sz w:val="24"/>
              </w:rPr>
              <w:t>493</w:t>
            </w:r>
            <w:r>
              <w:rPr>
                <w:position w:val="11"/>
                <w:sz w:val="16"/>
              </w:rPr>
              <w:t>a</w:t>
            </w:r>
          </w:p>
        </w:tc>
        <w:tc>
          <w:tcPr>
            <w:tcW w:w="736" w:type="dxa"/>
            <w:tcBorders>
              <w:top w:val="nil"/>
              <w:left w:val="nil"/>
              <w:bottom w:val="nil"/>
              <w:right w:val="nil"/>
            </w:tcBorders>
          </w:tcPr>
          <w:p>
            <w:pPr>
              <w:pStyle w:val="TableParagraph"/>
              <w:spacing w:before="11"/>
              <w:ind w:left="48" w:right="45"/>
              <w:rPr>
                <w:sz w:val="24"/>
              </w:rPr>
            </w:pPr>
            <w:r>
              <w:rPr>
                <w:sz w:val="24"/>
              </w:rPr>
              <w:t>10.4</w:t>
            </w:r>
          </w:p>
        </w:tc>
      </w:tr>
      <w:tr>
        <w:trPr>
          <w:trHeight w:val="420" w:hRule="exact"/>
        </w:trPr>
        <w:tc>
          <w:tcPr>
            <w:tcW w:w="1734" w:type="dxa"/>
            <w:tcBorders>
              <w:top w:val="nil"/>
              <w:left w:val="nil"/>
              <w:bottom w:val="nil"/>
              <w:right w:val="nil"/>
            </w:tcBorders>
          </w:tcPr>
          <w:p>
            <w:pPr>
              <w:pStyle w:val="TableParagraph"/>
              <w:spacing w:before="80"/>
              <w:ind w:left="72"/>
              <w:jc w:val="left"/>
              <w:rPr>
                <w:i/>
                <w:sz w:val="24"/>
              </w:rPr>
            </w:pPr>
            <w:r>
              <w:rPr>
                <w:i/>
                <w:sz w:val="24"/>
              </w:rPr>
              <w:t>C. bipinnatus</w:t>
            </w:r>
          </w:p>
        </w:tc>
        <w:tc>
          <w:tcPr>
            <w:tcW w:w="777" w:type="dxa"/>
            <w:tcBorders>
              <w:top w:val="nil"/>
              <w:left w:val="nil"/>
              <w:bottom w:val="nil"/>
              <w:right w:val="nil"/>
            </w:tcBorders>
          </w:tcPr>
          <w:p>
            <w:pPr>
              <w:pStyle w:val="TableParagraph"/>
              <w:spacing w:before="80"/>
              <w:ind w:left="172"/>
              <w:jc w:val="left"/>
              <w:rPr>
                <w:sz w:val="24"/>
              </w:rPr>
            </w:pPr>
            <w:r>
              <w:rPr>
                <w:sz w:val="24"/>
              </w:rPr>
              <w:t>15.2</w:t>
            </w:r>
          </w:p>
        </w:tc>
        <w:tc>
          <w:tcPr>
            <w:tcW w:w="740" w:type="dxa"/>
            <w:tcBorders>
              <w:top w:val="nil"/>
              <w:left w:val="nil"/>
              <w:bottom w:val="nil"/>
              <w:right w:val="nil"/>
            </w:tcBorders>
          </w:tcPr>
          <w:p>
            <w:pPr>
              <w:pStyle w:val="TableParagraph"/>
              <w:spacing w:before="80"/>
              <w:ind w:right="134"/>
              <w:jc w:val="right"/>
              <w:rPr>
                <w:sz w:val="24"/>
              </w:rPr>
            </w:pPr>
            <w:r>
              <w:rPr>
                <w:sz w:val="24"/>
              </w:rPr>
              <w:t>0.24</w:t>
            </w:r>
          </w:p>
        </w:tc>
        <w:tc>
          <w:tcPr>
            <w:tcW w:w="830" w:type="dxa"/>
            <w:tcBorders>
              <w:top w:val="nil"/>
              <w:left w:val="nil"/>
              <w:bottom w:val="nil"/>
              <w:right w:val="nil"/>
            </w:tcBorders>
          </w:tcPr>
          <w:p>
            <w:pPr>
              <w:pStyle w:val="TableParagraph"/>
              <w:spacing w:before="45"/>
              <w:ind w:left="50" w:right="50"/>
              <w:rPr>
                <w:sz w:val="16"/>
              </w:rPr>
            </w:pPr>
            <w:r>
              <w:rPr>
                <w:sz w:val="24"/>
              </w:rPr>
              <w:t>381.8</w:t>
            </w:r>
            <w:r>
              <w:rPr>
                <w:position w:val="11"/>
                <w:sz w:val="16"/>
              </w:rPr>
              <w:t>a</w:t>
            </w:r>
          </w:p>
        </w:tc>
        <w:tc>
          <w:tcPr>
            <w:tcW w:w="743" w:type="dxa"/>
            <w:tcBorders>
              <w:top w:val="nil"/>
              <w:left w:val="nil"/>
              <w:bottom w:val="nil"/>
              <w:right w:val="nil"/>
            </w:tcBorders>
          </w:tcPr>
          <w:p>
            <w:pPr>
              <w:pStyle w:val="TableParagraph"/>
              <w:spacing w:before="80"/>
              <w:ind w:left="50" w:right="51"/>
              <w:rPr>
                <w:sz w:val="24"/>
              </w:rPr>
            </w:pPr>
            <w:r>
              <w:rPr>
                <w:sz w:val="24"/>
              </w:rPr>
              <w:t>0.03</w:t>
            </w:r>
          </w:p>
        </w:tc>
        <w:tc>
          <w:tcPr>
            <w:tcW w:w="814" w:type="dxa"/>
            <w:tcBorders>
              <w:top w:val="nil"/>
              <w:left w:val="nil"/>
              <w:bottom w:val="nil"/>
              <w:right w:val="nil"/>
            </w:tcBorders>
          </w:tcPr>
          <w:p>
            <w:pPr>
              <w:pStyle w:val="TableParagraph"/>
              <w:spacing w:before="80"/>
              <w:ind w:left="53" w:right="120"/>
              <w:rPr>
                <w:sz w:val="24"/>
              </w:rPr>
            </w:pPr>
            <w:r>
              <w:rPr>
                <w:sz w:val="24"/>
              </w:rPr>
              <w:t>5.7</w:t>
            </w:r>
          </w:p>
        </w:tc>
        <w:tc>
          <w:tcPr>
            <w:tcW w:w="840" w:type="dxa"/>
            <w:tcBorders>
              <w:top w:val="nil"/>
              <w:left w:val="nil"/>
              <w:bottom w:val="nil"/>
              <w:right w:val="nil"/>
            </w:tcBorders>
          </w:tcPr>
          <w:p>
            <w:pPr>
              <w:pStyle w:val="TableParagraph"/>
              <w:spacing w:before="80"/>
              <w:ind w:right="95"/>
              <w:jc w:val="right"/>
              <w:rPr>
                <w:sz w:val="24"/>
              </w:rPr>
            </w:pPr>
            <w:r>
              <w:rPr>
                <w:w w:val="95"/>
                <w:sz w:val="24"/>
              </w:rPr>
              <w:t>583.8</w:t>
            </w:r>
          </w:p>
        </w:tc>
        <w:tc>
          <w:tcPr>
            <w:tcW w:w="797" w:type="dxa"/>
            <w:tcBorders>
              <w:top w:val="nil"/>
              <w:left w:val="nil"/>
              <w:bottom w:val="nil"/>
              <w:right w:val="nil"/>
            </w:tcBorders>
          </w:tcPr>
          <w:p>
            <w:pPr>
              <w:pStyle w:val="TableParagraph"/>
              <w:spacing w:before="80"/>
              <w:ind w:right="194"/>
              <w:jc w:val="right"/>
              <w:rPr>
                <w:sz w:val="24"/>
              </w:rPr>
            </w:pPr>
            <w:r>
              <w:rPr>
                <w:w w:val="95"/>
                <w:sz w:val="24"/>
              </w:rPr>
              <w:t>562</w:t>
            </w:r>
          </w:p>
        </w:tc>
        <w:tc>
          <w:tcPr>
            <w:tcW w:w="859" w:type="dxa"/>
            <w:tcBorders>
              <w:top w:val="nil"/>
              <w:left w:val="nil"/>
              <w:bottom w:val="nil"/>
              <w:right w:val="nil"/>
            </w:tcBorders>
          </w:tcPr>
          <w:p>
            <w:pPr>
              <w:pStyle w:val="TableParagraph"/>
              <w:spacing w:before="45"/>
              <w:ind w:right="66"/>
              <w:jc w:val="right"/>
              <w:rPr>
                <w:sz w:val="16"/>
              </w:rPr>
            </w:pPr>
            <w:r>
              <w:rPr>
                <w:sz w:val="24"/>
              </w:rPr>
              <w:t>368.6</w:t>
            </w:r>
            <w:r>
              <w:rPr>
                <w:position w:val="11"/>
                <w:sz w:val="16"/>
              </w:rPr>
              <w:t>a</w:t>
            </w:r>
          </w:p>
        </w:tc>
        <w:tc>
          <w:tcPr>
            <w:tcW w:w="736" w:type="dxa"/>
            <w:tcBorders>
              <w:top w:val="nil"/>
              <w:left w:val="nil"/>
              <w:bottom w:val="nil"/>
              <w:right w:val="nil"/>
            </w:tcBorders>
          </w:tcPr>
          <w:p>
            <w:pPr>
              <w:pStyle w:val="TableParagraph"/>
              <w:spacing w:before="80"/>
              <w:ind w:left="49" w:right="45"/>
              <w:rPr>
                <w:sz w:val="24"/>
              </w:rPr>
            </w:pPr>
            <w:r>
              <w:rPr>
                <w:sz w:val="24"/>
              </w:rPr>
              <w:t>8.8</w:t>
            </w:r>
          </w:p>
        </w:tc>
      </w:tr>
      <w:tr>
        <w:trPr>
          <w:trHeight w:val="420" w:hRule="exact"/>
        </w:trPr>
        <w:tc>
          <w:tcPr>
            <w:tcW w:w="1734" w:type="dxa"/>
            <w:tcBorders>
              <w:top w:val="nil"/>
              <w:left w:val="nil"/>
              <w:bottom w:val="nil"/>
              <w:right w:val="nil"/>
            </w:tcBorders>
          </w:tcPr>
          <w:p>
            <w:pPr>
              <w:pStyle w:val="TableParagraph"/>
              <w:spacing w:before="82"/>
              <w:ind w:left="72"/>
              <w:jc w:val="left"/>
              <w:rPr>
                <w:i/>
                <w:sz w:val="24"/>
              </w:rPr>
            </w:pPr>
            <w:r>
              <w:rPr>
                <w:i/>
                <w:sz w:val="24"/>
              </w:rPr>
              <w:t>T. lucida</w:t>
            </w:r>
          </w:p>
        </w:tc>
        <w:tc>
          <w:tcPr>
            <w:tcW w:w="777" w:type="dxa"/>
            <w:tcBorders>
              <w:top w:val="nil"/>
              <w:left w:val="nil"/>
              <w:bottom w:val="nil"/>
              <w:right w:val="nil"/>
            </w:tcBorders>
          </w:tcPr>
          <w:p>
            <w:pPr>
              <w:pStyle w:val="TableParagraph"/>
              <w:spacing w:before="82"/>
              <w:ind w:left="172"/>
              <w:jc w:val="left"/>
              <w:rPr>
                <w:sz w:val="24"/>
              </w:rPr>
            </w:pPr>
            <w:r>
              <w:rPr>
                <w:sz w:val="24"/>
              </w:rPr>
              <w:t>14.8</w:t>
            </w:r>
          </w:p>
        </w:tc>
        <w:tc>
          <w:tcPr>
            <w:tcW w:w="740" w:type="dxa"/>
            <w:tcBorders>
              <w:top w:val="nil"/>
              <w:left w:val="nil"/>
              <w:bottom w:val="nil"/>
              <w:right w:val="nil"/>
            </w:tcBorders>
          </w:tcPr>
          <w:p>
            <w:pPr>
              <w:pStyle w:val="TableParagraph"/>
              <w:spacing w:before="82"/>
              <w:ind w:right="134"/>
              <w:jc w:val="right"/>
              <w:rPr>
                <w:sz w:val="24"/>
              </w:rPr>
            </w:pPr>
            <w:r>
              <w:rPr>
                <w:sz w:val="24"/>
              </w:rPr>
              <w:t>0.03</w:t>
            </w:r>
          </w:p>
        </w:tc>
        <w:tc>
          <w:tcPr>
            <w:tcW w:w="830" w:type="dxa"/>
            <w:tcBorders>
              <w:top w:val="nil"/>
              <w:left w:val="nil"/>
              <w:bottom w:val="nil"/>
              <w:right w:val="nil"/>
            </w:tcBorders>
          </w:tcPr>
          <w:p>
            <w:pPr>
              <w:pStyle w:val="TableParagraph"/>
              <w:spacing w:before="47"/>
              <w:ind w:left="50" w:right="50"/>
              <w:rPr>
                <w:sz w:val="16"/>
              </w:rPr>
            </w:pPr>
            <w:r>
              <w:rPr>
                <w:sz w:val="24"/>
              </w:rPr>
              <w:t>617.4</w:t>
            </w:r>
            <w:r>
              <w:rPr>
                <w:position w:val="11"/>
                <w:sz w:val="16"/>
              </w:rPr>
              <w:t>a</w:t>
            </w:r>
          </w:p>
        </w:tc>
        <w:tc>
          <w:tcPr>
            <w:tcW w:w="743" w:type="dxa"/>
            <w:tcBorders>
              <w:top w:val="nil"/>
              <w:left w:val="nil"/>
              <w:bottom w:val="nil"/>
              <w:right w:val="nil"/>
            </w:tcBorders>
          </w:tcPr>
          <w:p>
            <w:pPr>
              <w:pStyle w:val="TableParagraph"/>
              <w:spacing w:before="82"/>
              <w:ind w:left="50" w:right="51"/>
              <w:rPr>
                <w:sz w:val="24"/>
              </w:rPr>
            </w:pPr>
            <w:r>
              <w:rPr>
                <w:sz w:val="24"/>
              </w:rPr>
              <w:t>0.02</w:t>
            </w:r>
          </w:p>
        </w:tc>
        <w:tc>
          <w:tcPr>
            <w:tcW w:w="814" w:type="dxa"/>
            <w:tcBorders>
              <w:top w:val="nil"/>
              <w:left w:val="nil"/>
              <w:bottom w:val="nil"/>
              <w:right w:val="nil"/>
            </w:tcBorders>
          </w:tcPr>
          <w:p>
            <w:pPr>
              <w:pStyle w:val="TableParagraph"/>
              <w:spacing w:before="82"/>
              <w:ind w:left="53" w:right="120"/>
              <w:rPr>
                <w:sz w:val="24"/>
              </w:rPr>
            </w:pPr>
            <w:r>
              <w:rPr>
                <w:sz w:val="24"/>
              </w:rPr>
              <w:t>5.8</w:t>
            </w:r>
          </w:p>
        </w:tc>
        <w:tc>
          <w:tcPr>
            <w:tcW w:w="840" w:type="dxa"/>
            <w:tcBorders>
              <w:top w:val="nil"/>
              <w:left w:val="nil"/>
              <w:bottom w:val="nil"/>
              <w:right w:val="nil"/>
            </w:tcBorders>
          </w:tcPr>
          <w:p>
            <w:pPr>
              <w:pStyle w:val="TableParagraph"/>
              <w:spacing w:before="82"/>
              <w:ind w:right="194"/>
              <w:jc w:val="right"/>
              <w:rPr>
                <w:sz w:val="24"/>
              </w:rPr>
            </w:pPr>
            <w:r>
              <w:rPr>
                <w:w w:val="95"/>
                <w:sz w:val="24"/>
              </w:rPr>
              <w:t>730</w:t>
            </w:r>
          </w:p>
        </w:tc>
        <w:tc>
          <w:tcPr>
            <w:tcW w:w="797" w:type="dxa"/>
            <w:tcBorders>
              <w:top w:val="nil"/>
              <w:left w:val="nil"/>
              <w:bottom w:val="nil"/>
              <w:right w:val="nil"/>
            </w:tcBorders>
          </w:tcPr>
          <w:p>
            <w:pPr>
              <w:pStyle w:val="TableParagraph"/>
              <w:spacing w:before="82"/>
              <w:ind w:right="95"/>
              <w:jc w:val="right"/>
              <w:rPr>
                <w:sz w:val="24"/>
              </w:rPr>
            </w:pPr>
            <w:r>
              <w:rPr>
                <w:w w:val="95"/>
                <w:sz w:val="24"/>
              </w:rPr>
              <w:t>682.8</w:t>
            </w:r>
          </w:p>
        </w:tc>
        <w:tc>
          <w:tcPr>
            <w:tcW w:w="859" w:type="dxa"/>
            <w:tcBorders>
              <w:top w:val="nil"/>
              <w:left w:val="nil"/>
              <w:bottom w:val="nil"/>
              <w:right w:val="nil"/>
            </w:tcBorders>
          </w:tcPr>
          <w:p>
            <w:pPr>
              <w:pStyle w:val="TableParagraph"/>
              <w:spacing w:before="47"/>
              <w:ind w:left="197"/>
              <w:jc w:val="left"/>
              <w:rPr>
                <w:sz w:val="16"/>
              </w:rPr>
            </w:pPr>
            <w:r>
              <w:rPr>
                <w:sz w:val="24"/>
              </w:rPr>
              <w:t>634</w:t>
            </w:r>
            <w:r>
              <w:rPr>
                <w:position w:val="11"/>
                <w:sz w:val="16"/>
              </w:rPr>
              <w:t>a</w:t>
            </w:r>
          </w:p>
        </w:tc>
        <w:tc>
          <w:tcPr>
            <w:tcW w:w="736" w:type="dxa"/>
            <w:tcBorders>
              <w:top w:val="nil"/>
              <w:left w:val="nil"/>
              <w:bottom w:val="nil"/>
              <w:right w:val="nil"/>
            </w:tcBorders>
          </w:tcPr>
          <w:p>
            <w:pPr>
              <w:pStyle w:val="TableParagraph"/>
              <w:spacing w:before="82"/>
              <w:ind w:left="48" w:right="45"/>
              <w:rPr>
                <w:sz w:val="24"/>
              </w:rPr>
            </w:pPr>
            <w:r>
              <w:rPr>
                <w:sz w:val="24"/>
              </w:rPr>
              <w:t>10.7</w:t>
            </w:r>
          </w:p>
        </w:tc>
      </w:tr>
      <w:tr>
        <w:trPr>
          <w:trHeight w:val="420" w:hRule="exact"/>
        </w:trPr>
        <w:tc>
          <w:tcPr>
            <w:tcW w:w="1734" w:type="dxa"/>
            <w:tcBorders>
              <w:top w:val="nil"/>
              <w:left w:val="nil"/>
              <w:bottom w:val="nil"/>
              <w:right w:val="nil"/>
            </w:tcBorders>
          </w:tcPr>
          <w:p>
            <w:pPr>
              <w:pStyle w:val="TableParagraph"/>
              <w:spacing w:before="80"/>
              <w:ind w:left="72"/>
              <w:jc w:val="left"/>
              <w:rPr>
                <w:i/>
                <w:sz w:val="24"/>
              </w:rPr>
            </w:pPr>
            <w:r>
              <w:rPr>
                <w:i/>
                <w:sz w:val="24"/>
              </w:rPr>
              <w:t>T. erecta</w:t>
            </w:r>
          </w:p>
        </w:tc>
        <w:tc>
          <w:tcPr>
            <w:tcW w:w="777" w:type="dxa"/>
            <w:tcBorders>
              <w:top w:val="nil"/>
              <w:left w:val="nil"/>
              <w:bottom w:val="nil"/>
              <w:right w:val="nil"/>
            </w:tcBorders>
          </w:tcPr>
          <w:p>
            <w:pPr>
              <w:pStyle w:val="TableParagraph"/>
              <w:spacing w:before="80"/>
              <w:ind w:left="172"/>
              <w:jc w:val="left"/>
              <w:rPr>
                <w:sz w:val="24"/>
              </w:rPr>
            </w:pPr>
            <w:r>
              <w:rPr>
                <w:sz w:val="24"/>
              </w:rPr>
              <w:t>51.4</w:t>
            </w:r>
          </w:p>
        </w:tc>
        <w:tc>
          <w:tcPr>
            <w:tcW w:w="740" w:type="dxa"/>
            <w:tcBorders>
              <w:top w:val="nil"/>
              <w:left w:val="nil"/>
              <w:bottom w:val="nil"/>
              <w:right w:val="nil"/>
            </w:tcBorders>
          </w:tcPr>
          <w:p>
            <w:pPr>
              <w:pStyle w:val="TableParagraph"/>
              <w:spacing w:before="80"/>
              <w:ind w:right="134"/>
              <w:jc w:val="right"/>
              <w:rPr>
                <w:sz w:val="24"/>
              </w:rPr>
            </w:pPr>
            <w:r>
              <w:rPr>
                <w:sz w:val="24"/>
              </w:rPr>
              <w:t>0.15</w:t>
            </w:r>
          </w:p>
        </w:tc>
        <w:tc>
          <w:tcPr>
            <w:tcW w:w="830" w:type="dxa"/>
            <w:tcBorders>
              <w:top w:val="nil"/>
              <w:left w:val="nil"/>
              <w:bottom w:val="nil"/>
              <w:right w:val="nil"/>
            </w:tcBorders>
          </w:tcPr>
          <w:p>
            <w:pPr>
              <w:pStyle w:val="TableParagraph"/>
              <w:spacing w:before="45"/>
              <w:ind w:left="50" w:right="50"/>
              <w:rPr>
                <w:sz w:val="16"/>
              </w:rPr>
            </w:pPr>
            <w:r>
              <w:rPr>
                <w:sz w:val="24"/>
              </w:rPr>
              <w:t>497.4</w:t>
            </w:r>
            <w:r>
              <w:rPr>
                <w:position w:val="11"/>
                <w:sz w:val="16"/>
              </w:rPr>
              <w:t>a</w:t>
            </w:r>
          </w:p>
        </w:tc>
        <w:tc>
          <w:tcPr>
            <w:tcW w:w="743" w:type="dxa"/>
            <w:tcBorders>
              <w:top w:val="nil"/>
              <w:left w:val="nil"/>
              <w:bottom w:val="nil"/>
              <w:right w:val="nil"/>
            </w:tcBorders>
          </w:tcPr>
          <w:p>
            <w:pPr>
              <w:pStyle w:val="TableParagraph"/>
              <w:spacing w:before="80"/>
              <w:ind w:left="50" w:right="51"/>
              <w:rPr>
                <w:sz w:val="24"/>
              </w:rPr>
            </w:pPr>
            <w:r>
              <w:rPr>
                <w:sz w:val="24"/>
              </w:rPr>
              <w:t>0.03</w:t>
            </w:r>
          </w:p>
        </w:tc>
        <w:tc>
          <w:tcPr>
            <w:tcW w:w="814" w:type="dxa"/>
            <w:tcBorders>
              <w:top w:val="nil"/>
              <w:left w:val="nil"/>
              <w:bottom w:val="nil"/>
              <w:right w:val="nil"/>
            </w:tcBorders>
          </w:tcPr>
          <w:p>
            <w:pPr>
              <w:pStyle w:val="TableParagraph"/>
              <w:spacing w:before="80"/>
              <w:ind w:left="53" w:right="120"/>
              <w:rPr>
                <w:sz w:val="24"/>
              </w:rPr>
            </w:pPr>
            <w:r>
              <w:rPr>
                <w:sz w:val="24"/>
              </w:rPr>
              <w:t>8.1</w:t>
            </w:r>
          </w:p>
        </w:tc>
        <w:tc>
          <w:tcPr>
            <w:tcW w:w="840" w:type="dxa"/>
            <w:tcBorders>
              <w:top w:val="nil"/>
              <w:left w:val="nil"/>
              <w:bottom w:val="nil"/>
              <w:right w:val="nil"/>
            </w:tcBorders>
          </w:tcPr>
          <w:p>
            <w:pPr>
              <w:pStyle w:val="TableParagraph"/>
              <w:spacing w:before="80"/>
              <w:ind w:right="95"/>
              <w:jc w:val="right"/>
              <w:rPr>
                <w:sz w:val="24"/>
              </w:rPr>
            </w:pPr>
            <w:r>
              <w:rPr>
                <w:w w:val="95"/>
                <w:sz w:val="24"/>
              </w:rPr>
              <w:t>718.5</w:t>
            </w:r>
          </w:p>
        </w:tc>
        <w:tc>
          <w:tcPr>
            <w:tcW w:w="797" w:type="dxa"/>
            <w:tcBorders>
              <w:top w:val="nil"/>
              <w:left w:val="nil"/>
              <w:bottom w:val="nil"/>
              <w:right w:val="nil"/>
            </w:tcBorders>
          </w:tcPr>
          <w:p>
            <w:pPr>
              <w:pStyle w:val="TableParagraph"/>
              <w:spacing w:before="80"/>
              <w:ind w:right="95"/>
              <w:jc w:val="right"/>
              <w:rPr>
                <w:sz w:val="24"/>
              </w:rPr>
            </w:pPr>
            <w:r>
              <w:rPr>
                <w:w w:val="95"/>
                <w:sz w:val="24"/>
              </w:rPr>
              <w:t>668.8</w:t>
            </w:r>
          </w:p>
        </w:tc>
        <w:tc>
          <w:tcPr>
            <w:tcW w:w="859" w:type="dxa"/>
            <w:tcBorders>
              <w:top w:val="nil"/>
              <w:left w:val="nil"/>
              <w:bottom w:val="nil"/>
              <w:right w:val="nil"/>
            </w:tcBorders>
          </w:tcPr>
          <w:p>
            <w:pPr>
              <w:pStyle w:val="TableParagraph"/>
              <w:spacing w:before="45"/>
              <w:ind w:left="197"/>
              <w:jc w:val="left"/>
              <w:rPr>
                <w:sz w:val="16"/>
              </w:rPr>
            </w:pPr>
            <w:r>
              <w:rPr>
                <w:sz w:val="24"/>
              </w:rPr>
              <w:t>364</w:t>
            </w:r>
            <w:r>
              <w:rPr>
                <w:position w:val="11"/>
                <w:sz w:val="16"/>
              </w:rPr>
              <w:t>a</w:t>
            </w:r>
          </w:p>
        </w:tc>
        <w:tc>
          <w:tcPr>
            <w:tcW w:w="736" w:type="dxa"/>
            <w:tcBorders>
              <w:top w:val="nil"/>
              <w:left w:val="nil"/>
              <w:bottom w:val="nil"/>
              <w:right w:val="nil"/>
            </w:tcBorders>
          </w:tcPr>
          <w:p>
            <w:pPr>
              <w:pStyle w:val="TableParagraph"/>
              <w:spacing w:before="80"/>
              <w:ind w:left="48" w:right="45"/>
              <w:rPr>
                <w:sz w:val="24"/>
              </w:rPr>
            </w:pPr>
            <w:r>
              <w:rPr>
                <w:sz w:val="24"/>
              </w:rPr>
              <w:t>10.5</w:t>
            </w:r>
          </w:p>
        </w:tc>
      </w:tr>
      <w:tr>
        <w:trPr>
          <w:trHeight w:val="420" w:hRule="exact"/>
        </w:trPr>
        <w:tc>
          <w:tcPr>
            <w:tcW w:w="1734" w:type="dxa"/>
            <w:tcBorders>
              <w:top w:val="nil"/>
              <w:left w:val="nil"/>
              <w:bottom w:val="nil"/>
              <w:right w:val="nil"/>
            </w:tcBorders>
          </w:tcPr>
          <w:p>
            <w:pPr>
              <w:pStyle w:val="TableParagraph"/>
              <w:spacing w:before="83"/>
              <w:ind w:left="72"/>
              <w:jc w:val="left"/>
              <w:rPr>
                <w:i/>
                <w:sz w:val="24"/>
              </w:rPr>
            </w:pPr>
            <w:r>
              <w:rPr>
                <w:i/>
                <w:sz w:val="24"/>
              </w:rPr>
              <w:t>M. diplotricha</w:t>
            </w:r>
          </w:p>
        </w:tc>
        <w:tc>
          <w:tcPr>
            <w:tcW w:w="777" w:type="dxa"/>
            <w:tcBorders>
              <w:top w:val="nil"/>
              <w:left w:val="nil"/>
              <w:bottom w:val="nil"/>
              <w:right w:val="nil"/>
            </w:tcBorders>
          </w:tcPr>
          <w:p>
            <w:pPr>
              <w:pStyle w:val="TableParagraph"/>
              <w:spacing w:before="83"/>
              <w:ind w:left="172"/>
              <w:jc w:val="left"/>
              <w:rPr>
                <w:sz w:val="24"/>
              </w:rPr>
            </w:pPr>
            <w:r>
              <w:rPr>
                <w:sz w:val="24"/>
              </w:rPr>
              <w:t>83.9</w:t>
            </w:r>
          </w:p>
        </w:tc>
        <w:tc>
          <w:tcPr>
            <w:tcW w:w="740" w:type="dxa"/>
            <w:tcBorders>
              <w:top w:val="nil"/>
              <w:left w:val="nil"/>
              <w:bottom w:val="nil"/>
              <w:right w:val="nil"/>
            </w:tcBorders>
          </w:tcPr>
          <w:p>
            <w:pPr>
              <w:pStyle w:val="TableParagraph"/>
              <w:spacing w:before="83"/>
              <w:ind w:right="134"/>
              <w:jc w:val="right"/>
              <w:rPr>
                <w:sz w:val="24"/>
              </w:rPr>
            </w:pPr>
            <w:r>
              <w:rPr>
                <w:sz w:val="24"/>
              </w:rPr>
              <w:t>0.06</w:t>
            </w:r>
          </w:p>
        </w:tc>
        <w:tc>
          <w:tcPr>
            <w:tcW w:w="830" w:type="dxa"/>
            <w:tcBorders>
              <w:top w:val="nil"/>
              <w:left w:val="nil"/>
              <w:bottom w:val="nil"/>
              <w:right w:val="nil"/>
            </w:tcBorders>
          </w:tcPr>
          <w:p>
            <w:pPr>
              <w:pStyle w:val="TableParagraph"/>
              <w:spacing w:before="48"/>
              <w:ind w:left="50" w:right="50"/>
              <w:rPr>
                <w:sz w:val="16"/>
              </w:rPr>
            </w:pPr>
            <w:r>
              <w:rPr>
                <w:sz w:val="24"/>
              </w:rPr>
              <w:t>124.1</w:t>
            </w:r>
            <w:r>
              <w:rPr>
                <w:position w:val="11"/>
                <w:sz w:val="16"/>
              </w:rPr>
              <w:t>b</w:t>
            </w:r>
          </w:p>
        </w:tc>
        <w:tc>
          <w:tcPr>
            <w:tcW w:w="743" w:type="dxa"/>
            <w:tcBorders>
              <w:top w:val="nil"/>
              <w:left w:val="nil"/>
              <w:bottom w:val="nil"/>
              <w:right w:val="nil"/>
            </w:tcBorders>
          </w:tcPr>
          <w:p>
            <w:pPr>
              <w:pStyle w:val="TableParagraph"/>
              <w:spacing w:before="83"/>
              <w:ind w:left="50" w:right="51"/>
              <w:rPr>
                <w:sz w:val="24"/>
              </w:rPr>
            </w:pPr>
            <w:r>
              <w:rPr>
                <w:sz w:val="24"/>
              </w:rPr>
              <w:t>0.05</w:t>
            </w:r>
          </w:p>
        </w:tc>
        <w:tc>
          <w:tcPr>
            <w:tcW w:w="814" w:type="dxa"/>
            <w:tcBorders>
              <w:top w:val="nil"/>
              <w:left w:val="nil"/>
              <w:bottom w:val="nil"/>
              <w:right w:val="nil"/>
            </w:tcBorders>
          </w:tcPr>
          <w:p>
            <w:pPr>
              <w:pStyle w:val="TableParagraph"/>
              <w:spacing w:before="83"/>
              <w:ind w:left="53" w:right="120"/>
              <w:rPr>
                <w:sz w:val="24"/>
              </w:rPr>
            </w:pPr>
            <w:r>
              <w:rPr>
                <w:sz w:val="24"/>
              </w:rPr>
              <w:t>8.7</w:t>
            </w:r>
          </w:p>
        </w:tc>
        <w:tc>
          <w:tcPr>
            <w:tcW w:w="840" w:type="dxa"/>
            <w:tcBorders>
              <w:top w:val="nil"/>
              <w:left w:val="nil"/>
              <w:bottom w:val="nil"/>
              <w:right w:val="nil"/>
            </w:tcBorders>
          </w:tcPr>
          <w:p>
            <w:pPr>
              <w:pStyle w:val="TableParagraph"/>
              <w:spacing w:before="83"/>
              <w:ind w:right="95"/>
              <w:jc w:val="right"/>
              <w:rPr>
                <w:sz w:val="24"/>
              </w:rPr>
            </w:pPr>
            <w:r>
              <w:rPr>
                <w:w w:val="95"/>
                <w:sz w:val="24"/>
              </w:rPr>
              <w:t>588.7</w:t>
            </w:r>
          </w:p>
        </w:tc>
        <w:tc>
          <w:tcPr>
            <w:tcW w:w="797" w:type="dxa"/>
            <w:tcBorders>
              <w:top w:val="nil"/>
              <w:left w:val="nil"/>
              <w:bottom w:val="nil"/>
              <w:right w:val="nil"/>
            </w:tcBorders>
          </w:tcPr>
          <w:p>
            <w:pPr>
              <w:pStyle w:val="TableParagraph"/>
              <w:spacing w:before="83"/>
              <w:ind w:right="95"/>
              <w:jc w:val="right"/>
              <w:rPr>
                <w:sz w:val="24"/>
              </w:rPr>
            </w:pPr>
            <w:r>
              <w:rPr>
                <w:w w:val="95"/>
                <w:sz w:val="24"/>
              </w:rPr>
              <w:t>546.9</w:t>
            </w:r>
          </w:p>
        </w:tc>
        <w:tc>
          <w:tcPr>
            <w:tcW w:w="859" w:type="dxa"/>
            <w:tcBorders>
              <w:top w:val="nil"/>
              <w:left w:val="nil"/>
              <w:bottom w:val="nil"/>
              <w:right w:val="nil"/>
            </w:tcBorders>
          </w:tcPr>
          <w:p>
            <w:pPr>
              <w:pStyle w:val="TableParagraph"/>
              <w:spacing w:before="48"/>
              <w:ind w:right="133"/>
              <w:jc w:val="right"/>
              <w:rPr>
                <w:sz w:val="16"/>
              </w:rPr>
            </w:pPr>
            <w:r>
              <w:rPr>
                <w:sz w:val="24"/>
              </w:rPr>
              <w:t>36.8</w:t>
            </w:r>
            <w:r>
              <w:rPr>
                <w:position w:val="11"/>
                <w:sz w:val="16"/>
              </w:rPr>
              <w:t>b</w:t>
            </w:r>
          </w:p>
        </w:tc>
        <w:tc>
          <w:tcPr>
            <w:tcW w:w="736" w:type="dxa"/>
            <w:tcBorders>
              <w:top w:val="nil"/>
              <w:left w:val="nil"/>
              <w:bottom w:val="nil"/>
              <w:right w:val="nil"/>
            </w:tcBorders>
          </w:tcPr>
          <w:p>
            <w:pPr>
              <w:pStyle w:val="TableParagraph"/>
              <w:spacing w:before="83"/>
              <w:ind w:left="49" w:right="45"/>
              <w:rPr>
                <w:sz w:val="24"/>
              </w:rPr>
            </w:pPr>
            <w:r>
              <w:rPr>
                <w:sz w:val="24"/>
              </w:rPr>
              <w:t>8.6</w:t>
            </w:r>
          </w:p>
        </w:tc>
      </w:tr>
      <w:tr>
        <w:trPr>
          <w:trHeight w:val="442" w:hRule="exact"/>
        </w:trPr>
        <w:tc>
          <w:tcPr>
            <w:tcW w:w="1734" w:type="dxa"/>
            <w:tcBorders>
              <w:top w:val="nil"/>
              <w:left w:val="nil"/>
              <w:bottom w:val="nil"/>
              <w:right w:val="nil"/>
            </w:tcBorders>
          </w:tcPr>
          <w:p>
            <w:pPr>
              <w:pStyle w:val="TableParagraph"/>
              <w:spacing w:before="80"/>
              <w:ind w:left="72"/>
              <w:jc w:val="left"/>
              <w:rPr>
                <w:i/>
                <w:sz w:val="24"/>
              </w:rPr>
            </w:pPr>
            <w:r>
              <w:rPr>
                <w:i/>
                <w:sz w:val="24"/>
              </w:rPr>
              <w:t>M. divaricatum</w:t>
            </w:r>
          </w:p>
        </w:tc>
        <w:tc>
          <w:tcPr>
            <w:tcW w:w="777" w:type="dxa"/>
            <w:tcBorders>
              <w:top w:val="nil"/>
              <w:left w:val="nil"/>
              <w:bottom w:val="nil"/>
              <w:right w:val="nil"/>
            </w:tcBorders>
          </w:tcPr>
          <w:p>
            <w:pPr>
              <w:pStyle w:val="TableParagraph"/>
              <w:spacing w:before="80"/>
              <w:ind w:left="172"/>
              <w:jc w:val="left"/>
              <w:rPr>
                <w:sz w:val="24"/>
              </w:rPr>
            </w:pPr>
            <w:r>
              <w:rPr>
                <w:sz w:val="24"/>
              </w:rPr>
              <w:t>23.6</w:t>
            </w:r>
          </w:p>
        </w:tc>
        <w:tc>
          <w:tcPr>
            <w:tcW w:w="740" w:type="dxa"/>
            <w:tcBorders>
              <w:top w:val="nil"/>
              <w:left w:val="nil"/>
              <w:bottom w:val="nil"/>
              <w:right w:val="nil"/>
            </w:tcBorders>
          </w:tcPr>
          <w:p>
            <w:pPr>
              <w:pStyle w:val="TableParagraph"/>
              <w:spacing w:before="80"/>
              <w:ind w:right="134"/>
              <w:jc w:val="right"/>
              <w:rPr>
                <w:sz w:val="24"/>
              </w:rPr>
            </w:pPr>
            <w:r>
              <w:rPr>
                <w:sz w:val="24"/>
              </w:rPr>
              <w:t>0.15</w:t>
            </w:r>
          </w:p>
        </w:tc>
        <w:tc>
          <w:tcPr>
            <w:tcW w:w="830" w:type="dxa"/>
            <w:tcBorders>
              <w:top w:val="nil"/>
              <w:left w:val="nil"/>
              <w:bottom w:val="nil"/>
              <w:right w:val="nil"/>
            </w:tcBorders>
          </w:tcPr>
          <w:p>
            <w:pPr>
              <w:pStyle w:val="TableParagraph"/>
              <w:spacing w:before="45"/>
              <w:ind w:left="50" w:right="50"/>
              <w:rPr>
                <w:sz w:val="16"/>
              </w:rPr>
            </w:pPr>
            <w:r>
              <w:rPr>
                <w:sz w:val="24"/>
              </w:rPr>
              <w:t>566.5</w:t>
            </w:r>
            <w:r>
              <w:rPr>
                <w:position w:val="11"/>
                <w:sz w:val="16"/>
              </w:rPr>
              <w:t>a</w:t>
            </w:r>
          </w:p>
        </w:tc>
        <w:tc>
          <w:tcPr>
            <w:tcW w:w="743" w:type="dxa"/>
            <w:tcBorders>
              <w:top w:val="nil"/>
              <w:left w:val="nil"/>
              <w:bottom w:val="nil"/>
              <w:right w:val="nil"/>
            </w:tcBorders>
          </w:tcPr>
          <w:p>
            <w:pPr>
              <w:pStyle w:val="TableParagraph"/>
              <w:spacing w:before="80"/>
              <w:ind w:left="50" w:right="51"/>
              <w:rPr>
                <w:sz w:val="24"/>
              </w:rPr>
            </w:pPr>
            <w:r>
              <w:rPr>
                <w:sz w:val="24"/>
              </w:rPr>
              <w:t>0.02</w:t>
            </w:r>
          </w:p>
        </w:tc>
        <w:tc>
          <w:tcPr>
            <w:tcW w:w="814" w:type="dxa"/>
            <w:tcBorders>
              <w:top w:val="nil"/>
              <w:left w:val="nil"/>
              <w:bottom w:val="nil"/>
              <w:right w:val="nil"/>
            </w:tcBorders>
          </w:tcPr>
          <w:p>
            <w:pPr>
              <w:pStyle w:val="TableParagraph"/>
              <w:spacing w:before="80"/>
              <w:ind w:left="53" w:right="120"/>
              <w:rPr>
                <w:sz w:val="24"/>
              </w:rPr>
            </w:pPr>
            <w:r>
              <w:rPr>
                <w:sz w:val="24"/>
              </w:rPr>
              <w:t>5.4</w:t>
            </w:r>
          </w:p>
        </w:tc>
        <w:tc>
          <w:tcPr>
            <w:tcW w:w="840" w:type="dxa"/>
            <w:tcBorders>
              <w:top w:val="nil"/>
              <w:left w:val="nil"/>
              <w:bottom w:val="nil"/>
              <w:right w:val="nil"/>
            </w:tcBorders>
          </w:tcPr>
          <w:p>
            <w:pPr>
              <w:pStyle w:val="TableParagraph"/>
              <w:spacing w:before="80"/>
              <w:ind w:right="95"/>
              <w:jc w:val="right"/>
              <w:rPr>
                <w:sz w:val="24"/>
              </w:rPr>
            </w:pPr>
            <w:r>
              <w:rPr>
                <w:w w:val="95"/>
                <w:sz w:val="24"/>
              </w:rPr>
              <w:t>702.7</w:t>
            </w:r>
          </w:p>
        </w:tc>
        <w:tc>
          <w:tcPr>
            <w:tcW w:w="797" w:type="dxa"/>
            <w:tcBorders>
              <w:top w:val="nil"/>
              <w:left w:val="nil"/>
              <w:bottom w:val="nil"/>
              <w:right w:val="nil"/>
            </w:tcBorders>
          </w:tcPr>
          <w:p>
            <w:pPr>
              <w:pStyle w:val="TableParagraph"/>
              <w:spacing w:before="80"/>
              <w:ind w:right="95"/>
              <w:jc w:val="right"/>
              <w:rPr>
                <w:sz w:val="24"/>
              </w:rPr>
            </w:pPr>
            <w:r>
              <w:rPr>
                <w:w w:val="95"/>
                <w:sz w:val="24"/>
              </w:rPr>
              <w:t>657.8</w:t>
            </w:r>
          </w:p>
        </w:tc>
        <w:tc>
          <w:tcPr>
            <w:tcW w:w="859" w:type="dxa"/>
            <w:tcBorders>
              <w:top w:val="nil"/>
              <w:left w:val="nil"/>
              <w:bottom w:val="nil"/>
              <w:right w:val="nil"/>
            </w:tcBorders>
          </w:tcPr>
          <w:p>
            <w:pPr>
              <w:pStyle w:val="TableParagraph"/>
              <w:spacing w:before="45"/>
              <w:ind w:right="66"/>
              <w:jc w:val="right"/>
              <w:rPr>
                <w:sz w:val="16"/>
              </w:rPr>
            </w:pPr>
            <w:r>
              <w:rPr>
                <w:sz w:val="24"/>
              </w:rPr>
              <w:t>572.1</w:t>
            </w:r>
            <w:r>
              <w:rPr>
                <w:position w:val="11"/>
                <w:sz w:val="16"/>
              </w:rPr>
              <w:t>a</w:t>
            </w:r>
          </w:p>
        </w:tc>
        <w:tc>
          <w:tcPr>
            <w:tcW w:w="736" w:type="dxa"/>
            <w:tcBorders>
              <w:top w:val="nil"/>
              <w:left w:val="nil"/>
              <w:bottom w:val="nil"/>
              <w:right w:val="nil"/>
            </w:tcBorders>
          </w:tcPr>
          <w:p>
            <w:pPr>
              <w:pStyle w:val="TableParagraph"/>
              <w:spacing w:before="80"/>
              <w:ind w:left="48" w:right="45"/>
              <w:rPr>
                <w:sz w:val="24"/>
              </w:rPr>
            </w:pPr>
            <w:r>
              <w:rPr>
                <w:sz w:val="24"/>
              </w:rPr>
              <w:t>10.3</w:t>
            </w:r>
          </w:p>
        </w:tc>
      </w:tr>
      <w:tr>
        <w:trPr>
          <w:trHeight w:val="420" w:hRule="exact"/>
        </w:trPr>
        <w:tc>
          <w:tcPr>
            <w:tcW w:w="1734" w:type="dxa"/>
            <w:tcBorders>
              <w:top w:val="nil"/>
              <w:left w:val="nil"/>
              <w:bottom w:val="nil"/>
              <w:right w:val="nil"/>
            </w:tcBorders>
          </w:tcPr>
          <w:p>
            <w:pPr>
              <w:pStyle w:val="TableParagraph"/>
              <w:spacing w:before="60"/>
              <w:ind w:left="72"/>
              <w:jc w:val="left"/>
              <w:rPr>
                <w:sz w:val="24"/>
              </w:rPr>
            </w:pPr>
            <w:r>
              <w:rPr>
                <w:w w:val="100"/>
                <w:sz w:val="24"/>
              </w:rPr>
              <w:t>P</w:t>
            </w:r>
          </w:p>
        </w:tc>
        <w:tc>
          <w:tcPr>
            <w:tcW w:w="777" w:type="dxa"/>
            <w:tcBorders>
              <w:top w:val="nil"/>
              <w:left w:val="nil"/>
              <w:bottom w:val="nil"/>
              <w:right w:val="nil"/>
            </w:tcBorders>
          </w:tcPr>
          <w:p>
            <w:pPr>
              <w:pStyle w:val="TableParagraph"/>
              <w:spacing w:before="60"/>
              <w:ind w:left="105"/>
              <w:jc w:val="left"/>
              <w:rPr>
                <w:sz w:val="24"/>
              </w:rPr>
            </w:pPr>
            <w:r>
              <w:rPr>
                <w:sz w:val="24"/>
              </w:rPr>
              <w:t>0.605</w:t>
            </w:r>
          </w:p>
        </w:tc>
        <w:tc>
          <w:tcPr>
            <w:tcW w:w="740" w:type="dxa"/>
            <w:tcBorders>
              <w:top w:val="nil"/>
              <w:left w:val="nil"/>
              <w:bottom w:val="nil"/>
              <w:right w:val="nil"/>
            </w:tcBorders>
          </w:tcPr>
          <w:p>
            <w:pPr>
              <w:pStyle w:val="TableParagraph"/>
              <w:spacing w:before="60"/>
              <w:ind w:right="66"/>
              <w:jc w:val="right"/>
              <w:rPr>
                <w:sz w:val="24"/>
              </w:rPr>
            </w:pPr>
            <w:r>
              <w:rPr>
                <w:sz w:val="24"/>
              </w:rPr>
              <w:t>0.493</w:t>
            </w:r>
          </w:p>
        </w:tc>
        <w:tc>
          <w:tcPr>
            <w:tcW w:w="830" w:type="dxa"/>
            <w:tcBorders>
              <w:top w:val="nil"/>
              <w:left w:val="nil"/>
              <w:bottom w:val="nil"/>
              <w:right w:val="nil"/>
            </w:tcBorders>
          </w:tcPr>
          <w:p>
            <w:pPr>
              <w:pStyle w:val="TableParagraph"/>
              <w:spacing w:before="60"/>
              <w:ind w:left="48" w:right="50"/>
              <w:rPr>
                <w:sz w:val="24"/>
              </w:rPr>
            </w:pPr>
            <w:r>
              <w:rPr>
                <w:sz w:val="24"/>
              </w:rPr>
              <w:t>0.001</w:t>
            </w:r>
          </w:p>
        </w:tc>
        <w:tc>
          <w:tcPr>
            <w:tcW w:w="743" w:type="dxa"/>
            <w:tcBorders>
              <w:top w:val="nil"/>
              <w:left w:val="nil"/>
              <w:bottom w:val="nil"/>
              <w:right w:val="nil"/>
            </w:tcBorders>
          </w:tcPr>
          <w:p>
            <w:pPr>
              <w:pStyle w:val="TableParagraph"/>
              <w:spacing w:before="60"/>
              <w:ind w:left="50" w:right="51"/>
              <w:rPr>
                <w:sz w:val="24"/>
              </w:rPr>
            </w:pPr>
            <w:r>
              <w:rPr>
                <w:sz w:val="24"/>
              </w:rPr>
              <w:t>0.465</w:t>
            </w:r>
          </w:p>
        </w:tc>
        <w:tc>
          <w:tcPr>
            <w:tcW w:w="814" w:type="dxa"/>
            <w:tcBorders>
              <w:top w:val="nil"/>
              <w:left w:val="nil"/>
              <w:bottom w:val="nil"/>
              <w:right w:val="nil"/>
            </w:tcBorders>
          </w:tcPr>
          <w:p>
            <w:pPr>
              <w:pStyle w:val="TableParagraph"/>
              <w:spacing w:before="60"/>
              <w:ind w:left="53" w:right="120"/>
              <w:rPr>
                <w:sz w:val="24"/>
              </w:rPr>
            </w:pPr>
            <w:r>
              <w:rPr>
                <w:sz w:val="24"/>
              </w:rPr>
              <w:t>0.061</w:t>
            </w:r>
          </w:p>
        </w:tc>
        <w:tc>
          <w:tcPr>
            <w:tcW w:w="840" w:type="dxa"/>
            <w:tcBorders>
              <w:top w:val="nil"/>
              <w:left w:val="nil"/>
              <w:bottom w:val="nil"/>
              <w:right w:val="nil"/>
            </w:tcBorders>
          </w:tcPr>
          <w:p>
            <w:pPr>
              <w:pStyle w:val="TableParagraph"/>
              <w:spacing w:before="60"/>
              <w:ind w:right="95"/>
              <w:jc w:val="right"/>
              <w:rPr>
                <w:sz w:val="24"/>
              </w:rPr>
            </w:pPr>
            <w:r>
              <w:rPr>
                <w:sz w:val="24"/>
              </w:rPr>
              <w:t>0.106</w:t>
            </w:r>
          </w:p>
        </w:tc>
        <w:tc>
          <w:tcPr>
            <w:tcW w:w="797" w:type="dxa"/>
            <w:tcBorders>
              <w:top w:val="nil"/>
              <w:left w:val="nil"/>
              <w:bottom w:val="nil"/>
              <w:right w:val="nil"/>
            </w:tcBorders>
          </w:tcPr>
          <w:p>
            <w:pPr>
              <w:pStyle w:val="TableParagraph"/>
              <w:spacing w:before="60"/>
              <w:ind w:right="95"/>
              <w:jc w:val="right"/>
              <w:rPr>
                <w:sz w:val="24"/>
              </w:rPr>
            </w:pPr>
            <w:r>
              <w:rPr>
                <w:sz w:val="24"/>
              </w:rPr>
              <w:t>0.153</w:t>
            </w:r>
          </w:p>
        </w:tc>
        <w:tc>
          <w:tcPr>
            <w:tcW w:w="859" w:type="dxa"/>
            <w:tcBorders>
              <w:top w:val="nil"/>
              <w:left w:val="nil"/>
              <w:bottom w:val="nil"/>
              <w:right w:val="nil"/>
            </w:tcBorders>
          </w:tcPr>
          <w:p>
            <w:pPr>
              <w:pStyle w:val="TableParagraph"/>
              <w:spacing w:before="60"/>
              <w:ind w:right="113"/>
              <w:jc w:val="right"/>
              <w:rPr>
                <w:sz w:val="24"/>
              </w:rPr>
            </w:pPr>
            <w:r>
              <w:rPr>
                <w:sz w:val="24"/>
              </w:rPr>
              <w:t>0.001</w:t>
            </w:r>
          </w:p>
        </w:tc>
        <w:tc>
          <w:tcPr>
            <w:tcW w:w="736" w:type="dxa"/>
            <w:tcBorders>
              <w:top w:val="nil"/>
              <w:left w:val="nil"/>
              <w:bottom w:val="nil"/>
              <w:right w:val="nil"/>
            </w:tcBorders>
          </w:tcPr>
          <w:p>
            <w:pPr>
              <w:pStyle w:val="TableParagraph"/>
              <w:spacing w:before="60"/>
              <w:ind w:left="49" w:right="45"/>
              <w:rPr>
                <w:sz w:val="24"/>
              </w:rPr>
            </w:pPr>
            <w:r>
              <w:rPr>
                <w:sz w:val="24"/>
              </w:rPr>
              <w:t>0.153</w:t>
            </w:r>
          </w:p>
        </w:tc>
      </w:tr>
      <w:tr>
        <w:trPr>
          <w:trHeight w:val="781" w:hRule="exact"/>
        </w:trPr>
        <w:tc>
          <w:tcPr>
            <w:tcW w:w="1734" w:type="dxa"/>
            <w:tcBorders>
              <w:top w:val="nil"/>
              <w:left w:val="nil"/>
              <w:right w:val="nil"/>
            </w:tcBorders>
          </w:tcPr>
          <w:p>
            <w:pPr>
              <w:pStyle w:val="TableParagraph"/>
              <w:spacing w:before="58"/>
              <w:ind w:left="72"/>
              <w:jc w:val="left"/>
              <w:rPr>
                <w:sz w:val="24"/>
              </w:rPr>
            </w:pPr>
            <w:r>
              <w:rPr>
                <w:sz w:val="24"/>
              </w:rPr>
              <w:t>SEM</w:t>
            </w:r>
          </w:p>
        </w:tc>
        <w:tc>
          <w:tcPr>
            <w:tcW w:w="777" w:type="dxa"/>
            <w:tcBorders>
              <w:top w:val="nil"/>
              <w:left w:val="nil"/>
              <w:right w:val="nil"/>
            </w:tcBorders>
          </w:tcPr>
          <w:p>
            <w:pPr>
              <w:pStyle w:val="TableParagraph"/>
              <w:spacing w:before="58"/>
              <w:ind w:left="172"/>
              <w:jc w:val="left"/>
              <w:rPr>
                <w:sz w:val="24"/>
              </w:rPr>
            </w:pPr>
            <w:r>
              <w:rPr>
                <w:sz w:val="24"/>
              </w:rPr>
              <w:t>23.1</w:t>
            </w:r>
          </w:p>
        </w:tc>
        <w:tc>
          <w:tcPr>
            <w:tcW w:w="740" w:type="dxa"/>
            <w:tcBorders>
              <w:top w:val="nil"/>
              <w:left w:val="nil"/>
              <w:right w:val="nil"/>
            </w:tcBorders>
          </w:tcPr>
          <w:p>
            <w:pPr>
              <w:pStyle w:val="TableParagraph"/>
              <w:spacing w:before="58"/>
              <w:ind w:right="134"/>
              <w:jc w:val="right"/>
              <w:rPr>
                <w:sz w:val="24"/>
              </w:rPr>
            </w:pPr>
            <w:r>
              <w:rPr>
                <w:sz w:val="24"/>
              </w:rPr>
              <w:t>0.06</w:t>
            </w:r>
          </w:p>
        </w:tc>
        <w:tc>
          <w:tcPr>
            <w:tcW w:w="830" w:type="dxa"/>
            <w:tcBorders>
              <w:top w:val="nil"/>
              <w:left w:val="nil"/>
              <w:right w:val="nil"/>
            </w:tcBorders>
          </w:tcPr>
          <w:p>
            <w:pPr>
              <w:pStyle w:val="TableParagraph"/>
              <w:spacing w:before="58"/>
              <w:ind w:left="50" w:right="50"/>
              <w:rPr>
                <w:sz w:val="24"/>
              </w:rPr>
            </w:pPr>
            <w:r>
              <w:rPr>
                <w:sz w:val="24"/>
              </w:rPr>
              <w:t>38</w:t>
            </w:r>
          </w:p>
        </w:tc>
        <w:tc>
          <w:tcPr>
            <w:tcW w:w="743" w:type="dxa"/>
            <w:tcBorders>
              <w:top w:val="nil"/>
              <w:left w:val="nil"/>
              <w:right w:val="nil"/>
            </w:tcBorders>
          </w:tcPr>
          <w:p>
            <w:pPr>
              <w:pStyle w:val="TableParagraph"/>
              <w:spacing w:before="58"/>
              <w:ind w:left="50" w:right="51"/>
              <w:rPr>
                <w:sz w:val="24"/>
              </w:rPr>
            </w:pPr>
            <w:r>
              <w:rPr>
                <w:sz w:val="24"/>
              </w:rPr>
              <w:t>0.009</w:t>
            </w:r>
          </w:p>
        </w:tc>
        <w:tc>
          <w:tcPr>
            <w:tcW w:w="814" w:type="dxa"/>
            <w:tcBorders>
              <w:top w:val="nil"/>
              <w:left w:val="nil"/>
              <w:right w:val="nil"/>
            </w:tcBorders>
          </w:tcPr>
          <w:p>
            <w:pPr>
              <w:pStyle w:val="TableParagraph"/>
              <w:spacing w:before="58"/>
              <w:ind w:left="53" w:right="120"/>
              <w:rPr>
                <w:sz w:val="24"/>
              </w:rPr>
            </w:pPr>
            <w:r>
              <w:rPr>
                <w:sz w:val="24"/>
              </w:rPr>
              <w:t>0.56</w:t>
            </w:r>
          </w:p>
        </w:tc>
        <w:tc>
          <w:tcPr>
            <w:tcW w:w="840" w:type="dxa"/>
            <w:tcBorders>
              <w:top w:val="nil"/>
              <w:left w:val="nil"/>
              <w:right w:val="nil"/>
            </w:tcBorders>
          </w:tcPr>
          <w:p>
            <w:pPr>
              <w:pStyle w:val="TableParagraph"/>
              <w:spacing w:before="58"/>
              <w:ind w:right="95"/>
              <w:jc w:val="right"/>
              <w:rPr>
                <w:sz w:val="24"/>
              </w:rPr>
            </w:pPr>
            <w:r>
              <w:rPr>
                <w:sz w:val="24"/>
              </w:rPr>
              <w:t>30.11</w:t>
            </w:r>
          </w:p>
        </w:tc>
        <w:tc>
          <w:tcPr>
            <w:tcW w:w="797" w:type="dxa"/>
            <w:tcBorders>
              <w:top w:val="nil"/>
              <w:left w:val="nil"/>
              <w:right w:val="nil"/>
            </w:tcBorders>
          </w:tcPr>
          <w:p>
            <w:pPr>
              <w:pStyle w:val="TableParagraph"/>
              <w:spacing w:before="58"/>
              <w:ind w:right="162"/>
              <w:jc w:val="right"/>
              <w:rPr>
                <w:sz w:val="24"/>
              </w:rPr>
            </w:pPr>
            <w:r>
              <w:rPr>
                <w:sz w:val="24"/>
              </w:rPr>
              <w:t>29.1</w:t>
            </w:r>
          </w:p>
        </w:tc>
        <w:tc>
          <w:tcPr>
            <w:tcW w:w="859" w:type="dxa"/>
            <w:tcBorders>
              <w:top w:val="nil"/>
              <w:left w:val="nil"/>
              <w:right w:val="nil"/>
            </w:tcBorders>
          </w:tcPr>
          <w:p>
            <w:pPr>
              <w:pStyle w:val="TableParagraph"/>
              <w:spacing w:before="58"/>
              <w:ind w:left="207"/>
              <w:jc w:val="left"/>
              <w:rPr>
                <w:sz w:val="24"/>
              </w:rPr>
            </w:pPr>
            <w:r>
              <w:rPr>
                <w:sz w:val="24"/>
              </w:rPr>
              <w:t>46.4</w:t>
            </w:r>
          </w:p>
        </w:tc>
        <w:tc>
          <w:tcPr>
            <w:tcW w:w="736" w:type="dxa"/>
            <w:tcBorders>
              <w:top w:val="nil"/>
              <w:left w:val="nil"/>
              <w:right w:val="nil"/>
            </w:tcBorders>
          </w:tcPr>
          <w:p>
            <w:pPr>
              <w:pStyle w:val="TableParagraph"/>
              <w:spacing w:before="58"/>
              <w:ind w:left="49" w:right="45"/>
              <w:rPr>
                <w:sz w:val="24"/>
              </w:rPr>
            </w:pPr>
            <w:r>
              <w:rPr>
                <w:sz w:val="24"/>
              </w:rPr>
              <w:t>0.5</w:t>
            </w:r>
          </w:p>
        </w:tc>
      </w:tr>
      <w:tr>
        <w:trPr>
          <w:trHeight w:val="1050" w:hRule="exact"/>
        </w:trPr>
        <w:tc>
          <w:tcPr>
            <w:tcW w:w="8869" w:type="dxa"/>
            <w:gridSpan w:val="10"/>
            <w:tcBorders>
              <w:left w:val="nil"/>
              <w:bottom w:val="nil"/>
              <w:right w:val="nil"/>
            </w:tcBorders>
          </w:tcPr>
          <w:p>
            <w:pPr>
              <w:pStyle w:val="TableParagraph"/>
              <w:ind w:left="72" w:right="67"/>
              <w:jc w:val="both"/>
              <w:rPr>
                <w:sz w:val="18"/>
              </w:rPr>
            </w:pPr>
            <w:r>
              <w:rPr>
                <w:sz w:val="18"/>
              </w:rPr>
              <w:t>a: Fermentation rate at 4 hours </w:t>
            </w:r>
            <w:r>
              <w:rPr>
                <w:spacing w:val="-3"/>
                <w:sz w:val="18"/>
              </w:rPr>
              <w:t>of </w:t>
            </w:r>
            <w:r>
              <w:rPr>
                <w:sz w:val="18"/>
              </w:rPr>
              <w:t>fermentation; ca: Fermentation rate in fraction a; </w:t>
            </w:r>
            <w:r>
              <w:rPr>
                <w:spacing w:val="-3"/>
                <w:sz w:val="18"/>
              </w:rPr>
              <w:t>b: </w:t>
            </w:r>
            <w:r>
              <w:rPr>
                <w:sz w:val="18"/>
              </w:rPr>
              <w:t>potential </w:t>
            </w:r>
            <w:r>
              <w:rPr>
                <w:spacing w:val="-3"/>
                <w:sz w:val="18"/>
              </w:rPr>
              <w:t>gas </w:t>
            </w:r>
            <w:r>
              <w:rPr>
                <w:sz w:val="18"/>
              </w:rPr>
              <w:t>production; cb: Fermentation rate in fraction </w:t>
            </w:r>
            <w:r>
              <w:rPr>
                <w:spacing w:val="-3"/>
                <w:sz w:val="18"/>
              </w:rPr>
              <w:t>b; </w:t>
            </w:r>
            <w:r>
              <w:rPr>
                <w:sz w:val="18"/>
              </w:rPr>
              <w:t>lag: Phase prior to initiating fermentation </w:t>
            </w:r>
            <w:r>
              <w:rPr>
                <w:spacing w:val="-3"/>
                <w:sz w:val="18"/>
              </w:rPr>
              <w:t>of </w:t>
            </w:r>
            <w:r>
              <w:rPr>
                <w:sz w:val="18"/>
              </w:rPr>
              <w:t>the NDF; dDM: digestibility of dry matter; </w:t>
            </w:r>
            <w:r>
              <w:rPr>
                <w:spacing w:val="-3"/>
                <w:sz w:val="18"/>
              </w:rPr>
              <w:t>dOM: </w:t>
            </w:r>
            <w:r>
              <w:rPr>
                <w:sz w:val="18"/>
              </w:rPr>
              <w:t>digestibility </w:t>
            </w:r>
            <w:r>
              <w:rPr>
                <w:spacing w:val="-3"/>
                <w:sz w:val="18"/>
              </w:rPr>
              <w:t>of </w:t>
            </w:r>
            <w:r>
              <w:rPr>
                <w:sz w:val="18"/>
              </w:rPr>
              <w:t>organic matter; dNDF: digestibility of neutral </w:t>
            </w:r>
            <w:r>
              <w:rPr>
                <w:spacing w:val="-3"/>
                <w:sz w:val="18"/>
              </w:rPr>
              <w:t>detergent </w:t>
            </w:r>
            <w:r>
              <w:rPr>
                <w:sz w:val="18"/>
              </w:rPr>
              <w:t>fiber;  </w:t>
            </w:r>
            <w:r>
              <w:rPr>
                <w:spacing w:val="-2"/>
                <w:sz w:val="18"/>
              </w:rPr>
              <w:t>ME:</w:t>
            </w:r>
            <w:r>
              <w:rPr>
                <w:spacing w:val="27"/>
                <w:sz w:val="18"/>
              </w:rPr>
              <w:t> </w:t>
            </w:r>
            <w:r>
              <w:rPr>
                <w:sz w:val="18"/>
              </w:rPr>
              <w:t>metabolizable</w:t>
            </w:r>
            <w:r>
              <w:rPr>
                <w:spacing w:val="25"/>
                <w:sz w:val="18"/>
              </w:rPr>
              <w:t> </w:t>
            </w:r>
            <w:r>
              <w:rPr>
                <w:sz w:val="18"/>
              </w:rPr>
              <w:t>energy;</w:t>
            </w:r>
            <w:r>
              <w:rPr>
                <w:spacing w:val="32"/>
                <w:sz w:val="18"/>
              </w:rPr>
              <w:t> </w:t>
            </w:r>
            <w:r>
              <w:rPr>
                <w:sz w:val="18"/>
              </w:rPr>
              <w:t>ab:</w:t>
            </w:r>
            <w:r>
              <w:rPr>
                <w:spacing w:val="32"/>
                <w:sz w:val="18"/>
              </w:rPr>
              <w:t> </w:t>
            </w:r>
            <w:r>
              <w:rPr>
                <w:spacing w:val="-3"/>
                <w:sz w:val="18"/>
              </w:rPr>
              <w:t>differences</w:t>
            </w:r>
            <w:r>
              <w:rPr>
                <w:spacing w:val="30"/>
                <w:sz w:val="18"/>
              </w:rPr>
              <w:t> </w:t>
            </w:r>
            <w:r>
              <w:rPr>
                <w:sz w:val="18"/>
              </w:rPr>
              <w:t>in</w:t>
            </w:r>
            <w:r>
              <w:rPr>
                <w:spacing w:val="30"/>
                <w:sz w:val="18"/>
              </w:rPr>
              <w:t> </w:t>
            </w:r>
            <w:r>
              <w:rPr>
                <w:sz w:val="18"/>
              </w:rPr>
              <w:t>the</w:t>
            </w:r>
            <w:r>
              <w:rPr>
                <w:spacing w:val="25"/>
                <w:sz w:val="18"/>
              </w:rPr>
              <w:t> </w:t>
            </w:r>
            <w:r>
              <w:rPr>
                <w:sz w:val="18"/>
              </w:rPr>
              <w:t>letters</w:t>
            </w:r>
            <w:r>
              <w:rPr>
                <w:spacing w:val="30"/>
                <w:sz w:val="18"/>
              </w:rPr>
              <w:t> </w:t>
            </w:r>
            <w:r>
              <w:rPr>
                <w:sz w:val="18"/>
              </w:rPr>
              <w:t>in</w:t>
            </w:r>
            <w:r>
              <w:rPr>
                <w:spacing w:val="30"/>
                <w:sz w:val="18"/>
              </w:rPr>
              <w:t> </w:t>
            </w:r>
            <w:r>
              <w:rPr>
                <w:sz w:val="18"/>
              </w:rPr>
              <w:t>each</w:t>
            </w:r>
            <w:r>
              <w:rPr>
                <w:spacing w:val="30"/>
                <w:sz w:val="18"/>
              </w:rPr>
              <w:t> </w:t>
            </w:r>
            <w:r>
              <w:rPr>
                <w:sz w:val="18"/>
              </w:rPr>
              <w:t>column</w:t>
            </w:r>
            <w:r>
              <w:rPr>
                <w:spacing w:val="30"/>
                <w:sz w:val="18"/>
              </w:rPr>
              <w:t> </w:t>
            </w:r>
            <w:r>
              <w:rPr>
                <w:sz w:val="18"/>
              </w:rPr>
              <w:t>indicate</w:t>
            </w:r>
            <w:r>
              <w:rPr>
                <w:spacing w:val="25"/>
                <w:sz w:val="18"/>
              </w:rPr>
              <w:t> </w:t>
            </w:r>
            <w:r>
              <w:rPr>
                <w:sz w:val="18"/>
              </w:rPr>
              <w:t>significant</w:t>
            </w:r>
            <w:r>
              <w:rPr>
                <w:spacing w:val="32"/>
                <w:sz w:val="18"/>
              </w:rPr>
              <w:t> </w:t>
            </w:r>
            <w:r>
              <w:rPr>
                <w:spacing w:val="-3"/>
                <w:sz w:val="18"/>
              </w:rPr>
              <w:t>differences</w:t>
            </w:r>
            <w:r>
              <w:rPr>
                <w:spacing w:val="30"/>
                <w:sz w:val="18"/>
              </w:rPr>
              <w:t> </w:t>
            </w:r>
            <w:r>
              <w:rPr>
                <w:sz w:val="18"/>
              </w:rPr>
              <w:t>(P</w:t>
            </w:r>
          </w:p>
          <w:p>
            <w:pPr>
              <w:pStyle w:val="TableParagraph"/>
              <w:spacing w:line="206" w:lineRule="exact"/>
              <w:ind w:left="72"/>
              <w:jc w:val="both"/>
              <w:rPr>
                <w:sz w:val="18"/>
              </w:rPr>
            </w:pPr>
            <w:r>
              <w:rPr>
                <w:sz w:val="18"/>
              </w:rPr>
              <w:t>&lt;0.05). SEM: Standard error of the mean.</w:t>
            </w:r>
          </w:p>
        </w:tc>
      </w:tr>
    </w:tbl>
    <w:p>
      <w:pPr>
        <w:spacing w:after="0" w:line="206" w:lineRule="exact"/>
        <w:jc w:val="both"/>
        <w:rPr>
          <w:sz w:val="18"/>
        </w:rPr>
        <w:sectPr>
          <w:pgSz w:w="12240" w:h="15840"/>
          <w:pgMar w:header="0" w:footer="1478" w:top="1360" w:bottom="1660" w:left="1580" w:right="1580"/>
        </w:sectPr>
      </w:pPr>
    </w:p>
    <w:p>
      <w:pPr>
        <w:pStyle w:val="BodyText"/>
        <w:spacing w:line="480" w:lineRule="auto" w:before="52"/>
        <w:ind w:left="999" w:right="509"/>
      </w:pPr>
      <w:r>
        <w:rPr/>
        <w:t>Table 7: Correlations between the ruminal fermentation parameters at the three inclusion levels, digestibilities, ME and secondary metabolites.</w:t>
      </w:r>
    </w:p>
    <w:p>
      <w:pPr>
        <w:pStyle w:val="BodyText"/>
        <w:spacing w:before="7"/>
        <w:rPr>
          <w:sz w:val="18"/>
        </w:rPr>
      </w:pPr>
    </w:p>
    <w:tbl>
      <w:tblPr>
        <w:tblW w:w="0" w:type="auto"/>
        <w:jc w:val="left"/>
        <w:tblInd w:w="102"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003"/>
        <w:gridCol w:w="729"/>
        <w:gridCol w:w="711"/>
        <w:gridCol w:w="711"/>
        <w:gridCol w:w="744"/>
        <w:gridCol w:w="790"/>
        <w:gridCol w:w="711"/>
        <w:gridCol w:w="739"/>
        <w:gridCol w:w="780"/>
        <w:gridCol w:w="696"/>
        <w:gridCol w:w="807"/>
        <w:gridCol w:w="739"/>
        <w:gridCol w:w="766"/>
        <w:gridCol w:w="709"/>
      </w:tblGrid>
      <w:tr>
        <w:trPr>
          <w:trHeight w:val="451" w:hRule="exact"/>
        </w:trPr>
        <w:tc>
          <w:tcPr>
            <w:tcW w:w="1003" w:type="dxa"/>
            <w:tcBorders>
              <w:left w:val="nil"/>
              <w:right w:val="nil"/>
            </w:tcBorders>
          </w:tcPr>
          <w:p>
            <w:pPr/>
          </w:p>
        </w:tc>
        <w:tc>
          <w:tcPr>
            <w:tcW w:w="729" w:type="dxa"/>
            <w:tcBorders>
              <w:left w:val="nil"/>
              <w:right w:val="nil"/>
            </w:tcBorders>
          </w:tcPr>
          <w:p>
            <w:pPr>
              <w:pStyle w:val="TableParagraph"/>
              <w:spacing w:before="125"/>
              <w:ind w:left="235"/>
              <w:jc w:val="left"/>
              <w:rPr>
                <w:i/>
                <w:sz w:val="24"/>
              </w:rPr>
            </w:pPr>
            <w:r>
              <w:rPr>
                <w:i/>
                <w:w w:val="99"/>
                <w:sz w:val="24"/>
              </w:rPr>
              <w:t>a</w:t>
            </w:r>
          </w:p>
        </w:tc>
        <w:tc>
          <w:tcPr>
            <w:tcW w:w="711" w:type="dxa"/>
            <w:tcBorders>
              <w:left w:val="nil"/>
              <w:right w:val="nil"/>
            </w:tcBorders>
          </w:tcPr>
          <w:p>
            <w:pPr>
              <w:pStyle w:val="TableParagraph"/>
              <w:spacing w:before="125"/>
              <w:ind w:left="211"/>
              <w:jc w:val="left"/>
              <w:rPr>
                <w:i/>
                <w:sz w:val="24"/>
              </w:rPr>
            </w:pPr>
            <w:r>
              <w:rPr>
                <w:i/>
                <w:sz w:val="24"/>
              </w:rPr>
              <w:t>ca</w:t>
            </w:r>
          </w:p>
        </w:tc>
        <w:tc>
          <w:tcPr>
            <w:tcW w:w="711" w:type="dxa"/>
            <w:tcBorders>
              <w:left w:val="nil"/>
              <w:right w:val="nil"/>
            </w:tcBorders>
          </w:tcPr>
          <w:p>
            <w:pPr>
              <w:pStyle w:val="TableParagraph"/>
              <w:spacing w:before="125"/>
              <w:ind w:right="26"/>
              <w:rPr>
                <w:i/>
                <w:sz w:val="24"/>
              </w:rPr>
            </w:pPr>
            <w:r>
              <w:rPr>
                <w:i/>
                <w:w w:val="99"/>
                <w:sz w:val="24"/>
              </w:rPr>
              <w:t>b</w:t>
            </w:r>
          </w:p>
        </w:tc>
        <w:tc>
          <w:tcPr>
            <w:tcW w:w="744" w:type="dxa"/>
            <w:tcBorders>
              <w:left w:val="nil"/>
              <w:right w:val="nil"/>
            </w:tcBorders>
          </w:tcPr>
          <w:p>
            <w:pPr>
              <w:pStyle w:val="TableParagraph"/>
              <w:spacing w:before="125"/>
              <w:ind w:left="212"/>
              <w:jc w:val="left"/>
              <w:rPr>
                <w:i/>
                <w:sz w:val="24"/>
              </w:rPr>
            </w:pPr>
            <w:r>
              <w:rPr>
                <w:i/>
                <w:sz w:val="24"/>
              </w:rPr>
              <w:t>cb</w:t>
            </w:r>
          </w:p>
        </w:tc>
        <w:tc>
          <w:tcPr>
            <w:tcW w:w="790" w:type="dxa"/>
            <w:tcBorders>
              <w:left w:val="nil"/>
              <w:right w:val="nil"/>
            </w:tcBorders>
          </w:tcPr>
          <w:p>
            <w:pPr>
              <w:pStyle w:val="TableParagraph"/>
              <w:spacing w:before="125"/>
              <w:ind w:left="159"/>
              <w:jc w:val="left"/>
              <w:rPr>
                <w:i/>
                <w:sz w:val="24"/>
              </w:rPr>
            </w:pPr>
            <w:r>
              <w:rPr>
                <w:i/>
                <w:sz w:val="24"/>
              </w:rPr>
              <w:t>Lag</w:t>
            </w:r>
          </w:p>
        </w:tc>
        <w:tc>
          <w:tcPr>
            <w:tcW w:w="711" w:type="dxa"/>
            <w:tcBorders>
              <w:left w:val="nil"/>
              <w:right w:val="nil"/>
            </w:tcBorders>
          </w:tcPr>
          <w:p>
            <w:pPr>
              <w:pStyle w:val="TableParagraph"/>
              <w:spacing w:before="125"/>
              <w:ind w:right="111"/>
              <w:jc w:val="right"/>
              <w:rPr>
                <w:sz w:val="24"/>
              </w:rPr>
            </w:pPr>
            <w:r>
              <w:rPr>
                <w:w w:val="95"/>
                <w:sz w:val="24"/>
              </w:rPr>
              <w:t>dDM</w:t>
            </w:r>
          </w:p>
        </w:tc>
        <w:tc>
          <w:tcPr>
            <w:tcW w:w="739" w:type="dxa"/>
            <w:tcBorders>
              <w:left w:val="nil"/>
              <w:right w:val="nil"/>
            </w:tcBorders>
          </w:tcPr>
          <w:p>
            <w:pPr>
              <w:pStyle w:val="TableParagraph"/>
              <w:spacing w:before="125"/>
              <w:ind w:right="112"/>
              <w:jc w:val="right"/>
              <w:rPr>
                <w:sz w:val="24"/>
              </w:rPr>
            </w:pPr>
            <w:r>
              <w:rPr>
                <w:sz w:val="24"/>
              </w:rPr>
              <w:t>dOM</w:t>
            </w:r>
          </w:p>
        </w:tc>
        <w:tc>
          <w:tcPr>
            <w:tcW w:w="780" w:type="dxa"/>
            <w:tcBorders>
              <w:left w:val="nil"/>
              <w:right w:val="nil"/>
            </w:tcBorders>
          </w:tcPr>
          <w:p>
            <w:pPr>
              <w:pStyle w:val="TableParagraph"/>
              <w:spacing w:before="125"/>
              <w:ind w:right="81"/>
              <w:jc w:val="right"/>
              <w:rPr>
                <w:sz w:val="24"/>
              </w:rPr>
            </w:pPr>
            <w:r>
              <w:rPr>
                <w:sz w:val="24"/>
              </w:rPr>
              <w:t>dNDF</w:t>
            </w:r>
          </w:p>
        </w:tc>
        <w:tc>
          <w:tcPr>
            <w:tcW w:w="696" w:type="dxa"/>
            <w:tcBorders>
              <w:left w:val="nil"/>
              <w:right w:val="nil"/>
            </w:tcBorders>
          </w:tcPr>
          <w:p>
            <w:pPr>
              <w:pStyle w:val="TableParagraph"/>
              <w:spacing w:before="125"/>
              <w:ind w:left="159"/>
              <w:jc w:val="left"/>
              <w:rPr>
                <w:sz w:val="24"/>
              </w:rPr>
            </w:pPr>
            <w:r>
              <w:rPr>
                <w:sz w:val="24"/>
              </w:rPr>
              <w:t>ME</w:t>
            </w:r>
          </w:p>
        </w:tc>
        <w:tc>
          <w:tcPr>
            <w:tcW w:w="807" w:type="dxa"/>
            <w:tcBorders>
              <w:left w:val="nil"/>
              <w:right w:val="nil"/>
            </w:tcBorders>
          </w:tcPr>
          <w:p>
            <w:pPr>
              <w:pStyle w:val="TableParagraph"/>
              <w:spacing w:before="125"/>
              <w:ind w:left="187"/>
              <w:jc w:val="left"/>
              <w:rPr>
                <w:sz w:val="24"/>
              </w:rPr>
            </w:pPr>
            <w:r>
              <w:rPr>
                <w:sz w:val="24"/>
              </w:rPr>
              <w:t>TPs</w:t>
            </w:r>
          </w:p>
        </w:tc>
        <w:tc>
          <w:tcPr>
            <w:tcW w:w="739" w:type="dxa"/>
            <w:tcBorders>
              <w:left w:val="nil"/>
              <w:right w:val="nil"/>
            </w:tcBorders>
          </w:tcPr>
          <w:p>
            <w:pPr>
              <w:pStyle w:val="TableParagraph"/>
              <w:spacing w:before="125"/>
              <w:ind w:right="69"/>
              <w:jc w:val="right"/>
              <w:rPr>
                <w:sz w:val="24"/>
              </w:rPr>
            </w:pPr>
            <w:r>
              <w:rPr>
                <w:sz w:val="24"/>
              </w:rPr>
              <w:t>NPTs</w:t>
            </w:r>
          </w:p>
        </w:tc>
        <w:tc>
          <w:tcPr>
            <w:tcW w:w="766" w:type="dxa"/>
            <w:tcBorders>
              <w:left w:val="nil"/>
              <w:right w:val="nil"/>
            </w:tcBorders>
          </w:tcPr>
          <w:p>
            <w:pPr>
              <w:pStyle w:val="TableParagraph"/>
              <w:spacing w:before="125"/>
              <w:ind w:left="159"/>
              <w:jc w:val="left"/>
              <w:rPr>
                <w:sz w:val="24"/>
              </w:rPr>
            </w:pPr>
            <w:r>
              <w:rPr>
                <w:sz w:val="24"/>
              </w:rPr>
              <w:t>TTs</w:t>
            </w:r>
          </w:p>
        </w:tc>
        <w:tc>
          <w:tcPr>
            <w:tcW w:w="709" w:type="dxa"/>
            <w:tcBorders>
              <w:left w:val="nil"/>
              <w:right w:val="nil"/>
            </w:tcBorders>
          </w:tcPr>
          <w:p>
            <w:pPr>
              <w:pStyle w:val="TableParagraph"/>
              <w:spacing w:before="125"/>
              <w:ind w:left="123"/>
              <w:jc w:val="left"/>
              <w:rPr>
                <w:sz w:val="24"/>
              </w:rPr>
            </w:pPr>
            <w:r>
              <w:rPr>
                <w:sz w:val="24"/>
              </w:rPr>
              <w:t>CTs</w:t>
            </w:r>
          </w:p>
        </w:tc>
      </w:tr>
      <w:tr>
        <w:trPr>
          <w:trHeight w:val="358" w:hRule="exact"/>
        </w:trPr>
        <w:tc>
          <w:tcPr>
            <w:tcW w:w="1003" w:type="dxa"/>
            <w:tcBorders>
              <w:left w:val="nil"/>
              <w:bottom w:val="nil"/>
              <w:right w:val="nil"/>
            </w:tcBorders>
          </w:tcPr>
          <w:p>
            <w:pPr>
              <w:pStyle w:val="TableParagraph"/>
              <w:spacing w:before="34"/>
              <w:ind w:left="72"/>
              <w:jc w:val="left"/>
              <w:rPr>
                <w:i/>
                <w:sz w:val="24"/>
              </w:rPr>
            </w:pPr>
            <w:r>
              <w:rPr>
                <w:i/>
                <w:sz w:val="24"/>
              </w:rPr>
              <w:t>ca</w:t>
            </w:r>
          </w:p>
        </w:tc>
        <w:tc>
          <w:tcPr>
            <w:tcW w:w="729" w:type="dxa"/>
            <w:tcBorders>
              <w:left w:val="nil"/>
              <w:bottom w:val="nil"/>
              <w:right w:val="nil"/>
            </w:tcBorders>
          </w:tcPr>
          <w:p>
            <w:pPr>
              <w:pStyle w:val="TableParagraph"/>
              <w:spacing w:before="34"/>
              <w:ind w:right="75"/>
              <w:jc w:val="right"/>
              <w:rPr>
                <w:sz w:val="24"/>
              </w:rPr>
            </w:pPr>
            <w:r>
              <w:rPr>
                <w:sz w:val="24"/>
              </w:rPr>
              <w:t>0.75</w:t>
            </w:r>
          </w:p>
        </w:tc>
        <w:tc>
          <w:tcPr>
            <w:tcW w:w="711" w:type="dxa"/>
            <w:tcBorders>
              <w:left w:val="nil"/>
              <w:bottom w:val="nil"/>
              <w:right w:val="nil"/>
            </w:tcBorders>
          </w:tcPr>
          <w:p>
            <w:pPr/>
          </w:p>
        </w:tc>
        <w:tc>
          <w:tcPr>
            <w:tcW w:w="711" w:type="dxa"/>
            <w:tcBorders>
              <w:left w:val="nil"/>
              <w:bottom w:val="nil"/>
              <w:right w:val="nil"/>
            </w:tcBorders>
          </w:tcPr>
          <w:p>
            <w:pPr/>
          </w:p>
        </w:tc>
        <w:tc>
          <w:tcPr>
            <w:tcW w:w="744" w:type="dxa"/>
            <w:tcBorders>
              <w:left w:val="nil"/>
              <w:bottom w:val="nil"/>
              <w:right w:val="nil"/>
            </w:tcBorders>
          </w:tcPr>
          <w:p>
            <w:pPr/>
          </w:p>
        </w:tc>
        <w:tc>
          <w:tcPr>
            <w:tcW w:w="790" w:type="dxa"/>
            <w:tcBorders>
              <w:left w:val="nil"/>
              <w:bottom w:val="nil"/>
              <w:right w:val="nil"/>
            </w:tcBorders>
          </w:tcPr>
          <w:p>
            <w:pPr/>
          </w:p>
        </w:tc>
        <w:tc>
          <w:tcPr>
            <w:tcW w:w="711" w:type="dxa"/>
            <w:tcBorders>
              <w:left w:val="nil"/>
              <w:bottom w:val="nil"/>
              <w:right w:val="nil"/>
            </w:tcBorders>
          </w:tcPr>
          <w:p>
            <w:pPr/>
          </w:p>
        </w:tc>
        <w:tc>
          <w:tcPr>
            <w:tcW w:w="739" w:type="dxa"/>
            <w:tcBorders>
              <w:left w:val="nil"/>
              <w:bottom w:val="nil"/>
              <w:right w:val="nil"/>
            </w:tcBorders>
          </w:tcPr>
          <w:p>
            <w:pPr/>
          </w:p>
        </w:tc>
        <w:tc>
          <w:tcPr>
            <w:tcW w:w="780" w:type="dxa"/>
            <w:tcBorders>
              <w:left w:val="nil"/>
              <w:bottom w:val="nil"/>
              <w:right w:val="nil"/>
            </w:tcBorders>
          </w:tcPr>
          <w:p>
            <w:pPr/>
          </w:p>
        </w:tc>
        <w:tc>
          <w:tcPr>
            <w:tcW w:w="696" w:type="dxa"/>
            <w:tcBorders>
              <w:left w:val="nil"/>
              <w:bottom w:val="nil"/>
              <w:right w:val="nil"/>
            </w:tcBorders>
          </w:tcPr>
          <w:p>
            <w:pPr/>
          </w:p>
        </w:tc>
        <w:tc>
          <w:tcPr>
            <w:tcW w:w="807" w:type="dxa"/>
            <w:tcBorders>
              <w:left w:val="nil"/>
              <w:bottom w:val="nil"/>
              <w:right w:val="nil"/>
            </w:tcBorders>
          </w:tcPr>
          <w:p>
            <w:pPr/>
          </w:p>
        </w:tc>
        <w:tc>
          <w:tcPr>
            <w:tcW w:w="739" w:type="dxa"/>
            <w:tcBorders>
              <w:left w:val="nil"/>
              <w:bottom w:val="nil"/>
              <w:right w:val="nil"/>
            </w:tcBorders>
          </w:tcPr>
          <w:p>
            <w:pPr/>
          </w:p>
        </w:tc>
        <w:tc>
          <w:tcPr>
            <w:tcW w:w="766" w:type="dxa"/>
            <w:tcBorders>
              <w:left w:val="nil"/>
              <w:bottom w:val="nil"/>
              <w:right w:val="nil"/>
            </w:tcBorders>
          </w:tcPr>
          <w:p>
            <w:pPr/>
          </w:p>
        </w:tc>
        <w:tc>
          <w:tcPr>
            <w:tcW w:w="709" w:type="dxa"/>
            <w:tcBorders>
              <w:left w:val="nil"/>
              <w:bottom w:val="nil"/>
              <w:right w:val="nil"/>
            </w:tcBorders>
          </w:tcPr>
          <w:p>
            <w:pPr/>
          </w:p>
        </w:tc>
      </w:tr>
      <w:tr>
        <w:trPr>
          <w:trHeight w:val="300"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ind w:right="75"/>
              <w:jc w:val="right"/>
              <w:rPr>
                <w:sz w:val="24"/>
              </w:rPr>
            </w:pPr>
            <w:r>
              <w:rPr>
                <w:sz w:val="24"/>
              </w:rPr>
              <w:t>-0.34</w:t>
            </w:r>
          </w:p>
        </w:tc>
        <w:tc>
          <w:tcPr>
            <w:tcW w:w="711" w:type="dxa"/>
            <w:tcBorders>
              <w:top w:val="nil"/>
              <w:left w:val="nil"/>
              <w:bottom w:val="nil"/>
              <w:right w:val="nil"/>
            </w:tcBorders>
          </w:tcPr>
          <w:p>
            <w:pPr/>
          </w:p>
        </w:tc>
        <w:tc>
          <w:tcPr>
            <w:tcW w:w="711" w:type="dxa"/>
            <w:tcBorders>
              <w:top w:val="nil"/>
              <w:left w:val="nil"/>
              <w:bottom w:val="nil"/>
              <w:right w:val="nil"/>
            </w:tcBorders>
          </w:tcPr>
          <w:p>
            <w:pPr/>
          </w:p>
        </w:tc>
        <w:tc>
          <w:tcPr>
            <w:tcW w:w="744" w:type="dxa"/>
            <w:tcBorders>
              <w:top w:val="nil"/>
              <w:left w:val="nil"/>
              <w:bottom w:val="nil"/>
              <w:right w:val="nil"/>
            </w:tcBorders>
          </w:tcPr>
          <w:p>
            <w:pPr/>
          </w:p>
        </w:tc>
        <w:tc>
          <w:tcPr>
            <w:tcW w:w="790" w:type="dxa"/>
            <w:tcBorders>
              <w:top w:val="nil"/>
              <w:left w:val="nil"/>
              <w:bottom w:val="nil"/>
              <w:right w:val="nil"/>
            </w:tcBorders>
          </w:tcPr>
          <w:p>
            <w:pPr/>
          </w:p>
        </w:tc>
        <w:tc>
          <w:tcPr>
            <w:tcW w:w="711" w:type="dxa"/>
            <w:tcBorders>
              <w:top w:val="nil"/>
              <w:left w:val="nil"/>
              <w:bottom w:val="nil"/>
              <w:right w:val="nil"/>
            </w:tcBorders>
          </w:tcPr>
          <w:p>
            <w:pP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0" w:hRule="exact"/>
        </w:trPr>
        <w:tc>
          <w:tcPr>
            <w:tcW w:w="1003" w:type="dxa"/>
            <w:tcBorders>
              <w:top w:val="nil"/>
              <w:left w:val="nil"/>
              <w:bottom w:val="nil"/>
              <w:right w:val="nil"/>
            </w:tcBorders>
          </w:tcPr>
          <w:p>
            <w:pPr>
              <w:pStyle w:val="TableParagraph"/>
              <w:spacing w:line="274" w:lineRule="exact"/>
              <w:ind w:left="72"/>
              <w:jc w:val="left"/>
              <w:rPr>
                <w:i/>
                <w:sz w:val="24"/>
              </w:rPr>
            </w:pPr>
            <w:r>
              <w:rPr>
                <w:i/>
                <w:w w:val="99"/>
                <w:sz w:val="24"/>
              </w:rPr>
              <w:t>b</w:t>
            </w:r>
          </w:p>
        </w:tc>
        <w:tc>
          <w:tcPr>
            <w:tcW w:w="729" w:type="dxa"/>
            <w:tcBorders>
              <w:top w:val="nil"/>
              <w:left w:val="nil"/>
              <w:bottom w:val="nil"/>
              <w:right w:val="nil"/>
            </w:tcBorders>
          </w:tcPr>
          <w:p>
            <w:pPr>
              <w:pStyle w:val="TableParagraph"/>
              <w:spacing w:line="274" w:lineRule="exact"/>
              <w:ind w:right="75"/>
              <w:jc w:val="right"/>
              <w:rPr>
                <w:sz w:val="24"/>
              </w:rPr>
            </w:pPr>
            <w:r>
              <w:rPr>
                <w:sz w:val="24"/>
              </w:rPr>
              <w:t>0.76</w:t>
            </w:r>
          </w:p>
        </w:tc>
        <w:tc>
          <w:tcPr>
            <w:tcW w:w="711" w:type="dxa"/>
            <w:tcBorders>
              <w:top w:val="nil"/>
              <w:left w:val="nil"/>
              <w:bottom w:val="nil"/>
              <w:right w:val="nil"/>
            </w:tcBorders>
          </w:tcPr>
          <w:p>
            <w:pPr>
              <w:pStyle w:val="TableParagraph"/>
              <w:spacing w:line="274" w:lineRule="exact"/>
              <w:ind w:right="80"/>
              <w:jc w:val="right"/>
              <w:rPr>
                <w:sz w:val="24"/>
              </w:rPr>
            </w:pPr>
            <w:r>
              <w:rPr>
                <w:sz w:val="24"/>
              </w:rPr>
              <w:t>0.37</w:t>
            </w:r>
          </w:p>
        </w:tc>
        <w:tc>
          <w:tcPr>
            <w:tcW w:w="711" w:type="dxa"/>
            <w:tcBorders>
              <w:top w:val="nil"/>
              <w:left w:val="nil"/>
              <w:bottom w:val="nil"/>
              <w:right w:val="nil"/>
            </w:tcBorders>
          </w:tcPr>
          <w:p>
            <w:pPr/>
          </w:p>
        </w:tc>
        <w:tc>
          <w:tcPr>
            <w:tcW w:w="744" w:type="dxa"/>
            <w:tcBorders>
              <w:top w:val="nil"/>
              <w:left w:val="nil"/>
              <w:bottom w:val="nil"/>
              <w:right w:val="nil"/>
            </w:tcBorders>
          </w:tcPr>
          <w:p>
            <w:pPr/>
          </w:p>
        </w:tc>
        <w:tc>
          <w:tcPr>
            <w:tcW w:w="790" w:type="dxa"/>
            <w:tcBorders>
              <w:top w:val="nil"/>
              <w:left w:val="nil"/>
              <w:bottom w:val="nil"/>
              <w:right w:val="nil"/>
            </w:tcBorders>
          </w:tcPr>
          <w:p>
            <w:pPr/>
          </w:p>
        </w:tc>
        <w:tc>
          <w:tcPr>
            <w:tcW w:w="711" w:type="dxa"/>
            <w:tcBorders>
              <w:top w:val="nil"/>
              <w:left w:val="nil"/>
              <w:bottom w:val="nil"/>
              <w:right w:val="nil"/>
            </w:tcBorders>
          </w:tcPr>
          <w:p>
            <w:pP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0"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ind w:right="75"/>
              <w:jc w:val="right"/>
              <w:rPr>
                <w:sz w:val="24"/>
              </w:rPr>
            </w:pPr>
            <w:r>
              <w:rPr>
                <w:sz w:val="24"/>
              </w:rPr>
              <w:t>-0.33</w:t>
            </w:r>
          </w:p>
        </w:tc>
        <w:tc>
          <w:tcPr>
            <w:tcW w:w="711" w:type="dxa"/>
            <w:tcBorders>
              <w:top w:val="nil"/>
              <w:left w:val="nil"/>
              <w:bottom w:val="nil"/>
              <w:right w:val="nil"/>
            </w:tcBorders>
          </w:tcPr>
          <w:p>
            <w:pPr>
              <w:pStyle w:val="TableParagraph"/>
              <w:ind w:right="84"/>
              <w:jc w:val="right"/>
              <w:rPr>
                <w:sz w:val="24"/>
              </w:rPr>
            </w:pPr>
            <w:r>
              <w:rPr>
                <w:w w:val="99"/>
                <w:sz w:val="24"/>
              </w:rPr>
              <w:t>1</w:t>
            </w:r>
          </w:p>
        </w:tc>
        <w:tc>
          <w:tcPr>
            <w:tcW w:w="711" w:type="dxa"/>
            <w:tcBorders>
              <w:top w:val="nil"/>
              <w:left w:val="nil"/>
              <w:bottom w:val="nil"/>
              <w:right w:val="nil"/>
            </w:tcBorders>
          </w:tcPr>
          <w:p>
            <w:pPr/>
          </w:p>
        </w:tc>
        <w:tc>
          <w:tcPr>
            <w:tcW w:w="744" w:type="dxa"/>
            <w:tcBorders>
              <w:top w:val="nil"/>
              <w:left w:val="nil"/>
              <w:bottom w:val="nil"/>
              <w:right w:val="nil"/>
            </w:tcBorders>
          </w:tcPr>
          <w:p>
            <w:pPr/>
          </w:p>
        </w:tc>
        <w:tc>
          <w:tcPr>
            <w:tcW w:w="790" w:type="dxa"/>
            <w:tcBorders>
              <w:top w:val="nil"/>
              <w:left w:val="nil"/>
              <w:bottom w:val="nil"/>
              <w:right w:val="nil"/>
            </w:tcBorders>
          </w:tcPr>
          <w:p>
            <w:pPr/>
          </w:p>
        </w:tc>
        <w:tc>
          <w:tcPr>
            <w:tcW w:w="711" w:type="dxa"/>
            <w:tcBorders>
              <w:top w:val="nil"/>
              <w:left w:val="nil"/>
              <w:bottom w:val="nil"/>
              <w:right w:val="nil"/>
            </w:tcBorders>
          </w:tcPr>
          <w:p>
            <w:pP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0" w:hRule="exact"/>
        </w:trPr>
        <w:tc>
          <w:tcPr>
            <w:tcW w:w="1003" w:type="dxa"/>
            <w:tcBorders>
              <w:top w:val="nil"/>
              <w:left w:val="nil"/>
              <w:bottom w:val="nil"/>
              <w:right w:val="nil"/>
            </w:tcBorders>
          </w:tcPr>
          <w:p>
            <w:pPr>
              <w:pStyle w:val="TableParagraph"/>
              <w:spacing w:line="274" w:lineRule="exact"/>
              <w:ind w:left="72"/>
              <w:jc w:val="left"/>
              <w:rPr>
                <w:i/>
                <w:sz w:val="24"/>
              </w:rPr>
            </w:pPr>
            <w:r>
              <w:rPr>
                <w:i/>
                <w:sz w:val="24"/>
              </w:rPr>
              <w:t>cb</w:t>
            </w:r>
          </w:p>
        </w:tc>
        <w:tc>
          <w:tcPr>
            <w:tcW w:w="729" w:type="dxa"/>
            <w:tcBorders>
              <w:top w:val="nil"/>
              <w:left w:val="nil"/>
              <w:bottom w:val="nil"/>
              <w:right w:val="nil"/>
            </w:tcBorders>
          </w:tcPr>
          <w:p>
            <w:pPr>
              <w:pStyle w:val="TableParagraph"/>
              <w:spacing w:line="274" w:lineRule="exact"/>
              <w:ind w:right="75"/>
              <w:jc w:val="right"/>
              <w:rPr>
                <w:sz w:val="24"/>
              </w:rPr>
            </w:pPr>
            <w:r>
              <w:rPr>
                <w:sz w:val="24"/>
              </w:rPr>
              <w:t>0.59</w:t>
            </w:r>
          </w:p>
        </w:tc>
        <w:tc>
          <w:tcPr>
            <w:tcW w:w="711" w:type="dxa"/>
            <w:tcBorders>
              <w:top w:val="nil"/>
              <w:left w:val="nil"/>
              <w:bottom w:val="nil"/>
              <w:right w:val="nil"/>
            </w:tcBorders>
          </w:tcPr>
          <w:p>
            <w:pPr>
              <w:pStyle w:val="TableParagraph"/>
              <w:spacing w:line="274" w:lineRule="exact"/>
              <w:ind w:right="80"/>
              <w:jc w:val="right"/>
              <w:rPr>
                <w:sz w:val="24"/>
              </w:rPr>
            </w:pPr>
            <w:r>
              <w:rPr>
                <w:sz w:val="24"/>
              </w:rPr>
              <w:t>0.62</w:t>
            </w:r>
          </w:p>
        </w:tc>
        <w:tc>
          <w:tcPr>
            <w:tcW w:w="711" w:type="dxa"/>
            <w:tcBorders>
              <w:top w:val="nil"/>
              <w:left w:val="nil"/>
              <w:bottom w:val="nil"/>
              <w:right w:val="nil"/>
            </w:tcBorders>
          </w:tcPr>
          <w:p>
            <w:pPr>
              <w:pStyle w:val="TableParagraph"/>
              <w:spacing w:line="274" w:lineRule="exact"/>
              <w:ind w:right="77"/>
              <w:jc w:val="right"/>
              <w:rPr>
                <w:sz w:val="24"/>
              </w:rPr>
            </w:pPr>
            <w:r>
              <w:rPr>
                <w:w w:val="95"/>
                <w:sz w:val="24"/>
              </w:rPr>
              <w:t>0.3</w:t>
            </w:r>
          </w:p>
        </w:tc>
        <w:tc>
          <w:tcPr>
            <w:tcW w:w="744" w:type="dxa"/>
            <w:tcBorders>
              <w:top w:val="nil"/>
              <w:left w:val="nil"/>
              <w:bottom w:val="nil"/>
              <w:right w:val="nil"/>
            </w:tcBorders>
          </w:tcPr>
          <w:p>
            <w:pPr/>
          </w:p>
        </w:tc>
        <w:tc>
          <w:tcPr>
            <w:tcW w:w="790" w:type="dxa"/>
            <w:tcBorders>
              <w:top w:val="nil"/>
              <w:left w:val="nil"/>
              <w:bottom w:val="nil"/>
              <w:right w:val="nil"/>
            </w:tcBorders>
          </w:tcPr>
          <w:p>
            <w:pPr/>
          </w:p>
        </w:tc>
        <w:tc>
          <w:tcPr>
            <w:tcW w:w="711" w:type="dxa"/>
            <w:tcBorders>
              <w:top w:val="nil"/>
              <w:left w:val="nil"/>
              <w:bottom w:val="nil"/>
              <w:right w:val="nil"/>
            </w:tcBorders>
          </w:tcPr>
          <w:p>
            <w:pP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7"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ind w:right="75"/>
              <w:jc w:val="right"/>
              <w:rPr>
                <w:sz w:val="24"/>
              </w:rPr>
            </w:pPr>
            <w:r>
              <w:rPr>
                <w:sz w:val="24"/>
              </w:rPr>
              <w:t>0.58</w:t>
            </w:r>
          </w:p>
        </w:tc>
        <w:tc>
          <w:tcPr>
            <w:tcW w:w="711" w:type="dxa"/>
            <w:tcBorders>
              <w:top w:val="nil"/>
              <w:left w:val="nil"/>
              <w:bottom w:val="nil"/>
              <w:right w:val="nil"/>
            </w:tcBorders>
          </w:tcPr>
          <w:p>
            <w:pPr>
              <w:pStyle w:val="TableParagraph"/>
              <w:ind w:right="80"/>
              <w:jc w:val="right"/>
              <w:rPr>
                <w:sz w:val="24"/>
              </w:rPr>
            </w:pPr>
            <w:r>
              <w:rPr>
                <w:sz w:val="24"/>
              </w:rPr>
              <w:t>0.53</w:t>
            </w:r>
          </w:p>
        </w:tc>
        <w:tc>
          <w:tcPr>
            <w:tcW w:w="711" w:type="dxa"/>
            <w:tcBorders>
              <w:top w:val="nil"/>
              <w:left w:val="nil"/>
              <w:bottom w:val="nil"/>
              <w:right w:val="nil"/>
            </w:tcBorders>
          </w:tcPr>
          <w:p>
            <w:pPr>
              <w:pStyle w:val="TableParagraph"/>
              <w:ind w:right="75"/>
              <w:jc w:val="right"/>
              <w:rPr>
                <w:sz w:val="24"/>
              </w:rPr>
            </w:pPr>
            <w:r>
              <w:rPr>
                <w:sz w:val="24"/>
              </w:rPr>
              <w:t>-1.19</w:t>
            </w:r>
          </w:p>
        </w:tc>
        <w:tc>
          <w:tcPr>
            <w:tcW w:w="744" w:type="dxa"/>
            <w:tcBorders>
              <w:top w:val="nil"/>
              <w:left w:val="nil"/>
              <w:bottom w:val="nil"/>
              <w:right w:val="nil"/>
            </w:tcBorders>
          </w:tcPr>
          <w:p>
            <w:pPr/>
          </w:p>
        </w:tc>
        <w:tc>
          <w:tcPr>
            <w:tcW w:w="790" w:type="dxa"/>
            <w:tcBorders>
              <w:top w:val="nil"/>
              <w:left w:val="nil"/>
              <w:bottom w:val="nil"/>
              <w:right w:val="nil"/>
            </w:tcBorders>
          </w:tcPr>
          <w:p>
            <w:pPr/>
          </w:p>
        </w:tc>
        <w:tc>
          <w:tcPr>
            <w:tcW w:w="711" w:type="dxa"/>
            <w:tcBorders>
              <w:top w:val="nil"/>
              <w:left w:val="nil"/>
              <w:bottom w:val="nil"/>
              <w:right w:val="nil"/>
            </w:tcBorders>
          </w:tcPr>
          <w:p>
            <w:pP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14" w:hRule="exact"/>
        </w:trPr>
        <w:tc>
          <w:tcPr>
            <w:tcW w:w="1003" w:type="dxa"/>
            <w:tcBorders>
              <w:top w:val="nil"/>
              <w:left w:val="nil"/>
              <w:bottom w:val="nil"/>
              <w:right w:val="nil"/>
            </w:tcBorders>
          </w:tcPr>
          <w:p>
            <w:pPr>
              <w:pStyle w:val="TableParagraph"/>
              <w:spacing w:before="5"/>
              <w:ind w:left="72"/>
              <w:jc w:val="left"/>
              <w:rPr>
                <w:i/>
                <w:sz w:val="24"/>
              </w:rPr>
            </w:pPr>
            <w:r>
              <w:rPr>
                <w:i/>
                <w:sz w:val="24"/>
              </w:rPr>
              <w:t>Lag</w:t>
            </w:r>
          </w:p>
        </w:tc>
        <w:tc>
          <w:tcPr>
            <w:tcW w:w="729" w:type="dxa"/>
            <w:tcBorders>
              <w:top w:val="nil"/>
              <w:left w:val="nil"/>
              <w:bottom w:val="nil"/>
              <w:right w:val="nil"/>
            </w:tcBorders>
          </w:tcPr>
          <w:p>
            <w:pPr>
              <w:pStyle w:val="TableParagraph"/>
              <w:spacing w:before="5"/>
              <w:ind w:right="75"/>
              <w:jc w:val="right"/>
              <w:rPr>
                <w:sz w:val="24"/>
              </w:rPr>
            </w:pPr>
            <w:r>
              <w:rPr>
                <w:sz w:val="24"/>
              </w:rPr>
              <w:t>0.75</w:t>
            </w:r>
          </w:p>
        </w:tc>
        <w:tc>
          <w:tcPr>
            <w:tcW w:w="711" w:type="dxa"/>
            <w:tcBorders>
              <w:top w:val="nil"/>
              <w:left w:val="nil"/>
              <w:bottom w:val="nil"/>
              <w:right w:val="nil"/>
            </w:tcBorders>
          </w:tcPr>
          <w:p>
            <w:pPr>
              <w:pStyle w:val="TableParagraph"/>
              <w:spacing w:before="5"/>
              <w:ind w:right="80"/>
              <w:jc w:val="right"/>
              <w:rPr>
                <w:sz w:val="24"/>
              </w:rPr>
            </w:pPr>
            <w:r>
              <w:rPr>
                <w:sz w:val="24"/>
              </w:rPr>
              <w:t>0.72</w:t>
            </w:r>
          </w:p>
        </w:tc>
        <w:tc>
          <w:tcPr>
            <w:tcW w:w="711" w:type="dxa"/>
            <w:tcBorders>
              <w:top w:val="nil"/>
              <w:left w:val="nil"/>
              <w:bottom w:val="nil"/>
              <w:right w:val="nil"/>
            </w:tcBorders>
          </w:tcPr>
          <w:p>
            <w:pPr>
              <w:pStyle w:val="TableParagraph"/>
              <w:spacing w:before="5"/>
              <w:ind w:right="75"/>
              <w:jc w:val="right"/>
              <w:rPr>
                <w:sz w:val="24"/>
              </w:rPr>
            </w:pPr>
            <w:r>
              <w:rPr>
                <w:sz w:val="24"/>
              </w:rPr>
              <w:t>0.19</w:t>
            </w:r>
          </w:p>
        </w:tc>
        <w:tc>
          <w:tcPr>
            <w:tcW w:w="744" w:type="dxa"/>
            <w:tcBorders>
              <w:top w:val="nil"/>
              <w:left w:val="nil"/>
              <w:bottom w:val="nil"/>
              <w:right w:val="nil"/>
            </w:tcBorders>
          </w:tcPr>
          <w:p>
            <w:pPr>
              <w:pStyle w:val="TableParagraph"/>
              <w:spacing w:before="5"/>
              <w:ind w:right="114"/>
              <w:jc w:val="right"/>
              <w:rPr>
                <w:sz w:val="24"/>
              </w:rPr>
            </w:pPr>
            <w:r>
              <w:rPr>
                <w:sz w:val="24"/>
              </w:rPr>
              <w:t>0.05</w:t>
            </w:r>
          </w:p>
        </w:tc>
        <w:tc>
          <w:tcPr>
            <w:tcW w:w="790" w:type="dxa"/>
            <w:tcBorders>
              <w:top w:val="nil"/>
              <w:left w:val="nil"/>
              <w:bottom w:val="nil"/>
              <w:right w:val="nil"/>
            </w:tcBorders>
          </w:tcPr>
          <w:p>
            <w:pPr/>
          </w:p>
        </w:tc>
        <w:tc>
          <w:tcPr>
            <w:tcW w:w="711" w:type="dxa"/>
            <w:tcBorders>
              <w:top w:val="nil"/>
              <w:left w:val="nil"/>
              <w:bottom w:val="nil"/>
              <w:right w:val="nil"/>
            </w:tcBorders>
          </w:tcPr>
          <w:p>
            <w:pP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8"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spacing w:before="7"/>
              <w:ind w:right="75"/>
              <w:jc w:val="right"/>
              <w:rPr>
                <w:sz w:val="24"/>
              </w:rPr>
            </w:pPr>
            <w:r>
              <w:rPr>
                <w:sz w:val="24"/>
              </w:rPr>
              <w:t>0.34</w:t>
            </w:r>
          </w:p>
        </w:tc>
        <w:tc>
          <w:tcPr>
            <w:tcW w:w="711" w:type="dxa"/>
            <w:tcBorders>
              <w:top w:val="nil"/>
              <w:left w:val="nil"/>
              <w:bottom w:val="nil"/>
              <w:right w:val="nil"/>
            </w:tcBorders>
          </w:tcPr>
          <w:p>
            <w:pPr>
              <w:pStyle w:val="TableParagraph"/>
              <w:spacing w:before="7"/>
              <w:ind w:right="80"/>
              <w:jc w:val="right"/>
              <w:rPr>
                <w:sz w:val="24"/>
              </w:rPr>
            </w:pPr>
            <w:r>
              <w:rPr>
                <w:sz w:val="24"/>
              </w:rPr>
              <w:t>-0.39</w:t>
            </w:r>
          </w:p>
        </w:tc>
        <w:tc>
          <w:tcPr>
            <w:tcW w:w="711" w:type="dxa"/>
            <w:tcBorders>
              <w:top w:val="nil"/>
              <w:left w:val="nil"/>
              <w:bottom w:val="nil"/>
              <w:right w:val="nil"/>
            </w:tcBorders>
          </w:tcPr>
          <w:p>
            <w:pPr>
              <w:pStyle w:val="TableParagraph"/>
              <w:spacing w:before="7"/>
              <w:ind w:right="75"/>
              <w:jc w:val="right"/>
              <w:rPr>
                <w:sz w:val="24"/>
              </w:rPr>
            </w:pPr>
            <w:r>
              <w:rPr>
                <w:sz w:val="24"/>
              </w:rPr>
              <w:t>1.55</w:t>
            </w:r>
          </w:p>
        </w:tc>
        <w:tc>
          <w:tcPr>
            <w:tcW w:w="744" w:type="dxa"/>
            <w:tcBorders>
              <w:top w:val="nil"/>
              <w:left w:val="nil"/>
              <w:bottom w:val="nil"/>
              <w:right w:val="nil"/>
            </w:tcBorders>
          </w:tcPr>
          <w:p>
            <w:pPr>
              <w:pStyle w:val="TableParagraph"/>
              <w:spacing w:before="7"/>
              <w:ind w:right="114"/>
              <w:jc w:val="right"/>
              <w:rPr>
                <w:sz w:val="24"/>
              </w:rPr>
            </w:pPr>
            <w:r>
              <w:rPr>
                <w:sz w:val="24"/>
              </w:rPr>
              <w:t>2.76</w:t>
            </w:r>
          </w:p>
        </w:tc>
        <w:tc>
          <w:tcPr>
            <w:tcW w:w="790" w:type="dxa"/>
            <w:tcBorders>
              <w:top w:val="nil"/>
              <w:left w:val="nil"/>
              <w:bottom w:val="nil"/>
              <w:right w:val="nil"/>
            </w:tcBorders>
          </w:tcPr>
          <w:p>
            <w:pPr/>
          </w:p>
        </w:tc>
        <w:tc>
          <w:tcPr>
            <w:tcW w:w="711" w:type="dxa"/>
            <w:tcBorders>
              <w:top w:val="nil"/>
              <w:left w:val="nil"/>
              <w:bottom w:val="nil"/>
              <w:right w:val="nil"/>
            </w:tcBorders>
          </w:tcPr>
          <w:p>
            <w:pP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0" w:hRule="exact"/>
        </w:trPr>
        <w:tc>
          <w:tcPr>
            <w:tcW w:w="1003" w:type="dxa"/>
            <w:tcBorders>
              <w:top w:val="nil"/>
              <w:left w:val="nil"/>
              <w:bottom w:val="nil"/>
              <w:right w:val="nil"/>
            </w:tcBorders>
          </w:tcPr>
          <w:p>
            <w:pPr>
              <w:pStyle w:val="TableParagraph"/>
              <w:spacing w:line="274" w:lineRule="exact"/>
              <w:ind w:left="72"/>
              <w:jc w:val="left"/>
              <w:rPr>
                <w:sz w:val="24"/>
              </w:rPr>
            </w:pPr>
            <w:r>
              <w:rPr>
                <w:sz w:val="24"/>
              </w:rPr>
              <w:t>dDM</w:t>
            </w:r>
          </w:p>
        </w:tc>
        <w:tc>
          <w:tcPr>
            <w:tcW w:w="729" w:type="dxa"/>
            <w:tcBorders>
              <w:top w:val="nil"/>
              <w:left w:val="nil"/>
              <w:bottom w:val="nil"/>
              <w:right w:val="nil"/>
            </w:tcBorders>
          </w:tcPr>
          <w:p>
            <w:pPr>
              <w:pStyle w:val="TableParagraph"/>
              <w:spacing w:line="274" w:lineRule="exact"/>
              <w:ind w:right="75"/>
              <w:jc w:val="right"/>
              <w:rPr>
                <w:sz w:val="24"/>
              </w:rPr>
            </w:pPr>
            <w:r>
              <w:rPr>
                <w:sz w:val="24"/>
              </w:rPr>
              <w:t>0.85</w:t>
            </w:r>
          </w:p>
        </w:tc>
        <w:tc>
          <w:tcPr>
            <w:tcW w:w="711" w:type="dxa"/>
            <w:tcBorders>
              <w:top w:val="nil"/>
              <w:left w:val="nil"/>
              <w:bottom w:val="nil"/>
              <w:right w:val="nil"/>
            </w:tcBorders>
          </w:tcPr>
          <w:p>
            <w:pPr>
              <w:pStyle w:val="TableParagraph"/>
              <w:spacing w:line="274" w:lineRule="exact"/>
              <w:ind w:right="80"/>
              <w:jc w:val="right"/>
              <w:rPr>
                <w:sz w:val="24"/>
              </w:rPr>
            </w:pPr>
            <w:r>
              <w:rPr>
                <w:sz w:val="24"/>
              </w:rPr>
              <w:t>0.85</w:t>
            </w:r>
          </w:p>
        </w:tc>
        <w:tc>
          <w:tcPr>
            <w:tcW w:w="711" w:type="dxa"/>
            <w:tcBorders>
              <w:top w:val="nil"/>
              <w:left w:val="nil"/>
              <w:bottom w:val="nil"/>
              <w:right w:val="nil"/>
            </w:tcBorders>
          </w:tcPr>
          <w:p>
            <w:pPr>
              <w:pStyle w:val="TableParagraph"/>
              <w:spacing w:line="274" w:lineRule="exact"/>
              <w:ind w:right="75"/>
              <w:jc w:val="right"/>
              <w:rPr>
                <w:sz w:val="24"/>
              </w:rPr>
            </w:pPr>
            <w:r>
              <w:rPr>
                <w:sz w:val="24"/>
              </w:rPr>
              <w:t>0.84</w:t>
            </w:r>
          </w:p>
        </w:tc>
        <w:tc>
          <w:tcPr>
            <w:tcW w:w="744" w:type="dxa"/>
            <w:tcBorders>
              <w:top w:val="nil"/>
              <w:left w:val="nil"/>
              <w:bottom w:val="nil"/>
              <w:right w:val="nil"/>
            </w:tcBorders>
          </w:tcPr>
          <w:p>
            <w:pPr>
              <w:pStyle w:val="TableParagraph"/>
              <w:spacing w:line="274" w:lineRule="exact"/>
              <w:ind w:right="114"/>
              <w:jc w:val="right"/>
              <w:rPr>
                <w:sz w:val="24"/>
              </w:rPr>
            </w:pPr>
            <w:r>
              <w:rPr>
                <w:sz w:val="24"/>
              </w:rPr>
              <w:t>0.26</w:t>
            </w:r>
          </w:p>
        </w:tc>
        <w:tc>
          <w:tcPr>
            <w:tcW w:w="790" w:type="dxa"/>
            <w:tcBorders>
              <w:top w:val="nil"/>
              <w:left w:val="nil"/>
              <w:bottom w:val="nil"/>
              <w:right w:val="nil"/>
            </w:tcBorders>
          </w:tcPr>
          <w:p>
            <w:pPr>
              <w:pStyle w:val="TableParagraph"/>
              <w:spacing w:line="274" w:lineRule="exact"/>
              <w:ind w:right="87"/>
              <w:jc w:val="right"/>
              <w:rPr>
                <w:sz w:val="24"/>
              </w:rPr>
            </w:pPr>
            <w:r>
              <w:rPr>
                <w:sz w:val="24"/>
              </w:rPr>
              <w:t>0.57</w:t>
            </w:r>
          </w:p>
        </w:tc>
        <w:tc>
          <w:tcPr>
            <w:tcW w:w="711" w:type="dxa"/>
            <w:tcBorders>
              <w:top w:val="nil"/>
              <w:left w:val="nil"/>
              <w:bottom w:val="nil"/>
              <w:right w:val="nil"/>
            </w:tcBorders>
          </w:tcPr>
          <w:p>
            <w:pP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46"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ind w:right="75"/>
              <w:jc w:val="right"/>
              <w:rPr>
                <w:sz w:val="24"/>
              </w:rPr>
            </w:pPr>
            <w:r>
              <w:rPr>
                <w:sz w:val="24"/>
              </w:rPr>
              <w:t>-0.21</w:t>
            </w:r>
          </w:p>
        </w:tc>
        <w:tc>
          <w:tcPr>
            <w:tcW w:w="711" w:type="dxa"/>
            <w:tcBorders>
              <w:top w:val="nil"/>
              <w:left w:val="nil"/>
              <w:bottom w:val="nil"/>
              <w:right w:val="nil"/>
            </w:tcBorders>
          </w:tcPr>
          <w:p>
            <w:pPr>
              <w:pStyle w:val="TableParagraph"/>
              <w:ind w:right="80"/>
              <w:jc w:val="right"/>
              <w:rPr>
                <w:sz w:val="24"/>
              </w:rPr>
            </w:pPr>
            <w:r>
              <w:rPr>
                <w:w w:val="95"/>
                <w:sz w:val="24"/>
              </w:rPr>
              <w:t>0.2</w:t>
            </w:r>
          </w:p>
        </w:tc>
        <w:tc>
          <w:tcPr>
            <w:tcW w:w="711" w:type="dxa"/>
            <w:tcBorders>
              <w:top w:val="nil"/>
              <w:left w:val="nil"/>
              <w:bottom w:val="nil"/>
              <w:right w:val="nil"/>
            </w:tcBorders>
          </w:tcPr>
          <w:p>
            <w:pPr>
              <w:pStyle w:val="TableParagraph"/>
              <w:ind w:right="75"/>
              <w:jc w:val="right"/>
              <w:rPr>
                <w:sz w:val="24"/>
              </w:rPr>
            </w:pPr>
            <w:r>
              <w:rPr>
                <w:sz w:val="24"/>
              </w:rPr>
              <w:t>-0.21</w:t>
            </w:r>
          </w:p>
        </w:tc>
        <w:tc>
          <w:tcPr>
            <w:tcW w:w="744" w:type="dxa"/>
            <w:tcBorders>
              <w:top w:val="nil"/>
              <w:left w:val="nil"/>
              <w:bottom w:val="nil"/>
              <w:right w:val="nil"/>
            </w:tcBorders>
          </w:tcPr>
          <w:p>
            <w:pPr>
              <w:pStyle w:val="TableParagraph"/>
              <w:ind w:right="114"/>
              <w:jc w:val="right"/>
              <w:rPr>
                <w:sz w:val="24"/>
              </w:rPr>
            </w:pPr>
            <w:r>
              <w:rPr>
                <w:w w:val="95"/>
                <w:sz w:val="24"/>
              </w:rPr>
              <w:t>1.3</w:t>
            </w:r>
          </w:p>
        </w:tc>
        <w:tc>
          <w:tcPr>
            <w:tcW w:w="790" w:type="dxa"/>
            <w:tcBorders>
              <w:top w:val="nil"/>
              <w:left w:val="nil"/>
              <w:bottom w:val="nil"/>
              <w:right w:val="nil"/>
            </w:tcBorders>
          </w:tcPr>
          <w:p>
            <w:pPr>
              <w:pStyle w:val="TableParagraph"/>
              <w:ind w:left="116"/>
              <w:jc w:val="left"/>
              <w:rPr>
                <w:sz w:val="24"/>
              </w:rPr>
            </w:pPr>
            <w:r>
              <w:rPr>
                <w:sz w:val="24"/>
              </w:rPr>
              <w:t>-0.62</w:t>
            </w:r>
          </w:p>
        </w:tc>
        <w:tc>
          <w:tcPr>
            <w:tcW w:w="711" w:type="dxa"/>
            <w:tcBorders>
              <w:top w:val="nil"/>
              <w:left w:val="nil"/>
              <w:bottom w:val="nil"/>
              <w:right w:val="nil"/>
            </w:tcBorders>
          </w:tcPr>
          <w:p>
            <w:pP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60" w:hRule="exact"/>
        </w:trPr>
        <w:tc>
          <w:tcPr>
            <w:tcW w:w="1003" w:type="dxa"/>
            <w:tcBorders>
              <w:top w:val="nil"/>
              <w:left w:val="nil"/>
              <w:bottom w:val="nil"/>
              <w:right w:val="nil"/>
            </w:tcBorders>
          </w:tcPr>
          <w:p>
            <w:pPr>
              <w:pStyle w:val="TableParagraph"/>
              <w:spacing w:before="43"/>
              <w:ind w:left="72"/>
              <w:jc w:val="left"/>
              <w:rPr>
                <w:sz w:val="24"/>
              </w:rPr>
            </w:pPr>
            <w:r>
              <w:rPr>
                <w:sz w:val="24"/>
              </w:rPr>
              <w:t>dOM</w:t>
            </w:r>
          </w:p>
        </w:tc>
        <w:tc>
          <w:tcPr>
            <w:tcW w:w="729" w:type="dxa"/>
            <w:tcBorders>
              <w:top w:val="nil"/>
              <w:left w:val="nil"/>
              <w:bottom w:val="nil"/>
              <w:right w:val="nil"/>
            </w:tcBorders>
          </w:tcPr>
          <w:p>
            <w:pPr>
              <w:pStyle w:val="TableParagraph"/>
              <w:spacing w:before="43"/>
              <w:ind w:right="75"/>
              <w:jc w:val="right"/>
              <w:rPr>
                <w:sz w:val="24"/>
              </w:rPr>
            </w:pPr>
            <w:r>
              <w:rPr>
                <w:sz w:val="24"/>
              </w:rPr>
              <w:t>0.72</w:t>
            </w:r>
          </w:p>
        </w:tc>
        <w:tc>
          <w:tcPr>
            <w:tcW w:w="711" w:type="dxa"/>
            <w:tcBorders>
              <w:top w:val="nil"/>
              <w:left w:val="nil"/>
              <w:bottom w:val="nil"/>
              <w:right w:val="nil"/>
            </w:tcBorders>
          </w:tcPr>
          <w:p>
            <w:pPr>
              <w:pStyle w:val="TableParagraph"/>
              <w:spacing w:before="43"/>
              <w:ind w:right="80"/>
              <w:jc w:val="right"/>
              <w:rPr>
                <w:sz w:val="24"/>
              </w:rPr>
            </w:pPr>
            <w:r>
              <w:rPr>
                <w:sz w:val="24"/>
              </w:rPr>
              <w:t>0.44</w:t>
            </w:r>
          </w:p>
        </w:tc>
        <w:tc>
          <w:tcPr>
            <w:tcW w:w="711" w:type="dxa"/>
            <w:tcBorders>
              <w:top w:val="nil"/>
              <w:left w:val="nil"/>
              <w:bottom w:val="nil"/>
              <w:right w:val="nil"/>
            </w:tcBorders>
          </w:tcPr>
          <w:p>
            <w:pPr>
              <w:pStyle w:val="TableParagraph"/>
              <w:spacing w:before="43"/>
              <w:ind w:right="75"/>
              <w:jc w:val="right"/>
              <w:rPr>
                <w:sz w:val="24"/>
              </w:rPr>
            </w:pPr>
            <w:r>
              <w:rPr>
                <w:sz w:val="24"/>
              </w:rPr>
              <w:t>0.04</w:t>
            </w:r>
          </w:p>
        </w:tc>
        <w:tc>
          <w:tcPr>
            <w:tcW w:w="744" w:type="dxa"/>
            <w:tcBorders>
              <w:top w:val="nil"/>
              <w:left w:val="nil"/>
              <w:bottom w:val="nil"/>
              <w:right w:val="nil"/>
            </w:tcBorders>
          </w:tcPr>
          <w:p>
            <w:pPr>
              <w:pStyle w:val="TableParagraph"/>
              <w:spacing w:before="43"/>
              <w:ind w:right="114"/>
              <w:jc w:val="right"/>
              <w:rPr>
                <w:sz w:val="24"/>
              </w:rPr>
            </w:pPr>
            <w:r>
              <w:rPr>
                <w:sz w:val="24"/>
              </w:rPr>
              <w:t>0.14</w:t>
            </w:r>
          </w:p>
        </w:tc>
        <w:tc>
          <w:tcPr>
            <w:tcW w:w="790" w:type="dxa"/>
            <w:tcBorders>
              <w:top w:val="nil"/>
              <w:left w:val="nil"/>
              <w:bottom w:val="nil"/>
              <w:right w:val="nil"/>
            </w:tcBorders>
          </w:tcPr>
          <w:p>
            <w:pPr>
              <w:pStyle w:val="TableParagraph"/>
              <w:spacing w:before="43"/>
              <w:ind w:right="87"/>
              <w:jc w:val="right"/>
              <w:rPr>
                <w:sz w:val="24"/>
              </w:rPr>
            </w:pPr>
            <w:r>
              <w:rPr>
                <w:sz w:val="24"/>
              </w:rPr>
              <w:t>0.06</w:t>
            </w:r>
          </w:p>
        </w:tc>
        <w:tc>
          <w:tcPr>
            <w:tcW w:w="711" w:type="dxa"/>
            <w:tcBorders>
              <w:top w:val="nil"/>
              <w:left w:val="nil"/>
              <w:bottom w:val="nil"/>
              <w:right w:val="nil"/>
            </w:tcBorders>
          </w:tcPr>
          <w:p>
            <w:pPr>
              <w:pStyle w:val="TableParagraph"/>
              <w:spacing w:before="43"/>
              <w:ind w:right="63"/>
              <w:jc w:val="right"/>
              <w:rPr>
                <w:sz w:val="24"/>
              </w:rPr>
            </w:pPr>
            <w:r>
              <w:rPr>
                <w:sz w:val="24"/>
              </w:rPr>
              <w:t>0.89</w:t>
            </w: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22"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spacing w:before="15"/>
              <w:ind w:right="75"/>
              <w:jc w:val="right"/>
              <w:rPr>
                <w:sz w:val="24"/>
              </w:rPr>
            </w:pPr>
            <w:r>
              <w:rPr>
                <w:sz w:val="24"/>
              </w:rPr>
              <w:t>-0.39</w:t>
            </w:r>
          </w:p>
        </w:tc>
        <w:tc>
          <w:tcPr>
            <w:tcW w:w="711" w:type="dxa"/>
            <w:tcBorders>
              <w:top w:val="nil"/>
              <w:left w:val="nil"/>
              <w:bottom w:val="nil"/>
              <w:right w:val="nil"/>
            </w:tcBorders>
          </w:tcPr>
          <w:p>
            <w:pPr>
              <w:pStyle w:val="TableParagraph"/>
              <w:spacing w:before="15"/>
              <w:ind w:right="80"/>
              <w:jc w:val="right"/>
              <w:rPr>
                <w:sz w:val="24"/>
              </w:rPr>
            </w:pPr>
            <w:r>
              <w:rPr>
                <w:sz w:val="24"/>
              </w:rPr>
              <w:t>0.85</w:t>
            </w:r>
          </w:p>
        </w:tc>
        <w:tc>
          <w:tcPr>
            <w:tcW w:w="711" w:type="dxa"/>
            <w:tcBorders>
              <w:top w:val="nil"/>
              <w:left w:val="nil"/>
              <w:bottom w:val="nil"/>
              <w:right w:val="nil"/>
            </w:tcBorders>
          </w:tcPr>
          <w:p>
            <w:pPr>
              <w:pStyle w:val="TableParagraph"/>
              <w:spacing w:before="15"/>
              <w:ind w:right="75"/>
              <w:jc w:val="right"/>
              <w:rPr>
                <w:sz w:val="24"/>
              </w:rPr>
            </w:pPr>
            <w:r>
              <w:rPr>
                <w:sz w:val="24"/>
              </w:rPr>
              <w:t>-3.01</w:t>
            </w:r>
          </w:p>
        </w:tc>
        <w:tc>
          <w:tcPr>
            <w:tcW w:w="744" w:type="dxa"/>
            <w:tcBorders>
              <w:top w:val="nil"/>
              <w:left w:val="nil"/>
              <w:bottom w:val="nil"/>
              <w:right w:val="nil"/>
            </w:tcBorders>
          </w:tcPr>
          <w:p>
            <w:pPr>
              <w:pStyle w:val="TableParagraph"/>
              <w:spacing w:before="15"/>
              <w:ind w:right="114"/>
              <w:jc w:val="right"/>
              <w:rPr>
                <w:sz w:val="24"/>
              </w:rPr>
            </w:pPr>
            <w:r>
              <w:rPr>
                <w:sz w:val="24"/>
              </w:rPr>
              <w:t>-1.81</w:t>
            </w:r>
          </w:p>
        </w:tc>
        <w:tc>
          <w:tcPr>
            <w:tcW w:w="790" w:type="dxa"/>
            <w:tcBorders>
              <w:top w:val="nil"/>
              <w:left w:val="nil"/>
              <w:bottom w:val="nil"/>
              <w:right w:val="nil"/>
            </w:tcBorders>
          </w:tcPr>
          <w:p>
            <w:pPr>
              <w:pStyle w:val="TableParagraph"/>
              <w:spacing w:before="15"/>
              <w:ind w:right="87"/>
              <w:jc w:val="right"/>
              <w:rPr>
                <w:sz w:val="24"/>
              </w:rPr>
            </w:pPr>
            <w:r>
              <w:rPr>
                <w:sz w:val="24"/>
              </w:rPr>
              <w:t>2.64</w:t>
            </w:r>
          </w:p>
        </w:tc>
        <w:tc>
          <w:tcPr>
            <w:tcW w:w="711" w:type="dxa"/>
            <w:tcBorders>
              <w:top w:val="nil"/>
              <w:left w:val="nil"/>
              <w:bottom w:val="nil"/>
              <w:right w:val="nil"/>
            </w:tcBorders>
          </w:tcPr>
          <w:p>
            <w:pPr>
              <w:pStyle w:val="TableParagraph"/>
              <w:spacing w:before="15"/>
              <w:ind w:right="63"/>
              <w:jc w:val="right"/>
              <w:rPr>
                <w:sz w:val="24"/>
              </w:rPr>
            </w:pPr>
            <w:r>
              <w:rPr>
                <w:sz w:val="24"/>
              </w:rPr>
              <w:t>0.14</w:t>
            </w:r>
          </w:p>
        </w:tc>
        <w:tc>
          <w:tcPr>
            <w:tcW w:w="739" w:type="dxa"/>
            <w:tcBorders>
              <w:top w:val="nil"/>
              <w:left w:val="nil"/>
              <w:bottom w:val="nil"/>
              <w:right w:val="nil"/>
            </w:tcBorders>
          </w:tcPr>
          <w:p>
            <w:pP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7" w:hRule="exact"/>
        </w:trPr>
        <w:tc>
          <w:tcPr>
            <w:tcW w:w="1003" w:type="dxa"/>
            <w:tcBorders>
              <w:top w:val="nil"/>
              <w:left w:val="nil"/>
              <w:bottom w:val="nil"/>
              <w:right w:val="nil"/>
            </w:tcBorders>
          </w:tcPr>
          <w:p>
            <w:pPr>
              <w:pStyle w:val="TableParagraph"/>
              <w:spacing w:before="5"/>
              <w:ind w:left="72"/>
              <w:jc w:val="left"/>
              <w:rPr>
                <w:sz w:val="24"/>
              </w:rPr>
            </w:pPr>
            <w:r>
              <w:rPr>
                <w:sz w:val="24"/>
              </w:rPr>
              <w:t>Dndf</w:t>
            </w:r>
          </w:p>
        </w:tc>
        <w:tc>
          <w:tcPr>
            <w:tcW w:w="729" w:type="dxa"/>
            <w:tcBorders>
              <w:top w:val="nil"/>
              <w:left w:val="nil"/>
              <w:bottom w:val="nil"/>
              <w:right w:val="nil"/>
            </w:tcBorders>
          </w:tcPr>
          <w:p>
            <w:pPr>
              <w:pStyle w:val="TableParagraph"/>
              <w:spacing w:before="5"/>
              <w:ind w:right="75"/>
              <w:jc w:val="right"/>
              <w:rPr>
                <w:sz w:val="24"/>
              </w:rPr>
            </w:pPr>
            <w:r>
              <w:rPr>
                <w:sz w:val="24"/>
              </w:rPr>
              <w:t>0.77</w:t>
            </w:r>
          </w:p>
        </w:tc>
        <w:tc>
          <w:tcPr>
            <w:tcW w:w="711" w:type="dxa"/>
            <w:tcBorders>
              <w:top w:val="nil"/>
              <w:left w:val="nil"/>
              <w:bottom w:val="nil"/>
              <w:right w:val="nil"/>
            </w:tcBorders>
          </w:tcPr>
          <w:p>
            <w:pPr>
              <w:pStyle w:val="TableParagraph"/>
              <w:spacing w:before="5"/>
              <w:ind w:right="80"/>
              <w:jc w:val="right"/>
              <w:rPr>
                <w:sz w:val="24"/>
              </w:rPr>
            </w:pPr>
            <w:r>
              <w:rPr>
                <w:sz w:val="24"/>
              </w:rPr>
              <w:t>0.77</w:t>
            </w:r>
          </w:p>
        </w:tc>
        <w:tc>
          <w:tcPr>
            <w:tcW w:w="711" w:type="dxa"/>
            <w:tcBorders>
              <w:top w:val="nil"/>
              <w:left w:val="nil"/>
              <w:bottom w:val="nil"/>
              <w:right w:val="nil"/>
            </w:tcBorders>
          </w:tcPr>
          <w:p>
            <w:pPr>
              <w:pStyle w:val="TableParagraph"/>
              <w:spacing w:before="5"/>
              <w:ind w:right="75"/>
              <w:jc w:val="right"/>
              <w:rPr>
                <w:sz w:val="24"/>
              </w:rPr>
            </w:pPr>
            <w:r>
              <w:rPr>
                <w:sz w:val="24"/>
              </w:rPr>
              <w:t>0.26</w:t>
            </w:r>
          </w:p>
        </w:tc>
        <w:tc>
          <w:tcPr>
            <w:tcW w:w="744" w:type="dxa"/>
            <w:tcBorders>
              <w:top w:val="nil"/>
              <w:left w:val="nil"/>
              <w:bottom w:val="nil"/>
              <w:right w:val="nil"/>
            </w:tcBorders>
          </w:tcPr>
          <w:p>
            <w:pPr>
              <w:pStyle w:val="TableParagraph"/>
              <w:spacing w:before="5"/>
              <w:ind w:right="114"/>
              <w:jc w:val="right"/>
              <w:rPr>
                <w:sz w:val="24"/>
              </w:rPr>
            </w:pPr>
            <w:r>
              <w:rPr>
                <w:sz w:val="24"/>
              </w:rPr>
              <w:t>0.18</w:t>
            </w:r>
          </w:p>
        </w:tc>
        <w:tc>
          <w:tcPr>
            <w:tcW w:w="790" w:type="dxa"/>
            <w:tcBorders>
              <w:top w:val="nil"/>
              <w:left w:val="nil"/>
              <w:bottom w:val="nil"/>
              <w:right w:val="nil"/>
            </w:tcBorders>
          </w:tcPr>
          <w:p>
            <w:pPr>
              <w:pStyle w:val="TableParagraph"/>
              <w:spacing w:before="5"/>
              <w:ind w:right="87"/>
              <w:jc w:val="right"/>
              <w:rPr>
                <w:sz w:val="24"/>
              </w:rPr>
            </w:pPr>
            <w:r>
              <w:rPr>
                <w:sz w:val="24"/>
              </w:rPr>
              <w:t>0.03</w:t>
            </w:r>
          </w:p>
        </w:tc>
        <w:tc>
          <w:tcPr>
            <w:tcW w:w="711" w:type="dxa"/>
            <w:tcBorders>
              <w:top w:val="nil"/>
              <w:left w:val="nil"/>
              <w:bottom w:val="nil"/>
              <w:right w:val="nil"/>
            </w:tcBorders>
          </w:tcPr>
          <w:p>
            <w:pPr>
              <w:pStyle w:val="TableParagraph"/>
              <w:spacing w:before="5"/>
              <w:ind w:right="63"/>
              <w:jc w:val="right"/>
              <w:rPr>
                <w:sz w:val="24"/>
              </w:rPr>
            </w:pPr>
            <w:r>
              <w:rPr>
                <w:sz w:val="24"/>
              </w:rPr>
              <w:t>0.91</w:t>
            </w:r>
          </w:p>
        </w:tc>
        <w:tc>
          <w:tcPr>
            <w:tcW w:w="739" w:type="dxa"/>
            <w:tcBorders>
              <w:top w:val="nil"/>
              <w:left w:val="nil"/>
              <w:bottom w:val="nil"/>
              <w:right w:val="nil"/>
            </w:tcBorders>
          </w:tcPr>
          <w:p>
            <w:pPr>
              <w:pStyle w:val="TableParagraph"/>
              <w:spacing w:before="5"/>
              <w:ind w:right="68"/>
              <w:jc w:val="right"/>
              <w:rPr>
                <w:sz w:val="24"/>
              </w:rPr>
            </w:pPr>
            <w:r>
              <w:rPr>
                <w:sz w:val="24"/>
              </w:rPr>
              <w:t>0.11</w:t>
            </w: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0"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ind w:right="75"/>
              <w:jc w:val="right"/>
              <w:rPr>
                <w:sz w:val="24"/>
              </w:rPr>
            </w:pPr>
            <w:r>
              <w:rPr>
                <w:sz w:val="24"/>
              </w:rPr>
              <w:t>-0.32</w:t>
            </w:r>
          </w:p>
        </w:tc>
        <w:tc>
          <w:tcPr>
            <w:tcW w:w="711" w:type="dxa"/>
            <w:tcBorders>
              <w:top w:val="nil"/>
              <w:left w:val="nil"/>
              <w:bottom w:val="nil"/>
              <w:right w:val="nil"/>
            </w:tcBorders>
          </w:tcPr>
          <w:p>
            <w:pPr>
              <w:pStyle w:val="TableParagraph"/>
              <w:ind w:right="80"/>
              <w:jc w:val="right"/>
              <w:rPr>
                <w:sz w:val="24"/>
              </w:rPr>
            </w:pPr>
            <w:r>
              <w:rPr>
                <w:sz w:val="24"/>
              </w:rPr>
              <w:t>0.31</w:t>
            </w:r>
          </w:p>
        </w:tc>
        <w:tc>
          <w:tcPr>
            <w:tcW w:w="711" w:type="dxa"/>
            <w:tcBorders>
              <w:top w:val="nil"/>
              <w:left w:val="nil"/>
              <w:bottom w:val="nil"/>
              <w:right w:val="nil"/>
            </w:tcBorders>
          </w:tcPr>
          <w:p>
            <w:pPr>
              <w:pStyle w:val="TableParagraph"/>
              <w:ind w:right="75"/>
              <w:jc w:val="right"/>
              <w:rPr>
                <w:sz w:val="24"/>
              </w:rPr>
            </w:pPr>
            <w:r>
              <w:rPr>
                <w:sz w:val="24"/>
              </w:rPr>
              <w:t>-1.31</w:t>
            </w:r>
          </w:p>
        </w:tc>
        <w:tc>
          <w:tcPr>
            <w:tcW w:w="744" w:type="dxa"/>
            <w:tcBorders>
              <w:top w:val="nil"/>
              <w:left w:val="nil"/>
              <w:bottom w:val="nil"/>
              <w:right w:val="nil"/>
            </w:tcBorders>
          </w:tcPr>
          <w:p>
            <w:pPr>
              <w:pStyle w:val="TableParagraph"/>
              <w:ind w:right="114"/>
              <w:jc w:val="right"/>
              <w:rPr>
                <w:sz w:val="24"/>
              </w:rPr>
            </w:pPr>
            <w:r>
              <w:rPr>
                <w:sz w:val="24"/>
              </w:rPr>
              <w:t>-1.63</w:t>
            </w:r>
          </w:p>
        </w:tc>
        <w:tc>
          <w:tcPr>
            <w:tcW w:w="790" w:type="dxa"/>
            <w:tcBorders>
              <w:top w:val="nil"/>
              <w:left w:val="nil"/>
              <w:bottom w:val="nil"/>
              <w:right w:val="nil"/>
            </w:tcBorders>
          </w:tcPr>
          <w:p>
            <w:pPr>
              <w:pStyle w:val="TableParagraph"/>
              <w:ind w:right="87"/>
              <w:jc w:val="right"/>
              <w:rPr>
                <w:sz w:val="24"/>
              </w:rPr>
            </w:pPr>
            <w:r>
              <w:rPr>
                <w:sz w:val="24"/>
              </w:rPr>
              <w:t>3.45</w:t>
            </w:r>
          </w:p>
        </w:tc>
        <w:tc>
          <w:tcPr>
            <w:tcW w:w="711" w:type="dxa"/>
            <w:tcBorders>
              <w:top w:val="nil"/>
              <w:left w:val="nil"/>
              <w:bottom w:val="nil"/>
              <w:right w:val="nil"/>
            </w:tcBorders>
          </w:tcPr>
          <w:p>
            <w:pPr>
              <w:pStyle w:val="TableParagraph"/>
              <w:ind w:right="63"/>
              <w:jc w:val="right"/>
              <w:rPr>
                <w:sz w:val="24"/>
              </w:rPr>
            </w:pPr>
            <w:r>
              <w:rPr>
                <w:sz w:val="24"/>
              </w:rPr>
              <w:t>-0.11</w:t>
            </w:r>
          </w:p>
        </w:tc>
        <w:tc>
          <w:tcPr>
            <w:tcW w:w="739" w:type="dxa"/>
            <w:tcBorders>
              <w:top w:val="nil"/>
              <w:left w:val="nil"/>
              <w:bottom w:val="nil"/>
              <w:right w:val="nil"/>
            </w:tcBorders>
          </w:tcPr>
          <w:p>
            <w:pPr>
              <w:pStyle w:val="TableParagraph"/>
              <w:ind w:right="68"/>
              <w:jc w:val="right"/>
              <w:rPr>
                <w:sz w:val="24"/>
              </w:rPr>
            </w:pPr>
            <w:r>
              <w:rPr>
                <w:sz w:val="24"/>
              </w:rPr>
              <w:t>-2.08</w:t>
            </w:r>
          </w:p>
        </w:tc>
        <w:tc>
          <w:tcPr>
            <w:tcW w:w="780" w:type="dxa"/>
            <w:tcBorders>
              <w:top w:val="nil"/>
              <w:left w:val="nil"/>
              <w:bottom w:val="nil"/>
              <w:right w:val="nil"/>
            </w:tcBorders>
          </w:tcPr>
          <w:p>
            <w:pP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0" w:hRule="exact"/>
        </w:trPr>
        <w:tc>
          <w:tcPr>
            <w:tcW w:w="1003" w:type="dxa"/>
            <w:tcBorders>
              <w:top w:val="nil"/>
              <w:left w:val="nil"/>
              <w:bottom w:val="nil"/>
              <w:right w:val="nil"/>
            </w:tcBorders>
          </w:tcPr>
          <w:p>
            <w:pPr>
              <w:pStyle w:val="TableParagraph"/>
              <w:spacing w:line="274" w:lineRule="exact"/>
              <w:ind w:left="72"/>
              <w:jc w:val="left"/>
              <w:rPr>
                <w:sz w:val="24"/>
              </w:rPr>
            </w:pPr>
            <w:r>
              <w:rPr>
                <w:sz w:val="24"/>
              </w:rPr>
              <w:t>ME</w:t>
            </w:r>
          </w:p>
        </w:tc>
        <w:tc>
          <w:tcPr>
            <w:tcW w:w="729" w:type="dxa"/>
            <w:tcBorders>
              <w:top w:val="nil"/>
              <w:left w:val="nil"/>
              <w:bottom w:val="nil"/>
              <w:right w:val="nil"/>
            </w:tcBorders>
          </w:tcPr>
          <w:p>
            <w:pPr>
              <w:pStyle w:val="TableParagraph"/>
              <w:spacing w:line="274" w:lineRule="exact"/>
              <w:ind w:right="75"/>
              <w:jc w:val="right"/>
              <w:rPr>
                <w:sz w:val="24"/>
              </w:rPr>
            </w:pPr>
            <w:r>
              <w:rPr>
                <w:sz w:val="24"/>
              </w:rPr>
              <w:t>0.71</w:t>
            </w:r>
          </w:p>
        </w:tc>
        <w:tc>
          <w:tcPr>
            <w:tcW w:w="711" w:type="dxa"/>
            <w:tcBorders>
              <w:top w:val="nil"/>
              <w:left w:val="nil"/>
              <w:bottom w:val="nil"/>
              <w:right w:val="nil"/>
            </w:tcBorders>
          </w:tcPr>
          <w:p>
            <w:pPr>
              <w:pStyle w:val="TableParagraph"/>
              <w:spacing w:line="274" w:lineRule="exact"/>
              <w:ind w:right="80"/>
              <w:jc w:val="right"/>
              <w:rPr>
                <w:sz w:val="24"/>
              </w:rPr>
            </w:pPr>
            <w:r>
              <w:rPr>
                <w:sz w:val="24"/>
              </w:rPr>
              <w:t>0.44</w:t>
            </w:r>
          </w:p>
        </w:tc>
        <w:tc>
          <w:tcPr>
            <w:tcW w:w="711" w:type="dxa"/>
            <w:tcBorders>
              <w:top w:val="nil"/>
              <w:left w:val="nil"/>
              <w:bottom w:val="nil"/>
              <w:right w:val="nil"/>
            </w:tcBorders>
          </w:tcPr>
          <w:p>
            <w:pPr>
              <w:pStyle w:val="TableParagraph"/>
              <w:spacing w:line="274" w:lineRule="exact"/>
              <w:ind w:right="75"/>
              <w:jc w:val="right"/>
              <w:rPr>
                <w:sz w:val="24"/>
              </w:rPr>
            </w:pPr>
            <w:r>
              <w:rPr>
                <w:sz w:val="24"/>
              </w:rPr>
              <w:t>0.04</w:t>
            </w:r>
          </w:p>
        </w:tc>
        <w:tc>
          <w:tcPr>
            <w:tcW w:w="744" w:type="dxa"/>
            <w:tcBorders>
              <w:top w:val="nil"/>
              <w:left w:val="nil"/>
              <w:bottom w:val="nil"/>
              <w:right w:val="nil"/>
            </w:tcBorders>
          </w:tcPr>
          <w:p>
            <w:pPr>
              <w:pStyle w:val="TableParagraph"/>
              <w:spacing w:line="274" w:lineRule="exact"/>
              <w:ind w:right="114"/>
              <w:jc w:val="right"/>
              <w:rPr>
                <w:sz w:val="24"/>
              </w:rPr>
            </w:pPr>
            <w:r>
              <w:rPr>
                <w:sz w:val="24"/>
              </w:rPr>
              <w:t>0.15</w:t>
            </w:r>
          </w:p>
        </w:tc>
        <w:tc>
          <w:tcPr>
            <w:tcW w:w="790" w:type="dxa"/>
            <w:tcBorders>
              <w:top w:val="nil"/>
              <w:left w:val="nil"/>
              <w:bottom w:val="nil"/>
              <w:right w:val="nil"/>
            </w:tcBorders>
          </w:tcPr>
          <w:p>
            <w:pPr>
              <w:pStyle w:val="TableParagraph"/>
              <w:spacing w:line="274" w:lineRule="exact"/>
              <w:ind w:right="87"/>
              <w:jc w:val="right"/>
              <w:rPr>
                <w:sz w:val="24"/>
              </w:rPr>
            </w:pPr>
            <w:r>
              <w:rPr>
                <w:sz w:val="24"/>
              </w:rPr>
              <w:t>0.06</w:t>
            </w:r>
          </w:p>
        </w:tc>
        <w:tc>
          <w:tcPr>
            <w:tcW w:w="711" w:type="dxa"/>
            <w:tcBorders>
              <w:top w:val="nil"/>
              <w:left w:val="nil"/>
              <w:bottom w:val="nil"/>
              <w:right w:val="nil"/>
            </w:tcBorders>
          </w:tcPr>
          <w:p>
            <w:pPr>
              <w:pStyle w:val="TableParagraph"/>
              <w:spacing w:line="274" w:lineRule="exact"/>
              <w:ind w:right="63"/>
              <w:jc w:val="right"/>
              <w:rPr>
                <w:sz w:val="24"/>
              </w:rPr>
            </w:pPr>
            <w:r>
              <w:rPr>
                <w:sz w:val="24"/>
              </w:rPr>
              <w:t>0.92</w:t>
            </w:r>
          </w:p>
        </w:tc>
        <w:tc>
          <w:tcPr>
            <w:tcW w:w="739" w:type="dxa"/>
            <w:tcBorders>
              <w:top w:val="nil"/>
              <w:left w:val="nil"/>
              <w:bottom w:val="nil"/>
              <w:right w:val="nil"/>
            </w:tcBorders>
          </w:tcPr>
          <w:p>
            <w:pPr>
              <w:pStyle w:val="TableParagraph"/>
              <w:spacing w:line="274" w:lineRule="exact"/>
              <w:ind w:right="72"/>
              <w:jc w:val="right"/>
              <w:rPr>
                <w:sz w:val="24"/>
              </w:rPr>
            </w:pPr>
            <w:r>
              <w:rPr>
                <w:w w:val="99"/>
                <w:sz w:val="24"/>
              </w:rPr>
              <w:t>0</w:t>
            </w:r>
          </w:p>
        </w:tc>
        <w:tc>
          <w:tcPr>
            <w:tcW w:w="780" w:type="dxa"/>
            <w:tcBorders>
              <w:top w:val="nil"/>
              <w:left w:val="nil"/>
              <w:bottom w:val="nil"/>
              <w:right w:val="nil"/>
            </w:tcBorders>
          </w:tcPr>
          <w:p>
            <w:pPr>
              <w:pStyle w:val="TableParagraph"/>
              <w:spacing w:line="274" w:lineRule="exact"/>
              <w:ind w:right="76"/>
              <w:jc w:val="right"/>
              <w:rPr>
                <w:sz w:val="24"/>
              </w:rPr>
            </w:pPr>
            <w:r>
              <w:rPr>
                <w:w w:val="95"/>
                <w:sz w:val="24"/>
              </w:rPr>
              <w:t>0.1</w:t>
            </w: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0"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ind w:right="75"/>
              <w:jc w:val="right"/>
              <w:rPr>
                <w:sz w:val="24"/>
              </w:rPr>
            </w:pPr>
            <w:r>
              <w:rPr>
                <w:sz w:val="24"/>
              </w:rPr>
              <w:t>0.39</w:t>
            </w:r>
          </w:p>
        </w:tc>
        <w:tc>
          <w:tcPr>
            <w:tcW w:w="711" w:type="dxa"/>
            <w:tcBorders>
              <w:top w:val="nil"/>
              <w:left w:val="nil"/>
              <w:bottom w:val="nil"/>
              <w:right w:val="nil"/>
            </w:tcBorders>
          </w:tcPr>
          <w:p>
            <w:pPr>
              <w:pStyle w:val="TableParagraph"/>
              <w:ind w:right="80"/>
              <w:jc w:val="right"/>
              <w:rPr>
                <w:sz w:val="24"/>
              </w:rPr>
            </w:pPr>
            <w:r>
              <w:rPr>
                <w:sz w:val="24"/>
              </w:rPr>
              <w:t>-0.86</w:t>
            </w:r>
          </w:p>
        </w:tc>
        <w:tc>
          <w:tcPr>
            <w:tcW w:w="711" w:type="dxa"/>
            <w:tcBorders>
              <w:top w:val="nil"/>
              <w:left w:val="nil"/>
              <w:bottom w:val="nil"/>
              <w:right w:val="nil"/>
            </w:tcBorders>
          </w:tcPr>
          <w:p>
            <w:pPr>
              <w:pStyle w:val="TableParagraph"/>
              <w:ind w:right="75"/>
              <w:jc w:val="right"/>
              <w:rPr>
                <w:sz w:val="24"/>
              </w:rPr>
            </w:pPr>
            <w:r>
              <w:rPr>
                <w:sz w:val="24"/>
              </w:rPr>
              <w:t>3.04</w:t>
            </w:r>
          </w:p>
        </w:tc>
        <w:tc>
          <w:tcPr>
            <w:tcW w:w="744" w:type="dxa"/>
            <w:tcBorders>
              <w:top w:val="nil"/>
              <w:left w:val="nil"/>
              <w:bottom w:val="nil"/>
              <w:right w:val="nil"/>
            </w:tcBorders>
          </w:tcPr>
          <w:p>
            <w:pPr>
              <w:pStyle w:val="TableParagraph"/>
              <w:ind w:right="114"/>
              <w:jc w:val="right"/>
              <w:rPr>
                <w:sz w:val="24"/>
              </w:rPr>
            </w:pPr>
            <w:r>
              <w:rPr>
                <w:sz w:val="24"/>
              </w:rPr>
              <w:t>1.77</w:t>
            </w:r>
          </w:p>
        </w:tc>
        <w:tc>
          <w:tcPr>
            <w:tcW w:w="790" w:type="dxa"/>
            <w:tcBorders>
              <w:top w:val="nil"/>
              <w:left w:val="nil"/>
              <w:bottom w:val="nil"/>
              <w:right w:val="nil"/>
            </w:tcBorders>
          </w:tcPr>
          <w:p>
            <w:pPr>
              <w:pStyle w:val="TableParagraph"/>
              <w:ind w:left="149"/>
              <w:jc w:val="left"/>
              <w:rPr>
                <w:sz w:val="24"/>
              </w:rPr>
            </w:pPr>
            <w:r>
              <w:rPr>
                <w:sz w:val="24"/>
              </w:rPr>
              <w:t>-2.62</w:t>
            </w:r>
          </w:p>
        </w:tc>
        <w:tc>
          <w:tcPr>
            <w:tcW w:w="711" w:type="dxa"/>
            <w:tcBorders>
              <w:top w:val="nil"/>
              <w:left w:val="nil"/>
              <w:bottom w:val="nil"/>
              <w:right w:val="nil"/>
            </w:tcBorders>
          </w:tcPr>
          <w:p>
            <w:pPr>
              <w:pStyle w:val="TableParagraph"/>
              <w:ind w:right="63"/>
              <w:jc w:val="right"/>
              <w:rPr>
                <w:sz w:val="24"/>
              </w:rPr>
            </w:pPr>
            <w:r>
              <w:rPr>
                <w:sz w:val="24"/>
              </w:rPr>
              <w:t>-0.11</w:t>
            </w:r>
          </w:p>
        </w:tc>
        <w:tc>
          <w:tcPr>
            <w:tcW w:w="739" w:type="dxa"/>
            <w:tcBorders>
              <w:top w:val="nil"/>
              <w:left w:val="nil"/>
              <w:bottom w:val="nil"/>
              <w:right w:val="nil"/>
            </w:tcBorders>
          </w:tcPr>
          <w:p>
            <w:pPr>
              <w:pStyle w:val="TableParagraph"/>
              <w:ind w:right="69"/>
              <w:jc w:val="right"/>
              <w:rPr>
                <w:sz w:val="24"/>
              </w:rPr>
            </w:pPr>
            <w:r>
              <w:rPr>
                <w:w w:val="95"/>
                <w:sz w:val="24"/>
              </w:rPr>
              <w:t>128.2</w:t>
            </w:r>
          </w:p>
        </w:tc>
        <w:tc>
          <w:tcPr>
            <w:tcW w:w="780" w:type="dxa"/>
            <w:tcBorders>
              <w:top w:val="nil"/>
              <w:left w:val="nil"/>
              <w:bottom w:val="nil"/>
              <w:right w:val="nil"/>
            </w:tcBorders>
          </w:tcPr>
          <w:p>
            <w:pPr>
              <w:pStyle w:val="TableParagraph"/>
              <w:ind w:right="76"/>
              <w:jc w:val="right"/>
              <w:rPr>
                <w:sz w:val="24"/>
              </w:rPr>
            </w:pPr>
            <w:r>
              <w:rPr>
                <w:w w:val="95"/>
                <w:sz w:val="24"/>
              </w:rPr>
              <w:t>2.1</w:t>
            </w:r>
          </w:p>
        </w:tc>
        <w:tc>
          <w:tcPr>
            <w:tcW w:w="696" w:type="dxa"/>
            <w:tcBorders>
              <w:top w:val="nil"/>
              <w:left w:val="nil"/>
              <w:bottom w:val="nil"/>
              <w:right w:val="nil"/>
            </w:tcBorders>
          </w:tcPr>
          <w:p>
            <w:pP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7" w:hRule="exact"/>
        </w:trPr>
        <w:tc>
          <w:tcPr>
            <w:tcW w:w="1003" w:type="dxa"/>
            <w:tcBorders>
              <w:top w:val="nil"/>
              <w:left w:val="nil"/>
              <w:bottom w:val="nil"/>
              <w:right w:val="nil"/>
            </w:tcBorders>
          </w:tcPr>
          <w:p>
            <w:pPr>
              <w:pStyle w:val="TableParagraph"/>
              <w:spacing w:line="274" w:lineRule="exact"/>
              <w:ind w:left="72"/>
              <w:jc w:val="left"/>
              <w:rPr>
                <w:sz w:val="24"/>
              </w:rPr>
            </w:pPr>
            <w:r>
              <w:rPr>
                <w:sz w:val="24"/>
              </w:rPr>
              <w:t>TPs</w:t>
            </w:r>
          </w:p>
        </w:tc>
        <w:tc>
          <w:tcPr>
            <w:tcW w:w="729" w:type="dxa"/>
            <w:tcBorders>
              <w:top w:val="nil"/>
              <w:left w:val="nil"/>
              <w:bottom w:val="nil"/>
              <w:right w:val="nil"/>
            </w:tcBorders>
          </w:tcPr>
          <w:p>
            <w:pPr>
              <w:pStyle w:val="TableParagraph"/>
              <w:spacing w:line="274" w:lineRule="exact"/>
              <w:ind w:right="75"/>
              <w:jc w:val="right"/>
              <w:rPr>
                <w:sz w:val="24"/>
              </w:rPr>
            </w:pPr>
            <w:r>
              <w:rPr>
                <w:sz w:val="24"/>
              </w:rPr>
              <w:t>0.86</w:t>
            </w:r>
          </w:p>
        </w:tc>
        <w:tc>
          <w:tcPr>
            <w:tcW w:w="711" w:type="dxa"/>
            <w:tcBorders>
              <w:top w:val="nil"/>
              <w:left w:val="nil"/>
              <w:bottom w:val="nil"/>
              <w:right w:val="nil"/>
            </w:tcBorders>
          </w:tcPr>
          <w:p>
            <w:pPr>
              <w:pStyle w:val="TableParagraph"/>
              <w:spacing w:line="274" w:lineRule="exact"/>
              <w:ind w:right="80"/>
              <w:jc w:val="right"/>
              <w:rPr>
                <w:sz w:val="24"/>
              </w:rPr>
            </w:pPr>
            <w:r>
              <w:rPr>
                <w:sz w:val="24"/>
              </w:rPr>
              <w:t>0.53</w:t>
            </w:r>
          </w:p>
        </w:tc>
        <w:tc>
          <w:tcPr>
            <w:tcW w:w="711" w:type="dxa"/>
            <w:tcBorders>
              <w:top w:val="nil"/>
              <w:left w:val="nil"/>
              <w:bottom w:val="nil"/>
              <w:right w:val="nil"/>
            </w:tcBorders>
          </w:tcPr>
          <w:p>
            <w:pPr>
              <w:pStyle w:val="TableParagraph"/>
              <w:spacing w:line="274" w:lineRule="exact"/>
              <w:ind w:right="75"/>
              <w:jc w:val="right"/>
              <w:rPr>
                <w:sz w:val="24"/>
              </w:rPr>
            </w:pPr>
            <w:r>
              <w:rPr>
                <w:sz w:val="24"/>
              </w:rPr>
              <w:t>0.11</w:t>
            </w:r>
          </w:p>
        </w:tc>
        <w:tc>
          <w:tcPr>
            <w:tcW w:w="744" w:type="dxa"/>
            <w:tcBorders>
              <w:top w:val="nil"/>
              <w:left w:val="nil"/>
              <w:bottom w:val="nil"/>
              <w:right w:val="nil"/>
            </w:tcBorders>
          </w:tcPr>
          <w:p>
            <w:pPr>
              <w:pStyle w:val="TableParagraph"/>
              <w:spacing w:line="274" w:lineRule="exact"/>
              <w:ind w:right="114"/>
              <w:jc w:val="right"/>
              <w:rPr>
                <w:sz w:val="24"/>
              </w:rPr>
            </w:pPr>
            <w:r>
              <w:rPr>
                <w:sz w:val="24"/>
              </w:rPr>
              <w:t>0.08</w:t>
            </w:r>
          </w:p>
        </w:tc>
        <w:tc>
          <w:tcPr>
            <w:tcW w:w="790" w:type="dxa"/>
            <w:tcBorders>
              <w:top w:val="nil"/>
              <w:left w:val="nil"/>
              <w:bottom w:val="nil"/>
              <w:right w:val="nil"/>
            </w:tcBorders>
          </w:tcPr>
          <w:p>
            <w:pPr>
              <w:pStyle w:val="TableParagraph"/>
              <w:spacing w:line="274" w:lineRule="exact"/>
              <w:ind w:right="87"/>
              <w:jc w:val="right"/>
              <w:rPr>
                <w:sz w:val="24"/>
              </w:rPr>
            </w:pPr>
            <w:r>
              <w:rPr>
                <w:sz w:val="24"/>
              </w:rPr>
              <w:t>0.01</w:t>
            </w:r>
          </w:p>
        </w:tc>
        <w:tc>
          <w:tcPr>
            <w:tcW w:w="711" w:type="dxa"/>
            <w:tcBorders>
              <w:top w:val="nil"/>
              <w:left w:val="nil"/>
              <w:bottom w:val="nil"/>
              <w:right w:val="nil"/>
            </w:tcBorders>
          </w:tcPr>
          <w:p>
            <w:pPr>
              <w:pStyle w:val="TableParagraph"/>
              <w:spacing w:line="274" w:lineRule="exact"/>
              <w:ind w:right="63"/>
              <w:jc w:val="right"/>
              <w:rPr>
                <w:sz w:val="24"/>
              </w:rPr>
            </w:pPr>
            <w:r>
              <w:rPr>
                <w:sz w:val="24"/>
              </w:rPr>
              <w:t>0.85</w:t>
            </w:r>
          </w:p>
        </w:tc>
        <w:tc>
          <w:tcPr>
            <w:tcW w:w="739" w:type="dxa"/>
            <w:tcBorders>
              <w:top w:val="nil"/>
              <w:left w:val="nil"/>
              <w:bottom w:val="nil"/>
              <w:right w:val="nil"/>
            </w:tcBorders>
          </w:tcPr>
          <w:p>
            <w:pPr>
              <w:pStyle w:val="TableParagraph"/>
              <w:spacing w:line="274" w:lineRule="exact"/>
              <w:ind w:right="68"/>
              <w:jc w:val="right"/>
              <w:rPr>
                <w:sz w:val="24"/>
              </w:rPr>
            </w:pPr>
            <w:r>
              <w:rPr>
                <w:sz w:val="24"/>
              </w:rPr>
              <w:t>0.03</w:t>
            </w:r>
          </w:p>
        </w:tc>
        <w:tc>
          <w:tcPr>
            <w:tcW w:w="780" w:type="dxa"/>
            <w:tcBorders>
              <w:top w:val="nil"/>
              <w:left w:val="nil"/>
              <w:bottom w:val="nil"/>
              <w:right w:val="nil"/>
            </w:tcBorders>
          </w:tcPr>
          <w:p>
            <w:pPr>
              <w:pStyle w:val="TableParagraph"/>
              <w:spacing w:line="274" w:lineRule="exact"/>
              <w:ind w:right="75"/>
              <w:jc w:val="right"/>
              <w:rPr>
                <w:sz w:val="24"/>
              </w:rPr>
            </w:pPr>
            <w:r>
              <w:rPr>
                <w:sz w:val="24"/>
              </w:rPr>
              <w:t>0.01</w:t>
            </w:r>
          </w:p>
        </w:tc>
        <w:tc>
          <w:tcPr>
            <w:tcW w:w="696" w:type="dxa"/>
            <w:tcBorders>
              <w:top w:val="nil"/>
              <w:left w:val="nil"/>
              <w:bottom w:val="nil"/>
              <w:right w:val="nil"/>
            </w:tcBorders>
          </w:tcPr>
          <w:p>
            <w:pPr>
              <w:pStyle w:val="TableParagraph"/>
              <w:spacing w:line="274" w:lineRule="exact"/>
              <w:ind w:right="66"/>
              <w:jc w:val="right"/>
              <w:rPr>
                <w:sz w:val="24"/>
              </w:rPr>
            </w:pPr>
            <w:r>
              <w:rPr>
                <w:sz w:val="24"/>
              </w:rPr>
              <w:t>0.03</w:t>
            </w: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17"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spacing w:before="7"/>
              <w:ind w:right="75"/>
              <w:jc w:val="right"/>
              <w:rPr>
                <w:sz w:val="24"/>
              </w:rPr>
            </w:pPr>
            <w:r>
              <w:rPr>
                <w:sz w:val="24"/>
              </w:rPr>
              <w:t>-0.18</w:t>
            </w:r>
          </w:p>
        </w:tc>
        <w:tc>
          <w:tcPr>
            <w:tcW w:w="711" w:type="dxa"/>
            <w:tcBorders>
              <w:top w:val="nil"/>
              <w:left w:val="nil"/>
              <w:bottom w:val="nil"/>
              <w:right w:val="nil"/>
            </w:tcBorders>
          </w:tcPr>
          <w:p>
            <w:pPr>
              <w:pStyle w:val="TableParagraph"/>
              <w:spacing w:before="7"/>
              <w:ind w:right="80"/>
              <w:jc w:val="right"/>
              <w:rPr>
                <w:sz w:val="24"/>
              </w:rPr>
            </w:pPr>
            <w:r>
              <w:rPr>
                <w:sz w:val="24"/>
              </w:rPr>
              <w:t>0.69</w:t>
            </w:r>
          </w:p>
        </w:tc>
        <w:tc>
          <w:tcPr>
            <w:tcW w:w="711" w:type="dxa"/>
            <w:tcBorders>
              <w:top w:val="nil"/>
              <w:left w:val="nil"/>
              <w:bottom w:val="nil"/>
              <w:right w:val="nil"/>
            </w:tcBorders>
          </w:tcPr>
          <w:p>
            <w:pPr>
              <w:pStyle w:val="TableParagraph"/>
              <w:spacing w:before="7"/>
              <w:ind w:right="75"/>
              <w:jc w:val="right"/>
              <w:rPr>
                <w:sz w:val="24"/>
              </w:rPr>
            </w:pPr>
            <w:r>
              <w:rPr>
                <w:sz w:val="24"/>
              </w:rPr>
              <w:t>-2.06</w:t>
            </w:r>
          </w:p>
        </w:tc>
        <w:tc>
          <w:tcPr>
            <w:tcW w:w="744" w:type="dxa"/>
            <w:tcBorders>
              <w:top w:val="nil"/>
              <w:left w:val="nil"/>
              <w:bottom w:val="nil"/>
              <w:right w:val="nil"/>
            </w:tcBorders>
          </w:tcPr>
          <w:p>
            <w:pPr>
              <w:pStyle w:val="TableParagraph"/>
              <w:spacing w:before="7"/>
              <w:ind w:right="114"/>
              <w:jc w:val="right"/>
              <w:rPr>
                <w:sz w:val="24"/>
              </w:rPr>
            </w:pPr>
            <w:r>
              <w:rPr>
                <w:sz w:val="24"/>
              </w:rPr>
              <w:t>-2.36</w:t>
            </w:r>
          </w:p>
        </w:tc>
        <w:tc>
          <w:tcPr>
            <w:tcW w:w="790" w:type="dxa"/>
            <w:tcBorders>
              <w:top w:val="nil"/>
              <w:left w:val="nil"/>
              <w:bottom w:val="nil"/>
              <w:right w:val="nil"/>
            </w:tcBorders>
          </w:tcPr>
          <w:p>
            <w:pPr>
              <w:pStyle w:val="TableParagraph"/>
              <w:spacing w:before="7"/>
              <w:ind w:right="87"/>
              <w:jc w:val="right"/>
              <w:rPr>
                <w:sz w:val="24"/>
              </w:rPr>
            </w:pPr>
            <w:r>
              <w:rPr>
                <w:sz w:val="24"/>
              </w:rPr>
              <w:t>4.66</w:t>
            </w:r>
          </w:p>
        </w:tc>
        <w:tc>
          <w:tcPr>
            <w:tcW w:w="711" w:type="dxa"/>
            <w:tcBorders>
              <w:top w:val="nil"/>
              <w:left w:val="nil"/>
              <w:bottom w:val="nil"/>
              <w:right w:val="nil"/>
            </w:tcBorders>
          </w:tcPr>
          <w:p>
            <w:pPr>
              <w:pStyle w:val="TableParagraph"/>
              <w:spacing w:before="7"/>
              <w:ind w:right="63"/>
              <w:jc w:val="right"/>
              <w:rPr>
                <w:sz w:val="24"/>
              </w:rPr>
            </w:pPr>
            <w:r>
              <w:rPr>
                <w:w w:val="95"/>
                <w:sz w:val="24"/>
              </w:rPr>
              <w:t>0.2</w:t>
            </w:r>
          </w:p>
        </w:tc>
        <w:tc>
          <w:tcPr>
            <w:tcW w:w="739" w:type="dxa"/>
            <w:tcBorders>
              <w:top w:val="nil"/>
              <w:left w:val="nil"/>
              <w:bottom w:val="nil"/>
              <w:right w:val="nil"/>
            </w:tcBorders>
          </w:tcPr>
          <w:p>
            <w:pPr>
              <w:pStyle w:val="TableParagraph"/>
              <w:spacing w:before="7"/>
              <w:ind w:right="68"/>
              <w:jc w:val="right"/>
              <w:rPr>
                <w:sz w:val="24"/>
              </w:rPr>
            </w:pPr>
            <w:r>
              <w:rPr>
                <w:sz w:val="24"/>
              </w:rPr>
              <w:t>-3.34</w:t>
            </w:r>
          </w:p>
        </w:tc>
        <w:tc>
          <w:tcPr>
            <w:tcW w:w="780" w:type="dxa"/>
            <w:tcBorders>
              <w:top w:val="nil"/>
              <w:left w:val="nil"/>
              <w:bottom w:val="nil"/>
              <w:right w:val="nil"/>
            </w:tcBorders>
          </w:tcPr>
          <w:p>
            <w:pPr>
              <w:pStyle w:val="TableParagraph"/>
              <w:spacing w:before="7"/>
              <w:ind w:right="75"/>
              <w:jc w:val="right"/>
              <w:rPr>
                <w:sz w:val="24"/>
              </w:rPr>
            </w:pPr>
            <w:r>
              <w:rPr>
                <w:sz w:val="24"/>
              </w:rPr>
              <w:t>-4.39</w:t>
            </w:r>
          </w:p>
        </w:tc>
        <w:tc>
          <w:tcPr>
            <w:tcW w:w="696" w:type="dxa"/>
            <w:tcBorders>
              <w:top w:val="nil"/>
              <w:left w:val="nil"/>
              <w:bottom w:val="nil"/>
              <w:right w:val="nil"/>
            </w:tcBorders>
          </w:tcPr>
          <w:p>
            <w:pPr>
              <w:pStyle w:val="TableParagraph"/>
              <w:spacing w:before="7"/>
              <w:ind w:right="66"/>
              <w:jc w:val="right"/>
              <w:rPr>
                <w:sz w:val="24"/>
              </w:rPr>
            </w:pPr>
            <w:r>
              <w:rPr>
                <w:sz w:val="24"/>
              </w:rPr>
              <w:t>3.34</w:t>
            </w:r>
          </w:p>
        </w:tc>
        <w:tc>
          <w:tcPr>
            <w:tcW w:w="807" w:type="dxa"/>
            <w:tcBorders>
              <w:top w:val="nil"/>
              <w:left w:val="nil"/>
              <w:bottom w:val="nil"/>
              <w:right w:val="nil"/>
            </w:tcBorders>
          </w:tcPr>
          <w:p>
            <w:pP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7" w:hRule="exact"/>
        </w:trPr>
        <w:tc>
          <w:tcPr>
            <w:tcW w:w="1003" w:type="dxa"/>
            <w:tcBorders>
              <w:top w:val="nil"/>
              <w:left w:val="nil"/>
              <w:bottom w:val="nil"/>
              <w:right w:val="nil"/>
            </w:tcBorders>
          </w:tcPr>
          <w:p>
            <w:pPr>
              <w:pStyle w:val="TableParagraph"/>
              <w:spacing w:before="7"/>
              <w:ind w:left="72"/>
              <w:jc w:val="left"/>
              <w:rPr>
                <w:sz w:val="24"/>
              </w:rPr>
            </w:pPr>
            <w:r>
              <w:rPr>
                <w:sz w:val="24"/>
              </w:rPr>
              <w:t>NPTs</w:t>
            </w:r>
          </w:p>
        </w:tc>
        <w:tc>
          <w:tcPr>
            <w:tcW w:w="729" w:type="dxa"/>
            <w:tcBorders>
              <w:top w:val="nil"/>
              <w:left w:val="nil"/>
              <w:bottom w:val="nil"/>
              <w:right w:val="nil"/>
            </w:tcBorders>
          </w:tcPr>
          <w:p>
            <w:pPr>
              <w:pStyle w:val="TableParagraph"/>
              <w:spacing w:before="7"/>
              <w:ind w:right="75"/>
              <w:jc w:val="right"/>
              <w:rPr>
                <w:sz w:val="24"/>
              </w:rPr>
            </w:pPr>
            <w:r>
              <w:rPr>
                <w:sz w:val="24"/>
              </w:rPr>
              <w:t>0.86</w:t>
            </w:r>
          </w:p>
        </w:tc>
        <w:tc>
          <w:tcPr>
            <w:tcW w:w="711" w:type="dxa"/>
            <w:tcBorders>
              <w:top w:val="nil"/>
              <w:left w:val="nil"/>
              <w:bottom w:val="nil"/>
              <w:right w:val="nil"/>
            </w:tcBorders>
          </w:tcPr>
          <w:p>
            <w:pPr>
              <w:pStyle w:val="TableParagraph"/>
              <w:spacing w:before="7"/>
              <w:ind w:right="80"/>
              <w:jc w:val="right"/>
              <w:rPr>
                <w:sz w:val="24"/>
              </w:rPr>
            </w:pPr>
            <w:r>
              <w:rPr>
                <w:sz w:val="24"/>
              </w:rPr>
              <w:t>0.53</w:t>
            </w:r>
          </w:p>
        </w:tc>
        <w:tc>
          <w:tcPr>
            <w:tcW w:w="711" w:type="dxa"/>
            <w:tcBorders>
              <w:top w:val="nil"/>
              <w:left w:val="nil"/>
              <w:bottom w:val="nil"/>
              <w:right w:val="nil"/>
            </w:tcBorders>
          </w:tcPr>
          <w:p>
            <w:pPr>
              <w:pStyle w:val="TableParagraph"/>
              <w:spacing w:before="7"/>
              <w:ind w:right="75"/>
              <w:jc w:val="right"/>
              <w:rPr>
                <w:sz w:val="24"/>
              </w:rPr>
            </w:pPr>
            <w:r>
              <w:rPr>
                <w:sz w:val="24"/>
              </w:rPr>
              <w:t>0.11</w:t>
            </w:r>
          </w:p>
        </w:tc>
        <w:tc>
          <w:tcPr>
            <w:tcW w:w="744" w:type="dxa"/>
            <w:tcBorders>
              <w:top w:val="nil"/>
              <w:left w:val="nil"/>
              <w:bottom w:val="nil"/>
              <w:right w:val="nil"/>
            </w:tcBorders>
          </w:tcPr>
          <w:p>
            <w:pPr>
              <w:pStyle w:val="TableParagraph"/>
              <w:spacing w:before="7"/>
              <w:ind w:right="114"/>
              <w:jc w:val="right"/>
              <w:rPr>
                <w:sz w:val="24"/>
              </w:rPr>
            </w:pPr>
            <w:r>
              <w:rPr>
                <w:sz w:val="24"/>
              </w:rPr>
              <w:t>0.08</w:t>
            </w:r>
          </w:p>
        </w:tc>
        <w:tc>
          <w:tcPr>
            <w:tcW w:w="790" w:type="dxa"/>
            <w:tcBorders>
              <w:top w:val="nil"/>
              <w:left w:val="nil"/>
              <w:bottom w:val="nil"/>
              <w:right w:val="nil"/>
            </w:tcBorders>
          </w:tcPr>
          <w:p>
            <w:pPr>
              <w:pStyle w:val="TableParagraph"/>
              <w:spacing w:before="7"/>
              <w:ind w:right="87"/>
              <w:jc w:val="right"/>
              <w:rPr>
                <w:sz w:val="24"/>
              </w:rPr>
            </w:pPr>
            <w:r>
              <w:rPr>
                <w:sz w:val="24"/>
              </w:rPr>
              <w:t>0.01</w:t>
            </w:r>
          </w:p>
        </w:tc>
        <w:tc>
          <w:tcPr>
            <w:tcW w:w="711" w:type="dxa"/>
            <w:tcBorders>
              <w:top w:val="nil"/>
              <w:left w:val="nil"/>
              <w:bottom w:val="nil"/>
              <w:right w:val="nil"/>
            </w:tcBorders>
          </w:tcPr>
          <w:p>
            <w:pPr>
              <w:pStyle w:val="TableParagraph"/>
              <w:spacing w:before="7"/>
              <w:ind w:right="63"/>
              <w:jc w:val="right"/>
              <w:rPr>
                <w:sz w:val="24"/>
              </w:rPr>
            </w:pPr>
            <w:r>
              <w:rPr>
                <w:sz w:val="24"/>
              </w:rPr>
              <w:t>0.86</w:t>
            </w:r>
          </w:p>
        </w:tc>
        <w:tc>
          <w:tcPr>
            <w:tcW w:w="739" w:type="dxa"/>
            <w:tcBorders>
              <w:top w:val="nil"/>
              <w:left w:val="nil"/>
              <w:bottom w:val="nil"/>
              <w:right w:val="nil"/>
            </w:tcBorders>
          </w:tcPr>
          <w:p>
            <w:pPr>
              <w:pStyle w:val="TableParagraph"/>
              <w:spacing w:before="7"/>
              <w:ind w:right="68"/>
              <w:jc w:val="right"/>
              <w:rPr>
                <w:sz w:val="24"/>
              </w:rPr>
            </w:pPr>
            <w:r>
              <w:rPr>
                <w:sz w:val="24"/>
              </w:rPr>
              <w:t>0.03</w:t>
            </w:r>
          </w:p>
        </w:tc>
        <w:tc>
          <w:tcPr>
            <w:tcW w:w="780" w:type="dxa"/>
            <w:tcBorders>
              <w:top w:val="nil"/>
              <w:left w:val="nil"/>
              <w:bottom w:val="nil"/>
              <w:right w:val="nil"/>
            </w:tcBorders>
          </w:tcPr>
          <w:p>
            <w:pPr>
              <w:pStyle w:val="TableParagraph"/>
              <w:spacing w:before="7"/>
              <w:ind w:right="75"/>
              <w:jc w:val="right"/>
              <w:rPr>
                <w:sz w:val="24"/>
              </w:rPr>
            </w:pPr>
            <w:r>
              <w:rPr>
                <w:sz w:val="24"/>
              </w:rPr>
              <w:t>0.01</w:t>
            </w:r>
          </w:p>
        </w:tc>
        <w:tc>
          <w:tcPr>
            <w:tcW w:w="696" w:type="dxa"/>
            <w:tcBorders>
              <w:top w:val="nil"/>
              <w:left w:val="nil"/>
              <w:bottom w:val="nil"/>
              <w:right w:val="nil"/>
            </w:tcBorders>
          </w:tcPr>
          <w:p>
            <w:pPr>
              <w:pStyle w:val="TableParagraph"/>
              <w:spacing w:before="7"/>
              <w:ind w:right="66"/>
              <w:jc w:val="right"/>
              <w:rPr>
                <w:sz w:val="24"/>
              </w:rPr>
            </w:pPr>
            <w:r>
              <w:rPr>
                <w:sz w:val="24"/>
              </w:rPr>
              <w:t>0.03</w:t>
            </w:r>
          </w:p>
        </w:tc>
        <w:tc>
          <w:tcPr>
            <w:tcW w:w="807" w:type="dxa"/>
            <w:tcBorders>
              <w:top w:val="nil"/>
              <w:left w:val="nil"/>
              <w:bottom w:val="nil"/>
              <w:right w:val="nil"/>
            </w:tcBorders>
          </w:tcPr>
          <w:p>
            <w:pPr>
              <w:pStyle w:val="TableParagraph"/>
              <w:spacing w:before="7"/>
              <w:ind w:right="70"/>
              <w:jc w:val="right"/>
              <w:rPr>
                <w:sz w:val="24"/>
              </w:rPr>
            </w:pPr>
            <w:r>
              <w:rPr>
                <w:w w:val="99"/>
                <w:sz w:val="24"/>
              </w:rPr>
              <w:t>0</w:t>
            </w: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43"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spacing w:line="274" w:lineRule="exact"/>
              <w:ind w:right="75"/>
              <w:jc w:val="right"/>
              <w:rPr>
                <w:sz w:val="24"/>
              </w:rPr>
            </w:pPr>
            <w:r>
              <w:rPr>
                <w:sz w:val="24"/>
              </w:rPr>
              <w:t>0.19</w:t>
            </w:r>
          </w:p>
        </w:tc>
        <w:tc>
          <w:tcPr>
            <w:tcW w:w="711" w:type="dxa"/>
            <w:tcBorders>
              <w:top w:val="nil"/>
              <w:left w:val="nil"/>
              <w:bottom w:val="nil"/>
              <w:right w:val="nil"/>
            </w:tcBorders>
          </w:tcPr>
          <w:p>
            <w:pPr>
              <w:pStyle w:val="TableParagraph"/>
              <w:spacing w:line="274" w:lineRule="exact"/>
              <w:ind w:right="80"/>
              <w:jc w:val="right"/>
              <w:rPr>
                <w:sz w:val="24"/>
              </w:rPr>
            </w:pPr>
            <w:r>
              <w:rPr>
                <w:sz w:val="24"/>
              </w:rPr>
              <w:t>-0.7</w:t>
            </w:r>
          </w:p>
        </w:tc>
        <w:tc>
          <w:tcPr>
            <w:tcW w:w="711" w:type="dxa"/>
            <w:tcBorders>
              <w:top w:val="nil"/>
              <w:left w:val="nil"/>
              <w:bottom w:val="nil"/>
              <w:right w:val="nil"/>
            </w:tcBorders>
          </w:tcPr>
          <w:p>
            <w:pPr>
              <w:pStyle w:val="TableParagraph"/>
              <w:spacing w:line="274" w:lineRule="exact"/>
              <w:ind w:right="75"/>
              <w:jc w:val="right"/>
              <w:rPr>
                <w:sz w:val="24"/>
              </w:rPr>
            </w:pPr>
            <w:r>
              <w:rPr>
                <w:sz w:val="24"/>
              </w:rPr>
              <w:t>2.06</w:t>
            </w:r>
          </w:p>
        </w:tc>
        <w:tc>
          <w:tcPr>
            <w:tcW w:w="744" w:type="dxa"/>
            <w:tcBorders>
              <w:top w:val="nil"/>
              <w:left w:val="nil"/>
              <w:bottom w:val="nil"/>
              <w:right w:val="nil"/>
            </w:tcBorders>
          </w:tcPr>
          <w:p>
            <w:pPr>
              <w:pStyle w:val="TableParagraph"/>
              <w:spacing w:line="274" w:lineRule="exact"/>
              <w:ind w:right="114"/>
              <w:jc w:val="right"/>
              <w:rPr>
                <w:sz w:val="24"/>
              </w:rPr>
            </w:pPr>
            <w:r>
              <w:rPr>
                <w:sz w:val="24"/>
              </w:rPr>
              <w:t>2.32</w:t>
            </w:r>
          </w:p>
        </w:tc>
        <w:tc>
          <w:tcPr>
            <w:tcW w:w="790" w:type="dxa"/>
            <w:tcBorders>
              <w:top w:val="nil"/>
              <w:left w:val="nil"/>
              <w:bottom w:val="nil"/>
              <w:right w:val="nil"/>
            </w:tcBorders>
          </w:tcPr>
          <w:p>
            <w:pPr>
              <w:pStyle w:val="TableParagraph"/>
              <w:spacing w:line="274" w:lineRule="exact"/>
              <w:ind w:right="87"/>
              <w:jc w:val="right"/>
              <w:rPr>
                <w:sz w:val="24"/>
              </w:rPr>
            </w:pPr>
            <w:r>
              <w:rPr>
                <w:sz w:val="24"/>
              </w:rPr>
              <w:t>-4.6</w:t>
            </w:r>
          </w:p>
        </w:tc>
        <w:tc>
          <w:tcPr>
            <w:tcW w:w="711" w:type="dxa"/>
            <w:tcBorders>
              <w:top w:val="nil"/>
              <w:left w:val="nil"/>
              <w:bottom w:val="nil"/>
              <w:right w:val="nil"/>
            </w:tcBorders>
          </w:tcPr>
          <w:p>
            <w:pPr>
              <w:pStyle w:val="TableParagraph"/>
              <w:spacing w:line="274" w:lineRule="exact"/>
              <w:ind w:right="63"/>
              <w:jc w:val="right"/>
              <w:rPr>
                <w:sz w:val="24"/>
              </w:rPr>
            </w:pPr>
            <w:r>
              <w:rPr>
                <w:sz w:val="24"/>
              </w:rPr>
              <w:t>-0.18</w:t>
            </w:r>
          </w:p>
        </w:tc>
        <w:tc>
          <w:tcPr>
            <w:tcW w:w="739" w:type="dxa"/>
            <w:tcBorders>
              <w:top w:val="nil"/>
              <w:left w:val="nil"/>
              <w:bottom w:val="nil"/>
              <w:right w:val="nil"/>
            </w:tcBorders>
          </w:tcPr>
          <w:p>
            <w:pPr>
              <w:pStyle w:val="TableParagraph"/>
              <w:spacing w:line="274" w:lineRule="exact"/>
              <w:ind w:right="68"/>
              <w:jc w:val="right"/>
              <w:rPr>
                <w:sz w:val="24"/>
              </w:rPr>
            </w:pPr>
            <w:r>
              <w:rPr>
                <w:sz w:val="24"/>
              </w:rPr>
              <w:t>3.32</w:t>
            </w:r>
          </w:p>
        </w:tc>
        <w:tc>
          <w:tcPr>
            <w:tcW w:w="780" w:type="dxa"/>
            <w:tcBorders>
              <w:top w:val="nil"/>
              <w:left w:val="nil"/>
              <w:bottom w:val="nil"/>
              <w:right w:val="nil"/>
            </w:tcBorders>
          </w:tcPr>
          <w:p>
            <w:pPr>
              <w:pStyle w:val="TableParagraph"/>
              <w:spacing w:line="274" w:lineRule="exact"/>
              <w:ind w:right="75"/>
              <w:jc w:val="right"/>
              <w:rPr>
                <w:sz w:val="24"/>
              </w:rPr>
            </w:pPr>
            <w:r>
              <w:rPr>
                <w:sz w:val="24"/>
              </w:rPr>
              <w:t>4.43</w:t>
            </w:r>
          </w:p>
        </w:tc>
        <w:tc>
          <w:tcPr>
            <w:tcW w:w="696" w:type="dxa"/>
            <w:tcBorders>
              <w:top w:val="nil"/>
              <w:left w:val="nil"/>
              <w:bottom w:val="nil"/>
              <w:right w:val="nil"/>
            </w:tcBorders>
          </w:tcPr>
          <w:p>
            <w:pPr>
              <w:pStyle w:val="TableParagraph"/>
              <w:spacing w:line="274" w:lineRule="exact"/>
              <w:ind w:right="66"/>
              <w:jc w:val="right"/>
              <w:rPr>
                <w:sz w:val="24"/>
              </w:rPr>
            </w:pPr>
            <w:r>
              <w:rPr>
                <w:sz w:val="24"/>
              </w:rPr>
              <w:t>-3.33</w:t>
            </w:r>
          </w:p>
        </w:tc>
        <w:tc>
          <w:tcPr>
            <w:tcW w:w="807" w:type="dxa"/>
            <w:tcBorders>
              <w:top w:val="nil"/>
              <w:left w:val="nil"/>
              <w:bottom w:val="nil"/>
              <w:right w:val="nil"/>
            </w:tcBorders>
          </w:tcPr>
          <w:p>
            <w:pPr>
              <w:pStyle w:val="TableParagraph"/>
              <w:spacing w:line="274" w:lineRule="exact"/>
              <w:ind w:right="65"/>
              <w:jc w:val="right"/>
              <w:rPr>
                <w:sz w:val="24"/>
              </w:rPr>
            </w:pPr>
            <w:r>
              <w:rPr>
                <w:w w:val="95"/>
                <w:sz w:val="24"/>
              </w:rPr>
              <w:t>214</w:t>
            </w:r>
          </w:p>
        </w:tc>
        <w:tc>
          <w:tcPr>
            <w:tcW w:w="739" w:type="dxa"/>
            <w:tcBorders>
              <w:top w:val="nil"/>
              <w:left w:val="nil"/>
              <w:bottom w:val="nil"/>
              <w:right w:val="nil"/>
            </w:tcBorders>
          </w:tcPr>
          <w:p>
            <w:pP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98" w:hRule="exact"/>
        </w:trPr>
        <w:tc>
          <w:tcPr>
            <w:tcW w:w="1003" w:type="dxa"/>
            <w:tcBorders>
              <w:top w:val="nil"/>
              <w:left w:val="nil"/>
              <w:bottom w:val="nil"/>
              <w:right w:val="nil"/>
            </w:tcBorders>
          </w:tcPr>
          <w:p>
            <w:pPr>
              <w:pStyle w:val="TableParagraph"/>
              <w:spacing w:before="43"/>
              <w:ind w:left="72"/>
              <w:jc w:val="left"/>
              <w:rPr>
                <w:sz w:val="24"/>
              </w:rPr>
            </w:pPr>
            <w:r>
              <w:rPr>
                <w:sz w:val="24"/>
              </w:rPr>
              <w:t>TTs</w:t>
            </w:r>
          </w:p>
        </w:tc>
        <w:tc>
          <w:tcPr>
            <w:tcW w:w="729" w:type="dxa"/>
            <w:tcBorders>
              <w:top w:val="nil"/>
              <w:left w:val="nil"/>
              <w:bottom w:val="nil"/>
              <w:right w:val="nil"/>
            </w:tcBorders>
          </w:tcPr>
          <w:p>
            <w:pPr>
              <w:pStyle w:val="TableParagraph"/>
              <w:spacing w:before="43"/>
              <w:ind w:right="75"/>
              <w:jc w:val="right"/>
              <w:rPr>
                <w:sz w:val="24"/>
              </w:rPr>
            </w:pPr>
            <w:r>
              <w:rPr>
                <w:sz w:val="24"/>
              </w:rPr>
              <w:t>0.86</w:t>
            </w:r>
          </w:p>
        </w:tc>
        <w:tc>
          <w:tcPr>
            <w:tcW w:w="711" w:type="dxa"/>
            <w:tcBorders>
              <w:top w:val="nil"/>
              <w:left w:val="nil"/>
              <w:bottom w:val="nil"/>
              <w:right w:val="nil"/>
            </w:tcBorders>
          </w:tcPr>
          <w:p>
            <w:pPr>
              <w:pStyle w:val="TableParagraph"/>
              <w:spacing w:before="43"/>
              <w:ind w:right="80"/>
              <w:jc w:val="right"/>
              <w:rPr>
                <w:sz w:val="24"/>
              </w:rPr>
            </w:pPr>
            <w:r>
              <w:rPr>
                <w:sz w:val="24"/>
              </w:rPr>
              <w:t>0.53</w:t>
            </w:r>
          </w:p>
        </w:tc>
        <w:tc>
          <w:tcPr>
            <w:tcW w:w="711" w:type="dxa"/>
            <w:tcBorders>
              <w:top w:val="nil"/>
              <w:left w:val="nil"/>
              <w:bottom w:val="nil"/>
              <w:right w:val="nil"/>
            </w:tcBorders>
          </w:tcPr>
          <w:p>
            <w:pPr>
              <w:pStyle w:val="TableParagraph"/>
              <w:spacing w:before="43"/>
              <w:ind w:right="75"/>
              <w:jc w:val="right"/>
              <w:rPr>
                <w:sz w:val="24"/>
              </w:rPr>
            </w:pPr>
            <w:r>
              <w:rPr>
                <w:sz w:val="24"/>
              </w:rPr>
              <w:t>0.11</w:t>
            </w:r>
          </w:p>
        </w:tc>
        <w:tc>
          <w:tcPr>
            <w:tcW w:w="744" w:type="dxa"/>
            <w:tcBorders>
              <w:top w:val="nil"/>
              <w:left w:val="nil"/>
              <w:bottom w:val="nil"/>
              <w:right w:val="nil"/>
            </w:tcBorders>
          </w:tcPr>
          <w:p>
            <w:pPr>
              <w:pStyle w:val="TableParagraph"/>
              <w:spacing w:before="43"/>
              <w:ind w:right="114"/>
              <w:jc w:val="right"/>
              <w:rPr>
                <w:sz w:val="24"/>
              </w:rPr>
            </w:pPr>
            <w:r>
              <w:rPr>
                <w:sz w:val="24"/>
              </w:rPr>
              <w:t>0.08</w:t>
            </w:r>
          </w:p>
        </w:tc>
        <w:tc>
          <w:tcPr>
            <w:tcW w:w="790" w:type="dxa"/>
            <w:tcBorders>
              <w:top w:val="nil"/>
              <w:left w:val="nil"/>
              <w:bottom w:val="nil"/>
              <w:right w:val="nil"/>
            </w:tcBorders>
          </w:tcPr>
          <w:p>
            <w:pPr>
              <w:pStyle w:val="TableParagraph"/>
              <w:spacing w:before="43"/>
              <w:ind w:right="87"/>
              <w:jc w:val="right"/>
              <w:rPr>
                <w:sz w:val="24"/>
              </w:rPr>
            </w:pPr>
            <w:r>
              <w:rPr>
                <w:sz w:val="24"/>
              </w:rPr>
              <w:t>0.01</w:t>
            </w:r>
          </w:p>
        </w:tc>
        <w:tc>
          <w:tcPr>
            <w:tcW w:w="711" w:type="dxa"/>
            <w:tcBorders>
              <w:top w:val="nil"/>
              <w:left w:val="nil"/>
              <w:bottom w:val="nil"/>
              <w:right w:val="nil"/>
            </w:tcBorders>
          </w:tcPr>
          <w:p>
            <w:pPr>
              <w:pStyle w:val="TableParagraph"/>
              <w:spacing w:before="43"/>
              <w:ind w:right="63"/>
              <w:jc w:val="right"/>
              <w:rPr>
                <w:sz w:val="24"/>
              </w:rPr>
            </w:pPr>
            <w:r>
              <w:rPr>
                <w:sz w:val="24"/>
              </w:rPr>
              <w:t>0.85</w:t>
            </w:r>
          </w:p>
        </w:tc>
        <w:tc>
          <w:tcPr>
            <w:tcW w:w="739" w:type="dxa"/>
            <w:tcBorders>
              <w:top w:val="nil"/>
              <w:left w:val="nil"/>
              <w:bottom w:val="nil"/>
              <w:right w:val="nil"/>
            </w:tcBorders>
          </w:tcPr>
          <w:p>
            <w:pPr>
              <w:pStyle w:val="TableParagraph"/>
              <w:spacing w:before="43"/>
              <w:ind w:right="68"/>
              <w:jc w:val="right"/>
              <w:rPr>
                <w:sz w:val="24"/>
              </w:rPr>
            </w:pPr>
            <w:r>
              <w:rPr>
                <w:sz w:val="24"/>
              </w:rPr>
              <w:t>0.03</w:t>
            </w:r>
          </w:p>
        </w:tc>
        <w:tc>
          <w:tcPr>
            <w:tcW w:w="780" w:type="dxa"/>
            <w:tcBorders>
              <w:top w:val="nil"/>
              <w:left w:val="nil"/>
              <w:bottom w:val="nil"/>
              <w:right w:val="nil"/>
            </w:tcBorders>
          </w:tcPr>
          <w:p>
            <w:pPr>
              <w:pStyle w:val="TableParagraph"/>
              <w:spacing w:before="43"/>
              <w:ind w:right="75"/>
              <w:jc w:val="right"/>
              <w:rPr>
                <w:sz w:val="24"/>
              </w:rPr>
            </w:pPr>
            <w:r>
              <w:rPr>
                <w:sz w:val="24"/>
              </w:rPr>
              <w:t>0.01</w:t>
            </w:r>
          </w:p>
        </w:tc>
        <w:tc>
          <w:tcPr>
            <w:tcW w:w="696" w:type="dxa"/>
            <w:tcBorders>
              <w:top w:val="nil"/>
              <w:left w:val="nil"/>
              <w:bottom w:val="nil"/>
              <w:right w:val="nil"/>
            </w:tcBorders>
          </w:tcPr>
          <w:p>
            <w:pPr>
              <w:pStyle w:val="TableParagraph"/>
              <w:spacing w:before="43"/>
              <w:ind w:right="66"/>
              <w:jc w:val="right"/>
              <w:rPr>
                <w:sz w:val="24"/>
              </w:rPr>
            </w:pPr>
            <w:r>
              <w:rPr>
                <w:sz w:val="24"/>
              </w:rPr>
              <w:t>0.03</w:t>
            </w:r>
          </w:p>
        </w:tc>
        <w:tc>
          <w:tcPr>
            <w:tcW w:w="807" w:type="dxa"/>
            <w:tcBorders>
              <w:top w:val="nil"/>
              <w:left w:val="nil"/>
              <w:bottom w:val="nil"/>
              <w:right w:val="nil"/>
            </w:tcBorders>
          </w:tcPr>
          <w:p>
            <w:pPr>
              <w:pStyle w:val="TableParagraph"/>
              <w:spacing w:before="43"/>
              <w:ind w:right="70"/>
              <w:jc w:val="right"/>
              <w:rPr>
                <w:sz w:val="24"/>
              </w:rPr>
            </w:pPr>
            <w:r>
              <w:rPr>
                <w:w w:val="99"/>
                <w:sz w:val="24"/>
              </w:rPr>
              <w:t>0</w:t>
            </w:r>
          </w:p>
        </w:tc>
        <w:tc>
          <w:tcPr>
            <w:tcW w:w="739" w:type="dxa"/>
            <w:tcBorders>
              <w:top w:val="nil"/>
              <w:left w:val="nil"/>
              <w:bottom w:val="nil"/>
              <w:right w:val="nil"/>
            </w:tcBorders>
          </w:tcPr>
          <w:p>
            <w:pPr>
              <w:pStyle w:val="TableParagraph"/>
              <w:spacing w:before="43"/>
              <w:ind w:right="70"/>
              <w:jc w:val="right"/>
              <w:rPr>
                <w:sz w:val="24"/>
              </w:rPr>
            </w:pPr>
            <w:r>
              <w:rPr>
                <w:w w:val="99"/>
                <w:sz w:val="24"/>
              </w:rPr>
              <w:t>0</w:t>
            </w: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60"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spacing w:before="53"/>
              <w:ind w:right="75"/>
              <w:jc w:val="right"/>
              <w:rPr>
                <w:sz w:val="24"/>
              </w:rPr>
            </w:pPr>
            <w:r>
              <w:rPr>
                <w:sz w:val="24"/>
              </w:rPr>
              <w:t>0.18</w:t>
            </w:r>
          </w:p>
        </w:tc>
        <w:tc>
          <w:tcPr>
            <w:tcW w:w="711" w:type="dxa"/>
            <w:tcBorders>
              <w:top w:val="nil"/>
              <w:left w:val="nil"/>
              <w:bottom w:val="nil"/>
              <w:right w:val="nil"/>
            </w:tcBorders>
          </w:tcPr>
          <w:p>
            <w:pPr>
              <w:pStyle w:val="TableParagraph"/>
              <w:spacing w:before="53"/>
              <w:ind w:right="80"/>
              <w:jc w:val="right"/>
              <w:rPr>
                <w:sz w:val="24"/>
              </w:rPr>
            </w:pPr>
            <w:r>
              <w:rPr>
                <w:sz w:val="24"/>
              </w:rPr>
              <w:t>-0.69</w:t>
            </w:r>
          </w:p>
        </w:tc>
        <w:tc>
          <w:tcPr>
            <w:tcW w:w="711" w:type="dxa"/>
            <w:tcBorders>
              <w:top w:val="nil"/>
              <w:left w:val="nil"/>
              <w:bottom w:val="nil"/>
              <w:right w:val="nil"/>
            </w:tcBorders>
          </w:tcPr>
          <w:p>
            <w:pPr>
              <w:pStyle w:val="TableParagraph"/>
              <w:spacing w:before="53"/>
              <w:ind w:right="75"/>
              <w:jc w:val="right"/>
              <w:rPr>
                <w:sz w:val="24"/>
              </w:rPr>
            </w:pPr>
            <w:r>
              <w:rPr>
                <w:sz w:val="24"/>
              </w:rPr>
              <w:t>2.06</w:t>
            </w:r>
          </w:p>
        </w:tc>
        <w:tc>
          <w:tcPr>
            <w:tcW w:w="744" w:type="dxa"/>
            <w:tcBorders>
              <w:top w:val="nil"/>
              <w:left w:val="nil"/>
              <w:bottom w:val="nil"/>
              <w:right w:val="nil"/>
            </w:tcBorders>
          </w:tcPr>
          <w:p>
            <w:pPr>
              <w:pStyle w:val="TableParagraph"/>
              <w:spacing w:before="53"/>
              <w:ind w:right="114"/>
              <w:jc w:val="right"/>
              <w:rPr>
                <w:sz w:val="24"/>
              </w:rPr>
            </w:pPr>
            <w:r>
              <w:rPr>
                <w:sz w:val="24"/>
              </w:rPr>
              <w:t>2.36</w:t>
            </w:r>
          </w:p>
        </w:tc>
        <w:tc>
          <w:tcPr>
            <w:tcW w:w="790" w:type="dxa"/>
            <w:tcBorders>
              <w:top w:val="nil"/>
              <w:left w:val="nil"/>
              <w:bottom w:val="nil"/>
              <w:right w:val="nil"/>
            </w:tcBorders>
          </w:tcPr>
          <w:p>
            <w:pPr>
              <w:pStyle w:val="TableParagraph"/>
              <w:spacing w:before="53"/>
              <w:ind w:left="149"/>
              <w:jc w:val="left"/>
              <w:rPr>
                <w:sz w:val="24"/>
              </w:rPr>
            </w:pPr>
            <w:r>
              <w:rPr>
                <w:sz w:val="24"/>
              </w:rPr>
              <w:t>-4.66</w:t>
            </w:r>
          </w:p>
        </w:tc>
        <w:tc>
          <w:tcPr>
            <w:tcW w:w="711" w:type="dxa"/>
            <w:tcBorders>
              <w:top w:val="nil"/>
              <w:left w:val="nil"/>
              <w:bottom w:val="nil"/>
              <w:right w:val="nil"/>
            </w:tcBorders>
          </w:tcPr>
          <w:p>
            <w:pPr>
              <w:pStyle w:val="TableParagraph"/>
              <w:spacing w:before="53"/>
              <w:ind w:right="63"/>
              <w:jc w:val="right"/>
              <w:rPr>
                <w:sz w:val="24"/>
              </w:rPr>
            </w:pPr>
            <w:r>
              <w:rPr>
                <w:sz w:val="24"/>
              </w:rPr>
              <w:t>-0.2</w:t>
            </w:r>
          </w:p>
        </w:tc>
        <w:tc>
          <w:tcPr>
            <w:tcW w:w="739" w:type="dxa"/>
            <w:tcBorders>
              <w:top w:val="nil"/>
              <w:left w:val="nil"/>
              <w:bottom w:val="nil"/>
              <w:right w:val="nil"/>
            </w:tcBorders>
          </w:tcPr>
          <w:p>
            <w:pPr>
              <w:pStyle w:val="TableParagraph"/>
              <w:spacing w:before="53"/>
              <w:ind w:right="68"/>
              <w:jc w:val="right"/>
              <w:rPr>
                <w:sz w:val="24"/>
              </w:rPr>
            </w:pPr>
            <w:r>
              <w:rPr>
                <w:sz w:val="24"/>
              </w:rPr>
              <w:t>3.34</w:t>
            </w:r>
          </w:p>
        </w:tc>
        <w:tc>
          <w:tcPr>
            <w:tcW w:w="780" w:type="dxa"/>
            <w:tcBorders>
              <w:top w:val="nil"/>
              <w:left w:val="nil"/>
              <w:bottom w:val="nil"/>
              <w:right w:val="nil"/>
            </w:tcBorders>
          </w:tcPr>
          <w:p>
            <w:pPr>
              <w:pStyle w:val="TableParagraph"/>
              <w:spacing w:before="53"/>
              <w:ind w:right="75"/>
              <w:jc w:val="right"/>
              <w:rPr>
                <w:sz w:val="24"/>
              </w:rPr>
            </w:pPr>
            <w:r>
              <w:rPr>
                <w:sz w:val="24"/>
              </w:rPr>
              <w:t>4.39</w:t>
            </w:r>
          </w:p>
        </w:tc>
        <w:tc>
          <w:tcPr>
            <w:tcW w:w="696" w:type="dxa"/>
            <w:tcBorders>
              <w:top w:val="nil"/>
              <w:left w:val="nil"/>
              <w:bottom w:val="nil"/>
              <w:right w:val="nil"/>
            </w:tcBorders>
          </w:tcPr>
          <w:p>
            <w:pPr>
              <w:pStyle w:val="TableParagraph"/>
              <w:spacing w:before="53"/>
              <w:ind w:right="66"/>
              <w:jc w:val="right"/>
              <w:rPr>
                <w:sz w:val="24"/>
              </w:rPr>
            </w:pPr>
            <w:r>
              <w:rPr>
                <w:sz w:val="24"/>
              </w:rPr>
              <w:t>-3.34</w:t>
            </w:r>
          </w:p>
        </w:tc>
        <w:tc>
          <w:tcPr>
            <w:tcW w:w="807" w:type="dxa"/>
            <w:tcBorders>
              <w:top w:val="nil"/>
              <w:left w:val="nil"/>
              <w:bottom w:val="nil"/>
              <w:right w:val="nil"/>
            </w:tcBorders>
          </w:tcPr>
          <w:p>
            <w:pPr>
              <w:pStyle w:val="TableParagraph"/>
              <w:spacing w:before="53"/>
              <w:ind w:right="65"/>
              <w:jc w:val="right"/>
              <w:rPr>
                <w:sz w:val="24"/>
              </w:rPr>
            </w:pPr>
            <w:r>
              <w:rPr>
                <w:w w:val="95"/>
                <w:sz w:val="24"/>
              </w:rPr>
              <w:t>15071</w:t>
            </w:r>
          </w:p>
        </w:tc>
        <w:tc>
          <w:tcPr>
            <w:tcW w:w="739" w:type="dxa"/>
            <w:tcBorders>
              <w:top w:val="nil"/>
              <w:left w:val="nil"/>
              <w:bottom w:val="nil"/>
              <w:right w:val="nil"/>
            </w:tcBorders>
          </w:tcPr>
          <w:p>
            <w:pPr>
              <w:pStyle w:val="TableParagraph"/>
              <w:spacing w:before="53"/>
              <w:ind w:right="64"/>
              <w:jc w:val="right"/>
              <w:rPr>
                <w:sz w:val="24"/>
              </w:rPr>
            </w:pPr>
            <w:r>
              <w:rPr>
                <w:sz w:val="24"/>
              </w:rPr>
              <w:t>-214</w:t>
            </w:r>
          </w:p>
        </w:tc>
        <w:tc>
          <w:tcPr>
            <w:tcW w:w="766" w:type="dxa"/>
            <w:tcBorders>
              <w:top w:val="nil"/>
              <w:left w:val="nil"/>
              <w:bottom w:val="nil"/>
              <w:right w:val="nil"/>
            </w:tcBorders>
          </w:tcPr>
          <w:p>
            <w:pPr/>
          </w:p>
        </w:tc>
        <w:tc>
          <w:tcPr>
            <w:tcW w:w="709" w:type="dxa"/>
            <w:tcBorders>
              <w:top w:val="nil"/>
              <w:left w:val="nil"/>
              <w:bottom w:val="nil"/>
              <w:right w:val="nil"/>
            </w:tcBorders>
          </w:tcPr>
          <w:p>
            <w:pPr/>
          </w:p>
        </w:tc>
      </w:tr>
      <w:tr>
        <w:trPr>
          <w:trHeight w:val="307" w:hRule="exact"/>
        </w:trPr>
        <w:tc>
          <w:tcPr>
            <w:tcW w:w="1003" w:type="dxa"/>
            <w:tcBorders>
              <w:top w:val="nil"/>
              <w:left w:val="nil"/>
              <w:bottom w:val="nil"/>
              <w:right w:val="nil"/>
            </w:tcBorders>
          </w:tcPr>
          <w:p>
            <w:pPr>
              <w:pStyle w:val="TableParagraph"/>
              <w:spacing w:before="5"/>
              <w:ind w:left="72"/>
              <w:jc w:val="left"/>
              <w:rPr>
                <w:sz w:val="24"/>
              </w:rPr>
            </w:pPr>
            <w:r>
              <w:rPr>
                <w:sz w:val="24"/>
              </w:rPr>
              <w:t>CTs</w:t>
            </w:r>
          </w:p>
        </w:tc>
        <w:tc>
          <w:tcPr>
            <w:tcW w:w="729" w:type="dxa"/>
            <w:tcBorders>
              <w:top w:val="nil"/>
              <w:left w:val="nil"/>
              <w:bottom w:val="nil"/>
              <w:right w:val="nil"/>
            </w:tcBorders>
          </w:tcPr>
          <w:p>
            <w:pPr>
              <w:pStyle w:val="TableParagraph"/>
              <w:spacing w:before="5"/>
              <w:ind w:right="75"/>
              <w:jc w:val="right"/>
              <w:rPr>
                <w:sz w:val="24"/>
              </w:rPr>
            </w:pPr>
            <w:r>
              <w:rPr>
                <w:sz w:val="24"/>
              </w:rPr>
              <w:t>0.87</w:t>
            </w:r>
          </w:p>
        </w:tc>
        <w:tc>
          <w:tcPr>
            <w:tcW w:w="711" w:type="dxa"/>
            <w:tcBorders>
              <w:top w:val="nil"/>
              <w:left w:val="nil"/>
              <w:bottom w:val="nil"/>
              <w:right w:val="nil"/>
            </w:tcBorders>
          </w:tcPr>
          <w:p>
            <w:pPr>
              <w:pStyle w:val="TableParagraph"/>
              <w:spacing w:before="5"/>
              <w:ind w:right="80"/>
              <w:jc w:val="right"/>
              <w:rPr>
                <w:sz w:val="24"/>
              </w:rPr>
            </w:pPr>
            <w:r>
              <w:rPr>
                <w:sz w:val="24"/>
              </w:rPr>
              <w:t>0.46</w:t>
            </w:r>
          </w:p>
        </w:tc>
        <w:tc>
          <w:tcPr>
            <w:tcW w:w="711" w:type="dxa"/>
            <w:tcBorders>
              <w:top w:val="nil"/>
              <w:left w:val="nil"/>
              <w:bottom w:val="nil"/>
              <w:right w:val="nil"/>
            </w:tcBorders>
          </w:tcPr>
          <w:p>
            <w:pPr>
              <w:pStyle w:val="TableParagraph"/>
              <w:spacing w:before="5"/>
              <w:ind w:right="75"/>
              <w:jc w:val="right"/>
              <w:rPr>
                <w:sz w:val="24"/>
              </w:rPr>
            </w:pPr>
            <w:r>
              <w:rPr>
                <w:sz w:val="24"/>
              </w:rPr>
              <w:t>0.10</w:t>
            </w:r>
          </w:p>
        </w:tc>
        <w:tc>
          <w:tcPr>
            <w:tcW w:w="744" w:type="dxa"/>
            <w:tcBorders>
              <w:top w:val="nil"/>
              <w:left w:val="nil"/>
              <w:bottom w:val="nil"/>
              <w:right w:val="nil"/>
            </w:tcBorders>
          </w:tcPr>
          <w:p>
            <w:pPr>
              <w:pStyle w:val="TableParagraph"/>
              <w:spacing w:before="5"/>
              <w:ind w:right="114"/>
              <w:jc w:val="right"/>
              <w:rPr>
                <w:sz w:val="24"/>
              </w:rPr>
            </w:pPr>
            <w:r>
              <w:rPr>
                <w:sz w:val="24"/>
              </w:rPr>
              <w:t>0.10</w:t>
            </w:r>
          </w:p>
        </w:tc>
        <w:tc>
          <w:tcPr>
            <w:tcW w:w="790" w:type="dxa"/>
            <w:tcBorders>
              <w:top w:val="nil"/>
              <w:left w:val="nil"/>
              <w:bottom w:val="nil"/>
              <w:right w:val="nil"/>
            </w:tcBorders>
          </w:tcPr>
          <w:p>
            <w:pPr>
              <w:pStyle w:val="TableParagraph"/>
              <w:spacing w:before="5"/>
              <w:ind w:right="87"/>
              <w:jc w:val="right"/>
              <w:rPr>
                <w:sz w:val="24"/>
              </w:rPr>
            </w:pPr>
            <w:r>
              <w:rPr>
                <w:sz w:val="24"/>
              </w:rPr>
              <w:t>0.02</w:t>
            </w:r>
          </w:p>
        </w:tc>
        <w:tc>
          <w:tcPr>
            <w:tcW w:w="711" w:type="dxa"/>
            <w:tcBorders>
              <w:top w:val="nil"/>
              <w:left w:val="nil"/>
              <w:bottom w:val="nil"/>
              <w:right w:val="nil"/>
            </w:tcBorders>
          </w:tcPr>
          <w:p>
            <w:pPr>
              <w:pStyle w:val="TableParagraph"/>
              <w:spacing w:before="5"/>
              <w:ind w:right="63"/>
              <w:jc w:val="right"/>
              <w:rPr>
                <w:sz w:val="24"/>
              </w:rPr>
            </w:pPr>
            <w:r>
              <w:rPr>
                <w:sz w:val="24"/>
              </w:rPr>
              <w:t>0.94</w:t>
            </w:r>
          </w:p>
        </w:tc>
        <w:tc>
          <w:tcPr>
            <w:tcW w:w="739" w:type="dxa"/>
            <w:tcBorders>
              <w:top w:val="nil"/>
              <w:left w:val="nil"/>
              <w:bottom w:val="nil"/>
              <w:right w:val="nil"/>
            </w:tcBorders>
          </w:tcPr>
          <w:p>
            <w:pPr>
              <w:pStyle w:val="TableParagraph"/>
              <w:spacing w:before="5"/>
              <w:ind w:right="68"/>
              <w:jc w:val="right"/>
              <w:rPr>
                <w:sz w:val="24"/>
              </w:rPr>
            </w:pPr>
            <w:r>
              <w:rPr>
                <w:sz w:val="24"/>
              </w:rPr>
              <w:t>0.03</w:t>
            </w:r>
          </w:p>
        </w:tc>
        <w:tc>
          <w:tcPr>
            <w:tcW w:w="780" w:type="dxa"/>
            <w:tcBorders>
              <w:top w:val="nil"/>
              <w:left w:val="nil"/>
              <w:bottom w:val="nil"/>
              <w:right w:val="nil"/>
            </w:tcBorders>
          </w:tcPr>
          <w:p>
            <w:pPr>
              <w:pStyle w:val="TableParagraph"/>
              <w:spacing w:before="5"/>
              <w:ind w:right="75"/>
              <w:jc w:val="right"/>
              <w:rPr>
                <w:sz w:val="24"/>
              </w:rPr>
            </w:pPr>
            <w:r>
              <w:rPr>
                <w:sz w:val="24"/>
              </w:rPr>
              <w:t>0.02</w:t>
            </w:r>
          </w:p>
        </w:tc>
        <w:tc>
          <w:tcPr>
            <w:tcW w:w="696" w:type="dxa"/>
            <w:tcBorders>
              <w:top w:val="nil"/>
              <w:left w:val="nil"/>
              <w:bottom w:val="nil"/>
              <w:right w:val="nil"/>
            </w:tcBorders>
          </w:tcPr>
          <w:p>
            <w:pPr>
              <w:pStyle w:val="TableParagraph"/>
              <w:spacing w:before="5"/>
              <w:ind w:right="65"/>
              <w:jc w:val="right"/>
              <w:rPr>
                <w:sz w:val="24"/>
              </w:rPr>
            </w:pPr>
            <w:r>
              <w:rPr>
                <w:sz w:val="24"/>
              </w:rPr>
              <w:t>0.03</w:t>
            </w:r>
          </w:p>
        </w:tc>
        <w:tc>
          <w:tcPr>
            <w:tcW w:w="807" w:type="dxa"/>
            <w:tcBorders>
              <w:top w:val="nil"/>
              <w:left w:val="nil"/>
              <w:bottom w:val="nil"/>
              <w:right w:val="nil"/>
            </w:tcBorders>
          </w:tcPr>
          <w:p>
            <w:pPr>
              <w:pStyle w:val="TableParagraph"/>
              <w:spacing w:before="5"/>
              <w:ind w:right="70"/>
              <w:jc w:val="right"/>
              <w:rPr>
                <w:sz w:val="24"/>
              </w:rPr>
            </w:pPr>
            <w:r>
              <w:rPr>
                <w:w w:val="99"/>
                <w:sz w:val="24"/>
              </w:rPr>
              <w:t>0</w:t>
            </w:r>
          </w:p>
        </w:tc>
        <w:tc>
          <w:tcPr>
            <w:tcW w:w="739" w:type="dxa"/>
            <w:tcBorders>
              <w:top w:val="nil"/>
              <w:left w:val="nil"/>
              <w:bottom w:val="nil"/>
              <w:right w:val="nil"/>
            </w:tcBorders>
          </w:tcPr>
          <w:p>
            <w:pPr>
              <w:pStyle w:val="TableParagraph"/>
              <w:spacing w:before="5"/>
              <w:ind w:right="70"/>
              <w:jc w:val="right"/>
              <w:rPr>
                <w:sz w:val="24"/>
              </w:rPr>
            </w:pPr>
            <w:r>
              <w:rPr>
                <w:w w:val="99"/>
                <w:sz w:val="24"/>
              </w:rPr>
              <w:t>0</w:t>
            </w:r>
          </w:p>
        </w:tc>
        <w:tc>
          <w:tcPr>
            <w:tcW w:w="766" w:type="dxa"/>
            <w:tcBorders>
              <w:top w:val="nil"/>
              <w:left w:val="nil"/>
              <w:bottom w:val="nil"/>
              <w:right w:val="nil"/>
            </w:tcBorders>
          </w:tcPr>
          <w:p>
            <w:pPr>
              <w:pStyle w:val="TableParagraph"/>
              <w:spacing w:before="5"/>
              <w:ind w:right="96"/>
              <w:jc w:val="right"/>
              <w:rPr>
                <w:sz w:val="24"/>
              </w:rPr>
            </w:pPr>
            <w:r>
              <w:rPr>
                <w:w w:val="99"/>
                <w:sz w:val="24"/>
              </w:rPr>
              <w:t>0</w:t>
            </w:r>
          </w:p>
        </w:tc>
        <w:tc>
          <w:tcPr>
            <w:tcW w:w="709" w:type="dxa"/>
            <w:tcBorders>
              <w:top w:val="nil"/>
              <w:left w:val="nil"/>
              <w:bottom w:val="nil"/>
              <w:right w:val="nil"/>
            </w:tcBorders>
          </w:tcPr>
          <w:p>
            <w:pPr/>
          </w:p>
        </w:tc>
      </w:tr>
      <w:tr>
        <w:trPr>
          <w:trHeight w:val="300" w:hRule="exact"/>
        </w:trPr>
        <w:tc>
          <w:tcPr>
            <w:tcW w:w="1003" w:type="dxa"/>
            <w:tcBorders>
              <w:top w:val="nil"/>
              <w:left w:val="nil"/>
              <w:bottom w:val="nil"/>
              <w:right w:val="nil"/>
            </w:tcBorders>
          </w:tcPr>
          <w:p>
            <w:pPr/>
          </w:p>
        </w:tc>
        <w:tc>
          <w:tcPr>
            <w:tcW w:w="729" w:type="dxa"/>
            <w:tcBorders>
              <w:top w:val="nil"/>
              <w:left w:val="nil"/>
              <w:bottom w:val="nil"/>
              <w:right w:val="nil"/>
            </w:tcBorders>
          </w:tcPr>
          <w:p>
            <w:pPr>
              <w:pStyle w:val="TableParagraph"/>
              <w:ind w:right="75"/>
              <w:jc w:val="right"/>
              <w:rPr>
                <w:sz w:val="24"/>
              </w:rPr>
            </w:pPr>
            <w:r>
              <w:rPr>
                <w:sz w:val="24"/>
              </w:rPr>
              <w:t>-0.17</w:t>
            </w:r>
          </w:p>
        </w:tc>
        <w:tc>
          <w:tcPr>
            <w:tcW w:w="711" w:type="dxa"/>
            <w:tcBorders>
              <w:top w:val="nil"/>
              <w:left w:val="nil"/>
              <w:bottom w:val="nil"/>
              <w:right w:val="nil"/>
            </w:tcBorders>
          </w:tcPr>
          <w:p>
            <w:pPr>
              <w:pStyle w:val="TableParagraph"/>
              <w:ind w:right="80"/>
              <w:jc w:val="right"/>
              <w:rPr>
                <w:sz w:val="24"/>
              </w:rPr>
            </w:pPr>
            <w:r>
              <w:rPr>
                <w:sz w:val="24"/>
              </w:rPr>
              <w:t>0.83</w:t>
            </w:r>
          </w:p>
        </w:tc>
        <w:tc>
          <w:tcPr>
            <w:tcW w:w="711" w:type="dxa"/>
            <w:tcBorders>
              <w:top w:val="nil"/>
              <w:left w:val="nil"/>
              <w:bottom w:val="nil"/>
              <w:right w:val="nil"/>
            </w:tcBorders>
          </w:tcPr>
          <w:p>
            <w:pPr>
              <w:pStyle w:val="TableParagraph"/>
              <w:ind w:right="75"/>
              <w:jc w:val="right"/>
              <w:rPr>
                <w:sz w:val="24"/>
              </w:rPr>
            </w:pPr>
            <w:r>
              <w:rPr>
                <w:sz w:val="24"/>
              </w:rPr>
              <w:t>-2.14</w:t>
            </w:r>
          </w:p>
        </w:tc>
        <w:tc>
          <w:tcPr>
            <w:tcW w:w="744" w:type="dxa"/>
            <w:tcBorders>
              <w:top w:val="nil"/>
              <w:left w:val="nil"/>
              <w:bottom w:val="nil"/>
              <w:right w:val="nil"/>
            </w:tcBorders>
          </w:tcPr>
          <w:p>
            <w:pPr>
              <w:pStyle w:val="TableParagraph"/>
              <w:ind w:right="114"/>
              <w:jc w:val="right"/>
              <w:rPr>
                <w:sz w:val="24"/>
              </w:rPr>
            </w:pPr>
            <w:r>
              <w:rPr>
                <w:sz w:val="24"/>
              </w:rPr>
              <w:t>-2.09</w:t>
            </w:r>
          </w:p>
        </w:tc>
        <w:tc>
          <w:tcPr>
            <w:tcW w:w="790" w:type="dxa"/>
            <w:tcBorders>
              <w:top w:val="nil"/>
              <w:left w:val="nil"/>
              <w:bottom w:val="nil"/>
              <w:right w:val="nil"/>
            </w:tcBorders>
          </w:tcPr>
          <w:p>
            <w:pPr>
              <w:pStyle w:val="TableParagraph"/>
              <w:ind w:right="87"/>
              <w:jc w:val="right"/>
              <w:rPr>
                <w:sz w:val="24"/>
              </w:rPr>
            </w:pPr>
            <w:r>
              <w:rPr>
                <w:sz w:val="24"/>
              </w:rPr>
              <w:t>3.63</w:t>
            </w:r>
          </w:p>
        </w:tc>
        <w:tc>
          <w:tcPr>
            <w:tcW w:w="711" w:type="dxa"/>
            <w:tcBorders>
              <w:top w:val="nil"/>
              <w:left w:val="nil"/>
              <w:bottom w:val="nil"/>
              <w:right w:val="nil"/>
            </w:tcBorders>
          </w:tcPr>
          <w:p>
            <w:pPr>
              <w:pStyle w:val="TableParagraph"/>
              <w:ind w:right="63"/>
              <w:jc w:val="right"/>
              <w:rPr>
                <w:sz w:val="24"/>
              </w:rPr>
            </w:pPr>
            <w:r>
              <w:rPr>
                <w:sz w:val="24"/>
              </w:rPr>
              <w:t>0.08</w:t>
            </w:r>
          </w:p>
        </w:tc>
        <w:tc>
          <w:tcPr>
            <w:tcW w:w="739" w:type="dxa"/>
            <w:tcBorders>
              <w:top w:val="nil"/>
              <w:left w:val="nil"/>
              <w:bottom w:val="nil"/>
              <w:right w:val="nil"/>
            </w:tcBorders>
          </w:tcPr>
          <w:p>
            <w:pPr>
              <w:pStyle w:val="TableParagraph"/>
              <w:ind w:right="68"/>
              <w:jc w:val="right"/>
              <w:rPr>
                <w:sz w:val="24"/>
              </w:rPr>
            </w:pPr>
            <w:r>
              <w:rPr>
                <w:sz w:val="24"/>
              </w:rPr>
              <w:t>-3.37</w:t>
            </w:r>
          </w:p>
        </w:tc>
        <w:tc>
          <w:tcPr>
            <w:tcW w:w="780" w:type="dxa"/>
            <w:tcBorders>
              <w:top w:val="nil"/>
              <w:left w:val="nil"/>
              <w:bottom w:val="nil"/>
              <w:right w:val="nil"/>
            </w:tcBorders>
          </w:tcPr>
          <w:p>
            <w:pPr>
              <w:pStyle w:val="TableParagraph"/>
              <w:ind w:right="75"/>
              <w:jc w:val="right"/>
              <w:rPr>
                <w:sz w:val="24"/>
              </w:rPr>
            </w:pPr>
            <w:r>
              <w:rPr>
                <w:sz w:val="24"/>
              </w:rPr>
              <w:t>-3.73</w:t>
            </w:r>
          </w:p>
        </w:tc>
        <w:tc>
          <w:tcPr>
            <w:tcW w:w="696" w:type="dxa"/>
            <w:tcBorders>
              <w:top w:val="nil"/>
              <w:left w:val="nil"/>
              <w:bottom w:val="nil"/>
              <w:right w:val="nil"/>
            </w:tcBorders>
          </w:tcPr>
          <w:p>
            <w:pPr>
              <w:pStyle w:val="TableParagraph"/>
              <w:ind w:right="66"/>
              <w:jc w:val="right"/>
              <w:rPr>
                <w:sz w:val="24"/>
              </w:rPr>
            </w:pPr>
            <w:r>
              <w:rPr>
                <w:sz w:val="24"/>
              </w:rPr>
              <w:t>3.38</w:t>
            </w:r>
          </w:p>
        </w:tc>
        <w:tc>
          <w:tcPr>
            <w:tcW w:w="807" w:type="dxa"/>
            <w:tcBorders>
              <w:top w:val="nil"/>
              <w:left w:val="nil"/>
              <w:bottom w:val="nil"/>
              <w:right w:val="nil"/>
            </w:tcBorders>
          </w:tcPr>
          <w:p>
            <w:pPr>
              <w:pStyle w:val="TableParagraph"/>
              <w:ind w:right="67"/>
              <w:jc w:val="right"/>
              <w:rPr>
                <w:sz w:val="24"/>
              </w:rPr>
            </w:pPr>
            <w:r>
              <w:rPr>
                <w:sz w:val="24"/>
              </w:rPr>
              <w:t>-16.3</w:t>
            </w:r>
          </w:p>
        </w:tc>
        <w:tc>
          <w:tcPr>
            <w:tcW w:w="739" w:type="dxa"/>
            <w:tcBorders>
              <w:top w:val="nil"/>
              <w:left w:val="nil"/>
              <w:bottom w:val="nil"/>
              <w:right w:val="nil"/>
            </w:tcBorders>
          </w:tcPr>
          <w:p>
            <w:pPr>
              <w:pStyle w:val="TableParagraph"/>
              <w:ind w:right="66"/>
              <w:jc w:val="right"/>
              <w:rPr>
                <w:sz w:val="24"/>
              </w:rPr>
            </w:pPr>
            <w:r>
              <w:rPr>
                <w:sz w:val="24"/>
              </w:rPr>
              <w:t>16.91</w:t>
            </w:r>
          </w:p>
        </w:tc>
        <w:tc>
          <w:tcPr>
            <w:tcW w:w="766" w:type="dxa"/>
            <w:tcBorders>
              <w:top w:val="nil"/>
              <w:left w:val="nil"/>
              <w:bottom w:val="nil"/>
              <w:right w:val="nil"/>
            </w:tcBorders>
          </w:tcPr>
          <w:p>
            <w:pPr>
              <w:pStyle w:val="TableParagraph"/>
              <w:ind w:right="93"/>
              <w:jc w:val="right"/>
              <w:rPr>
                <w:sz w:val="24"/>
              </w:rPr>
            </w:pPr>
            <w:r>
              <w:rPr>
                <w:sz w:val="24"/>
              </w:rPr>
              <w:t>16.32</w:t>
            </w:r>
          </w:p>
        </w:tc>
        <w:tc>
          <w:tcPr>
            <w:tcW w:w="709" w:type="dxa"/>
            <w:tcBorders>
              <w:top w:val="nil"/>
              <w:left w:val="nil"/>
              <w:bottom w:val="nil"/>
              <w:right w:val="nil"/>
            </w:tcBorders>
          </w:tcPr>
          <w:p>
            <w:pPr/>
          </w:p>
        </w:tc>
      </w:tr>
      <w:tr>
        <w:trPr>
          <w:trHeight w:val="300" w:hRule="exact"/>
        </w:trPr>
        <w:tc>
          <w:tcPr>
            <w:tcW w:w="1003" w:type="dxa"/>
            <w:tcBorders>
              <w:top w:val="nil"/>
              <w:left w:val="nil"/>
              <w:bottom w:val="nil"/>
              <w:right w:val="nil"/>
            </w:tcBorders>
          </w:tcPr>
          <w:p>
            <w:pPr>
              <w:pStyle w:val="TableParagraph"/>
              <w:spacing w:line="274" w:lineRule="exact"/>
              <w:ind w:left="72"/>
              <w:jc w:val="left"/>
              <w:rPr>
                <w:sz w:val="24"/>
              </w:rPr>
            </w:pPr>
            <w:r>
              <w:rPr>
                <w:sz w:val="24"/>
              </w:rPr>
              <w:t>FBCTs</w:t>
            </w:r>
          </w:p>
        </w:tc>
        <w:tc>
          <w:tcPr>
            <w:tcW w:w="729" w:type="dxa"/>
            <w:tcBorders>
              <w:top w:val="nil"/>
              <w:left w:val="nil"/>
              <w:bottom w:val="nil"/>
              <w:right w:val="nil"/>
            </w:tcBorders>
          </w:tcPr>
          <w:p>
            <w:pPr>
              <w:pStyle w:val="TableParagraph"/>
              <w:spacing w:line="274" w:lineRule="exact"/>
              <w:ind w:right="75"/>
              <w:jc w:val="right"/>
              <w:rPr>
                <w:sz w:val="24"/>
              </w:rPr>
            </w:pPr>
            <w:r>
              <w:rPr>
                <w:sz w:val="24"/>
              </w:rPr>
              <w:t>0.70</w:t>
            </w:r>
          </w:p>
        </w:tc>
        <w:tc>
          <w:tcPr>
            <w:tcW w:w="711" w:type="dxa"/>
            <w:tcBorders>
              <w:top w:val="nil"/>
              <w:left w:val="nil"/>
              <w:bottom w:val="nil"/>
              <w:right w:val="nil"/>
            </w:tcBorders>
          </w:tcPr>
          <w:p>
            <w:pPr>
              <w:pStyle w:val="TableParagraph"/>
              <w:spacing w:line="274" w:lineRule="exact"/>
              <w:ind w:right="80"/>
              <w:jc w:val="right"/>
              <w:rPr>
                <w:sz w:val="24"/>
              </w:rPr>
            </w:pPr>
            <w:r>
              <w:rPr>
                <w:sz w:val="24"/>
              </w:rPr>
              <w:t>0.82</w:t>
            </w:r>
          </w:p>
        </w:tc>
        <w:tc>
          <w:tcPr>
            <w:tcW w:w="711" w:type="dxa"/>
            <w:tcBorders>
              <w:top w:val="nil"/>
              <w:left w:val="nil"/>
              <w:bottom w:val="nil"/>
              <w:right w:val="nil"/>
            </w:tcBorders>
          </w:tcPr>
          <w:p>
            <w:pPr>
              <w:pStyle w:val="TableParagraph"/>
              <w:spacing w:line="274" w:lineRule="exact"/>
              <w:ind w:right="75"/>
              <w:jc w:val="right"/>
              <w:rPr>
                <w:sz w:val="24"/>
              </w:rPr>
            </w:pPr>
            <w:r>
              <w:rPr>
                <w:sz w:val="24"/>
              </w:rPr>
              <w:t>0.43</w:t>
            </w:r>
          </w:p>
        </w:tc>
        <w:tc>
          <w:tcPr>
            <w:tcW w:w="744" w:type="dxa"/>
            <w:tcBorders>
              <w:top w:val="nil"/>
              <w:left w:val="nil"/>
              <w:bottom w:val="nil"/>
              <w:right w:val="nil"/>
            </w:tcBorders>
          </w:tcPr>
          <w:p>
            <w:pPr>
              <w:pStyle w:val="TableParagraph"/>
              <w:spacing w:line="274" w:lineRule="exact"/>
              <w:ind w:right="114"/>
              <w:jc w:val="right"/>
              <w:rPr>
                <w:sz w:val="24"/>
              </w:rPr>
            </w:pPr>
            <w:r>
              <w:rPr>
                <w:sz w:val="24"/>
              </w:rPr>
              <w:t>0.54</w:t>
            </w:r>
          </w:p>
        </w:tc>
        <w:tc>
          <w:tcPr>
            <w:tcW w:w="790" w:type="dxa"/>
            <w:tcBorders>
              <w:top w:val="nil"/>
              <w:left w:val="nil"/>
              <w:bottom w:val="nil"/>
              <w:right w:val="nil"/>
            </w:tcBorders>
          </w:tcPr>
          <w:p>
            <w:pPr>
              <w:pStyle w:val="TableParagraph"/>
              <w:spacing w:line="274" w:lineRule="exact"/>
              <w:ind w:right="87"/>
              <w:jc w:val="right"/>
              <w:rPr>
                <w:sz w:val="24"/>
              </w:rPr>
            </w:pPr>
            <w:r>
              <w:rPr>
                <w:sz w:val="24"/>
              </w:rPr>
              <w:t>0.20</w:t>
            </w:r>
          </w:p>
        </w:tc>
        <w:tc>
          <w:tcPr>
            <w:tcW w:w="711" w:type="dxa"/>
            <w:tcBorders>
              <w:top w:val="nil"/>
              <w:left w:val="nil"/>
              <w:bottom w:val="nil"/>
              <w:right w:val="nil"/>
            </w:tcBorders>
          </w:tcPr>
          <w:p>
            <w:pPr>
              <w:pStyle w:val="TableParagraph"/>
              <w:spacing w:line="274" w:lineRule="exact"/>
              <w:ind w:right="63"/>
              <w:jc w:val="right"/>
              <w:rPr>
                <w:sz w:val="24"/>
              </w:rPr>
            </w:pPr>
            <w:r>
              <w:rPr>
                <w:sz w:val="24"/>
              </w:rPr>
              <w:t>0.75</w:t>
            </w:r>
          </w:p>
        </w:tc>
        <w:tc>
          <w:tcPr>
            <w:tcW w:w="739" w:type="dxa"/>
            <w:tcBorders>
              <w:top w:val="nil"/>
              <w:left w:val="nil"/>
              <w:bottom w:val="nil"/>
              <w:right w:val="nil"/>
            </w:tcBorders>
          </w:tcPr>
          <w:p>
            <w:pPr>
              <w:pStyle w:val="TableParagraph"/>
              <w:spacing w:line="274" w:lineRule="exact"/>
              <w:ind w:right="68"/>
              <w:jc w:val="right"/>
              <w:rPr>
                <w:sz w:val="24"/>
              </w:rPr>
            </w:pPr>
            <w:r>
              <w:rPr>
                <w:sz w:val="24"/>
              </w:rPr>
              <w:t>0.48</w:t>
            </w:r>
          </w:p>
        </w:tc>
        <w:tc>
          <w:tcPr>
            <w:tcW w:w="780" w:type="dxa"/>
            <w:tcBorders>
              <w:top w:val="nil"/>
              <w:left w:val="nil"/>
              <w:bottom w:val="nil"/>
              <w:right w:val="nil"/>
            </w:tcBorders>
          </w:tcPr>
          <w:p>
            <w:pPr>
              <w:pStyle w:val="TableParagraph"/>
              <w:spacing w:line="274" w:lineRule="exact"/>
              <w:ind w:right="76"/>
              <w:jc w:val="right"/>
              <w:rPr>
                <w:sz w:val="24"/>
              </w:rPr>
            </w:pPr>
            <w:r>
              <w:rPr>
                <w:w w:val="95"/>
                <w:sz w:val="24"/>
              </w:rPr>
              <w:t>0.1</w:t>
            </w:r>
          </w:p>
        </w:tc>
        <w:tc>
          <w:tcPr>
            <w:tcW w:w="696" w:type="dxa"/>
            <w:tcBorders>
              <w:top w:val="nil"/>
              <w:left w:val="nil"/>
              <w:bottom w:val="nil"/>
              <w:right w:val="nil"/>
            </w:tcBorders>
          </w:tcPr>
          <w:p>
            <w:pPr>
              <w:pStyle w:val="TableParagraph"/>
              <w:spacing w:line="274" w:lineRule="exact"/>
              <w:ind w:right="66"/>
              <w:jc w:val="right"/>
              <w:rPr>
                <w:sz w:val="24"/>
              </w:rPr>
            </w:pPr>
            <w:r>
              <w:rPr>
                <w:sz w:val="24"/>
              </w:rPr>
              <w:t>0.47</w:t>
            </w:r>
          </w:p>
        </w:tc>
        <w:tc>
          <w:tcPr>
            <w:tcW w:w="807" w:type="dxa"/>
            <w:tcBorders>
              <w:top w:val="nil"/>
              <w:left w:val="nil"/>
              <w:bottom w:val="nil"/>
              <w:right w:val="nil"/>
            </w:tcBorders>
          </w:tcPr>
          <w:p>
            <w:pPr>
              <w:pStyle w:val="TableParagraph"/>
              <w:spacing w:line="274" w:lineRule="exact"/>
              <w:ind w:right="66"/>
              <w:jc w:val="right"/>
              <w:rPr>
                <w:sz w:val="24"/>
              </w:rPr>
            </w:pPr>
            <w:r>
              <w:rPr>
                <w:sz w:val="24"/>
              </w:rPr>
              <w:t>0.29</w:t>
            </w:r>
          </w:p>
        </w:tc>
        <w:tc>
          <w:tcPr>
            <w:tcW w:w="739" w:type="dxa"/>
            <w:tcBorders>
              <w:top w:val="nil"/>
              <w:left w:val="nil"/>
              <w:bottom w:val="nil"/>
              <w:right w:val="nil"/>
            </w:tcBorders>
          </w:tcPr>
          <w:p>
            <w:pPr>
              <w:pStyle w:val="TableParagraph"/>
              <w:spacing w:line="274" w:lineRule="exact"/>
              <w:ind w:right="65"/>
              <w:jc w:val="right"/>
              <w:rPr>
                <w:sz w:val="24"/>
              </w:rPr>
            </w:pPr>
            <w:r>
              <w:rPr>
                <w:sz w:val="24"/>
              </w:rPr>
              <w:t>0.29</w:t>
            </w:r>
          </w:p>
        </w:tc>
        <w:tc>
          <w:tcPr>
            <w:tcW w:w="766" w:type="dxa"/>
            <w:tcBorders>
              <w:top w:val="nil"/>
              <w:left w:val="nil"/>
              <w:bottom w:val="nil"/>
              <w:right w:val="nil"/>
            </w:tcBorders>
          </w:tcPr>
          <w:p>
            <w:pPr>
              <w:pStyle w:val="TableParagraph"/>
              <w:spacing w:line="274" w:lineRule="exact"/>
              <w:ind w:right="92"/>
              <w:jc w:val="right"/>
              <w:rPr>
                <w:sz w:val="24"/>
              </w:rPr>
            </w:pPr>
            <w:r>
              <w:rPr>
                <w:sz w:val="24"/>
              </w:rPr>
              <w:t>0.29</w:t>
            </w:r>
          </w:p>
        </w:tc>
        <w:tc>
          <w:tcPr>
            <w:tcW w:w="709" w:type="dxa"/>
            <w:tcBorders>
              <w:top w:val="nil"/>
              <w:left w:val="nil"/>
              <w:bottom w:val="nil"/>
              <w:right w:val="nil"/>
            </w:tcBorders>
          </w:tcPr>
          <w:p>
            <w:pPr>
              <w:pStyle w:val="TableParagraph"/>
              <w:spacing w:line="274" w:lineRule="exact"/>
              <w:ind w:right="62"/>
              <w:jc w:val="right"/>
              <w:rPr>
                <w:sz w:val="24"/>
              </w:rPr>
            </w:pPr>
            <w:r>
              <w:rPr>
                <w:sz w:val="24"/>
              </w:rPr>
              <w:t>0.38</w:t>
            </w:r>
          </w:p>
        </w:tc>
      </w:tr>
      <w:tr>
        <w:trPr>
          <w:trHeight w:val="617" w:hRule="exact"/>
        </w:trPr>
        <w:tc>
          <w:tcPr>
            <w:tcW w:w="1003" w:type="dxa"/>
            <w:tcBorders>
              <w:top w:val="nil"/>
              <w:left w:val="nil"/>
              <w:right w:val="nil"/>
            </w:tcBorders>
          </w:tcPr>
          <w:p>
            <w:pPr/>
          </w:p>
        </w:tc>
        <w:tc>
          <w:tcPr>
            <w:tcW w:w="729" w:type="dxa"/>
            <w:tcBorders>
              <w:top w:val="nil"/>
              <w:left w:val="nil"/>
              <w:right w:val="nil"/>
            </w:tcBorders>
          </w:tcPr>
          <w:p>
            <w:pPr>
              <w:pStyle w:val="TableParagraph"/>
              <w:ind w:right="75"/>
              <w:jc w:val="right"/>
              <w:rPr>
                <w:sz w:val="24"/>
              </w:rPr>
            </w:pPr>
            <w:r>
              <w:rPr>
                <w:sz w:val="24"/>
              </w:rPr>
              <w:t>-0.41</w:t>
            </w:r>
          </w:p>
        </w:tc>
        <w:tc>
          <w:tcPr>
            <w:tcW w:w="711" w:type="dxa"/>
            <w:tcBorders>
              <w:top w:val="nil"/>
              <w:left w:val="nil"/>
              <w:right w:val="nil"/>
            </w:tcBorders>
          </w:tcPr>
          <w:p>
            <w:pPr>
              <w:pStyle w:val="TableParagraph"/>
              <w:ind w:right="80"/>
              <w:jc w:val="right"/>
              <w:rPr>
                <w:sz w:val="24"/>
              </w:rPr>
            </w:pPr>
            <w:r>
              <w:rPr>
                <w:sz w:val="24"/>
              </w:rPr>
              <w:t>-0.25</w:t>
            </w:r>
          </w:p>
        </w:tc>
        <w:tc>
          <w:tcPr>
            <w:tcW w:w="711" w:type="dxa"/>
            <w:tcBorders>
              <w:top w:val="nil"/>
              <w:left w:val="nil"/>
              <w:right w:val="nil"/>
            </w:tcBorders>
          </w:tcPr>
          <w:p>
            <w:pPr>
              <w:pStyle w:val="TableParagraph"/>
              <w:ind w:right="75"/>
              <w:jc w:val="right"/>
              <w:rPr>
                <w:sz w:val="24"/>
              </w:rPr>
            </w:pPr>
            <w:r>
              <w:rPr>
                <w:sz w:val="24"/>
              </w:rPr>
              <w:t>-0.87</w:t>
            </w:r>
          </w:p>
        </w:tc>
        <w:tc>
          <w:tcPr>
            <w:tcW w:w="744" w:type="dxa"/>
            <w:tcBorders>
              <w:top w:val="nil"/>
              <w:left w:val="nil"/>
              <w:right w:val="nil"/>
            </w:tcBorders>
          </w:tcPr>
          <w:p>
            <w:pPr>
              <w:pStyle w:val="TableParagraph"/>
              <w:ind w:right="114"/>
              <w:jc w:val="right"/>
              <w:rPr>
                <w:sz w:val="24"/>
              </w:rPr>
            </w:pPr>
            <w:r>
              <w:rPr>
                <w:sz w:val="24"/>
              </w:rPr>
              <w:t>-0.66</w:t>
            </w:r>
          </w:p>
        </w:tc>
        <w:tc>
          <w:tcPr>
            <w:tcW w:w="790" w:type="dxa"/>
            <w:tcBorders>
              <w:top w:val="nil"/>
              <w:left w:val="nil"/>
              <w:right w:val="nil"/>
            </w:tcBorders>
          </w:tcPr>
          <w:p>
            <w:pPr>
              <w:pStyle w:val="TableParagraph"/>
              <w:ind w:right="87"/>
              <w:jc w:val="right"/>
              <w:rPr>
                <w:sz w:val="24"/>
              </w:rPr>
            </w:pPr>
            <w:r>
              <w:rPr>
                <w:sz w:val="24"/>
              </w:rPr>
              <w:t>1.52</w:t>
            </w:r>
          </w:p>
        </w:tc>
        <w:tc>
          <w:tcPr>
            <w:tcW w:w="711" w:type="dxa"/>
            <w:tcBorders>
              <w:top w:val="nil"/>
              <w:left w:val="nil"/>
              <w:right w:val="nil"/>
            </w:tcBorders>
          </w:tcPr>
          <w:p>
            <w:pPr>
              <w:pStyle w:val="TableParagraph"/>
              <w:ind w:right="63"/>
              <w:jc w:val="right"/>
              <w:rPr>
                <w:sz w:val="24"/>
              </w:rPr>
            </w:pPr>
            <w:r>
              <w:rPr>
                <w:sz w:val="24"/>
              </w:rPr>
              <w:t>-0.34</w:t>
            </w:r>
          </w:p>
        </w:tc>
        <w:tc>
          <w:tcPr>
            <w:tcW w:w="739" w:type="dxa"/>
            <w:tcBorders>
              <w:top w:val="nil"/>
              <w:left w:val="nil"/>
              <w:right w:val="nil"/>
            </w:tcBorders>
          </w:tcPr>
          <w:p>
            <w:pPr>
              <w:pStyle w:val="TableParagraph"/>
              <w:ind w:right="68"/>
              <w:jc w:val="right"/>
              <w:rPr>
                <w:sz w:val="24"/>
              </w:rPr>
            </w:pPr>
            <w:r>
              <w:rPr>
                <w:sz w:val="24"/>
              </w:rPr>
              <w:t>-0.78</w:t>
            </w:r>
          </w:p>
        </w:tc>
        <w:tc>
          <w:tcPr>
            <w:tcW w:w="780" w:type="dxa"/>
            <w:tcBorders>
              <w:top w:val="nil"/>
              <w:left w:val="nil"/>
              <w:right w:val="nil"/>
            </w:tcBorders>
          </w:tcPr>
          <w:p>
            <w:pPr>
              <w:pStyle w:val="TableParagraph"/>
              <w:ind w:right="75"/>
              <w:jc w:val="right"/>
              <w:rPr>
                <w:sz w:val="24"/>
              </w:rPr>
            </w:pPr>
            <w:r>
              <w:rPr>
                <w:sz w:val="24"/>
              </w:rPr>
              <w:t>-2.14</w:t>
            </w:r>
          </w:p>
        </w:tc>
        <w:tc>
          <w:tcPr>
            <w:tcW w:w="696" w:type="dxa"/>
            <w:tcBorders>
              <w:top w:val="nil"/>
              <w:left w:val="nil"/>
              <w:right w:val="nil"/>
            </w:tcBorders>
          </w:tcPr>
          <w:p>
            <w:pPr>
              <w:pStyle w:val="TableParagraph"/>
              <w:ind w:right="66"/>
              <w:jc w:val="right"/>
              <w:rPr>
                <w:sz w:val="24"/>
              </w:rPr>
            </w:pPr>
            <w:r>
              <w:rPr>
                <w:sz w:val="24"/>
              </w:rPr>
              <w:t>0.79</w:t>
            </w:r>
          </w:p>
        </w:tc>
        <w:tc>
          <w:tcPr>
            <w:tcW w:w="807" w:type="dxa"/>
            <w:tcBorders>
              <w:top w:val="nil"/>
              <w:left w:val="nil"/>
              <w:right w:val="nil"/>
            </w:tcBorders>
          </w:tcPr>
          <w:p>
            <w:pPr>
              <w:pStyle w:val="TableParagraph"/>
              <w:ind w:right="67"/>
              <w:jc w:val="right"/>
              <w:rPr>
                <w:sz w:val="24"/>
              </w:rPr>
            </w:pPr>
            <w:r>
              <w:rPr>
                <w:sz w:val="24"/>
              </w:rPr>
              <w:t>-1.2</w:t>
            </w:r>
          </w:p>
        </w:tc>
        <w:tc>
          <w:tcPr>
            <w:tcW w:w="739" w:type="dxa"/>
            <w:tcBorders>
              <w:top w:val="nil"/>
              <w:left w:val="nil"/>
              <w:right w:val="nil"/>
            </w:tcBorders>
          </w:tcPr>
          <w:p>
            <w:pPr>
              <w:pStyle w:val="TableParagraph"/>
              <w:ind w:right="65"/>
              <w:jc w:val="right"/>
              <w:rPr>
                <w:sz w:val="24"/>
              </w:rPr>
            </w:pPr>
            <w:r>
              <w:rPr>
                <w:sz w:val="24"/>
              </w:rPr>
              <w:t>1.21</w:t>
            </w:r>
          </w:p>
        </w:tc>
        <w:tc>
          <w:tcPr>
            <w:tcW w:w="766" w:type="dxa"/>
            <w:tcBorders>
              <w:top w:val="nil"/>
              <w:left w:val="nil"/>
              <w:right w:val="nil"/>
            </w:tcBorders>
          </w:tcPr>
          <w:p>
            <w:pPr>
              <w:pStyle w:val="TableParagraph"/>
              <w:ind w:right="92"/>
              <w:jc w:val="right"/>
              <w:rPr>
                <w:sz w:val="24"/>
              </w:rPr>
            </w:pPr>
            <w:r>
              <w:rPr>
                <w:w w:val="95"/>
                <w:sz w:val="24"/>
              </w:rPr>
              <w:t>1.2</w:t>
            </w:r>
          </w:p>
        </w:tc>
        <w:tc>
          <w:tcPr>
            <w:tcW w:w="709" w:type="dxa"/>
            <w:tcBorders>
              <w:top w:val="nil"/>
              <w:left w:val="nil"/>
              <w:right w:val="nil"/>
            </w:tcBorders>
          </w:tcPr>
          <w:p>
            <w:pPr>
              <w:pStyle w:val="TableParagraph"/>
              <w:ind w:right="62"/>
              <w:jc w:val="right"/>
              <w:rPr>
                <w:sz w:val="24"/>
              </w:rPr>
            </w:pPr>
            <w:r>
              <w:rPr>
                <w:sz w:val="24"/>
              </w:rPr>
              <w:t>-0.98</w:t>
            </w:r>
          </w:p>
        </w:tc>
      </w:tr>
      <w:tr>
        <w:trPr>
          <w:trHeight w:val="1050" w:hRule="exact"/>
        </w:trPr>
        <w:tc>
          <w:tcPr>
            <w:tcW w:w="10636" w:type="dxa"/>
            <w:gridSpan w:val="14"/>
            <w:tcBorders>
              <w:left w:val="nil"/>
              <w:bottom w:val="nil"/>
              <w:right w:val="nil"/>
            </w:tcBorders>
          </w:tcPr>
          <w:p>
            <w:pPr>
              <w:pStyle w:val="TableParagraph"/>
              <w:ind w:left="72" w:right="63"/>
              <w:jc w:val="both"/>
              <w:rPr>
                <w:sz w:val="18"/>
              </w:rPr>
            </w:pPr>
            <w:r>
              <w:rPr>
                <w:sz w:val="18"/>
              </w:rPr>
              <w:t>a: Fermentation rate at 4 hours of fermentation (ml gas/g DM); ca: Fermentation rate in fraction a; b: potential gas producti on (ml gas/ g DM); cb: Fermentation rate in fraction b; lag: Phase prior to initiating fermentation of the NDF; dDM: digestibility of dry matter (g/kg DM); dOM: digestibility of organic matter (g/kg DM); dNDF: digestibility of neutral detergent fiber (g/kg DM); ME: metabolizable energy (MJ/kg DM); TPs: total phenols; NPTs: non-phenolic tannins; TTs: total tannins; CTs: condensed tannins; FBCTs: fiber- bound condensed tannins.</w:t>
            </w:r>
          </w:p>
        </w:tc>
      </w:tr>
    </w:tbl>
    <w:p>
      <w:pPr>
        <w:spacing w:after="0"/>
        <w:jc w:val="both"/>
        <w:rPr>
          <w:sz w:val="18"/>
        </w:rPr>
        <w:sectPr>
          <w:footerReference w:type="default" r:id="rId24"/>
          <w:pgSz w:w="12240" w:h="15840"/>
          <w:pgMar w:footer="1478" w:header="0" w:top="1360" w:bottom="1660" w:left="700" w:right="700"/>
        </w:sectPr>
      </w:pPr>
    </w:p>
    <w:p>
      <w:pPr>
        <w:pStyle w:val="Heading1"/>
        <w:spacing w:before="43"/>
      </w:pPr>
      <w:bookmarkStart w:name="_bookmark24" w:id="45"/>
      <w:bookmarkEnd w:id="45"/>
      <w:r>
        <w:rPr>
          <w:b w:val="0"/>
        </w:rPr>
      </w:r>
      <w:r>
        <w:rPr/>
        <w:t>lX. CONCLUSIÓN GENERAL</w:t>
      </w:r>
    </w:p>
    <w:p>
      <w:pPr>
        <w:pStyle w:val="BodyText"/>
        <w:spacing w:line="360" w:lineRule="auto" w:before="219"/>
        <w:ind w:left="119" w:right="115"/>
        <w:jc w:val="both"/>
        <w:rPr>
          <w:rFonts w:ascii="Times New Roman" w:hAnsi="Times New Roman"/>
        </w:rPr>
      </w:pPr>
      <w:r>
        <w:rPr/>
        <w:t>Se comprobó el efecto negativo de los taninos sobre la fermentación ruminal al adicionar PEG al incrementar la producción de gas de las especies taníferas. En los tres niveles de inclusión de extracto a la dieta base; el nivel alto y medio afectan los parámetros de la cinética de fermentación y las digestibilidades. El  nivel de inclusión bajo beneficio moderadamente estos parámetros evaluados, por lo que a bajas concentraciones los taninos sugieren efectos benéficos en los rumiantes</w:t>
      </w:r>
      <w:r>
        <w:rPr>
          <w:rFonts w:ascii="Times New Roman" w:hAnsi="Times New Roman"/>
        </w:rPr>
        <w:t>.</w:t>
      </w:r>
    </w:p>
    <w:p>
      <w:pPr>
        <w:spacing w:after="0" w:line="360" w:lineRule="auto"/>
        <w:jc w:val="both"/>
        <w:rPr>
          <w:rFonts w:ascii="Times New Roman" w:hAnsi="Times New Roman"/>
        </w:rPr>
        <w:sectPr>
          <w:footerReference w:type="default" r:id="rId25"/>
          <w:pgSz w:w="12240" w:h="15840"/>
          <w:pgMar w:footer="1476" w:header="0" w:top="1360" w:bottom="1660" w:left="1580" w:right="1580"/>
          <w:pgNumType w:start="61"/>
        </w:sectPr>
      </w:pPr>
    </w:p>
    <w:p>
      <w:pPr>
        <w:pStyle w:val="Heading1"/>
        <w:spacing w:before="46"/>
        <w:ind w:right="896"/>
        <w:jc w:val="left"/>
      </w:pPr>
      <w:bookmarkStart w:name="_bookmark25" w:id="46"/>
      <w:bookmarkEnd w:id="46"/>
      <w:r>
        <w:rPr>
          <w:b w:val="0"/>
        </w:rPr>
      </w:r>
      <w:r>
        <w:rPr/>
        <w:t>X. LITERATURA CITADA</w:t>
      </w:r>
    </w:p>
    <w:p>
      <w:pPr>
        <w:pStyle w:val="BodyText"/>
        <w:spacing w:line="364" w:lineRule="auto" w:before="214"/>
        <w:ind w:left="830" w:right="128" w:hanging="711"/>
        <w:jc w:val="both"/>
      </w:pPr>
      <w:r>
        <w:rPr/>
        <w:t>Agricultural and Food Research Council (AFRC), 1993. Energy and protein requirements of ruminants. CAB International, Wallingford, UK.</w:t>
      </w:r>
    </w:p>
    <w:p>
      <w:pPr>
        <w:pStyle w:val="BodyText"/>
        <w:spacing w:line="360" w:lineRule="auto"/>
        <w:ind w:left="830" w:right="118" w:hanging="711"/>
        <w:jc w:val="both"/>
      </w:pPr>
      <w:r>
        <w:rPr/>
        <w:t>Animut, G., Puchala, R., Goetsch, A.L., Patra, A.K., Sahlu, T., Varel, V.H., Wells, J., 2008. Methane emission by goats consuming diets with different levels of condensed tannins from lespedeza. Anim. Feed Sci. Tech. 144,</w:t>
      </w:r>
      <w:r>
        <w:rPr>
          <w:spacing w:val="-27"/>
        </w:rPr>
        <w:t> </w:t>
      </w:r>
      <w:r>
        <w:rPr/>
        <w:t>212–227.</w:t>
      </w:r>
    </w:p>
    <w:p>
      <w:pPr>
        <w:pStyle w:val="BodyText"/>
        <w:spacing w:line="360" w:lineRule="auto" w:before="8"/>
        <w:ind w:left="830" w:right="116" w:hanging="711"/>
        <w:jc w:val="both"/>
      </w:pPr>
      <w:r>
        <w:rPr/>
        <w:t>Annison, E.F., Lewis, D., 1986. El metabolismo en el rumen. Hispanoamericana, México.</w:t>
      </w:r>
    </w:p>
    <w:p>
      <w:pPr>
        <w:pStyle w:val="BodyText"/>
        <w:spacing w:line="360" w:lineRule="auto" w:before="2"/>
        <w:ind w:left="830" w:right="126" w:hanging="711"/>
        <w:jc w:val="both"/>
      </w:pPr>
      <w:r>
        <w:rPr/>
        <w:t>Association of Official Analytical Chemists (AOAC), 1990. Official Methods of Analysis, 15th ed. AOAC, Arlington, VA, USA.</w:t>
      </w:r>
    </w:p>
    <w:p>
      <w:pPr>
        <w:pStyle w:val="BodyText"/>
        <w:spacing w:line="360" w:lineRule="auto" w:before="8"/>
        <w:ind w:left="830" w:right="117" w:hanging="711"/>
        <w:jc w:val="both"/>
      </w:pPr>
      <w:r>
        <w:rPr/>
        <w:t>Barry, T.N., McNeil, D.M., McNabb, W.C., 2001. Plant secondary compounds; their impact on forage nutritive value and upon animal production. In:  Proceedings of the XIX International Grassland Congress, Sao Paulo,  Brazil, pp.</w:t>
      </w:r>
      <w:r>
        <w:rPr>
          <w:spacing w:val="-5"/>
        </w:rPr>
        <w:t> </w:t>
      </w:r>
      <w:r>
        <w:rPr/>
        <w:t>445–452.</w:t>
      </w:r>
    </w:p>
    <w:p>
      <w:pPr>
        <w:pStyle w:val="BodyText"/>
        <w:spacing w:line="360" w:lineRule="auto" w:before="8"/>
        <w:ind w:left="830" w:right="113" w:hanging="711"/>
        <w:jc w:val="both"/>
      </w:pPr>
      <w:r>
        <w:rPr/>
        <w:t>Benchaar, C., Calsamiglia, S., Chaves, A.V., Fraser, G.R., Colombatto, D., McAllister, T.A., Beauchemin, K.A., 2008. A review of plant-derived essential oils in ruminant nutrition and production. Anim. Feed Sci. Tech. 145, 209– 228.</w:t>
      </w:r>
    </w:p>
    <w:p>
      <w:pPr>
        <w:pStyle w:val="BodyText"/>
        <w:spacing w:line="360" w:lineRule="auto" w:before="7"/>
        <w:ind w:left="830" w:right="120" w:hanging="711"/>
        <w:jc w:val="both"/>
      </w:pPr>
      <w:r>
        <w:rPr/>
        <w:t>Blümmel, M., Ørskov, E.R., 1993. Comparison of gas production and nylon bag degradability of roughages in predicting feed intake in cattle. Anim. Feed  Sci. Tech. 40,</w:t>
      </w:r>
      <w:r>
        <w:rPr>
          <w:spacing w:val="-6"/>
        </w:rPr>
        <w:t> </w:t>
      </w:r>
      <w:r>
        <w:rPr/>
        <w:t>109-119.</w:t>
      </w:r>
    </w:p>
    <w:p>
      <w:pPr>
        <w:pStyle w:val="BodyText"/>
        <w:spacing w:line="362" w:lineRule="auto" w:before="2"/>
        <w:ind w:left="830" w:right="124" w:hanging="711"/>
        <w:jc w:val="both"/>
      </w:pPr>
      <w:r>
        <w:rPr/>
        <w:t>Broudiscou, L.P., Papon, Y., Broudiscou, A.F., 2000. Effects of dry plant extracts on fermentation and methanogenesis in continuous culture of rumen microbes. Anim. Feed Sci. Tech.</w:t>
      </w:r>
      <w:r>
        <w:rPr>
          <w:spacing w:val="-15"/>
        </w:rPr>
        <w:t> </w:t>
      </w:r>
      <w:r>
        <w:rPr/>
        <w:t>87,263–277.</w:t>
      </w:r>
    </w:p>
    <w:p>
      <w:pPr>
        <w:pStyle w:val="BodyText"/>
        <w:spacing w:line="360" w:lineRule="auto"/>
        <w:ind w:left="830" w:right="121" w:hanging="711"/>
        <w:jc w:val="both"/>
      </w:pPr>
      <w:r>
        <w:rPr/>
        <w:t>Broudiscou, L.P., Papon, Y., Broudiscou, A.F., 2002. Effects of dry plant extracts on feed degradation and the production of </w:t>
      </w:r>
      <w:r>
        <w:rPr>
          <w:spacing w:val="-3"/>
        </w:rPr>
        <w:t>rumen </w:t>
      </w:r>
      <w:r>
        <w:rPr/>
        <w:t>microbial biomass in a  dual outflow fermenter. Anim. Feed Sci. Tech.</w:t>
      </w:r>
      <w:r>
        <w:rPr>
          <w:spacing w:val="-21"/>
        </w:rPr>
        <w:t> </w:t>
      </w:r>
      <w:r>
        <w:rPr/>
        <w:t>101,183–189.</w:t>
      </w:r>
    </w:p>
    <w:p>
      <w:pPr>
        <w:pStyle w:val="BodyText"/>
        <w:spacing w:line="360" w:lineRule="auto" w:before="3"/>
        <w:ind w:left="830" w:right="118" w:hanging="711"/>
        <w:jc w:val="both"/>
      </w:pPr>
      <w:r>
        <w:rPr/>
        <w:t>Busquet, M., Calsamiglia, S., Ferret, A., Kamel, C., 2005. Screening for the effects of natural plant extracts and secondary plant metabolites on rumen microbial fermentation in continuous culture. Anim. Feed Sci. Tech. 123/124,597–613.</w:t>
      </w:r>
    </w:p>
    <w:p>
      <w:pPr>
        <w:spacing w:after="0" w:line="360" w:lineRule="auto"/>
        <w:jc w:val="both"/>
        <w:sectPr>
          <w:pgSz w:w="12240" w:h="15840"/>
          <w:pgMar w:header="0" w:footer="1476" w:top="1400" w:bottom="1660" w:left="1580" w:right="1580"/>
        </w:sectPr>
      </w:pPr>
    </w:p>
    <w:p>
      <w:pPr>
        <w:pStyle w:val="BodyText"/>
        <w:spacing w:line="360" w:lineRule="auto" w:before="52"/>
        <w:ind w:left="830" w:right="118" w:hanging="711"/>
        <w:jc w:val="both"/>
      </w:pPr>
      <w:r>
        <w:rPr/>
        <w:t>Busquet, M., Calsamiglia, S., Ferret, A., Kamel, C., 2006. Plant extracts affect in vitro rumen microbial fermentation. J. Dairy Sci. 89,761–771.</w:t>
      </w:r>
    </w:p>
    <w:p>
      <w:pPr>
        <w:pStyle w:val="BodyText"/>
        <w:spacing w:line="360" w:lineRule="auto" w:before="7"/>
        <w:ind w:left="830" w:right="120" w:hanging="711"/>
        <w:jc w:val="both"/>
      </w:pPr>
      <w:r>
        <w:rPr/>
        <w:t>Cardozo, P. </w:t>
      </w:r>
      <w:r>
        <w:rPr>
          <w:spacing w:val="2"/>
        </w:rPr>
        <w:t>W., </w:t>
      </w:r>
      <w:r>
        <w:rPr/>
        <w:t>Calsamiglia, S., Ferret, A., Kamel, C., 2004. Effects of natural plant extracts on protein degradation and fermentation profiles in continuous culture. J. Anim. Sci. 82,</w:t>
      </w:r>
      <w:r>
        <w:rPr>
          <w:spacing w:val="-10"/>
        </w:rPr>
        <w:t> </w:t>
      </w:r>
      <w:r>
        <w:rPr/>
        <w:t>3230–3236.</w:t>
      </w:r>
    </w:p>
    <w:p>
      <w:pPr>
        <w:pStyle w:val="BodyText"/>
        <w:spacing w:line="360" w:lineRule="auto" w:before="2"/>
        <w:ind w:left="830" w:right="118" w:hanging="711"/>
        <w:jc w:val="both"/>
      </w:pPr>
      <w:r>
        <w:rPr/>
        <w:t>Cardozo, P. W., Calsamiglia, S., Ferret, A., Kamel, C., 2005. Screening for the effects of natural plant extracts at different pH on in vitro rumen microbial fermentation of a high-concentrate diet for beef cattle. J. Anim. Sci. 83, 2572–2579.</w:t>
      </w:r>
    </w:p>
    <w:p>
      <w:pPr>
        <w:pStyle w:val="BodyText"/>
        <w:spacing w:line="362" w:lineRule="auto" w:before="2"/>
        <w:ind w:left="830" w:right="122" w:hanging="711"/>
        <w:jc w:val="both"/>
      </w:pPr>
      <w:r>
        <w:rPr/>
        <w:t>Cieslak, A., Zmora, P., Pers-Kamczyc, E., Szumacher-Strabel, M., 2012. Effects of tannins source (</w:t>
      </w:r>
      <w:r>
        <w:rPr>
          <w:i/>
        </w:rPr>
        <w:t>Vaccinium vitis idaea </w:t>
      </w:r>
      <w:r>
        <w:rPr/>
        <w:t>L.) on rumen microbial fermentation in vivo. Anim. Feed Sci. Tech. 176, 102-106.</w:t>
      </w:r>
    </w:p>
    <w:p>
      <w:pPr>
        <w:pStyle w:val="BodyText"/>
        <w:spacing w:line="360" w:lineRule="auto"/>
        <w:ind w:left="830" w:right="122" w:hanging="711"/>
        <w:jc w:val="both"/>
      </w:pPr>
      <w:r>
        <w:rPr/>
        <w:t>Clausen, T.P., Provenza, F.D., Burritt, E.A., Reichardt, P.B., Bryant, J.P., 1990. Ecological implications of condensed tannin structure: a case study. J. Chem. Ecol. 16, 2381-2392.</w:t>
      </w:r>
    </w:p>
    <w:p>
      <w:pPr>
        <w:pStyle w:val="BodyText"/>
        <w:spacing w:line="360" w:lineRule="auto" w:before="3"/>
        <w:ind w:left="830" w:right="125" w:hanging="711"/>
        <w:jc w:val="both"/>
      </w:pPr>
      <w:r>
        <w:rPr/>
        <w:t>Dawson, J.M., Buttery, P.J., Jenkins, D., Wood, C.D., Gill, M., 1999. Effects of dietary Quebracho tannin on nutrient utilization and tissue metabolism in sheep and rats. J. Sci. Food Agric. 79, 1423-1430.</w:t>
      </w:r>
    </w:p>
    <w:p>
      <w:pPr>
        <w:pStyle w:val="BodyText"/>
        <w:spacing w:line="360" w:lineRule="auto" w:before="7"/>
        <w:ind w:left="830" w:right="121" w:hanging="711"/>
        <w:jc w:val="both"/>
      </w:pPr>
      <w:r>
        <w:rPr/>
        <w:t>Ferme, D., Banjac, M., Calsamiglia, S., Busquet, M., Kamel, C., Avgustin, G.,  2004. The effects of plant extracts on microbial community structure in a rumen-simulating continuous-culture system as revealed by molecular profiling. Folia Microbiol. (Praha) 49,</w:t>
      </w:r>
      <w:r>
        <w:rPr>
          <w:spacing w:val="-22"/>
        </w:rPr>
        <w:t> </w:t>
      </w:r>
      <w:r>
        <w:rPr/>
        <w:t>151–155.</w:t>
      </w:r>
    </w:p>
    <w:p>
      <w:pPr>
        <w:pStyle w:val="BodyText"/>
        <w:spacing w:line="360" w:lineRule="auto" w:before="7"/>
        <w:ind w:left="830" w:right="117" w:hanging="711"/>
        <w:jc w:val="both"/>
      </w:pPr>
      <w:r>
        <w:rPr/>
        <w:t>García, M.D., Wencomo, G.H., González, C.M., Medina, R.M., Cova, O.L., 2008. Caracterización de diez cultivares forrajeros de </w:t>
      </w:r>
      <w:r>
        <w:rPr>
          <w:i/>
        </w:rPr>
        <w:t>Leucaena leucocephala </w:t>
      </w:r>
      <w:r>
        <w:rPr/>
        <w:t>basada en la composición química y la degradabilidad ruminal. Rev. MVZ Córdoba. 13 (2), 1294-1303.</w:t>
      </w:r>
    </w:p>
    <w:p>
      <w:pPr>
        <w:pStyle w:val="BodyText"/>
        <w:spacing w:before="10"/>
      </w:pPr>
    </w:p>
    <w:p>
      <w:pPr>
        <w:pStyle w:val="BodyText"/>
        <w:spacing w:line="360" w:lineRule="auto"/>
        <w:ind w:left="830" w:right="113" w:hanging="711"/>
        <w:jc w:val="both"/>
      </w:pPr>
      <w:r>
        <w:rPr/>
        <w:t>Getachew, G., Blümmel, M., Makkar H.P.S., Becker K., 1998. </w:t>
      </w:r>
      <w:r>
        <w:rPr>
          <w:i/>
        </w:rPr>
        <w:t>In vitro </w:t>
      </w:r>
      <w:r>
        <w:rPr/>
        <w:t>gas measuring techniques for assessment of nutritional quality of feeds: a review. Anim. Feed Sci. Tech</w:t>
      </w:r>
      <w:r>
        <w:rPr>
          <w:i/>
        </w:rPr>
        <w:t>. </w:t>
      </w:r>
      <w:r>
        <w:rPr/>
        <w:t>72,</w:t>
      </w:r>
      <w:r>
        <w:rPr>
          <w:spacing w:val="-10"/>
        </w:rPr>
        <w:t> </w:t>
      </w:r>
      <w:r>
        <w:rPr/>
        <w:t>261-281.</w:t>
      </w:r>
    </w:p>
    <w:p>
      <w:pPr>
        <w:spacing w:after="0" w:line="360" w:lineRule="auto"/>
        <w:jc w:val="both"/>
        <w:sectPr>
          <w:pgSz w:w="12240" w:h="15840"/>
          <w:pgMar w:header="0" w:footer="1476" w:top="1360" w:bottom="1660" w:left="1580" w:right="1580"/>
        </w:sectPr>
      </w:pPr>
    </w:p>
    <w:p>
      <w:pPr>
        <w:pStyle w:val="BodyText"/>
        <w:spacing w:line="360" w:lineRule="auto" w:before="52"/>
        <w:ind w:left="830" w:right="116" w:hanging="711"/>
        <w:jc w:val="both"/>
      </w:pPr>
      <w:r>
        <w:rPr/>
        <w:t>Getachew, G., Makkar, H.P.S., Becker, K., 2001. Method of polyethylene glycol application to tannin-containing browses to improve microbial fermentation and efficiency of microbial protein synthesis from tannin-containing browses. Anim. Feed Sci. Tech. 92, 51-57.</w:t>
      </w:r>
    </w:p>
    <w:p>
      <w:pPr>
        <w:pStyle w:val="BodyText"/>
        <w:spacing w:line="360" w:lineRule="auto" w:before="2"/>
        <w:ind w:left="830" w:right="124" w:hanging="711"/>
        <w:jc w:val="both"/>
      </w:pPr>
      <w:r>
        <w:rPr/>
        <w:t>Givens, D.I., Owen, E., Oxford, R.F.E., Omed, H.M., 2000. Forage evaluation in rumiant nutrition. CABI Publishing, New York, E.U.</w:t>
      </w:r>
    </w:p>
    <w:p>
      <w:pPr>
        <w:pStyle w:val="BodyText"/>
        <w:spacing w:before="2"/>
        <w:ind w:left="119" w:right="99"/>
      </w:pPr>
      <w:r>
        <w:rPr/>
        <w:t>Grafit, 1992. Data Analysis and Graphics Program Ver 3. Erithacus Software Ltd.</w:t>
      </w:r>
    </w:p>
    <w:p>
      <w:pPr>
        <w:pStyle w:val="BodyText"/>
        <w:spacing w:before="10"/>
        <w:rPr>
          <w:sz w:val="29"/>
        </w:rPr>
      </w:pPr>
    </w:p>
    <w:p>
      <w:pPr>
        <w:pStyle w:val="BodyText"/>
        <w:ind w:left="119" w:right="99"/>
      </w:pPr>
      <w:r>
        <w:rPr/>
        <w:t>Greathead, H., 2003. Plants and plant extracts for improving    animal  productivity.</w:t>
      </w:r>
    </w:p>
    <w:p>
      <w:pPr>
        <w:pStyle w:val="BodyText"/>
        <w:spacing w:before="137"/>
        <w:ind w:left="830" w:right="896"/>
      </w:pPr>
      <w:r>
        <w:rPr/>
        <w:t>Proc. Nutr. Soc. 62:279-290.</w:t>
      </w:r>
    </w:p>
    <w:p>
      <w:pPr>
        <w:pStyle w:val="BodyText"/>
        <w:spacing w:line="362" w:lineRule="auto" w:before="137"/>
        <w:ind w:left="830" w:right="123" w:hanging="711"/>
        <w:jc w:val="both"/>
      </w:pPr>
      <w:r>
        <w:rPr/>
        <w:t>Hoste, H., Jackson, F., Athanasiadou, S., Thamsborg, S.M., Hoskin, S.O., 2006. The effects of tannin-rich plants on parasitic nematodes in ruminants.  Trends Parasitol. 22,</w:t>
      </w:r>
      <w:r>
        <w:rPr>
          <w:spacing w:val="-9"/>
        </w:rPr>
        <w:t> </w:t>
      </w:r>
      <w:r>
        <w:rPr/>
        <w:t>253-261.</w:t>
      </w:r>
    </w:p>
    <w:p>
      <w:pPr>
        <w:pStyle w:val="BodyText"/>
        <w:spacing w:line="360" w:lineRule="auto"/>
        <w:ind w:left="830" w:right="118" w:hanging="711"/>
        <w:jc w:val="both"/>
      </w:pPr>
      <w:r>
        <w:rPr/>
        <w:t>Isaza, M.J.H., 2007. Taninos o polifenoles vegetales. Scientia Et. Technica. 33 (13), 13-18.</w:t>
      </w:r>
    </w:p>
    <w:p>
      <w:pPr>
        <w:pStyle w:val="BodyText"/>
        <w:spacing w:line="360" w:lineRule="auto" w:before="3"/>
        <w:ind w:left="830" w:right="117" w:hanging="711"/>
        <w:jc w:val="both"/>
      </w:pPr>
      <w:r>
        <w:rPr/>
        <w:t>Jackson, F.S., Barry, T.N., Lascano, C., Palmer, B., 1996. The extractable and bound condensed tannin content of leaves from tropical tree, shurb and forages legumes. J. Sci. Food Agric. 17 (1), 103-110.</w:t>
      </w:r>
    </w:p>
    <w:p>
      <w:pPr>
        <w:pStyle w:val="BodyText"/>
        <w:spacing w:line="360" w:lineRule="auto" w:before="2"/>
        <w:ind w:left="830" w:right="109" w:hanging="711"/>
        <w:jc w:val="both"/>
      </w:pPr>
      <w:r>
        <w:rPr/>
        <w:t>Jessop, N.S., Herrero, M., 1996. Influence of soluble components on parameter estimation using the </w:t>
      </w:r>
      <w:r>
        <w:rPr>
          <w:i/>
        </w:rPr>
        <w:t>in vitro </w:t>
      </w:r>
      <w:r>
        <w:rPr/>
        <w:t>gas production technique. Anim. Sci. 62, 626- 627.</w:t>
      </w:r>
    </w:p>
    <w:p>
      <w:pPr>
        <w:pStyle w:val="BodyText"/>
        <w:spacing w:line="360" w:lineRule="auto" w:before="7"/>
        <w:ind w:left="830" w:right="114" w:hanging="711"/>
        <w:jc w:val="both"/>
      </w:pPr>
      <w:r>
        <w:rPr/>
        <w:t>Jiménez-Peralta, F.S., Salem, A.Z.M., Mejía-Hernández, P., González-Ronquillo, M., Albarrán-Portillo, B., Rojo-Rubio, R., Tinoco-Jaramillo, J.L., 2011. Influence of individual and mixed extracts of two tree species on in vitro gas production kinetics of a high concentrate diet fed to growing lambs. Livest. Sci. 136, 192–200.</w:t>
      </w:r>
    </w:p>
    <w:p>
      <w:pPr>
        <w:pStyle w:val="BodyText"/>
        <w:spacing w:line="360" w:lineRule="auto" w:before="2"/>
        <w:ind w:left="830" w:right="114" w:hanging="711"/>
        <w:jc w:val="both"/>
      </w:pPr>
      <w:r>
        <w:rPr/>
        <w:t>Kamalak, A., Canbolat, O., Sahin, M., Gurbuz, Y., Ozkose, E., Ozkan, C.O., 2005. The effect of polyethylene glycol (PEG 8000) supplementation on </w:t>
      </w:r>
      <w:r>
        <w:rPr>
          <w:i/>
          <w:spacing w:val="-3"/>
        </w:rPr>
        <w:t>in </w:t>
      </w:r>
      <w:r>
        <w:rPr>
          <w:i/>
        </w:rPr>
        <w:t>vitro  </w:t>
      </w:r>
      <w:r>
        <w:rPr/>
        <w:t>gas production kinetics of leaves from tannin containing trees. S. Afr. J. Anim. Sci. 35 (4),</w:t>
      </w:r>
      <w:r>
        <w:rPr>
          <w:spacing w:val="-6"/>
        </w:rPr>
        <w:t> </w:t>
      </w:r>
      <w:r>
        <w:rPr/>
        <w:t>229-237.</w:t>
      </w:r>
    </w:p>
    <w:p>
      <w:pPr>
        <w:spacing w:after="0" w:line="360" w:lineRule="auto"/>
        <w:jc w:val="both"/>
        <w:sectPr>
          <w:pgSz w:w="12240" w:h="15840"/>
          <w:pgMar w:header="0" w:footer="1476" w:top="1360" w:bottom="1660" w:left="1580" w:right="1580"/>
        </w:sectPr>
      </w:pPr>
    </w:p>
    <w:p>
      <w:pPr>
        <w:pStyle w:val="BodyText"/>
        <w:spacing w:line="360" w:lineRule="auto" w:before="52"/>
        <w:ind w:left="830" w:right="122" w:hanging="711"/>
        <w:jc w:val="both"/>
      </w:pPr>
      <w:r>
        <w:rPr/>
        <w:t>Khazaal, K.A., Parissi, Z., Tsiouvaras, C., Nastis, A., Ørskov, E.R., 1996. Assessment of phenolics-related antinutritive levels using the in vitro gas production technique: a comparison between different types of polyvinylpyrrolidone or polyethylene glycol. J. Sci. Food Agric. 71, 405–414.</w:t>
      </w:r>
    </w:p>
    <w:p>
      <w:pPr>
        <w:pStyle w:val="BodyText"/>
        <w:spacing w:line="360" w:lineRule="auto" w:before="2"/>
        <w:ind w:left="830" w:right="127" w:hanging="711"/>
        <w:jc w:val="both"/>
      </w:pPr>
      <w:r>
        <w:rPr/>
        <w:t>Kumar, R., Vaithiyanathan, S., 1990. Ocurrence, nutritional significance and effect on animal productivity pf tannins in tree leaves. Anim. Feed Sci. Tech. 30, 21-38.</w:t>
      </w:r>
    </w:p>
    <w:p>
      <w:pPr>
        <w:pStyle w:val="BodyText"/>
        <w:spacing w:line="360" w:lineRule="auto" w:before="3"/>
        <w:ind w:left="830" w:right="116" w:hanging="711"/>
        <w:jc w:val="both"/>
      </w:pPr>
      <w:r>
        <w:rPr/>
        <w:t>Lanyasunya, T.P., Hongrong, W., Kariuki, S.T., Mukisira, E.A., Abdulrazak, S.A., Kibitok, N.K., Ondiek, J.O., 2008. The potencial of </w:t>
      </w:r>
      <w:r>
        <w:rPr>
          <w:i/>
        </w:rPr>
        <w:t>Commelina benghalensis </w:t>
      </w:r>
      <w:r>
        <w:rPr/>
        <w:t>as a forage for ruminants</w:t>
      </w:r>
      <w:r>
        <w:rPr>
          <w:i/>
        </w:rPr>
        <w:t>. </w:t>
      </w:r>
      <w:r>
        <w:rPr/>
        <w:t>Anim. Feed Sci. Tech. 144, 185-195.</w:t>
      </w:r>
    </w:p>
    <w:p>
      <w:pPr>
        <w:pStyle w:val="BodyText"/>
        <w:spacing w:line="360" w:lineRule="auto" w:before="7"/>
        <w:ind w:left="830" w:right="113" w:hanging="711"/>
        <w:jc w:val="both"/>
      </w:pPr>
      <w:r>
        <w:rPr/>
        <w:t>López, S., García-González, R., Fernández, M., Bodas, R., González, J.S., 2006. Medicinal plants as feed additives in animal nutrition. In: Singh, K.K., Govil, J.N., Ahmad, K., Sharma, R.Kr. (Eds.), Recent Progress in Medicinal Plants, Vol: 15. Natural Products. Studium Press LLC, Houston, TX, USA, pp. 309– 333.</w:t>
      </w:r>
    </w:p>
    <w:p>
      <w:pPr>
        <w:pStyle w:val="BodyText"/>
        <w:spacing w:line="360" w:lineRule="auto" w:before="3"/>
        <w:ind w:left="830" w:right="114" w:hanging="711"/>
        <w:jc w:val="both"/>
      </w:pPr>
      <w:r>
        <w:rPr/>
        <w:t>Makkar, H.P.S., 2003a. Effects and fate of tannins in ruminant animals, adaptation to tannins, and strategies to overcome detrimental effects of feeding tannin- rich feeds. Small Ruminant. Res. 49, 241–256.</w:t>
      </w:r>
    </w:p>
    <w:p>
      <w:pPr>
        <w:pStyle w:val="BodyText"/>
        <w:spacing w:line="360" w:lineRule="auto" w:before="7"/>
        <w:ind w:left="830" w:right="124" w:hanging="711"/>
        <w:jc w:val="both"/>
      </w:pPr>
      <w:r>
        <w:rPr/>
        <w:t>Makkar, H.P.S., 2003b. Chemical, protein precipitation and bioassays for tannins, tannin levels and activity in unconventional feeds, and effects and fate of tannins. Quantification of Tannins in Tree and Shrub Foliage. Kluwer Academis Publischers, Netherlands, pp. 1-42.</w:t>
      </w:r>
    </w:p>
    <w:p>
      <w:pPr>
        <w:pStyle w:val="BodyText"/>
        <w:spacing w:line="360" w:lineRule="auto" w:before="7"/>
        <w:ind w:left="830" w:right="118" w:hanging="711"/>
        <w:jc w:val="both"/>
      </w:pPr>
      <w:r>
        <w:rPr/>
        <w:t>Makkar, H.P.S., Blummel, M., Becker, K., 1995. Formation of complexes between plyvinil pyrrolidones or polyethylene glycols and tannins and their implication in gas production and true digestibility </w:t>
      </w:r>
      <w:r>
        <w:rPr>
          <w:i/>
        </w:rPr>
        <w:t>in vitro </w:t>
      </w:r>
      <w:r>
        <w:rPr/>
        <w:t>techniques. Br.J. Nutr. 73, 897-913.</w:t>
      </w:r>
    </w:p>
    <w:p>
      <w:pPr>
        <w:pStyle w:val="BodyText"/>
        <w:spacing w:before="7"/>
        <w:ind w:left="119" w:right="99"/>
      </w:pPr>
      <w:r>
        <w:rPr/>
        <w:t>Makkar, H.P.S., Siddhuraju, P., Becker, C., 2007. Plant Secondary Metabolites.</w:t>
      </w:r>
    </w:p>
    <w:p>
      <w:pPr>
        <w:pStyle w:val="BodyText"/>
        <w:spacing w:before="137"/>
        <w:ind w:left="830" w:right="896"/>
      </w:pPr>
      <w:r>
        <w:rPr/>
        <w:t>Human Press. Stuttgart, Germany.</w:t>
      </w:r>
    </w:p>
    <w:p>
      <w:pPr>
        <w:spacing w:after="0"/>
        <w:sectPr>
          <w:pgSz w:w="12240" w:h="15840"/>
          <w:pgMar w:header="0" w:footer="1476" w:top="1360" w:bottom="1660" w:left="1580" w:right="1580"/>
        </w:sectPr>
      </w:pPr>
    </w:p>
    <w:p>
      <w:pPr>
        <w:pStyle w:val="BodyText"/>
        <w:spacing w:before="52"/>
        <w:ind w:left="119" w:right="99"/>
      </w:pPr>
      <w:r>
        <w:rPr/>
        <w:t>Makkar,  H.P.S.,  Becker,  K.,  1996.  A  bioassay  for  tannins.  In:       Polyphenols</w:t>
      </w:r>
    </w:p>
    <w:p>
      <w:pPr>
        <w:spacing w:line="148" w:lineRule="exact" w:before="96"/>
        <w:ind w:left="870" w:right="168" w:firstLine="0"/>
        <w:jc w:val="center"/>
        <w:rPr>
          <w:sz w:val="16"/>
        </w:rPr>
      </w:pPr>
      <w:r>
        <w:rPr>
          <w:sz w:val="16"/>
        </w:rPr>
        <w:t>th</w:t>
      </w:r>
    </w:p>
    <w:p>
      <w:pPr>
        <w:pStyle w:val="BodyText"/>
        <w:spacing w:line="245" w:lineRule="exact"/>
        <w:ind w:left="830" w:right="99"/>
      </w:pPr>
      <w:r>
        <w:rPr/>
        <w:t>Communications. Vol: 96. Proc. XVIII   Int. Conf. on Polyphenols, Bordeaux,</w:t>
      </w:r>
    </w:p>
    <w:p>
      <w:pPr>
        <w:pStyle w:val="BodyText"/>
        <w:spacing w:before="142"/>
        <w:ind w:left="830" w:right="896"/>
      </w:pPr>
      <w:r>
        <w:rPr/>
        <w:t>pp. 197-198.</w:t>
      </w:r>
    </w:p>
    <w:p>
      <w:pPr>
        <w:pStyle w:val="BodyText"/>
        <w:spacing w:line="360" w:lineRule="auto" w:before="141"/>
        <w:ind w:left="830" w:right="114" w:hanging="711"/>
        <w:jc w:val="both"/>
      </w:pPr>
      <w:r>
        <w:rPr/>
        <w:t>Martínez-Loperena, R., Castelán-Ortega, O. A., González-Ronquillo, M., Estrada- Flores, J. G., 2011. Nutritive value, i</w:t>
      </w:r>
      <w:r>
        <w:rPr>
          <w:i/>
        </w:rPr>
        <w:t>n vitro </w:t>
      </w:r>
      <w:r>
        <w:rPr/>
        <w:t>fermentation and secondary metabolites of weeds and maize straw used for feeding dairy cattle. Trop. Subtrop. Agroecosyst. 14, 525-536.</w:t>
      </w:r>
    </w:p>
    <w:p>
      <w:pPr>
        <w:pStyle w:val="BodyText"/>
        <w:spacing w:line="360" w:lineRule="auto" w:before="7"/>
        <w:ind w:left="830" w:right="122" w:hanging="711"/>
        <w:jc w:val="both"/>
      </w:pPr>
      <w:r>
        <w:rPr/>
        <w:t>McDonald, P., Edwards, R.A, Greenhalgh, J.F.D., Morgan, C.A., 1998. Animal nutrition. 5a. ed. Longman Scientific Technical, Nueva York.</w:t>
      </w:r>
    </w:p>
    <w:p>
      <w:pPr>
        <w:pStyle w:val="BodyText"/>
        <w:spacing w:line="362" w:lineRule="auto" w:before="2"/>
        <w:ind w:left="830" w:right="130" w:hanging="711"/>
        <w:jc w:val="both"/>
      </w:pPr>
      <w:r>
        <w:rPr/>
        <w:t>McSweeney, C., Palmer, B., Bunch, R., Krause, D., 2001. Effect of the tropical forage calliandra on microbial protein synthesis and ecology in the rumen. J. Appl. Microbiol. 90, 78–88.</w:t>
      </w:r>
    </w:p>
    <w:p>
      <w:pPr>
        <w:pStyle w:val="BodyText"/>
        <w:spacing w:line="360" w:lineRule="auto"/>
        <w:ind w:left="830" w:right="116" w:hanging="711"/>
        <w:jc w:val="both"/>
      </w:pPr>
      <w:r>
        <w:rPr/>
        <w:t>McSweeney, C.S., Makkar, H.P.S., Reed, J.D., 2003. Modification of rumen fermentation to reduce adverse effects of phytochemicals. In: ‘t Mannetje, L., Ramírez Avilés, L., Sandoval Castro, C.A., K´u Vera, J.C. (Eds.), Matching Herbivore Nutrition to Ecosystems Biodiversity. University of Yucatán, Mérida, México, pp. 239–268.</w:t>
      </w:r>
    </w:p>
    <w:p>
      <w:pPr>
        <w:pStyle w:val="BodyText"/>
        <w:spacing w:line="360" w:lineRule="auto" w:before="2"/>
        <w:ind w:left="830" w:right="125" w:hanging="711"/>
        <w:jc w:val="both"/>
      </w:pPr>
      <w:r>
        <w:rPr/>
        <w:t>Menke, H.H., Steingass, H., 1988. Estimation of the energetic feed value obtained from chemical analysis and </w:t>
      </w:r>
      <w:r>
        <w:rPr>
          <w:i/>
        </w:rPr>
        <w:t>in vitro </w:t>
      </w:r>
      <w:r>
        <w:rPr/>
        <w:t>gas production using rumen fluid. Anim. Res. Dev. 28, 7-55.</w:t>
      </w:r>
    </w:p>
    <w:p>
      <w:pPr>
        <w:pStyle w:val="BodyText"/>
        <w:spacing w:line="357" w:lineRule="auto" w:before="7"/>
        <w:ind w:left="830" w:right="114" w:hanging="711"/>
        <w:jc w:val="both"/>
      </w:pPr>
      <w:r>
        <w:rPr/>
        <w:t>Menke, K. H., Raab, L., Salewski, A., Steingass, H., Fritz, D., Schneider,W., 1979. The estimation of the digestibility and metabolizable energy content of ruminant feedinstuffs from the gas production when they are incubed with rumen liquor in vitro. J. Agric. Sci. Cambridge.  93, 217-222.</w:t>
      </w:r>
    </w:p>
    <w:p>
      <w:pPr>
        <w:pStyle w:val="BodyText"/>
        <w:spacing w:before="212"/>
        <w:ind w:left="119" w:right="99"/>
      </w:pPr>
      <w:r>
        <w:rPr/>
        <w:t>Minitab, 2000. Statistical software. User´s guide 1: Data graphics, and macros  Ver</w:t>
      </w:r>
    </w:p>
    <w:p>
      <w:pPr>
        <w:pStyle w:val="BodyText"/>
        <w:spacing w:before="137"/>
        <w:ind w:left="830" w:right="896"/>
      </w:pPr>
      <w:r>
        <w:rPr/>
        <w:t>14. USA.</w:t>
      </w:r>
    </w:p>
    <w:p>
      <w:pPr>
        <w:pStyle w:val="BodyText"/>
        <w:spacing w:before="10"/>
        <w:rPr>
          <w:sz w:val="29"/>
        </w:rPr>
      </w:pPr>
    </w:p>
    <w:p>
      <w:pPr>
        <w:pStyle w:val="BodyText"/>
        <w:spacing w:line="360" w:lineRule="auto"/>
        <w:ind w:left="830" w:right="113" w:hanging="711"/>
        <w:jc w:val="both"/>
      </w:pPr>
      <w:r>
        <w:rPr/>
        <w:t>Mohammed, N., Ajisaka, N., Lila, Z.A., Mikuni, K., Hara, K., Kanda, S., Itabashi, H., 2004. Effect of Japanese horseradish oil on methane production and ruminal fermentation in vitro and in steers. J. Anim. Sci. 82,1839–1846.</w:t>
      </w:r>
    </w:p>
    <w:p>
      <w:pPr>
        <w:spacing w:after="0" w:line="360" w:lineRule="auto"/>
        <w:jc w:val="both"/>
        <w:sectPr>
          <w:pgSz w:w="12240" w:h="15840"/>
          <w:pgMar w:header="0" w:footer="1476" w:top="1360" w:bottom="1660" w:left="1580" w:right="1580"/>
        </w:sectPr>
      </w:pPr>
    </w:p>
    <w:p>
      <w:pPr>
        <w:pStyle w:val="BodyText"/>
        <w:spacing w:line="360" w:lineRule="auto" w:before="52"/>
        <w:ind w:left="830" w:right="123" w:hanging="711"/>
        <w:jc w:val="both"/>
      </w:pPr>
      <w:r>
        <w:rPr/>
        <w:t>Montenegro, J.A.S., 2000. Fijación de carbono, emisión de metano y de óxido nitroso en sistemas de producción bovina en Costa Rica. In: Intensificación de la ganadería en Centroamérica: beneficios económicos y ambientales. CATIE – FAO – SIDE. Ed Nuestra Tierra. 334 p.</w:t>
      </w:r>
    </w:p>
    <w:p>
      <w:pPr>
        <w:pStyle w:val="BodyText"/>
        <w:spacing w:line="360" w:lineRule="auto" w:before="2"/>
        <w:ind w:left="830" w:right="123" w:hanging="711"/>
        <w:jc w:val="both"/>
      </w:pPr>
      <w:r>
        <w:rPr/>
        <w:t>Moreno-Murillo B., Sánchez, A., Quevedo, R., Pabón, M., Carulla, J. E. 2006. Estudio químico preliminar de los polifenoles de dos accesiones de </w:t>
      </w:r>
      <w:r>
        <w:rPr>
          <w:i/>
        </w:rPr>
        <w:t>Calliandra calothyrsus. </w:t>
      </w:r>
      <w:r>
        <w:rPr/>
        <w:t>Segundo Taller de Taninos en la Nutrición de Rumiantes. Universidad Nacional de Colombia-Bogota, pp. 10-12.</w:t>
      </w:r>
    </w:p>
    <w:p>
      <w:pPr>
        <w:pStyle w:val="BodyText"/>
        <w:spacing w:line="360" w:lineRule="auto" w:before="2"/>
        <w:ind w:left="830" w:right="114" w:hanging="711"/>
        <w:jc w:val="both"/>
      </w:pPr>
      <w:r>
        <w:rPr/>
        <w:t>Mueller-Harvey, I., McAllan, A.B., 1992. Tannins. Their  biochemistry  and nutritional properties. Advances in Plant Cell Biochemistry and Biotechnology. 1</w:t>
      </w:r>
      <w:r>
        <w:rPr>
          <w:b/>
        </w:rPr>
        <w:t>, </w:t>
      </w:r>
      <w:r>
        <w:rPr/>
        <w:t>151- 217.</w:t>
      </w:r>
    </w:p>
    <w:p>
      <w:pPr>
        <w:pStyle w:val="BodyText"/>
        <w:spacing w:line="360" w:lineRule="auto" w:before="8"/>
        <w:ind w:left="830" w:right="120" w:hanging="711"/>
        <w:jc w:val="both"/>
      </w:pPr>
      <w:r>
        <w:rPr/>
        <w:t>Nagadi, S., Herrero, M., Jessop, N.S., 2000a. The effect of fermentable nitrogen availability on in vitro gas production and degradability of NDF. Anim. Feed Sci. Tech. 87, 241-251.</w:t>
      </w:r>
    </w:p>
    <w:p>
      <w:pPr>
        <w:pStyle w:val="BodyText"/>
        <w:spacing w:line="360" w:lineRule="auto" w:before="7"/>
        <w:ind w:left="830" w:right="121" w:hanging="711"/>
        <w:jc w:val="both"/>
      </w:pPr>
      <w:r>
        <w:rPr/>
        <w:t>Nagadi, S., Herrero, M., Jessop, N.S., 2000b. The influence of diet of the donar animal on the initial bacterial concentration of ruminal fluid and in vitro gas production degradability parameters. Anim. Feed Sci. Tech. 87, 231-239.</w:t>
      </w:r>
    </w:p>
    <w:p>
      <w:pPr>
        <w:pStyle w:val="BodyText"/>
        <w:spacing w:line="362" w:lineRule="auto" w:before="2"/>
        <w:ind w:left="830" w:right="115" w:hanging="711"/>
        <w:jc w:val="both"/>
      </w:pPr>
      <w:r>
        <w:rPr/>
        <w:t>NMX-F-615-NORMEX-2004. Alimentos. Determinación de extracto etéreo en alimentos. Método de prueba, (Método SOXHLET).</w:t>
      </w:r>
    </w:p>
    <w:p>
      <w:pPr>
        <w:pStyle w:val="BodyText"/>
        <w:spacing w:line="357" w:lineRule="auto"/>
        <w:ind w:left="830" w:right="115" w:hanging="711"/>
        <w:jc w:val="both"/>
      </w:pPr>
      <w:r>
        <w:rPr/>
        <w:t>Otero, M.J., Hidalgo, L.G., 2004. Condensed tannins in temperate forage species: effects on the productivity of ruminants infected with internal parasites (a review). Livest. Res. Rural Dev. 16(2), 1-17.</w:t>
      </w:r>
    </w:p>
    <w:p>
      <w:pPr>
        <w:pStyle w:val="BodyText"/>
        <w:spacing w:line="360" w:lineRule="auto" w:before="212"/>
        <w:ind w:left="830" w:right="124" w:hanging="711"/>
        <w:jc w:val="both"/>
      </w:pPr>
      <w:r>
        <w:rPr/>
        <w:t>Owens, F.N., Goetsch, A.L., 1988. Fermentación ruminal. In: Church, C.D., El rumiante. Fisiología digestiva y nutrición. Acribia, España, pp. 159-183.</w:t>
      </w:r>
    </w:p>
    <w:p>
      <w:pPr>
        <w:pStyle w:val="BodyText"/>
        <w:spacing w:line="360" w:lineRule="auto" w:before="7"/>
        <w:ind w:left="830" w:right="114" w:hanging="711"/>
        <w:jc w:val="both"/>
      </w:pPr>
      <w:r>
        <w:rPr/>
        <w:t>Patra, A.K., Saxena, J., 2009. Dietary phytochemicals as </w:t>
      </w:r>
      <w:r>
        <w:rPr>
          <w:spacing w:val="-3"/>
        </w:rPr>
        <w:t>rumen </w:t>
      </w:r>
      <w:r>
        <w:rPr/>
        <w:t>modifiers:  a  review of the effects on microbial populations. Anton. Van Leeuw. 96, </w:t>
      </w:r>
      <w:r>
        <w:rPr>
          <w:spacing w:val="2"/>
        </w:rPr>
        <w:t>363- </w:t>
      </w:r>
      <w:r>
        <w:rPr/>
        <w:t>375.</w:t>
      </w:r>
    </w:p>
    <w:p>
      <w:pPr>
        <w:pStyle w:val="BodyText"/>
        <w:spacing w:line="362" w:lineRule="auto" w:before="2"/>
        <w:ind w:left="830" w:right="132" w:hanging="711"/>
        <w:jc w:val="both"/>
      </w:pPr>
      <w:r>
        <w:rPr/>
        <w:t>Patra, A.K., Saxena, J., 2011. Exploitation of dietary tannins to improve rumen metabolism and ruminant nutrition. J. Sci. Food Agric. 91, 24–37.</w:t>
      </w:r>
    </w:p>
    <w:p>
      <w:pPr>
        <w:spacing w:after="0" w:line="362" w:lineRule="auto"/>
        <w:jc w:val="both"/>
        <w:sectPr>
          <w:pgSz w:w="12240" w:h="15840"/>
          <w:pgMar w:header="0" w:footer="1476" w:top="1360" w:bottom="1660" w:left="1580" w:right="1580"/>
        </w:sectPr>
      </w:pPr>
    </w:p>
    <w:p>
      <w:pPr>
        <w:pStyle w:val="BodyText"/>
        <w:spacing w:line="360" w:lineRule="auto" w:before="52"/>
        <w:ind w:left="830" w:right="118" w:hanging="711"/>
        <w:jc w:val="both"/>
      </w:pPr>
      <w:r>
        <w:rPr/>
        <w:t>Pell, A.N., Schofield, P., 1993. Computerised monitoring of gas production to mesure forage digestion </w:t>
      </w:r>
      <w:r>
        <w:rPr>
          <w:i/>
        </w:rPr>
        <w:t>in vitro</w:t>
      </w:r>
      <w:r>
        <w:rPr/>
        <w:t>. J. Dairy Sci. 76, 1063-1073.</w:t>
      </w:r>
    </w:p>
    <w:p>
      <w:pPr>
        <w:pStyle w:val="BodyText"/>
        <w:spacing w:line="360" w:lineRule="auto" w:before="7"/>
        <w:ind w:left="830" w:right="114" w:hanging="711"/>
        <w:jc w:val="both"/>
      </w:pPr>
      <w:r>
        <w:rPr/>
        <w:t>Pinto-Ruiz, R., Hernández-Sánchez, D., Ramírez-Avilés, L., Sandoval-Castro, C. A., Cobos-Peralta, M., Gómez-Castro, H., 2009. Taninos y fenoles en la fermentación </w:t>
      </w:r>
      <w:r>
        <w:rPr>
          <w:i/>
        </w:rPr>
        <w:t>in vitro </w:t>
      </w:r>
      <w:r>
        <w:rPr/>
        <w:t>de leñosas forrajeras tropicales. Agronomía Mesoamericana. 20 (1), 81-89.</w:t>
      </w:r>
    </w:p>
    <w:p>
      <w:pPr>
        <w:pStyle w:val="BodyText"/>
        <w:spacing w:line="360" w:lineRule="auto" w:before="7"/>
        <w:ind w:left="830" w:right="115" w:hanging="711"/>
        <w:jc w:val="both"/>
      </w:pPr>
      <w:r>
        <w:rPr/>
        <w:t>Priolo, A., Waghorn, G.C., Lanza, M., Biondi, L., Pennisi, P., 2000. Polyethylene glycol as a means for reducing the impact of condensed tannins in carob pulp: Effects on lamb growth performance and meat quality. J. Anim. Sci.  78,</w:t>
      </w:r>
      <w:r>
        <w:rPr>
          <w:spacing w:val="-3"/>
        </w:rPr>
        <w:t> </w:t>
      </w:r>
      <w:r>
        <w:rPr/>
        <w:t>810-816.</w:t>
      </w:r>
    </w:p>
    <w:p>
      <w:pPr>
        <w:pStyle w:val="BodyText"/>
        <w:spacing w:before="7"/>
        <w:ind w:left="119" w:right="99"/>
      </w:pPr>
      <w:r>
        <w:rPr/>
        <w:t>Ramírez, L.R.G., 2003. Nutrición de rumiantes: sistemas extensivos. Ed. Trillas.</w:t>
      </w:r>
    </w:p>
    <w:p>
      <w:pPr>
        <w:pStyle w:val="BodyText"/>
        <w:spacing w:before="137"/>
        <w:ind w:left="830" w:right="896"/>
      </w:pPr>
      <w:r>
        <w:rPr/>
        <w:t>Universidad Autónoma de Nuevo León. México. 304 pp.</w:t>
      </w:r>
    </w:p>
    <w:p>
      <w:pPr>
        <w:pStyle w:val="BodyText"/>
        <w:spacing w:line="360" w:lineRule="auto" w:before="137"/>
        <w:ind w:left="830" w:right="115" w:hanging="711"/>
        <w:jc w:val="both"/>
      </w:pPr>
      <w:r>
        <w:rPr/>
        <w:t>Ramírez, L.R.G., 2009. Forrajes nativos. Una alternativa sustentable en la alimentación de rumiantes. Ciencia UANL. 12 (1), 4-5.</w:t>
      </w:r>
    </w:p>
    <w:p>
      <w:pPr>
        <w:pStyle w:val="BodyText"/>
        <w:spacing w:line="360" w:lineRule="auto" w:before="7"/>
        <w:ind w:left="830" w:right="116" w:hanging="711"/>
        <w:jc w:val="both"/>
      </w:pPr>
      <w:r>
        <w:rPr/>
        <w:t>Ramírez, O.R., Ramírez, L.R.G., López, G.F., 2002. Factores estructurales de la pared celular del forraje que afectan su digestibilidad. Ciencia UANL. 5 (2), 180-189.</w:t>
      </w:r>
    </w:p>
    <w:p>
      <w:pPr>
        <w:pStyle w:val="BodyText"/>
        <w:spacing w:line="360" w:lineRule="auto" w:before="2"/>
        <w:ind w:left="830" w:right="116" w:hanging="711"/>
        <w:jc w:val="both"/>
      </w:pPr>
      <w:r>
        <w:rPr/>
        <w:t>Reed, J.D., Krueger, C., Rodríguez, G., Hanson, J., 2000. Secondary plant ompounds andforage evaluation</w:t>
      </w:r>
      <w:r>
        <w:rPr>
          <w:i/>
        </w:rPr>
        <w:t>. </w:t>
      </w:r>
      <w:r>
        <w:rPr/>
        <w:t>In: Givens, D.I., Owen, E., Axford, R.F.E., Omed, H.M. (Eds.), Forage Evaluation in Ruminant Nutrition. CAB International, pp. 433-448.</w:t>
      </w:r>
    </w:p>
    <w:p>
      <w:pPr>
        <w:pStyle w:val="BodyText"/>
        <w:spacing w:line="362" w:lineRule="auto" w:before="2"/>
        <w:ind w:left="830" w:right="120" w:hanging="711"/>
        <w:jc w:val="both"/>
      </w:pPr>
      <w:r>
        <w:rPr/>
        <w:t>Reed, J.D., 1995. Nutritional toxicology of tannins and related polyphenols  in forage legumes. J. Anim. Sci. 73, 1516-1528.</w:t>
      </w:r>
    </w:p>
    <w:p>
      <w:pPr>
        <w:pStyle w:val="BodyText"/>
        <w:spacing w:line="360" w:lineRule="auto"/>
        <w:ind w:left="830" w:right="120" w:hanging="711"/>
        <w:jc w:val="both"/>
      </w:pPr>
      <w:r>
        <w:rPr/>
        <w:t>Relling, A.E, Mattioli, G.A., 2002. Fisiología digestiva y metabólica de los rumiantes. Universidad Nacional de la Plata y University of Ohio. EDULP.  72 pp.</w:t>
      </w:r>
    </w:p>
    <w:p>
      <w:pPr>
        <w:pStyle w:val="BodyText"/>
        <w:spacing w:line="360" w:lineRule="auto" w:before="7"/>
        <w:ind w:left="830" w:right="114" w:hanging="711"/>
        <w:jc w:val="both"/>
      </w:pPr>
      <w:r>
        <w:rPr/>
        <w:t>Rodríguez, R., Mota, M., Fondevila., Fuente, G., 2006. </w:t>
      </w:r>
      <w:r>
        <w:rPr>
          <w:i/>
        </w:rPr>
        <w:t>In vitro </w:t>
      </w:r>
      <w:r>
        <w:rPr/>
        <w:t>fermentation of four tropical browse legumes: estimation of the effect of tannins by gas production. In Sandoval-Castro, C.A., Hovell, D.F.D., Torres-Acosta, J.F.J., Ayala-Burgos., A. (Eds.), Herbivores: Assessment of intake, digestibility and</w:t>
      </w:r>
    </w:p>
    <w:p>
      <w:pPr>
        <w:pStyle w:val="BodyText"/>
        <w:spacing w:before="3"/>
        <w:ind w:left="830" w:right="896"/>
      </w:pPr>
      <w:r>
        <w:rPr/>
        <w:t>the roles of secondary compounds. Nottingham Universuty Press.</w:t>
      </w:r>
    </w:p>
    <w:p>
      <w:pPr>
        <w:spacing w:after="0"/>
        <w:sectPr>
          <w:pgSz w:w="12240" w:h="15840"/>
          <w:pgMar w:header="0" w:footer="1476" w:top="1360" w:bottom="1660" w:left="1580" w:right="1580"/>
        </w:sectPr>
      </w:pPr>
    </w:p>
    <w:p>
      <w:pPr>
        <w:pStyle w:val="BodyText"/>
        <w:spacing w:line="360" w:lineRule="auto" w:before="52"/>
        <w:ind w:left="830" w:right="113" w:hanging="711"/>
        <w:jc w:val="both"/>
      </w:pPr>
      <w:r>
        <w:rPr/>
        <w:t>Sabás, C.C.C., 2010. Estudio etnobotánico y fitoquímico de </w:t>
      </w:r>
      <w:r>
        <w:rPr>
          <w:i/>
        </w:rPr>
        <w:t>Tagetes lucida </w:t>
      </w:r>
      <w:r>
        <w:rPr/>
        <w:t>Cav</w:t>
      </w:r>
      <w:r>
        <w:rPr>
          <w:i/>
        </w:rPr>
        <w:t>. </w:t>
      </w:r>
      <w:r>
        <w:rPr/>
        <w:t>(Asteraceae) en la comunidad de San Pablo Huantepec, Municipio de Jilotepec, Estado de México. Tesis de Licenciatura. Universidad Autónoma del Estado de México pp. 73.</w:t>
      </w:r>
    </w:p>
    <w:p>
      <w:pPr>
        <w:pStyle w:val="BodyText"/>
        <w:spacing w:line="360" w:lineRule="auto" w:before="2"/>
        <w:ind w:left="830" w:right="123" w:hanging="711"/>
        <w:jc w:val="both"/>
      </w:pPr>
      <w:r>
        <w:rPr/>
        <w:t>Salem, A.Z.M., López, S., Robinson, P.H., 2012. Plant bioactive compounds in ruminant agriculture–Impacts and opportunities. Anim. Feed Sci. Tech. 176, 1-4 (special issue).</w:t>
      </w:r>
    </w:p>
    <w:p>
      <w:pPr>
        <w:pStyle w:val="BodyText"/>
        <w:spacing w:before="1"/>
        <w:rPr>
          <w:sz w:val="21"/>
        </w:rPr>
      </w:pPr>
    </w:p>
    <w:p>
      <w:pPr>
        <w:pStyle w:val="BodyText"/>
        <w:spacing w:line="357" w:lineRule="auto"/>
        <w:ind w:left="830" w:right="115" w:hanging="711"/>
        <w:jc w:val="both"/>
      </w:pPr>
      <w:r>
        <w:rPr/>
        <w:t>Serge, Y.L., Avi, P., Dorit, K., Nissim, S., Ronit, N., Hagit, B., Frederick, D.P., 2002. Polyethylene glycol affects goats’ feeding behavior in a tannin-rich environment. J. Range Manage. 55, 598–603.</w:t>
      </w:r>
    </w:p>
    <w:p>
      <w:pPr>
        <w:pStyle w:val="BodyText"/>
        <w:spacing w:line="360" w:lineRule="auto" w:before="73"/>
        <w:ind w:left="830" w:right="119" w:hanging="711"/>
        <w:jc w:val="both"/>
      </w:pPr>
      <w:r>
        <w:rPr/>
        <w:t>Schofield, P., Mbugua, D.M., Pell, A.N., 2001. Analysis of condensed tannins: a review. Anim. Feed Sci. Tech. 91, 21-40.</w:t>
      </w:r>
    </w:p>
    <w:p>
      <w:pPr>
        <w:pStyle w:val="BodyText"/>
        <w:spacing w:line="360" w:lineRule="auto" w:before="7"/>
        <w:ind w:left="830" w:right="127" w:hanging="711"/>
        <w:jc w:val="both"/>
      </w:pPr>
      <w:r>
        <w:rPr/>
        <w:t>Steingass, H., 1983. Bestommung des energetischen futterwertes von wirtschaftseigenen futtermitteln aus der gasbildung bei der panserfermentation in vitro. Hohenheim, Univ., Fak. IV, Diss.</w:t>
      </w:r>
    </w:p>
    <w:p>
      <w:pPr>
        <w:pStyle w:val="BodyText"/>
        <w:spacing w:line="360" w:lineRule="auto" w:before="2"/>
        <w:ind w:left="830" w:right="119" w:hanging="711"/>
        <w:jc w:val="both"/>
      </w:pPr>
      <w:r>
        <w:rPr/>
        <w:t>Theodorou, M.K., Williams, B.A., Dhanoa, M.S., McAllan, A.B., 1991. A new laboratory procedure for estimating kinetic parameters associated with the digestibility of forages. In: Procedings of the Conference on Plant Cell Wall Digestion. US Dairy Forage Research Center. Madison, Wisconsin, p. 20.</w:t>
      </w:r>
    </w:p>
    <w:p>
      <w:pPr>
        <w:pStyle w:val="BodyText"/>
        <w:spacing w:line="360" w:lineRule="auto" w:before="209"/>
        <w:ind w:left="830" w:right="128" w:hanging="711"/>
        <w:jc w:val="both"/>
      </w:pPr>
      <w:r>
        <w:rPr/>
        <w:t>Theodorou, M.K., Williams, B.A., Dhanoa, M.S., McAllan, A.B., France, J., 1994. A Simple gas production method using a pressure transducer to determine the fermentation kinetics of ruminant feeds. Anim. Feed Sci. Tech. 48, 185-197.</w:t>
      </w:r>
    </w:p>
    <w:p>
      <w:pPr>
        <w:pStyle w:val="BodyText"/>
        <w:spacing w:line="360" w:lineRule="auto" w:before="8"/>
        <w:ind w:left="830" w:right="115" w:hanging="711"/>
        <w:jc w:val="both"/>
      </w:pPr>
      <w:r>
        <w:rPr/>
        <w:t>Tiemann, T.T., Ávila, P., Ramírez, G., Dieter, H.H., Lascano, C.E., 2006b. Efecto de taninos extraídos de leguminosas arbustivas sobre la dinámica de fermentación ruminal. Taller de Taninos en la Nutrición de Rumiantes. Universidad Nacional de Colombia-Bogota,</w:t>
      </w:r>
      <w:r>
        <w:rPr>
          <w:spacing w:val="-9"/>
        </w:rPr>
        <w:t> </w:t>
      </w:r>
      <w:r>
        <w:rPr/>
        <w:t>pp.15-17.</w:t>
      </w:r>
    </w:p>
    <w:p>
      <w:pPr>
        <w:pStyle w:val="BodyText"/>
        <w:spacing w:before="8"/>
        <w:ind w:left="119" w:right="99"/>
      </w:pPr>
      <w:r>
        <w:rPr/>
        <w:t>Tsuda, T., 1994. Digestion and absorption. Animal  Physiology. Tokyo, Japan.    P.</w:t>
      </w:r>
    </w:p>
    <w:p>
      <w:pPr>
        <w:pStyle w:val="BodyText"/>
        <w:spacing w:before="137"/>
        <w:ind w:left="830" w:right="896"/>
      </w:pPr>
      <w:r>
        <w:rPr/>
        <w:t>149.</w:t>
      </w:r>
    </w:p>
    <w:p>
      <w:pPr>
        <w:spacing w:after="0"/>
        <w:sectPr>
          <w:pgSz w:w="12240" w:h="15840"/>
          <w:pgMar w:header="0" w:footer="1476" w:top="1360" w:bottom="1660" w:left="1580" w:right="1580"/>
        </w:sectPr>
      </w:pPr>
    </w:p>
    <w:p>
      <w:pPr>
        <w:pStyle w:val="BodyText"/>
        <w:spacing w:line="360" w:lineRule="auto" w:before="52"/>
        <w:ind w:left="830" w:right="115" w:hanging="711"/>
        <w:jc w:val="both"/>
      </w:pPr>
      <w:r>
        <w:rPr/>
        <w:t>Torres-Acosta, J.F.J., Alonso-Díaz, M.A., Hoste, H., Sandoval-Castro, C.A., Aguilar-Caballero, A.J., 2008. Efectos negativos y positivos del consumo de forrajes ricos en taninos en la producción de caprinos. Trop. Subtrop. Agroecosyst. 9 (1), 83-90.</w:t>
      </w:r>
    </w:p>
    <w:p>
      <w:pPr>
        <w:pStyle w:val="BodyText"/>
        <w:spacing w:line="360" w:lineRule="auto" w:before="2"/>
        <w:ind w:left="830" w:right="116" w:hanging="711"/>
        <w:jc w:val="both"/>
      </w:pPr>
      <w:r>
        <w:rPr/>
        <w:t>Van Soest, P.J., Conklin, N.L., Horvath, P.J., 1986. Tannins in food and feeds. Proceedings of the Cornell Nutrition Conference for Feed Manufactures, p 115-122.</w:t>
      </w:r>
    </w:p>
    <w:p>
      <w:pPr>
        <w:pStyle w:val="BodyText"/>
        <w:spacing w:line="360" w:lineRule="auto" w:before="3"/>
        <w:ind w:left="830" w:right="129" w:hanging="711"/>
        <w:jc w:val="both"/>
      </w:pPr>
      <w:r>
        <w:rPr/>
        <w:t>Van Soest, P.J., Robertson, J.B., Lewis, B.A., 1991. Methods for dietary fiber, neutral detergent fiber and nonstarch polysaccharides in relation to animal nutrition. J. Dairy Sci. 74, 3583-3597.</w:t>
      </w:r>
    </w:p>
    <w:p>
      <w:pPr>
        <w:pStyle w:val="BodyText"/>
        <w:spacing w:line="360" w:lineRule="auto" w:before="7"/>
        <w:ind w:left="830" w:right="121" w:hanging="711"/>
        <w:jc w:val="both"/>
      </w:pPr>
      <w:r>
        <w:rPr/>
        <w:t>Van Soest, P.J., 1994. Nutritional Ecology of the Ruminant, 2nd ed. Cornell Univ Press, Ithaca, NY, USA, p. 476.</w:t>
      </w:r>
    </w:p>
    <w:p>
      <w:pPr>
        <w:pStyle w:val="BodyText"/>
        <w:spacing w:line="360" w:lineRule="auto" w:before="2"/>
        <w:ind w:left="830" w:right="117" w:hanging="711"/>
        <w:jc w:val="both"/>
      </w:pPr>
      <w:r>
        <w:rPr/>
        <w:t>Waghorn, G.C., 2008. Beneficial and detrimental effects of dietary condensed tannins for sustainable sheep and goat production–progress and challenges. Anim. Feed Sci. Tech. 147, 116–139.</w:t>
      </w:r>
    </w:p>
    <w:p>
      <w:pPr>
        <w:pStyle w:val="BodyText"/>
        <w:spacing w:line="360" w:lineRule="auto" w:before="3"/>
        <w:ind w:left="830" w:right="121" w:hanging="711"/>
        <w:jc w:val="both"/>
      </w:pPr>
      <w:r>
        <w:rPr/>
        <w:t>Waghorn, C.R., Reed, J.D., Ndlovu, L.R., 1997. Condensed tannins and herbivore nutrition. Seccion 8- Tannins Plant Breeding and Animal Effects. Proceedings of the XVlll. International Grassland Congress. Canada, 1997.</w:t>
      </w:r>
    </w:p>
    <w:p>
      <w:pPr>
        <w:pStyle w:val="BodyText"/>
        <w:spacing w:line="360" w:lineRule="auto" w:before="7"/>
        <w:ind w:left="830" w:right="117" w:hanging="711"/>
        <w:jc w:val="both"/>
      </w:pPr>
      <w:r>
        <w:rPr/>
        <w:t>Yokoyama, M.T., Jonhson, K. A., 1988. Microbiología del rumen e intestino. In: Church, C.D., El rumiante. Fisiología digestiva y nutrición. Acribia, España, pp. 137-156.</w:t>
      </w:r>
    </w:p>
    <w:p>
      <w:pPr>
        <w:spacing w:after="0" w:line="360" w:lineRule="auto"/>
        <w:jc w:val="both"/>
        <w:sectPr>
          <w:footerReference w:type="default" r:id="rId26"/>
          <w:pgSz w:w="12240" w:h="15840"/>
          <w:pgMar w:footer="1478" w:header="0" w:top="1360" w:bottom="1660" w:left="1580" w:right="1580"/>
        </w:sectPr>
      </w:pPr>
    </w:p>
    <w:p>
      <w:pPr>
        <w:pStyle w:val="Heading1"/>
        <w:spacing w:before="147"/>
        <w:ind w:left="139" w:right="95"/>
        <w:jc w:val="left"/>
      </w:pPr>
      <w:bookmarkStart w:name="_bookmark26" w:id="47"/>
      <w:bookmarkEnd w:id="47"/>
      <w:r>
        <w:rPr>
          <w:b w:val="0"/>
        </w:rPr>
      </w:r>
      <w:r>
        <w:rPr/>
        <w:t>Xl. ANEXOS</w:t>
      </w:r>
    </w:p>
    <w:p>
      <w:pPr>
        <w:pStyle w:val="BodyText"/>
        <w:rPr>
          <w:b/>
          <w:sz w:val="26"/>
        </w:rPr>
      </w:pPr>
    </w:p>
    <w:p>
      <w:pPr>
        <w:pStyle w:val="BodyText"/>
        <w:spacing w:before="228"/>
        <w:ind w:left="139" w:right="95"/>
      </w:pPr>
      <w:r>
        <w:rPr/>
        <w:t>Efecto del Polietilen glicol (PEG) sobre la fermentación ruminal</w:t>
      </w:r>
    </w:p>
    <w:p>
      <w:pPr>
        <w:spacing w:line="355" w:lineRule="auto" w:before="136"/>
        <w:ind w:left="139" w:right="95" w:firstLine="0"/>
        <w:jc w:val="left"/>
        <w:rPr>
          <w:b/>
          <w:sz w:val="22"/>
        </w:rPr>
      </w:pPr>
      <w:r>
        <w:rPr>
          <w:b/>
          <w:sz w:val="22"/>
        </w:rPr>
        <w:t>Cuadro 1. Incremento en la producción de gas a las 24 y 96 h por tratamiento por especie</w:t>
      </w:r>
    </w:p>
    <w:p>
      <w:pPr>
        <w:pStyle w:val="BodyText"/>
        <w:rPr>
          <w:b/>
          <w:sz w:val="20"/>
        </w:rPr>
      </w:pPr>
    </w:p>
    <w:p>
      <w:pPr>
        <w:pStyle w:val="BodyText"/>
        <w:rPr>
          <w:b/>
          <w:sz w:val="20"/>
        </w:rPr>
      </w:pPr>
    </w:p>
    <w:p>
      <w:pPr>
        <w:pStyle w:val="BodyText"/>
        <w:spacing w:before="2"/>
        <w:rPr>
          <w:b/>
          <w:sz w:val="14"/>
        </w:rPr>
      </w:pPr>
    </w:p>
    <w:tbl>
      <w:tblPr>
        <w:tblW w:w="0" w:type="auto"/>
        <w:jc w:val="left"/>
        <w:tblInd w:w="11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616"/>
        <w:gridCol w:w="1379"/>
        <w:gridCol w:w="1247"/>
        <w:gridCol w:w="1285"/>
      </w:tblGrid>
      <w:tr>
        <w:trPr>
          <w:trHeight w:val="802" w:hRule="exact"/>
        </w:trPr>
        <w:tc>
          <w:tcPr>
            <w:tcW w:w="1616" w:type="dxa"/>
            <w:tcBorders>
              <w:left w:val="nil"/>
              <w:right w:val="nil"/>
            </w:tcBorders>
          </w:tcPr>
          <w:p>
            <w:pPr>
              <w:pStyle w:val="TableParagraph"/>
              <w:spacing w:before="11"/>
              <w:jc w:val="left"/>
              <w:rPr>
                <w:b/>
                <w:sz w:val="32"/>
              </w:rPr>
            </w:pPr>
          </w:p>
          <w:p>
            <w:pPr>
              <w:pStyle w:val="TableParagraph"/>
              <w:ind w:left="86"/>
              <w:jc w:val="left"/>
              <w:rPr>
                <w:sz w:val="22"/>
              </w:rPr>
            </w:pPr>
            <w:r>
              <w:rPr>
                <w:sz w:val="22"/>
              </w:rPr>
              <w:t>Especie</w:t>
            </w:r>
          </w:p>
        </w:tc>
        <w:tc>
          <w:tcPr>
            <w:tcW w:w="1379" w:type="dxa"/>
            <w:tcBorders>
              <w:left w:val="nil"/>
              <w:right w:val="nil"/>
            </w:tcBorders>
          </w:tcPr>
          <w:p>
            <w:pPr>
              <w:pStyle w:val="TableParagraph"/>
              <w:spacing w:before="11"/>
              <w:jc w:val="left"/>
              <w:rPr>
                <w:b/>
                <w:sz w:val="32"/>
              </w:rPr>
            </w:pPr>
          </w:p>
          <w:p>
            <w:pPr>
              <w:pStyle w:val="TableParagraph"/>
              <w:ind w:left="77" w:right="88"/>
              <w:rPr>
                <w:sz w:val="22"/>
              </w:rPr>
            </w:pPr>
            <w:r>
              <w:rPr>
                <w:sz w:val="22"/>
              </w:rPr>
              <w:t>Tratamiento</w:t>
            </w:r>
          </w:p>
        </w:tc>
        <w:tc>
          <w:tcPr>
            <w:tcW w:w="1247" w:type="dxa"/>
            <w:tcBorders>
              <w:left w:val="nil"/>
              <w:right w:val="nil"/>
            </w:tcBorders>
          </w:tcPr>
          <w:p>
            <w:pPr>
              <w:pStyle w:val="TableParagraph"/>
              <w:spacing w:line="360" w:lineRule="auto"/>
              <w:ind w:left="126" w:right="130" w:hanging="20"/>
              <w:jc w:val="left"/>
              <w:rPr>
                <w:sz w:val="22"/>
              </w:rPr>
            </w:pPr>
            <w:r>
              <w:rPr>
                <w:sz w:val="22"/>
              </w:rPr>
              <w:t>PG 24 hrs (ml/g MS)</w:t>
            </w:r>
          </w:p>
        </w:tc>
        <w:tc>
          <w:tcPr>
            <w:tcW w:w="1285" w:type="dxa"/>
            <w:tcBorders>
              <w:left w:val="nil"/>
              <w:right w:val="nil"/>
            </w:tcBorders>
          </w:tcPr>
          <w:p>
            <w:pPr>
              <w:pStyle w:val="TableParagraph"/>
              <w:spacing w:line="360" w:lineRule="auto"/>
              <w:ind w:left="166" w:right="128" w:hanging="20"/>
              <w:jc w:val="left"/>
              <w:rPr>
                <w:sz w:val="22"/>
              </w:rPr>
            </w:pPr>
            <w:r>
              <w:rPr>
                <w:sz w:val="22"/>
              </w:rPr>
              <w:t>PG 96 hrs (ml/g MS)</w:t>
            </w:r>
          </w:p>
        </w:tc>
      </w:tr>
      <w:tr>
        <w:trPr>
          <w:trHeight w:val="349" w:hRule="exact"/>
        </w:trPr>
        <w:tc>
          <w:tcPr>
            <w:tcW w:w="1616" w:type="dxa"/>
            <w:tcBorders>
              <w:left w:val="nil"/>
              <w:bottom w:val="nil"/>
              <w:right w:val="nil"/>
            </w:tcBorders>
          </w:tcPr>
          <w:p>
            <w:pPr>
              <w:pStyle w:val="TableParagraph"/>
              <w:spacing w:line="248" w:lineRule="exact"/>
              <w:ind w:left="86"/>
              <w:jc w:val="left"/>
              <w:rPr>
                <w:i/>
                <w:sz w:val="22"/>
              </w:rPr>
            </w:pPr>
            <w:r>
              <w:rPr>
                <w:i/>
                <w:sz w:val="22"/>
              </w:rPr>
              <w:t>C. sulphureus</w:t>
            </w:r>
          </w:p>
        </w:tc>
        <w:tc>
          <w:tcPr>
            <w:tcW w:w="1379" w:type="dxa"/>
            <w:tcBorders>
              <w:left w:val="nil"/>
              <w:bottom w:val="nil"/>
              <w:right w:val="nil"/>
            </w:tcBorders>
          </w:tcPr>
          <w:p>
            <w:pPr>
              <w:pStyle w:val="TableParagraph"/>
              <w:ind w:right="11"/>
              <w:rPr>
                <w:sz w:val="22"/>
              </w:rPr>
            </w:pPr>
            <w:r>
              <w:rPr>
                <w:w w:val="100"/>
                <w:sz w:val="22"/>
              </w:rPr>
              <w:t>-</w:t>
            </w:r>
          </w:p>
        </w:tc>
        <w:tc>
          <w:tcPr>
            <w:tcW w:w="1247" w:type="dxa"/>
            <w:tcBorders>
              <w:left w:val="nil"/>
              <w:bottom w:val="nil"/>
              <w:right w:val="nil"/>
            </w:tcBorders>
          </w:tcPr>
          <w:p>
            <w:pPr>
              <w:pStyle w:val="TableParagraph"/>
              <w:ind w:left="247" w:right="281"/>
              <w:rPr>
                <w:sz w:val="22"/>
              </w:rPr>
            </w:pPr>
            <w:r>
              <w:rPr>
                <w:sz w:val="22"/>
              </w:rPr>
              <w:t>77.95</w:t>
            </w:r>
          </w:p>
        </w:tc>
        <w:tc>
          <w:tcPr>
            <w:tcW w:w="1285" w:type="dxa"/>
            <w:tcBorders>
              <w:left w:val="nil"/>
              <w:bottom w:val="nil"/>
              <w:right w:val="nil"/>
            </w:tcBorders>
          </w:tcPr>
          <w:p>
            <w:pPr>
              <w:pStyle w:val="TableParagraph"/>
              <w:ind w:left="286" w:right="286"/>
              <w:rPr>
                <w:sz w:val="22"/>
              </w:rPr>
            </w:pPr>
            <w:r>
              <w:rPr>
                <w:sz w:val="22"/>
              </w:rPr>
              <w:t>107.55</w:t>
            </w:r>
          </w:p>
        </w:tc>
      </w:tr>
      <w:tr>
        <w:trPr>
          <w:trHeight w:val="528" w:hRule="exact"/>
        </w:trPr>
        <w:tc>
          <w:tcPr>
            <w:tcW w:w="1616" w:type="dxa"/>
            <w:tcBorders>
              <w:top w:val="nil"/>
              <w:left w:val="nil"/>
              <w:bottom w:val="nil"/>
              <w:right w:val="nil"/>
            </w:tcBorders>
          </w:tcPr>
          <w:p>
            <w:pPr/>
          </w:p>
        </w:tc>
        <w:tc>
          <w:tcPr>
            <w:tcW w:w="1379" w:type="dxa"/>
            <w:tcBorders>
              <w:top w:val="nil"/>
              <w:left w:val="nil"/>
              <w:bottom w:val="nil"/>
              <w:right w:val="nil"/>
            </w:tcBorders>
          </w:tcPr>
          <w:p>
            <w:pPr>
              <w:pStyle w:val="TableParagraph"/>
              <w:spacing w:before="51"/>
              <w:ind w:right="13"/>
              <w:rPr>
                <w:sz w:val="22"/>
              </w:rPr>
            </w:pPr>
            <w:r>
              <w:rPr>
                <w:w w:val="100"/>
                <w:sz w:val="22"/>
              </w:rPr>
              <w:t>+</w:t>
            </w:r>
          </w:p>
        </w:tc>
        <w:tc>
          <w:tcPr>
            <w:tcW w:w="1247" w:type="dxa"/>
            <w:tcBorders>
              <w:top w:val="nil"/>
              <w:left w:val="nil"/>
              <w:bottom w:val="nil"/>
              <w:right w:val="nil"/>
            </w:tcBorders>
          </w:tcPr>
          <w:p>
            <w:pPr>
              <w:pStyle w:val="TableParagraph"/>
              <w:spacing w:before="51"/>
              <w:ind w:left="247" w:right="281"/>
              <w:rPr>
                <w:sz w:val="22"/>
              </w:rPr>
            </w:pPr>
            <w:r>
              <w:rPr>
                <w:sz w:val="22"/>
              </w:rPr>
              <w:t>104.7</w:t>
            </w:r>
          </w:p>
        </w:tc>
        <w:tc>
          <w:tcPr>
            <w:tcW w:w="1285" w:type="dxa"/>
            <w:tcBorders>
              <w:top w:val="nil"/>
              <w:left w:val="nil"/>
              <w:bottom w:val="nil"/>
              <w:right w:val="nil"/>
            </w:tcBorders>
          </w:tcPr>
          <w:p>
            <w:pPr>
              <w:pStyle w:val="TableParagraph"/>
              <w:spacing w:before="51"/>
              <w:ind w:left="286" w:right="286"/>
              <w:rPr>
                <w:sz w:val="22"/>
              </w:rPr>
            </w:pPr>
            <w:r>
              <w:rPr>
                <w:sz w:val="22"/>
              </w:rPr>
              <w:t>129.22</w:t>
            </w:r>
          </w:p>
        </w:tc>
      </w:tr>
      <w:tr>
        <w:trPr>
          <w:trHeight w:val="533" w:hRule="exact"/>
        </w:trPr>
        <w:tc>
          <w:tcPr>
            <w:tcW w:w="1616" w:type="dxa"/>
            <w:tcBorders>
              <w:top w:val="nil"/>
              <w:left w:val="nil"/>
              <w:bottom w:val="nil"/>
              <w:right w:val="nil"/>
            </w:tcBorders>
          </w:tcPr>
          <w:p>
            <w:pPr>
              <w:pStyle w:val="TableParagraph"/>
              <w:spacing w:before="5"/>
              <w:jc w:val="left"/>
              <w:rPr>
                <w:b/>
                <w:sz w:val="17"/>
              </w:rPr>
            </w:pPr>
          </w:p>
          <w:p>
            <w:pPr>
              <w:pStyle w:val="TableParagraph"/>
              <w:ind w:left="86"/>
              <w:jc w:val="left"/>
              <w:rPr>
                <w:i/>
                <w:sz w:val="22"/>
              </w:rPr>
            </w:pPr>
            <w:r>
              <w:rPr>
                <w:i/>
                <w:sz w:val="22"/>
              </w:rPr>
              <w:t>C. bipinnatus</w:t>
            </w:r>
          </w:p>
        </w:tc>
        <w:tc>
          <w:tcPr>
            <w:tcW w:w="1379" w:type="dxa"/>
            <w:tcBorders>
              <w:top w:val="nil"/>
              <w:left w:val="nil"/>
              <w:bottom w:val="nil"/>
              <w:right w:val="nil"/>
            </w:tcBorders>
          </w:tcPr>
          <w:p>
            <w:pPr>
              <w:pStyle w:val="TableParagraph"/>
              <w:spacing w:before="10"/>
              <w:jc w:val="left"/>
              <w:rPr>
                <w:b/>
                <w:sz w:val="17"/>
              </w:rPr>
            </w:pPr>
          </w:p>
          <w:p>
            <w:pPr>
              <w:pStyle w:val="TableParagraph"/>
              <w:ind w:right="11"/>
              <w:rPr>
                <w:sz w:val="22"/>
              </w:rPr>
            </w:pPr>
            <w:r>
              <w:rPr>
                <w:w w:val="100"/>
                <w:sz w:val="22"/>
              </w:rPr>
              <w:t>-</w:t>
            </w:r>
          </w:p>
        </w:tc>
        <w:tc>
          <w:tcPr>
            <w:tcW w:w="1247" w:type="dxa"/>
            <w:tcBorders>
              <w:top w:val="nil"/>
              <w:left w:val="nil"/>
              <w:bottom w:val="nil"/>
              <w:right w:val="nil"/>
            </w:tcBorders>
          </w:tcPr>
          <w:p>
            <w:pPr>
              <w:pStyle w:val="TableParagraph"/>
              <w:spacing w:before="10"/>
              <w:jc w:val="left"/>
              <w:rPr>
                <w:b/>
                <w:sz w:val="17"/>
              </w:rPr>
            </w:pPr>
          </w:p>
          <w:p>
            <w:pPr>
              <w:pStyle w:val="TableParagraph"/>
              <w:ind w:left="247" w:right="286"/>
              <w:rPr>
                <w:sz w:val="22"/>
              </w:rPr>
            </w:pPr>
            <w:r>
              <w:rPr>
                <w:sz w:val="22"/>
              </w:rPr>
              <w:t>109.03</w:t>
            </w:r>
          </w:p>
        </w:tc>
        <w:tc>
          <w:tcPr>
            <w:tcW w:w="1285" w:type="dxa"/>
            <w:tcBorders>
              <w:top w:val="nil"/>
              <w:left w:val="nil"/>
              <w:bottom w:val="nil"/>
              <w:right w:val="nil"/>
            </w:tcBorders>
          </w:tcPr>
          <w:p>
            <w:pPr>
              <w:pStyle w:val="TableParagraph"/>
              <w:spacing w:before="10"/>
              <w:jc w:val="left"/>
              <w:rPr>
                <w:b/>
                <w:sz w:val="17"/>
              </w:rPr>
            </w:pPr>
          </w:p>
          <w:p>
            <w:pPr>
              <w:pStyle w:val="TableParagraph"/>
              <w:ind w:left="286" w:right="286"/>
              <w:rPr>
                <w:sz w:val="22"/>
              </w:rPr>
            </w:pPr>
            <w:r>
              <w:rPr>
                <w:sz w:val="22"/>
              </w:rPr>
              <w:t>140.55</w:t>
            </w:r>
          </w:p>
        </w:tc>
      </w:tr>
      <w:tr>
        <w:trPr>
          <w:trHeight w:val="528" w:hRule="exact"/>
        </w:trPr>
        <w:tc>
          <w:tcPr>
            <w:tcW w:w="1616" w:type="dxa"/>
            <w:tcBorders>
              <w:top w:val="nil"/>
              <w:left w:val="nil"/>
              <w:bottom w:val="nil"/>
              <w:right w:val="nil"/>
            </w:tcBorders>
          </w:tcPr>
          <w:p>
            <w:pPr/>
          </w:p>
        </w:tc>
        <w:tc>
          <w:tcPr>
            <w:tcW w:w="1379" w:type="dxa"/>
            <w:tcBorders>
              <w:top w:val="nil"/>
              <w:left w:val="nil"/>
              <w:bottom w:val="nil"/>
              <w:right w:val="nil"/>
            </w:tcBorders>
          </w:tcPr>
          <w:p>
            <w:pPr>
              <w:pStyle w:val="TableParagraph"/>
              <w:spacing w:before="51"/>
              <w:ind w:right="13"/>
              <w:rPr>
                <w:sz w:val="22"/>
              </w:rPr>
            </w:pPr>
            <w:r>
              <w:rPr>
                <w:w w:val="100"/>
                <w:sz w:val="22"/>
              </w:rPr>
              <w:t>+</w:t>
            </w:r>
          </w:p>
        </w:tc>
        <w:tc>
          <w:tcPr>
            <w:tcW w:w="1247" w:type="dxa"/>
            <w:tcBorders>
              <w:top w:val="nil"/>
              <w:left w:val="nil"/>
              <w:bottom w:val="nil"/>
              <w:right w:val="nil"/>
            </w:tcBorders>
          </w:tcPr>
          <w:p>
            <w:pPr>
              <w:pStyle w:val="TableParagraph"/>
              <w:spacing w:before="51"/>
              <w:ind w:left="247" w:right="281"/>
              <w:rPr>
                <w:sz w:val="22"/>
              </w:rPr>
            </w:pPr>
            <w:r>
              <w:rPr>
                <w:sz w:val="22"/>
              </w:rPr>
              <w:t>110.7</w:t>
            </w:r>
          </w:p>
        </w:tc>
        <w:tc>
          <w:tcPr>
            <w:tcW w:w="1285" w:type="dxa"/>
            <w:tcBorders>
              <w:top w:val="nil"/>
              <w:left w:val="nil"/>
              <w:bottom w:val="nil"/>
              <w:right w:val="nil"/>
            </w:tcBorders>
          </w:tcPr>
          <w:p>
            <w:pPr>
              <w:pStyle w:val="TableParagraph"/>
              <w:spacing w:before="51"/>
              <w:ind w:left="286" w:right="286"/>
              <w:rPr>
                <w:sz w:val="22"/>
              </w:rPr>
            </w:pPr>
            <w:r>
              <w:rPr>
                <w:sz w:val="22"/>
              </w:rPr>
              <w:t>142.88</w:t>
            </w:r>
          </w:p>
        </w:tc>
      </w:tr>
      <w:tr>
        <w:trPr>
          <w:trHeight w:val="533" w:hRule="exact"/>
        </w:trPr>
        <w:tc>
          <w:tcPr>
            <w:tcW w:w="1616" w:type="dxa"/>
            <w:tcBorders>
              <w:top w:val="nil"/>
              <w:left w:val="nil"/>
              <w:bottom w:val="nil"/>
              <w:right w:val="nil"/>
            </w:tcBorders>
          </w:tcPr>
          <w:p>
            <w:pPr>
              <w:pStyle w:val="TableParagraph"/>
              <w:spacing w:before="5"/>
              <w:jc w:val="left"/>
              <w:rPr>
                <w:b/>
                <w:sz w:val="17"/>
              </w:rPr>
            </w:pPr>
          </w:p>
          <w:p>
            <w:pPr>
              <w:pStyle w:val="TableParagraph"/>
              <w:ind w:left="86"/>
              <w:jc w:val="left"/>
              <w:rPr>
                <w:i/>
                <w:sz w:val="22"/>
              </w:rPr>
            </w:pPr>
            <w:r>
              <w:rPr>
                <w:i/>
                <w:sz w:val="22"/>
              </w:rPr>
              <w:t>T. lucida</w:t>
            </w:r>
          </w:p>
        </w:tc>
        <w:tc>
          <w:tcPr>
            <w:tcW w:w="1379" w:type="dxa"/>
            <w:tcBorders>
              <w:top w:val="nil"/>
              <w:left w:val="nil"/>
              <w:bottom w:val="nil"/>
              <w:right w:val="nil"/>
            </w:tcBorders>
          </w:tcPr>
          <w:p>
            <w:pPr>
              <w:pStyle w:val="TableParagraph"/>
              <w:spacing w:before="9"/>
              <w:jc w:val="left"/>
              <w:rPr>
                <w:b/>
                <w:sz w:val="17"/>
              </w:rPr>
            </w:pPr>
          </w:p>
          <w:p>
            <w:pPr>
              <w:pStyle w:val="TableParagraph"/>
              <w:spacing w:before="1"/>
              <w:ind w:right="11"/>
              <w:rPr>
                <w:sz w:val="22"/>
              </w:rPr>
            </w:pPr>
            <w:r>
              <w:rPr>
                <w:w w:val="100"/>
                <w:sz w:val="22"/>
              </w:rPr>
              <w:t>-</w:t>
            </w:r>
          </w:p>
        </w:tc>
        <w:tc>
          <w:tcPr>
            <w:tcW w:w="1247" w:type="dxa"/>
            <w:tcBorders>
              <w:top w:val="nil"/>
              <w:left w:val="nil"/>
              <w:bottom w:val="nil"/>
              <w:right w:val="nil"/>
            </w:tcBorders>
          </w:tcPr>
          <w:p>
            <w:pPr>
              <w:pStyle w:val="TableParagraph"/>
              <w:spacing w:before="9"/>
              <w:jc w:val="left"/>
              <w:rPr>
                <w:b/>
                <w:sz w:val="17"/>
              </w:rPr>
            </w:pPr>
          </w:p>
          <w:p>
            <w:pPr>
              <w:pStyle w:val="TableParagraph"/>
              <w:spacing w:before="1"/>
              <w:ind w:left="247" w:right="281"/>
              <w:rPr>
                <w:sz w:val="22"/>
              </w:rPr>
            </w:pPr>
            <w:r>
              <w:rPr>
                <w:sz w:val="22"/>
              </w:rPr>
              <w:t>63.71</w:t>
            </w:r>
          </w:p>
        </w:tc>
        <w:tc>
          <w:tcPr>
            <w:tcW w:w="1285" w:type="dxa"/>
            <w:tcBorders>
              <w:top w:val="nil"/>
              <w:left w:val="nil"/>
              <w:bottom w:val="nil"/>
              <w:right w:val="nil"/>
            </w:tcBorders>
          </w:tcPr>
          <w:p>
            <w:pPr>
              <w:pStyle w:val="TableParagraph"/>
              <w:spacing w:before="9"/>
              <w:jc w:val="left"/>
              <w:rPr>
                <w:b/>
                <w:sz w:val="17"/>
              </w:rPr>
            </w:pPr>
          </w:p>
          <w:p>
            <w:pPr>
              <w:pStyle w:val="TableParagraph"/>
              <w:spacing w:before="1"/>
              <w:ind w:left="286" w:right="286"/>
              <w:rPr>
                <w:sz w:val="22"/>
              </w:rPr>
            </w:pPr>
            <w:r>
              <w:rPr>
                <w:sz w:val="22"/>
              </w:rPr>
              <w:t>117.72</w:t>
            </w:r>
          </w:p>
        </w:tc>
      </w:tr>
      <w:tr>
        <w:trPr>
          <w:trHeight w:val="526" w:hRule="exact"/>
        </w:trPr>
        <w:tc>
          <w:tcPr>
            <w:tcW w:w="1616" w:type="dxa"/>
            <w:tcBorders>
              <w:top w:val="nil"/>
              <w:left w:val="nil"/>
              <w:bottom w:val="nil"/>
              <w:right w:val="nil"/>
            </w:tcBorders>
          </w:tcPr>
          <w:p>
            <w:pPr/>
          </w:p>
        </w:tc>
        <w:tc>
          <w:tcPr>
            <w:tcW w:w="1379" w:type="dxa"/>
            <w:tcBorders>
              <w:top w:val="nil"/>
              <w:left w:val="nil"/>
              <w:bottom w:val="nil"/>
              <w:right w:val="nil"/>
            </w:tcBorders>
          </w:tcPr>
          <w:p>
            <w:pPr>
              <w:pStyle w:val="TableParagraph"/>
              <w:spacing w:before="52"/>
              <w:ind w:right="13"/>
              <w:rPr>
                <w:sz w:val="22"/>
              </w:rPr>
            </w:pPr>
            <w:r>
              <w:rPr>
                <w:w w:val="100"/>
                <w:sz w:val="22"/>
              </w:rPr>
              <w:t>+</w:t>
            </w:r>
          </w:p>
        </w:tc>
        <w:tc>
          <w:tcPr>
            <w:tcW w:w="1247" w:type="dxa"/>
            <w:tcBorders>
              <w:top w:val="nil"/>
              <w:left w:val="nil"/>
              <w:bottom w:val="nil"/>
              <w:right w:val="nil"/>
            </w:tcBorders>
          </w:tcPr>
          <w:p>
            <w:pPr>
              <w:pStyle w:val="TableParagraph"/>
              <w:spacing w:before="52"/>
              <w:ind w:left="247" w:right="281"/>
              <w:rPr>
                <w:sz w:val="22"/>
              </w:rPr>
            </w:pPr>
            <w:r>
              <w:rPr>
                <w:sz w:val="22"/>
              </w:rPr>
              <w:t>96.71</w:t>
            </w:r>
          </w:p>
        </w:tc>
        <w:tc>
          <w:tcPr>
            <w:tcW w:w="1285" w:type="dxa"/>
            <w:tcBorders>
              <w:top w:val="nil"/>
              <w:left w:val="nil"/>
              <w:bottom w:val="nil"/>
              <w:right w:val="nil"/>
            </w:tcBorders>
          </w:tcPr>
          <w:p>
            <w:pPr>
              <w:pStyle w:val="TableParagraph"/>
              <w:spacing w:before="52"/>
              <w:ind w:left="286" w:right="286"/>
              <w:rPr>
                <w:sz w:val="22"/>
              </w:rPr>
            </w:pPr>
            <w:r>
              <w:rPr>
                <w:sz w:val="22"/>
              </w:rPr>
              <w:t>123.89</w:t>
            </w:r>
          </w:p>
        </w:tc>
      </w:tr>
      <w:tr>
        <w:trPr>
          <w:trHeight w:val="530" w:hRule="exact"/>
        </w:trPr>
        <w:tc>
          <w:tcPr>
            <w:tcW w:w="1616" w:type="dxa"/>
            <w:tcBorders>
              <w:top w:val="nil"/>
              <w:left w:val="nil"/>
              <w:bottom w:val="nil"/>
              <w:right w:val="nil"/>
            </w:tcBorders>
          </w:tcPr>
          <w:p>
            <w:pPr>
              <w:pStyle w:val="TableParagraph"/>
              <w:spacing w:before="2"/>
              <w:jc w:val="left"/>
              <w:rPr>
                <w:b/>
                <w:sz w:val="17"/>
              </w:rPr>
            </w:pPr>
          </w:p>
          <w:p>
            <w:pPr>
              <w:pStyle w:val="TableParagraph"/>
              <w:ind w:left="86"/>
              <w:jc w:val="left"/>
              <w:rPr>
                <w:i/>
                <w:sz w:val="22"/>
              </w:rPr>
            </w:pPr>
            <w:r>
              <w:rPr>
                <w:i/>
                <w:sz w:val="22"/>
              </w:rPr>
              <w:t>T. erecta</w:t>
            </w:r>
          </w:p>
        </w:tc>
        <w:tc>
          <w:tcPr>
            <w:tcW w:w="1379" w:type="dxa"/>
            <w:tcBorders>
              <w:top w:val="nil"/>
              <w:left w:val="nil"/>
              <w:bottom w:val="nil"/>
              <w:right w:val="nil"/>
            </w:tcBorders>
          </w:tcPr>
          <w:p>
            <w:pPr>
              <w:pStyle w:val="TableParagraph"/>
              <w:spacing w:before="7"/>
              <w:jc w:val="left"/>
              <w:rPr>
                <w:b/>
                <w:sz w:val="17"/>
              </w:rPr>
            </w:pPr>
          </w:p>
          <w:p>
            <w:pPr>
              <w:pStyle w:val="TableParagraph"/>
              <w:ind w:right="11"/>
              <w:rPr>
                <w:sz w:val="22"/>
              </w:rPr>
            </w:pPr>
            <w:r>
              <w:rPr>
                <w:w w:val="100"/>
                <w:sz w:val="22"/>
              </w:rPr>
              <w:t>-</w:t>
            </w:r>
          </w:p>
        </w:tc>
        <w:tc>
          <w:tcPr>
            <w:tcW w:w="1247" w:type="dxa"/>
            <w:tcBorders>
              <w:top w:val="nil"/>
              <w:left w:val="nil"/>
              <w:bottom w:val="nil"/>
              <w:right w:val="nil"/>
            </w:tcBorders>
          </w:tcPr>
          <w:p>
            <w:pPr>
              <w:pStyle w:val="TableParagraph"/>
              <w:spacing w:before="7"/>
              <w:jc w:val="left"/>
              <w:rPr>
                <w:b/>
                <w:sz w:val="17"/>
              </w:rPr>
            </w:pPr>
          </w:p>
          <w:p>
            <w:pPr>
              <w:pStyle w:val="TableParagraph"/>
              <w:ind w:left="247" w:right="286"/>
              <w:rPr>
                <w:sz w:val="22"/>
              </w:rPr>
            </w:pPr>
            <w:r>
              <w:rPr>
                <w:sz w:val="22"/>
              </w:rPr>
              <w:t>117.44</w:t>
            </w:r>
          </w:p>
        </w:tc>
        <w:tc>
          <w:tcPr>
            <w:tcW w:w="1285" w:type="dxa"/>
            <w:tcBorders>
              <w:top w:val="nil"/>
              <w:left w:val="nil"/>
              <w:bottom w:val="nil"/>
              <w:right w:val="nil"/>
            </w:tcBorders>
          </w:tcPr>
          <w:p>
            <w:pPr>
              <w:pStyle w:val="TableParagraph"/>
              <w:spacing w:before="7"/>
              <w:jc w:val="left"/>
              <w:rPr>
                <w:b/>
                <w:sz w:val="17"/>
              </w:rPr>
            </w:pPr>
          </w:p>
          <w:p>
            <w:pPr>
              <w:pStyle w:val="TableParagraph"/>
              <w:ind w:left="286" w:right="282"/>
              <w:rPr>
                <w:sz w:val="22"/>
              </w:rPr>
            </w:pPr>
            <w:r>
              <w:rPr>
                <w:sz w:val="22"/>
              </w:rPr>
              <w:t>144.7</w:t>
            </w:r>
          </w:p>
        </w:tc>
      </w:tr>
      <w:tr>
        <w:trPr>
          <w:trHeight w:val="528" w:hRule="exact"/>
        </w:trPr>
        <w:tc>
          <w:tcPr>
            <w:tcW w:w="1616" w:type="dxa"/>
            <w:tcBorders>
              <w:top w:val="nil"/>
              <w:left w:val="nil"/>
              <w:bottom w:val="nil"/>
              <w:right w:val="nil"/>
            </w:tcBorders>
          </w:tcPr>
          <w:p>
            <w:pPr/>
          </w:p>
        </w:tc>
        <w:tc>
          <w:tcPr>
            <w:tcW w:w="1379" w:type="dxa"/>
            <w:tcBorders>
              <w:top w:val="nil"/>
              <w:left w:val="nil"/>
              <w:bottom w:val="nil"/>
              <w:right w:val="nil"/>
            </w:tcBorders>
          </w:tcPr>
          <w:p>
            <w:pPr>
              <w:pStyle w:val="TableParagraph"/>
              <w:spacing w:before="51"/>
              <w:ind w:right="13"/>
              <w:rPr>
                <w:sz w:val="22"/>
              </w:rPr>
            </w:pPr>
            <w:r>
              <w:rPr>
                <w:w w:val="100"/>
                <w:sz w:val="22"/>
              </w:rPr>
              <w:t>+</w:t>
            </w:r>
          </w:p>
        </w:tc>
        <w:tc>
          <w:tcPr>
            <w:tcW w:w="1247" w:type="dxa"/>
            <w:tcBorders>
              <w:top w:val="nil"/>
              <w:left w:val="nil"/>
              <w:bottom w:val="nil"/>
              <w:right w:val="nil"/>
            </w:tcBorders>
          </w:tcPr>
          <w:p>
            <w:pPr>
              <w:pStyle w:val="TableParagraph"/>
              <w:spacing w:before="51"/>
              <w:ind w:left="247" w:right="286"/>
              <w:rPr>
                <w:sz w:val="22"/>
              </w:rPr>
            </w:pPr>
            <w:r>
              <w:rPr>
                <w:sz w:val="22"/>
              </w:rPr>
              <w:t>120.52</w:t>
            </w:r>
          </w:p>
        </w:tc>
        <w:tc>
          <w:tcPr>
            <w:tcW w:w="1285" w:type="dxa"/>
            <w:tcBorders>
              <w:top w:val="nil"/>
              <w:left w:val="nil"/>
              <w:bottom w:val="nil"/>
              <w:right w:val="nil"/>
            </w:tcBorders>
          </w:tcPr>
          <w:p>
            <w:pPr>
              <w:pStyle w:val="TableParagraph"/>
              <w:spacing w:before="51"/>
              <w:ind w:left="286" w:right="286"/>
              <w:rPr>
                <w:sz w:val="22"/>
              </w:rPr>
            </w:pPr>
            <w:r>
              <w:rPr>
                <w:sz w:val="22"/>
              </w:rPr>
              <w:t>148.03</w:t>
            </w:r>
          </w:p>
        </w:tc>
      </w:tr>
      <w:tr>
        <w:trPr>
          <w:trHeight w:val="533" w:hRule="exact"/>
        </w:trPr>
        <w:tc>
          <w:tcPr>
            <w:tcW w:w="1616" w:type="dxa"/>
            <w:tcBorders>
              <w:top w:val="nil"/>
              <w:left w:val="nil"/>
              <w:bottom w:val="nil"/>
              <w:right w:val="nil"/>
            </w:tcBorders>
          </w:tcPr>
          <w:p>
            <w:pPr>
              <w:pStyle w:val="TableParagraph"/>
              <w:spacing w:before="5"/>
              <w:jc w:val="left"/>
              <w:rPr>
                <w:b/>
                <w:sz w:val="17"/>
              </w:rPr>
            </w:pPr>
          </w:p>
          <w:p>
            <w:pPr>
              <w:pStyle w:val="TableParagraph"/>
              <w:ind w:left="86"/>
              <w:jc w:val="left"/>
              <w:rPr>
                <w:i/>
                <w:sz w:val="22"/>
              </w:rPr>
            </w:pPr>
            <w:r>
              <w:rPr>
                <w:i/>
                <w:sz w:val="22"/>
              </w:rPr>
              <w:t>M. diplotricha</w:t>
            </w:r>
          </w:p>
        </w:tc>
        <w:tc>
          <w:tcPr>
            <w:tcW w:w="1379" w:type="dxa"/>
            <w:tcBorders>
              <w:top w:val="nil"/>
              <w:left w:val="nil"/>
              <w:bottom w:val="nil"/>
              <w:right w:val="nil"/>
            </w:tcBorders>
          </w:tcPr>
          <w:p>
            <w:pPr>
              <w:pStyle w:val="TableParagraph"/>
              <w:spacing w:before="10"/>
              <w:jc w:val="left"/>
              <w:rPr>
                <w:b/>
                <w:sz w:val="17"/>
              </w:rPr>
            </w:pPr>
          </w:p>
          <w:p>
            <w:pPr>
              <w:pStyle w:val="TableParagraph"/>
              <w:ind w:right="11"/>
              <w:rPr>
                <w:sz w:val="22"/>
              </w:rPr>
            </w:pPr>
            <w:r>
              <w:rPr>
                <w:w w:val="100"/>
                <w:sz w:val="22"/>
              </w:rPr>
              <w:t>-</w:t>
            </w:r>
          </w:p>
        </w:tc>
        <w:tc>
          <w:tcPr>
            <w:tcW w:w="1247" w:type="dxa"/>
            <w:tcBorders>
              <w:top w:val="nil"/>
              <w:left w:val="nil"/>
              <w:bottom w:val="nil"/>
              <w:right w:val="nil"/>
            </w:tcBorders>
          </w:tcPr>
          <w:p>
            <w:pPr>
              <w:pStyle w:val="TableParagraph"/>
              <w:spacing w:before="10"/>
              <w:jc w:val="left"/>
              <w:rPr>
                <w:b/>
                <w:sz w:val="17"/>
              </w:rPr>
            </w:pPr>
          </w:p>
          <w:p>
            <w:pPr>
              <w:pStyle w:val="TableParagraph"/>
              <w:ind w:left="247" w:right="281"/>
              <w:rPr>
                <w:sz w:val="22"/>
              </w:rPr>
            </w:pPr>
            <w:r>
              <w:rPr>
                <w:sz w:val="22"/>
              </w:rPr>
              <w:t>84.44</w:t>
            </w:r>
          </w:p>
        </w:tc>
        <w:tc>
          <w:tcPr>
            <w:tcW w:w="1285" w:type="dxa"/>
            <w:tcBorders>
              <w:top w:val="nil"/>
              <w:left w:val="nil"/>
              <w:bottom w:val="nil"/>
              <w:right w:val="nil"/>
            </w:tcBorders>
          </w:tcPr>
          <w:p>
            <w:pPr>
              <w:pStyle w:val="TableParagraph"/>
              <w:spacing w:before="10"/>
              <w:jc w:val="left"/>
              <w:rPr>
                <w:b/>
                <w:sz w:val="17"/>
              </w:rPr>
            </w:pPr>
          </w:p>
          <w:p>
            <w:pPr>
              <w:pStyle w:val="TableParagraph"/>
              <w:ind w:left="286" w:right="282"/>
              <w:rPr>
                <w:sz w:val="22"/>
              </w:rPr>
            </w:pPr>
            <w:r>
              <w:rPr>
                <w:sz w:val="22"/>
              </w:rPr>
              <w:t>109.2</w:t>
            </w:r>
          </w:p>
        </w:tc>
      </w:tr>
      <w:tr>
        <w:trPr>
          <w:trHeight w:val="526" w:hRule="exact"/>
        </w:trPr>
        <w:tc>
          <w:tcPr>
            <w:tcW w:w="1616" w:type="dxa"/>
            <w:tcBorders>
              <w:top w:val="nil"/>
              <w:left w:val="nil"/>
              <w:bottom w:val="nil"/>
              <w:right w:val="nil"/>
            </w:tcBorders>
          </w:tcPr>
          <w:p>
            <w:pPr/>
          </w:p>
        </w:tc>
        <w:tc>
          <w:tcPr>
            <w:tcW w:w="1379" w:type="dxa"/>
            <w:tcBorders>
              <w:top w:val="nil"/>
              <w:left w:val="nil"/>
              <w:bottom w:val="nil"/>
              <w:right w:val="nil"/>
            </w:tcBorders>
          </w:tcPr>
          <w:p>
            <w:pPr>
              <w:pStyle w:val="TableParagraph"/>
              <w:spacing w:before="51"/>
              <w:ind w:right="13"/>
              <w:rPr>
                <w:sz w:val="22"/>
              </w:rPr>
            </w:pPr>
            <w:r>
              <w:rPr>
                <w:w w:val="100"/>
                <w:sz w:val="22"/>
              </w:rPr>
              <w:t>+</w:t>
            </w:r>
          </w:p>
        </w:tc>
        <w:tc>
          <w:tcPr>
            <w:tcW w:w="1247" w:type="dxa"/>
            <w:tcBorders>
              <w:top w:val="nil"/>
              <w:left w:val="nil"/>
              <w:bottom w:val="nil"/>
              <w:right w:val="nil"/>
            </w:tcBorders>
          </w:tcPr>
          <w:p>
            <w:pPr>
              <w:pStyle w:val="TableParagraph"/>
              <w:spacing w:before="51"/>
              <w:ind w:left="247" w:right="281"/>
              <w:rPr>
                <w:sz w:val="22"/>
              </w:rPr>
            </w:pPr>
            <w:r>
              <w:rPr>
                <w:sz w:val="22"/>
              </w:rPr>
              <w:t>90.69</w:t>
            </w:r>
          </w:p>
        </w:tc>
        <w:tc>
          <w:tcPr>
            <w:tcW w:w="1285" w:type="dxa"/>
            <w:tcBorders>
              <w:top w:val="nil"/>
              <w:left w:val="nil"/>
              <w:bottom w:val="nil"/>
              <w:right w:val="nil"/>
            </w:tcBorders>
          </w:tcPr>
          <w:p>
            <w:pPr>
              <w:pStyle w:val="TableParagraph"/>
              <w:spacing w:before="51"/>
              <w:ind w:left="286" w:right="282"/>
              <w:rPr>
                <w:sz w:val="22"/>
              </w:rPr>
            </w:pPr>
            <w:r>
              <w:rPr>
                <w:sz w:val="22"/>
              </w:rPr>
              <w:t>116.2</w:t>
            </w:r>
          </w:p>
        </w:tc>
      </w:tr>
      <w:tr>
        <w:trPr>
          <w:trHeight w:val="533" w:hRule="exact"/>
        </w:trPr>
        <w:tc>
          <w:tcPr>
            <w:tcW w:w="1616" w:type="dxa"/>
            <w:tcBorders>
              <w:top w:val="nil"/>
              <w:left w:val="nil"/>
              <w:bottom w:val="nil"/>
              <w:right w:val="nil"/>
            </w:tcBorders>
          </w:tcPr>
          <w:p>
            <w:pPr>
              <w:pStyle w:val="TableParagraph"/>
              <w:spacing w:before="2"/>
              <w:jc w:val="left"/>
              <w:rPr>
                <w:b/>
                <w:sz w:val="17"/>
              </w:rPr>
            </w:pPr>
          </w:p>
          <w:p>
            <w:pPr>
              <w:pStyle w:val="TableParagraph"/>
              <w:ind w:left="86"/>
              <w:jc w:val="left"/>
              <w:rPr>
                <w:i/>
                <w:sz w:val="22"/>
              </w:rPr>
            </w:pPr>
            <w:r>
              <w:rPr>
                <w:i/>
                <w:sz w:val="22"/>
              </w:rPr>
              <w:t>M. divaricatum</w:t>
            </w:r>
          </w:p>
        </w:tc>
        <w:tc>
          <w:tcPr>
            <w:tcW w:w="1379" w:type="dxa"/>
            <w:tcBorders>
              <w:top w:val="nil"/>
              <w:left w:val="nil"/>
              <w:bottom w:val="nil"/>
              <w:right w:val="nil"/>
            </w:tcBorders>
          </w:tcPr>
          <w:p>
            <w:pPr>
              <w:pStyle w:val="TableParagraph"/>
              <w:spacing w:before="7"/>
              <w:jc w:val="left"/>
              <w:rPr>
                <w:b/>
                <w:sz w:val="17"/>
              </w:rPr>
            </w:pPr>
          </w:p>
          <w:p>
            <w:pPr>
              <w:pStyle w:val="TableParagraph"/>
              <w:ind w:right="11"/>
              <w:rPr>
                <w:sz w:val="22"/>
              </w:rPr>
            </w:pPr>
            <w:r>
              <w:rPr>
                <w:w w:val="100"/>
                <w:sz w:val="22"/>
              </w:rPr>
              <w:t>-</w:t>
            </w:r>
          </w:p>
        </w:tc>
        <w:tc>
          <w:tcPr>
            <w:tcW w:w="1247" w:type="dxa"/>
            <w:tcBorders>
              <w:top w:val="nil"/>
              <w:left w:val="nil"/>
              <w:bottom w:val="nil"/>
              <w:right w:val="nil"/>
            </w:tcBorders>
          </w:tcPr>
          <w:p>
            <w:pPr>
              <w:pStyle w:val="TableParagraph"/>
              <w:spacing w:before="7"/>
              <w:jc w:val="left"/>
              <w:rPr>
                <w:b/>
                <w:sz w:val="17"/>
              </w:rPr>
            </w:pPr>
          </w:p>
          <w:p>
            <w:pPr>
              <w:pStyle w:val="TableParagraph"/>
              <w:ind w:left="247" w:right="281"/>
              <w:rPr>
                <w:sz w:val="22"/>
              </w:rPr>
            </w:pPr>
            <w:r>
              <w:rPr>
                <w:sz w:val="22"/>
              </w:rPr>
              <w:t>65.46</w:t>
            </w:r>
          </w:p>
        </w:tc>
        <w:tc>
          <w:tcPr>
            <w:tcW w:w="1285" w:type="dxa"/>
            <w:tcBorders>
              <w:top w:val="nil"/>
              <w:left w:val="nil"/>
              <w:bottom w:val="nil"/>
              <w:right w:val="nil"/>
            </w:tcBorders>
          </w:tcPr>
          <w:p>
            <w:pPr>
              <w:pStyle w:val="TableParagraph"/>
              <w:spacing w:before="7"/>
              <w:jc w:val="left"/>
              <w:rPr>
                <w:b/>
                <w:sz w:val="17"/>
              </w:rPr>
            </w:pPr>
          </w:p>
          <w:p>
            <w:pPr>
              <w:pStyle w:val="TableParagraph"/>
              <w:ind w:left="286" w:right="282"/>
              <w:rPr>
                <w:sz w:val="22"/>
              </w:rPr>
            </w:pPr>
            <w:r>
              <w:rPr>
                <w:sz w:val="22"/>
              </w:rPr>
              <w:t>77.39</w:t>
            </w:r>
          </w:p>
        </w:tc>
      </w:tr>
      <w:tr>
        <w:trPr>
          <w:trHeight w:val="455" w:hRule="exact"/>
        </w:trPr>
        <w:tc>
          <w:tcPr>
            <w:tcW w:w="1616" w:type="dxa"/>
            <w:tcBorders>
              <w:top w:val="nil"/>
              <w:left w:val="nil"/>
              <w:right w:val="nil"/>
            </w:tcBorders>
          </w:tcPr>
          <w:p>
            <w:pPr/>
          </w:p>
        </w:tc>
        <w:tc>
          <w:tcPr>
            <w:tcW w:w="1379" w:type="dxa"/>
            <w:tcBorders>
              <w:top w:val="nil"/>
              <w:left w:val="nil"/>
              <w:right w:val="nil"/>
            </w:tcBorders>
          </w:tcPr>
          <w:p>
            <w:pPr>
              <w:pStyle w:val="TableParagraph"/>
              <w:spacing w:before="54"/>
              <w:ind w:right="13"/>
              <w:rPr>
                <w:sz w:val="22"/>
              </w:rPr>
            </w:pPr>
            <w:r>
              <w:rPr>
                <w:w w:val="100"/>
                <w:sz w:val="22"/>
              </w:rPr>
              <w:t>+</w:t>
            </w:r>
          </w:p>
        </w:tc>
        <w:tc>
          <w:tcPr>
            <w:tcW w:w="1247" w:type="dxa"/>
            <w:tcBorders>
              <w:top w:val="nil"/>
              <w:left w:val="nil"/>
              <w:right w:val="nil"/>
            </w:tcBorders>
          </w:tcPr>
          <w:p>
            <w:pPr>
              <w:pStyle w:val="TableParagraph"/>
              <w:spacing w:before="54"/>
              <w:ind w:left="247" w:right="281"/>
              <w:rPr>
                <w:sz w:val="22"/>
              </w:rPr>
            </w:pPr>
            <w:r>
              <w:rPr>
                <w:sz w:val="22"/>
              </w:rPr>
              <w:t>82.21</w:t>
            </w:r>
          </w:p>
        </w:tc>
        <w:tc>
          <w:tcPr>
            <w:tcW w:w="1285" w:type="dxa"/>
            <w:tcBorders>
              <w:top w:val="nil"/>
              <w:left w:val="nil"/>
              <w:right w:val="nil"/>
            </w:tcBorders>
          </w:tcPr>
          <w:p>
            <w:pPr>
              <w:pStyle w:val="TableParagraph"/>
              <w:spacing w:before="54"/>
              <w:ind w:left="286" w:right="282"/>
              <w:rPr>
                <w:sz w:val="22"/>
              </w:rPr>
            </w:pPr>
            <w:r>
              <w:rPr>
                <w:sz w:val="22"/>
              </w:rPr>
              <w:t>92.89</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9"/>
        </w:rPr>
      </w:pPr>
    </w:p>
    <w:p>
      <w:pPr>
        <w:pStyle w:val="BodyText"/>
        <w:spacing w:line="355" w:lineRule="auto" w:before="1"/>
        <w:ind w:left="139" w:right="95"/>
      </w:pPr>
      <w:r>
        <w:rPr/>
        <w:t>Efecto en la fermentación ruminal de tres niveles de inclusión de extracto de taninos en una dieta base para ganado lechero.</w:t>
      </w:r>
    </w:p>
    <w:p>
      <w:pPr>
        <w:spacing w:after="0" w:line="355" w:lineRule="auto"/>
        <w:sectPr>
          <w:footerReference w:type="default" r:id="rId27"/>
          <w:pgSz w:w="12240" w:h="15840"/>
          <w:pgMar w:footer="1418" w:header="0" w:top="1500" w:bottom="1600" w:left="1560" w:right="1580"/>
          <w:pgNumType w:start="71"/>
        </w:sectPr>
      </w:pPr>
    </w:p>
    <w:p>
      <w:pPr>
        <w:spacing w:line="355" w:lineRule="auto" w:before="51"/>
        <w:ind w:left="119" w:right="49" w:firstLine="0"/>
        <w:jc w:val="left"/>
        <w:rPr>
          <w:b/>
          <w:sz w:val="22"/>
        </w:rPr>
      </w:pPr>
      <w:r>
        <w:rPr>
          <w:b/>
          <w:sz w:val="22"/>
        </w:rPr>
        <w:t>Figura 1. Comportamiento de la fracción </w:t>
      </w:r>
      <w:r>
        <w:rPr>
          <w:b/>
          <w:i/>
          <w:sz w:val="22"/>
        </w:rPr>
        <w:t>a </w:t>
      </w:r>
      <w:r>
        <w:rPr>
          <w:b/>
          <w:sz w:val="22"/>
        </w:rPr>
        <w:t>(ml gas/g MS) en los tres niveles de inclusión</w:t>
      </w:r>
    </w:p>
    <w:p>
      <w:pPr>
        <w:pStyle w:val="BodyText"/>
        <w:spacing w:before="2"/>
        <w:rPr>
          <w:b/>
          <w:sz w:val="15"/>
        </w:rPr>
      </w:pPr>
      <w:r>
        <w:rPr/>
        <w:drawing>
          <wp:anchor distT="0" distB="0" distL="0" distR="0" allowOverlap="1" layoutInCell="1" locked="0" behindDoc="0" simplePos="0" relativeHeight="1072">
            <wp:simplePos x="0" y="0"/>
            <wp:positionH relativeFrom="page">
              <wp:posOffset>1591310</wp:posOffset>
            </wp:positionH>
            <wp:positionV relativeFrom="paragraph">
              <wp:posOffset>135892</wp:posOffset>
            </wp:positionV>
            <wp:extent cx="4584276" cy="2755392"/>
            <wp:effectExtent l="0" t="0" r="0" b="0"/>
            <wp:wrapTopAndBottom/>
            <wp:docPr id="5" name="image2.png" descr=""/>
            <wp:cNvGraphicFramePr>
              <a:graphicFrameLocks noChangeAspect="1"/>
            </wp:cNvGraphicFramePr>
            <a:graphic>
              <a:graphicData uri="http://schemas.openxmlformats.org/drawingml/2006/picture">
                <pic:pic>
                  <pic:nvPicPr>
                    <pic:cNvPr id="6" name="image2.png"/>
                    <pic:cNvPicPr/>
                  </pic:nvPicPr>
                  <pic:blipFill>
                    <a:blip r:embed="rId28" cstate="print"/>
                    <a:stretch>
                      <a:fillRect/>
                    </a:stretch>
                  </pic:blipFill>
                  <pic:spPr>
                    <a:xfrm>
                      <a:off x="0" y="0"/>
                      <a:ext cx="4584276" cy="2755392"/>
                    </a:xfrm>
                    <a:prstGeom prst="rect">
                      <a:avLst/>
                    </a:prstGeom>
                  </pic:spPr>
                </pic:pic>
              </a:graphicData>
            </a:graphic>
          </wp:anchor>
        </w:drawing>
      </w:r>
    </w:p>
    <w:p>
      <w:pPr>
        <w:pStyle w:val="BodyText"/>
        <w:rPr>
          <w:b/>
          <w:sz w:val="22"/>
        </w:rPr>
      </w:pPr>
    </w:p>
    <w:p>
      <w:pPr>
        <w:pStyle w:val="BodyText"/>
        <w:rPr>
          <w:b/>
          <w:sz w:val="22"/>
        </w:rPr>
      </w:pPr>
    </w:p>
    <w:p>
      <w:pPr>
        <w:pStyle w:val="BodyText"/>
        <w:rPr>
          <w:b/>
          <w:sz w:val="22"/>
        </w:rPr>
      </w:pPr>
    </w:p>
    <w:p>
      <w:pPr>
        <w:spacing w:line="355" w:lineRule="auto" w:before="131"/>
        <w:ind w:left="119" w:right="49" w:firstLine="0"/>
        <w:jc w:val="left"/>
        <w:rPr>
          <w:b/>
          <w:sz w:val="22"/>
        </w:rPr>
      </w:pPr>
      <w:r>
        <w:rPr>
          <w:b/>
          <w:sz w:val="22"/>
        </w:rPr>
        <w:t>Figura 2. Comportamiento de la tasa de degradación (</w:t>
      </w:r>
      <w:r>
        <w:rPr>
          <w:b/>
          <w:i/>
          <w:sz w:val="22"/>
        </w:rPr>
        <w:t>ca</w:t>
      </w:r>
      <w:r>
        <w:rPr>
          <w:b/>
          <w:sz w:val="22"/>
        </w:rPr>
        <w:t>) de la fracción </w:t>
      </w:r>
      <w:r>
        <w:rPr>
          <w:b/>
          <w:i/>
          <w:sz w:val="22"/>
        </w:rPr>
        <w:t>a </w:t>
      </w:r>
      <w:r>
        <w:rPr>
          <w:b/>
          <w:sz w:val="22"/>
        </w:rPr>
        <w:t>(ml gas/g MS) en los tres niveles de inclusión</w:t>
      </w:r>
    </w:p>
    <w:p>
      <w:pPr>
        <w:pStyle w:val="BodyText"/>
        <w:rPr>
          <w:b/>
          <w:sz w:val="15"/>
        </w:rPr>
      </w:pPr>
      <w:r>
        <w:rPr/>
        <w:drawing>
          <wp:anchor distT="0" distB="0" distL="0" distR="0" allowOverlap="1" layoutInCell="1" locked="0" behindDoc="0" simplePos="0" relativeHeight="1096">
            <wp:simplePos x="0" y="0"/>
            <wp:positionH relativeFrom="page">
              <wp:posOffset>1591310</wp:posOffset>
            </wp:positionH>
            <wp:positionV relativeFrom="paragraph">
              <wp:posOffset>134622</wp:posOffset>
            </wp:positionV>
            <wp:extent cx="4584276" cy="2755392"/>
            <wp:effectExtent l="0" t="0" r="0" b="0"/>
            <wp:wrapTopAndBottom/>
            <wp:docPr id="7" name="image3.png" descr=""/>
            <wp:cNvGraphicFramePr>
              <a:graphicFrameLocks noChangeAspect="1"/>
            </wp:cNvGraphicFramePr>
            <a:graphic>
              <a:graphicData uri="http://schemas.openxmlformats.org/drawingml/2006/picture">
                <pic:pic>
                  <pic:nvPicPr>
                    <pic:cNvPr id="8" name="image3.png"/>
                    <pic:cNvPicPr/>
                  </pic:nvPicPr>
                  <pic:blipFill>
                    <a:blip r:embed="rId29" cstate="print"/>
                    <a:stretch>
                      <a:fillRect/>
                    </a:stretch>
                  </pic:blipFill>
                  <pic:spPr>
                    <a:xfrm>
                      <a:off x="0" y="0"/>
                      <a:ext cx="4584276" cy="2755392"/>
                    </a:xfrm>
                    <a:prstGeom prst="rect">
                      <a:avLst/>
                    </a:prstGeom>
                  </pic:spPr>
                </pic:pic>
              </a:graphicData>
            </a:graphic>
          </wp:anchor>
        </w:drawing>
      </w:r>
    </w:p>
    <w:p>
      <w:pPr>
        <w:pStyle w:val="BodyText"/>
        <w:spacing w:before="5"/>
        <w:rPr>
          <w:b/>
          <w:sz w:val="27"/>
        </w:rPr>
      </w:pPr>
    </w:p>
    <w:p>
      <w:pPr>
        <w:spacing w:line="355" w:lineRule="auto" w:before="0"/>
        <w:ind w:left="119" w:right="49" w:firstLine="0"/>
        <w:jc w:val="left"/>
        <w:rPr>
          <w:b/>
          <w:sz w:val="22"/>
        </w:rPr>
      </w:pPr>
      <w:r>
        <w:rPr>
          <w:b/>
          <w:sz w:val="22"/>
        </w:rPr>
        <w:t>Figura 3. Comportamiento de la fracción </w:t>
      </w:r>
      <w:r>
        <w:rPr>
          <w:b/>
          <w:i/>
          <w:sz w:val="22"/>
        </w:rPr>
        <w:t>b </w:t>
      </w:r>
      <w:r>
        <w:rPr>
          <w:b/>
          <w:sz w:val="22"/>
        </w:rPr>
        <w:t>(ml gas/g MS) en los tres niveles de inclusión</w:t>
      </w:r>
    </w:p>
    <w:p>
      <w:pPr>
        <w:spacing w:after="0" w:line="355" w:lineRule="auto"/>
        <w:jc w:val="left"/>
        <w:rPr>
          <w:sz w:val="22"/>
        </w:rPr>
        <w:sectPr>
          <w:pgSz w:w="12240" w:h="15840"/>
          <w:pgMar w:header="0" w:footer="1418" w:top="1360" w:bottom="1660" w:left="1580" w:right="1600"/>
        </w:sectPr>
      </w:pPr>
    </w:p>
    <w:p>
      <w:pPr>
        <w:pStyle w:val="BodyText"/>
        <w:ind w:left="926"/>
        <w:rPr>
          <w:sz w:val="20"/>
        </w:rPr>
      </w:pPr>
      <w:r>
        <w:rPr>
          <w:sz w:val="20"/>
        </w:rPr>
        <w:drawing>
          <wp:inline distT="0" distB="0" distL="0" distR="0">
            <wp:extent cx="4584276" cy="2755392"/>
            <wp:effectExtent l="0" t="0" r="0" b="0"/>
            <wp:docPr id="9" name="image4.png" descr=""/>
            <wp:cNvGraphicFramePr>
              <a:graphicFrameLocks noChangeAspect="1"/>
            </wp:cNvGraphicFramePr>
            <a:graphic>
              <a:graphicData uri="http://schemas.openxmlformats.org/drawingml/2006/picture">
                <pic:pic>
                  <pic:nvPicPr>
                    <pic:cNvPr id="10" name="image4.png"/>
                    <pic:cNvPicPr/>
                  </pic:nvPicPr>
                  <pic:blipFill>
                    <a:blip r:embed="rId30" cstate="print"/>
                    <a:stretch>
                      <a:fillRect/>
                    </a:stretch>
                  </pic:blipFill>
                  <pic:spPr>
                    <a:xfrm>
                      <a:off x="0" y="0"/>
                      <a:ext cx="4584276" cy="2755392"/>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3"/>
        </w:rPr>
      </w:pPr>
    </w:p>
    <w:p>
      <w:pPr>
        <w:spacing w:line="355" w:lineRule="auto" w:before="72"/>
        <w:ind w:left="119" w:right="49" w:firstLine="0"/>
        <w:jc w:val="left"/>
        <w:rPr>
          <w:b/>
          <w:sz w:val="22"/>
        </w:rPr>
      </w:pPr>
      <w:r>
        <w:rPr>
          <w:b/>
          <w:sz w:val="22"/>
        </w:rPr>
        <w:t>Figura 4. Comportamiento de la tasa de degradación (</w:t>
      </w:r>
      <w:r>
        <w:rPr>
          <w:b/>
          <w:i/>
          <w:sz w:val="22"/>
        </w:rPr>
        <w:t>cb</w:t>
      </w:r>
      <w:r>
        <w:rPr>
          <w:b/>
          <w:sz w:val="22"/>
        </w:rPr>
        <w:t>) de la fracción </w:t>
      </w:r>
      <w:r>
        <w:rPr>
          <w:b/>
          <w:i/>
          <w:sz w:val="22"/>
        </w:rPr>
        <w:t>b </w:t>
      </w:r>
      <w:r>
        <w:rPr>
          <w:b/>
          <w:sz w:val="22"/>
        </w:rPr>
        <w:t>(ml gas/g MS) en los tres niveles de inclusión</w:t>
      </w:r>
    </w:p>
    <w:p>
      <w:pPr>
        <w:pStyle w:val="BodyText"/>
        <w:rPr>
          <w:b/>
          <w:sz w:val="15"/>
        </w:rPr>
      </w:pPr>
      <w:r>
        <w:rPr/>
        <w:drawing>
          <wp:anchor distT="0" distB="0" distL="0" distR="0" allowOverlap="1" layoutInCell="1" locked="0" behindDoc="0" simplePos="0" relativeHeight="1120">
            <wp:simplePos x="0" y="0"/>
            <wp:positionH relativeFrom="page">
              <wp:posOffset>1591310</wp:posOffset>
            </wp:positionH>
            <wp:positionV relativeFrom="paragraph">
              <wp:posOffset>134749</wp:posOffset>
            </wp:positionV>
            <wp:extent cx="4584276" cy="2755392"/>
            <wp:effectExtent l="0" t="0" r="0" b="0"/>
            <wp:wrapTopAndBottom/>
            <wp:docPr id="11" name="image5.png" descr=""/>
            <wp:cNvGraphicFramePr>
              <a:graphicFrameLocks noChangeAspect="1"/>
            </wp:cNvGraphicFramePr>
            <a:graphic>
              <a:graphicData uri="http://schemas.openxmlformats.org/drawingml/2006/picture">
                <pic:pic>
                  <pic:nvPicPr>
                    <pic:cNvPr id="12" name="image5.png"/>
                    <pic:cNvPicPr/>
                  </pic:nvPicPr>
                  <pic:blipFill>
                    <a:blip r:embed="rId31" cstate="print"/>
                    <a:stretch>
                      <a:fillRect/>
                    </a:stretch>
                  </pic:blipFill>
                  <pic:spPr>
                    <a:xfrm>
                      <a:off x="0" y="0"/>
                      <a:ext cx="4584276" cy="2755392"/>
                    </a:xfrm>
                    <a:prstGeom prst="rect">
                      <a:avLst/>
                    </a:prstGeom>
                  </pic:spPr>
                </pic:pic>
              </a:graphicData>
            </a:graphic>
          </wp:anchor>
        </w:drawing>
      </w:r>
    </w:p>
    <w:p>
      <w:pPr>
        <w:pStyle w:val="BodyText"/>
        <w:spacing w:before="5"/>
        <w:rPr>
          <w:b/>
          <w:sz w:val="27"/>
        </w:rPr>
      </w:pPr>
    </w:p>
    <w:p>
      <w:pPr>
        <w:spacing w:line="355" w:lineRule="auto" w:before="0"/>
        <w:ind w:left="119" w:right="49" w:firstLine="0"/>
        <w:jc w:val="left"/>
        <w:rPr>
          <w:b/>
          <w:sz w:val="22"/>
        </w:rPr>
      </w:pPr>
      <w:r>
        <w:rPr>
          <w:b/>
          <w:sz w:val="22"/>
        </w:rPr>
        <w:t>Figura 5. Comportamiento del tiempo Lag (ml gas/g MS) en los tres niveles de inclusión</w:t>
      </w:r>
    </w:p>
    <w:p>
      <w:pPr>
        <w:spacing w:after="0" w:line="355" w:lineRule="auto"/>
        <w:jc w:val="left"/>
        <w:rPr>
          <w:sz w:val="22"/>
        </w:rPr>
        <w:sectPr>
          <w:pgSz w:w="12240" w:h="15840"/>
          <w:pgMar w:header="0" w:footer="1418" w:top="1420" w:bottom="1660" w:left="1580" w:right="1600"/>
        </w:sectPr>
      </w:pPr>
    </w:p>
    <w:p>
      <w:pPr>
        <w:pStyle w:val="BodyText"/>
        <w:ind w:left="786"/>
        <w:rPr>
          <w:sz w:val="20"/>
        </w:rPr>
      </w:pPr>
      <w:r>
        <w:rPr>
          <w:sz w:val="20"/>
        </w:rPr>
        <w:drawing>
          <wp:inline distT="0" distB="0" distL="0" distR="0">
            <wp:extent cx="4584276" cy="2755392"/>
            <wp:effectExtent l="0" t="0" r="0" b="0"/>
            <wp:docPr id="13" name="image6.png" descr=""/>
            <wp:cNvGraphicFramePr>
              <a:graphicFrameLocks noChangeAspect="1"/>
            </wp:cNvGraphicFramePr>
            <a:graphic>
              <a:graphicData uri="http://schemas.openxmlformats.org/drawingml/2006/picture">
                <pic:pic>
                  <pic:nvPicPr>
                    <pic:cNvPr id="14" name="image6.png"/>
                    <pic:cNvPicPr/>
                  </pic:nvPicPr>
                  <pic:blipFill>
                    <a:blip r:embed="rId32" cstate="print"/>
                    <a:stretch>
                      <a:fillRect/>
                    </a:stretch>
                  </pic:blipFill>
                  <pic:spPr>
                    <a:xfrm>
                      <a:off x="0" y="0"/>
                      <a:ext cx="4584276" cy="2755392"/>
                    </a:xfrm>
                    <a:prstGeom prst="rect">
                      <a:avLst/>
                    </a:prstGeom>
                  </pic:spPr>
                </pic:pic>
              </a:graphicData>
            </a:graphic>
          </wp:inline>
        </w:drawing>
      </w:r>
      <w:r>
        <w:rPr>
          <w:sz w:val="20"/>
        </w:rPr>
      </w:r>
    </w:p>
    <w:p>
      <w:pPr>
        <w:spacing w:after="0"/>
        <w:rPr>
          <w:sz w:val="20"/>
        </w:rPr>
        <w:sectPr>
          <w:pgSz w:w="12240" w:h="15840"/>
          <w:pgMar w:header="0" w:footer="1418" w:top="1420" w:bottom="1600" w:left="1720" w:right="1720"/>
        </w:sectPr>
      </w:pPr>
    </w:p>
    <w:p>
      <w:pPr>
        <w:pStyle w:val="BodyText"/>
        <w:spacing w:line="360" w:lineRule="auto" w:before="52"/>
        <w:ind w:left="157" w:right="168"/>
        <w:jc w:val="center"/>
      </w:pPr>
      <w:r>
        <w:rPr/>
        <w:t>Resumen publicado en las memorias del XV congreso Bienal de la Asociación Mexicana de Especialistas en Nutrición Animal, A.C. Celebrado en Ixtapa, Zihuatanejo en Octubre de 2011.</w:t>
      </w:r>
    </w:p>
    <w:p>
      <w:pPr>
        <w:spacing w:line="250" w:lineRule="exact" w:before="211"/>
        <w:ind w:left="167" w:right="168" w:firstLine="0"/>
        <w:jc w:val="center"/>
        <w:rPr>
          <w:b/>
          <w:sz w:val="22"/>
        </w:rPr>
      </w:pPr>
      <w:r>
        <w:rPr>
          <w:b/>
          <w:sz w:val="22"/>
        </w:rPr>
        <w:t>EFECTO DEL PEG EN LA FERMENTACIÓN RUMINAL </w:t>
      </w:r>
      <w:r>
        <w:rPr>
          <w:b/>
          <w:i/>
          <w:sz w:val="22"/>
        </w:rPr>
        <w:t>IN VITRO </w:t>
      </w:r>
      <w:r>
        <w:rPr>
          <w:b/>
          <w:sz w:val="22"/>
        </w:rPr>
        <w:t>CON ESPECIES ALTAS EN TANINOS</w:t>
      </w:r>
    </w:p>
    <w:p>
      <w:pPr>
        <w:spacing w:line="251" w:lineRule="exact" w:before="3"/>
        <w:ind w:left="170" w:right="168" w:firstLine="0"/>
        <w:jc w:val="center"/>
        <w:rPr>
          <w:sz w:val="22"/>
        </w:rPr>
      </w:pPr>
      <w:r>
        <w:rPr>
          <w:sz w:val="22"/>
        </w:rPr>
        <w:t>(Nutrición de Rumiantes)</w:t>
      </w:r>
    </w:p>
    <w:p>
      <w:pPr>
        <w:spacing w:line="251" w:lineRule="exact" w:before="0"/>
        <w:ind w:left="0" w:right="1" w:firstLine="0"/>
        <w:jc w:val="center"/>
        <w:rPr>
          <w:b/>
          <w:sz w:val="22"/>
        </w:rPr>
      </w:pPr>
      <w:r>
        <w:rPr>
          <w:b/>
          <w:w w:val="100"/>
          <w:sz w:val="22"/>
        </w:rPr>
        <w:t>.</w:t>
      </w:r>
    </w:p>
    <w:p>
      <w:pPr>
        <w:spacing w:before="1"/>
        <w:ind w:left="1767" w:right="1766" w:firstLine="0"/>
        <w:jc w:val="center"/>
        <w:rPr>
          <w:sz w:val="22"/>
        </w:rPr>
      </w:pPr>
      <w:r>
        <w:rPr>
          <w:sz w:val="22"/>
        </w:rPr>
        <w:t>Matías GB*, Castelán OOA, González RM, Estrada FJG. </w:t>
      </w:r>
      <w:hyperlink r:id="rId33">
        <w:r>
          <w:rPr>
            <w:sz w:val="22"/>
          </w:rPr>
          <w:t>maty_era@hotmail.com</w:t>
        </w:r>
      </w:hyperlink>
    </w:p>
    <w:p>
      <w:pPr>
        <w:pStyle w:val="BodyText"/>
        <w:spacing w:before="5"/>
        <w:rPr>
          <w:sz w:val="23"/>
        </w:rPr>
      </w:pPr>
    </w:p>
    <w:p>
      <w:pPr>
        <w:spacing w:line="240" w:lineRule="auto" w:before="0"/>
        <w:ind w:left="119" w:right="114" w:firstLine="0"/>
        <w:jc w:val="both"/>
        <w:rPr>
          <w:sz w:val="22"/>
        </w:rPr>
      </w:pPr>
      <w:r>
        <w:rPr>
          <w:b/>
          <w:sz w:val="22"/>
        </w:rPr>
        <w:t>Introducción. </w:t>
      </w:r>
      <w:r>
        <w:rPr>
          <w:sz w:val="22"/>
        </w:rPr>
        <w:t>Las arvenses son las plantas que se establecen entre los cultivos, crecen en forma espontánea en áreas agrícolas, y generalmente no causan daño. Estas son utilizadas para alimentar </w:t>
      </w:r>
      <w:r>
        <w:rPr>
          <w:spacing w:val="3"/>
          <w:sz w:val="22"/>
        </w:rPr>
        <w:t>al </w:t>
      </w:r>
      <w:r>
        <w:rPr>
          <w:sz w:val="22"/>
        </w:rPr>
        <w:t>ganado bovino y ovino principalmente, en combinación con pastoreo de besanas u ofrecidas directamente en los comederos. Algunas arvenses presentan compuestos secundarios, que cumplen funciones no esenciales en ellas, por ejemplo, intervienen en las interacciones ecológicas entre la planta y su ambiente. Algunos compuestos secundarios son los taninos, los cuales han sido estudiados en leguminosas y arvenses, se dice que los taninos sobreprotegen </w:t>
      </w:r>
      <w:r>
        <w:rPr>
          <w:spacing w:val="-3"/>
          <w:sz w:val="22"/>
        </w:rPr>
        <w:t>la </w:t>
      </w:r>
      <w:r>
        <w:rPr>
          <w:sz w:val="22"/>
        </w:rPr>
        <w:t>proteína de </w:t>
      </w:r>
      <w:r>
        <w:rPr>
          <w:spacing w:val="-3"/>
          <w:sz w:val="22"/>
        </w:rPr>
        <w:t>la </w:t>
      </w:r>
      <w:r>
        <w:rPr>
          <w:sz w:val="22"/>
        </w:rPr>
        <w:t>dieta contra la fermentación en rumen, además de tener efectos negativos sobre enzimas y microorganismos de este. Un estudio revela que adicionando Polyetilenglicol (PEG) (un inhibidor de los taninos) aumenta el consumo y la digestibilidad de plantas ricas en taninos; sin embargo, poco se sabe sobre esto por </w:t>
      </w:r>
      <w:r>
        <w:rPr>
          <w:spacing w:val="-3"/>
          <w:sz w:val="22"/>
        </w:rPr>
        <w:t>lo </w:t>
      </w:r>
      <w:r>
        <w:rPr>
          <w:sz w:val="22"/>
        </w:rPr>
        <w:t>que es importante investigar </w:t>
      </w:r>
      <w:r>
        <w:rPr>
          <w:spacing w:val="-3"/>
          <w:sz w:val="22"/>
        </w:rPr>
        <w:t>la </w:t>
      </w:r>
      <w:r>
        <w:rPr>
          <w:sz w:val="22"/>
        </w:rPr>
        <w:t>acción de los taninos condensados sobre la fermentación ruminal en las arvenses consumidas por el ganado</w:t>
      </w:r>
      <w:r>
        <w:rPr>
          <w:spacing w:val="-15"/>
          <w:sz w:val="22"/>
        </w:rPr>
        <w:t> </w:t>
      </w:r>
      <w:r>
        <w:rPr>
          <w:sz w:val="22"/>
        </w:rPr>
        <w:t>bovino.</w:t>
      </w:r>
    </w:p>
    <w:p>
      <w:pPr>
        <w:pStyle w:val="BodyText"/>
        <w:spacing w:before="9"/>
        <w:rPr>
          <w:sz w:val="21"/>
        </w:rPr>
      </w:pPr>
    </w:p>
    <w:p>
      <w:pPr>
        <w:spacing w:line="240" w:lineRule="auto" w:before="0"/>
        <w:ind w:left="119" w:right="115" w:firstLine="0"/>
        <w:jc w:val="both"/>
        <w:rPr>
          <w:sz w:val="22"/>
        </w:rPr>
      </w:pPr>
      <w:r>
        <w:rPr>
          <w:b/>
          <w:sz w:val="22"/>
        </w:rPr>
        <w:t>Material y métodos</w:t>
      </w:r>
      <w:r>
        <w:rPr>
          <w:sz w:val="22"/>
        </w:rPr>
        <w:t>. Se utilizaron dos especies taníferas de la zona templada (Valle de Toluca), (</w:t>
      </w:r>
      <w:r>
        <w:rPr>
          <w:i/>
          <w:sz w:val="22"/>
        </w:rPr>
        <w:t>C. bippinatus y T. lucida</w:t>
      </w:r>
      <w:r>
        <w:rPr>
          <w:sz w:val="22"/>
        </w:rPr>
        <w:t>) y 4 especies de la zona semi-tropical (Tejupilco), (</w:t>
      </w:r>
      <w:r>
        <w:rPr>
          <w:i/>
          <w:sz w:val="22"/>
        </w:rPr>
        <w:t>C. </w:t>
      </w:r>
      <w:r>
        <w:rPr>
          <w:i/>
          <w:sz w:val="22"/>
        </w:rPr>
        <w:t>sulphureus, T. erecta, M. diplotricha y M. divaricatum</w:t>
      </w:r>
      <w:r>
        <w:rPr>
          <w:sz w:val="22"/>
        </w:rPr>
        <w:t>) del Estado de México. El contenido de taninos se determinó por el método Folin-Cicalteoui (Makkar, 2003), además se les determinó el contenido de proteína cruda (PC), fibra detergente neutro (FDN), fibra detergente ácido (FDA), (Van Soest, 1991) y cenizas. Se evaluó el efecto del polyetilenglicol (PEG-6000) sobre la fermentación ruminal </w:t>
      </w:r>
      <w:r>
        <w:rPr>
          <w:i/>
          <w:sz w:val="22"/>
        </w:rPr>
        <w:t>in vitro </w:t>
      </w:r>
      <w:r>
        <w:rPr>
          <w:sz w:val="22"/>
        </w:rPr>
        <w:t>(Menke y Steingass, 1988) con especies altas en taninos.</w:t>
      </w:r>
    </w:p>
    <w:p>
      <w:pPr>
        <w:spacing w:line="240" w:lineRule="auto" w:before="0"/>
        <w:ind w:left="119" w:right="113" w:firstLine="0"/>
        <w:jc w:val="both"/>
        <w:rPr>
          <w:sz w:val="22"/>
        </w:rPr>
      </w:pPr>
      <w:r>
        <w:rPr>
          <w:i/>
          <w:sz w:val="22"/>
        </w:rPr>
        <w:t>Diseño experimental. </w:t>
      </w:r>
      <w:r>
        <w:rPr>
          <w:sz w:val="22"/>
        </w:rPr>
        <w:t>Para evaluar el efecto del polyetilenglicol (PEG) sobre la fermentación ruminal, se aplicó un diseño experimental de Bloques al azar, donde los tratamientos fueron la adición de PEG y sin PEG. Los bloques, fueron las 6 especies, con tres repeticiones. Cuando se encontraron diferencias significativas (P&lt;0.05) se aplicó una comparación de medias de Tukey. Y las variables a evaluar fueron: producción de gas, digestibilidad de la fibra detergente neutro (dFDN), energía metabolizable (EM), y parámetros de la cinética de fermentación. Es importante resaltar que para el cálculo de la energía metabolizable se realizó un ajuste en la producción de gas a las 24 horas, ya que la fórmula para obtener la EM está diseñada para 200 mg de muestra, y en este experimento se utilizaron 500 mg de muestra.</w:t>
      </w:r>
    </w:p>
    <w:p>
      <w:pPr>
        <w:spacing w:line="272" w:lineRule="exact" w:before="5"/>
        <w:ind w:left="119" w:right="0" w:firstLine="0"/>
        <w:jc w:val="both"/>
        <w:rPr>
          <w:sz w:val="14"/>
        </w:rPr>
      </w:pPr>
      <w:r>
        <w:rPr>
          <w:sz w:val="22"/>
        </w:rPr>
        <w:t>Se utilizó el siguiente modelo estadístico: Y</w:t>
      </w:r>
      <w:r>
        <w:rPr>
          <w:position w:val="-2"/>
          <w:sz w:val="14"/>
        </w:rPr>
        <w:t>ij </w:t>
      </w:r>
      <w:r>
        <w:rPr>
          <w:sz w:val="22"/>
        </w:rPr>
        <w:t>= </w:t>
      </w:r>
      <w:r>
        <w:rPr>
          <w:rFonts w:ascii="Symbol" w:hAnsi="Symbol"/>
          <w:sz w:val="22"/>
        </w:rPr>
        <w:t></w:t>
      </w:r>
      <w:r>
        <w:rPr>
          <w:rFonts w:ascii="Times New Roman" w:hAnsi="Times New Roman"/>
          <w:sz w:val="22"/>
        </w:rPr>
        <w:t> </w:t>
      </w:r>
      <w:r>
        <w:rPr>
          <w:sz w:val="22"/>
        </w:rPr>
        <w:t>+ </w:t>
      </w:r>
      <w:r>
        <w:rPr>
          <w:rFonts w:ascii="Symbol" w:hAnsi="Symbol"/>
          <w:sz w:val="22"/>
        </w:rPr>
        <w:t></w:t>
      </w:r>
      <w:r>
        <w:rPr>
          <w:sz w:val="22"/>
        </w:rPr>
        <w:t>i + </w:t>
      </w:r>
      <w:r>
        <w:rPr>
          <w:rFonts w:ascii="Symbol" w:hAnsi="Symbol"/>
          <w:sz w:val="22"/>
        </w:rPr>
        <w:t></w:t>
      </w:r>
      <w:r>
        <w:rPr>
          <w:position w:val="-2"/>
          <w:sz w:val="14"/>
        </w:rPr>
        <w:t>j </w:t>
      </w:r>
      <w:r>
        <w:rPr>
          <w:sz w:val="22"/>
        </w:rPr>
        <w:t>+ </w:t>
      </w:r>
      <w:r>
        <w:rPr>
          <w:rFonts w:ascii="Symbol" w:hAnsi="Symbol"/>
          <w:sz w:val="22"/>
        </w:rPr>
        <w:t></w:t>
      </w:r>
      <w:r>
        <w:rPr>
          <w:position w:val="-2"/>
          <w:sz w:val="14"/>
        </w:rPr>
        <w:t>ij;</w:t>
      </w:r>
    </w:p>
    <w:p>
      <w:pPr>
        <w:spacing w:line="269" w:lineRule="exact" w:before="0"/>
        <w:ind w:left="119" w:right="0" w:firstLine="0"/>
        <w:jc w:val="both"/>
        <w:rPr>
          <w:sz w:val="22"/>
        </w:rPr>
      </w:pPr>
      <w:r>
        <w:rPr>
          <w:sz w:val="22"/>
        </w:rPr>
        <w:t>Donde</w:t>
      </w:r>
      <w:r>
        <w:rPr>
          <w:b/>
          <w:sz w:val="22"/>
        </w:rPr>
        <w:t>: </w:t>
      </w:r>
      <w:r>
        <w:rPr>
          <w:sz w:val="22"/>
        </w:rPr>
        <w:t>Y</w:t>
      </w:r>
      <w:r>
        <w:rPr>
          <w:position w:val="-2"/>
          <w:sz w:val="14"/>
        </w:rPr>
        <w:t>ij </w:t>
      </w:r>
      <w:r>
        <w:rPr>
          <w:sz w:val="22"/>
        </w:rPr>
        <w:t>= Respuesta en la unidad experimental con el tratamiento, </w:t>
      </w:r>
      <w:r>
        <w:rPr>
          <w:rFonts w:ascii="Symbol" w:hAnsi="Symbol"/>
          <w:sz w:val="22"/>
        </w:rPr>
        <w:t></w:t>
      </w:r>
      <w:r>
        <w:rPr>
          <w:rFonts w:ascii="Times New Roman" w:hAnsi="Times New Roman"/>
          <w:sz w:val="22"/>
        </w:rPr>
        <w:t> </w:t>
      </w:r>
      <w:r>
        <w:rPr>
          <w:sz w:val="22"/>
        </w:rPr>
        <w:t>= Media general, </w:t>
      </w:r>
      <w:r>
        <w:rPr>
          <w:rFonts w:ascii="Symbol" w:hAnsi="Symbol"/>
          <w:sz w:val="22"/>
        </w:rPr>
        <w:t></w:t>
      </w:r>
      <w:r>
        <w:rPr>
          <w:sz w:val="22"/>
        </w:rPr>
        <w:t>i</w:t>
      </w:r>
    </w:p>
    <w:p>
      <w:pPr>
        <w:spacing w:line="277" w:lineRule="exact" w:before="0"/>
        <w:ind w:left="119" w:right="0" w:firstLine="0"/>
        <w:jc w:val="both"/>
        <w:rPr>
          <w:sz w:val="22"/>
        </w:rPr>
      </w:pPr>
      <w:r>
        <w:rPr>
          <w:sz w:val="22"/>
        </w:rPr>
        <w:t>= Efecto del tratamiento  (i=1,2), </w:t>
      </w:r>
      <w:r>
        <w:rPr>
          <w:rFonts w:ascii="Symbol" w:hAnsi="Symbol"/>
          <w:sz w:val="22"/>
        </w:rPr>
        <w:t></w:t>
      </w:r>
      <w:r>
        <w:rPr>
          <w:position w:val="-2"/>
          <w:sz w:val="14"/>
        </w:rPr>
        <w:t>j  </w:t>
      </w:r>
      <w:r>
        <w:rPr>
          <w:sz w:val="22"/>
        </w:rPr>
        <w:t>= Efecto del bloque (j=1, …6) y </w:t>
      </w:r>
      <w:r>
        <w:rPr>
          <w:rFonts w:ascii="Symbol" w:hAnsi="Symbol"/>
          <w:sz w:val="22"/>
        </w:rPr>
        <w:t></w:t>
      </w:r>
      <w:r>
        <w:rPr>
          <w:position w:val="-2"/>
          <w:sz w:val="14"/>
        </w:rPr>
        <w:t>ij  </w:t>
      </w:r>
      <w:r>
        <w:rPr>
          <w:sz w:val="22"/>
        </w:rPr>
        <w:t>= Error residual</w:t>
      </w:r>
    </w:p>
    <w:p>
      <w:pPr>
        <w:spacing w:after="0" w:line="277" w:lineRule="exact"/>
        <w:jc w:val="both"/>
        <w:rPr>
          <w:sz w:val="22"/>
        </w:rPr>
        <w:sectPr>
          <w:pgSz w:w="12240" w:h="15840"/>
          <w:pgMar w:header="0" w:footer="1418" w:top="1360" w:bottom="1600" w:left="1580" w:right="1580"/>
        </w:sectPr>
      </w:pPr>
    </w:p>
    <w:p>
      <w:pPr>
        <w:spacing w:line="240" w:lineRule="auto" w:before="51"/>
        <w:ind w:left="119" w:right="118" w:firstLine="0"/>
        <w:jc w:val="both"/>
        <w:rPr>
          <w:sz w:val="22"/>
        </w:rPr>
      </w:pPr>
      <w:r>
        <w:rPr>
          <w:sz w:val="22"/>
        </w:rPr>
        <w:t>Los resultados </w:t>
      </w:r>
      <w:r>
        <w:rPr>
          <w:spacing w:val="-3"/>
          <w:sz w:val="22"/>
        </w:rPr>
        <w:t>se </w:t>
      </w:r>
      <w:r>
        <w:rPr>
          <w:sz w:val="22"/>
        </w:rPr>
        <w:t>analizaron por medio de un análisis de varianza, utilizando el paquete estadístico de Minitab V14 (2000). Cuando </w:t>
      </w:r>
      <w:r>
        <w:rPr>
          <w:spacing w:val="-3"/>
          <w:sz w:val="22"/>
        </w:rPr>
        <w:t>se </w:t>
      </w:r>
      <w:r>
        <w:rPr>
          <w:sz w:val="22"/>
        </w:rPr>
        <w:t>observaron diferencias significativas (P&lt;0.05) se aplicó la prueba de Tukey. Se utilizaron tres repeticiones por cada  tratamiento.</w:t>
      </w:r>
    </w:p>
    <w:p>
      <w:pPr>
        <w:pStyle w:val="BodyText"/>
        <w:spacing w:before="10"/>
        <w:rPr>
          <w:sz w:val="21"/>
        </w:rPr>
      </w:pPr>
    </w:p>
    <w:p>
      <w:pPr>
        <w:spacing w:line="251" w:lineRule="exact" w:before="0"/>
        <w:ind w:left="119" w:right="0" w:firstLine="0"/>
        <w:jc w:val="both"/>
        <w:rPr>
          <w:sz w:val="22"/>
        </w:rPr>
      </w:pPr>
      <w:r>
        <w:rPr>
          <w:b/>
          <w:sz w:val="22"/>
        </w:rPr>
        <w:t>Resultados y discusión.  </w:t>
      </w:r>
      <w:r>
        <w:rPr>
          <w:sz w:val="22"/>
        </w:rPr>
        <w:t>La cantidad de taninos condensados para cada especie fueron:</w:t>
      </w:r>
    </w:p>
    <w:p>
      <w:pPr>
        <w:spacing w:before="0"/>
        <w:ind w:left="119" w:right="117" w:firstLine="0"/>
        <w:jc w:val="both"/>
        <w:rPr>
          <w:sz w:val="22"/>
        </w:rPr>
      </w:pPr>
      <w:r>
        <w:rPr>
          <w:i/>
          <w:sz w:val="22"/>
        </w:rPr>
        <w:t>C. sulphureus </w:t>
      </w:r>
      <w:r>
        <w:rPr>
          <w:sz w:val="22"/>
        </w:rPr>
        <w:t>13.7%, </w:t>
      </w:r>
      <w:r>
        <w:rPr>
          <w:i/>
          <w:sz w:val="22"/>
        </w:rPr>
        <w:t>C. bippinatus </w:t>
      </w:r>
      <w:r>
        <w:rPr>
          <w:sz w:val="22"/>
        </w:rPr>
        <w:t>3.9%, </w:t>
      </w:r>
      <w:r>
        <w:rPr>
          <w:i/>
          <w:sz w:val="22"/>
        </w:rPr>
        <w:t>T. lucida </w:t>
      </w:r>
      <w:r>
        <w:rPr>
          <w:sz w:val="22"/>
        </w:rPr>
        <w:t>7.7%, </w:t>
      </w:r>
      <w:r>
        <w:rPr>
          <w:i/>
          <w:sz w:val="22"/>
        </w:rPr>
        <w:t>T. erecta </w:t>
      </w:r>
      <w:r>
        <w:rPr>
          <w:sz w:val="22"/>
        </w:rPr>
        <w:t>11.4%, </w:t>
      </w:r>
      <w:r>
        <w:rPr>
          <w:i/>
          <w:sz w:val="22"/>
        </w:rPr>
        <w:t>M. diplotricha </w:t>
      </w:r>
      <w:r>
        <w:rPr>
          <w:sz w:val="22"/>
        </w:rPr>
        <w:t>1.7% y </w:t>
      </w:r>
      <w:r>
        <w:rPr>
          <w:i/>
          <w:sz w:val="22"/>
        </w:rPr>
        <w:t>M. divaricatum </w:t>
      </w:r>
      <w:r>
        <w:rPr>
          <w:sz w:val="22"/>
        </w:rPr>
        <w:t>3.7%. Claramente se denota que las especies con mayor cantidad de taninos con </w:t>
      </w:r>
      <w:r>
        <w:rPr>
          <w:i/>
          <w:sz w:val="22"/>
        </w:rPr>
        <w:t>C. sulphureus</w:t>
      </w:r>
      <w:r>
        <w:rPr>
          <w:sz w:val="22"/>
        </w:rPr>
        <w:t>, </w:t>
      </w:r>
      <w:r>
        <w:rPr>
          <w:i/>
          <w:sz w:val="22"/>
        </w:rPr>
        <w:t>T erecta </w:t>
      </w:r>
      <w:r>
        <w:rPr>
          <w:sz w:val="22"/>
        </w:rPr>
        <w:t>y </w:t>
      </w:r>
      <w:r>
        <w:rPr>
          <w:i/>
          <w:sz w:val="22"/>
        </w:rPr>
        <w:t>T. lucida</w:t>
      </w:r>
      <w:r>
        <w:rPr>
          <w:sz w:val="22"/>
        </w:rPr>
        <w:t>.</w:t>
      </w:r>
    </w:p>
    <w:p>
      <w:pPr>
        <w:spacing w:line="237" w:lineRule="auto" w:before="8"/>
        <w:ind w:left="119" w:right="113" w:firstLine="0"/>
        <w:jc w:val="both"/>
        <w:rPr>
          <w:sz w:val="22"/>
        </w:rPr>
      </w:pPr>
      <w:r>
        <w:rPr>
          <w:sz w:val="22"/>
        </w:rPr>
        <w:t>El cuadro 1 muestra el porcentaje de fibras contenidas en las especies, la fibra detergente neutro presenta valores altos en algunas especies, así mismo la fibra detergente ácido. </w:t>
      </w:r>
      <w:r>
        <w:rPr>
          <w:i/>
          <w:sz w:val="22"/>
        </w:rPr>
        <w:t>M. </w:t>
      </w:r>
      <w:r>
        <w:rPr>
          <w:i/>
          <w:sz w:val="22"/>
        </w:rPr>
        <w:t>diplotricha </w:t>
      </w:r>
      <w:r>
        <w:rPr>
          <w:sz w:val="22"/>
        </w:rPr>
        <w:t>presenta un mayor nivel proteico, mientras </w:t>
      </w:r>
      <w:r>
        <w:rPr>
          <w:i/>
          <w:sz w:val="22"/>
        </w:rPr>
        <w:t>T.lucida </w:t>
      </w:r>
      <w:r>
        <w:rPr>
          <w:sz w:val="22"/>
        </w:rPr>
        <w:t>el menor.</w:t>
      </w:r>
    </w:p>
    <w:p>
      <w:pPr>
        <w:pStyle w:val="BodyText"/>
        <w:rPr>
          <w:sz w:val="20"/>
        </w:rPr>
      </w:pPr>
    </w:p>
    <w:p>
      <w:pPr>
        <w:pStyle w:val="BodyText"/>
        <w:spacing w:before="9"/>
        <w:rPr>
          <w:sz w:val="26"/>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20"/>
        <w:gridCol w:w="1866"/>
        <w:gridCol w:w="1424"/>
        <w:gridCol w:w="1338"/>
        <w:gridCol w:w="1529"/>
      </w:tblGrid>
      <w:tr>
        <w:trPr>
          <w:trHeight w:val="486" w:hRule="exact"/>
        </w:trPr>
        <w:tc>
          <w:tcPr>
            <w:tcW w:w="8577" w:type="dxa"/>
            <w:gridSpan w:val="5"/>
            <w:tcBorders>
              <w:bottom w:val="single" w:sz="4" w:space="0" w:color="000000"/>
            </w:tcBorders>
          </w:tcPr>
          <w:p>
            <w:pPr>
              <w:pStyle w:val="TableParagraph"/>
              <w:spacing w:line="226" w:lineRule="exact"/>
              <w:ind w:left="72"/>
              <w:jc w:val="left"/>
              <w:rPr>
                <w:sz w:val="22"/>
              </w:rPr>
            </w:pPr>
            <w:r>
              <w:rPr>
                <w:sz w:val="22"/>
              </w:rPr>
              <w:t>Cuadro 1. Composición química (%) por especie</w:t>
            </w:r>
          </w:p>
        </w:tc>
      </w:tr>
      <w:tr>
        <w:trPr>
          <w:trHeight w:val="353" w:hRule="exact"/>
        </w:trPr>
        <w:tc>
          <w:tcPr>
            <w:tcW w:w="2420" w:type="dxa"/>
            <w:tcBorders>
              <w:top w:val="single" w:sz="4" w:space="0" w:color="000000"/>
              <w:bottom w:val="double" w:sz="6" w:space="0" w:color="000000"/>
            </w:tcBorders>
          </w:tcPr>
          <w:p>
            <w:pPr>
              <w:pStyle w:val="TableParagraph"/>
              <w:spacing w:before="67"/>
              <w:ind w:left="72"/>
              <w:jc w:val="left"/>
              <w:rPr>
                <w:sz w:val="22"/>
              </w:rPr>
            </w:pPr>
            <w:r>
              <w:rPr>
                <w:sz w:val="22"/>
              </w:rPr>
              <w:t>ESPECIES</w:t>
            </w:r>
          </w:p>
        </w:tc>
        <w:tc>
          <w:tcPr>
            <w:tcW w:w="1866" w:type="dxa"/>
            <w:tcBorders>
              <w:top w:val="single" w:sz="4" w:space="0" w:color="000000"/>
              <w:bottom w:val="double" w:sz="6" w:space="0" w:color="000000"/>
            </w:tcBorders>
          </w:tcPr>
          <w:p>
            <w:pPr>
              <w:pStyle w:val="TableParagraph"/>
              <w:spacing w:before="67"/>
              <w:ind w:right="451"/>
              <w:jc w:val="right"/>
              <w:rPr>
                <w:sz w:val="22"/>
              </w:rPr>
            </w:pPr>
            <w:r>
              <w:rPr>
                <w:sz w:val="22"/>
              </w:rPr>
              <w:t>FND</w:t>
            </w:r>
          </w:p>
        </w:tc>
        <w:tc>
          <w:tcPr>
            <w:tcW w:w="1424" w:type="dxa"/>
            <w:tcBorders>
              <w:top w:val="single" w:sz="4" w:space="0" w:color="000000"/>
              <w:bottom w:val="double" w:sz="6" w:space="0" w:color="000000"/>
            </w:tcBorders>
          </w:tcPr>
          <w:p>
            <w:pPr>
              <w:pStyle w:val="TableParagraph"/>
              <w:spacing w:before="67"/>
              <w:ind w:left="377" w:right="450"/>
              <w:rPr>
                <w:sz w:val="22"/>
              </w:rPr>
            </w:pPr>
            <w:r>
              <w:rPr>
                <w:sz w:val="22"/>
              </w:rPr>
              <w:t>FAD</w:t>
            </w:r>
          </w:p>
        </w:tc>
        <w:tc>
          <w:tcPr>
            <w:tcW w:w="1338" w:type="dxa"/>
            <w:tcBorders>
              <w:top w:val="single" w:sz="4" w:space="0" w:color="000000"/>
              <w:bottom w:val="double" w:sz="6" w:space="0" w:color="000000"/>
            </w:tcBorders>
          </w:tcPr>
          <w:p>
            <w:pPr>
              <w:pStyle w:val="TableParagraph"/>
              <w:spacing w:before="67"/>
              <w:ind w:left="451" w:right="290"/>
              <w:rPr>
                <w:sz w:val="22"/>
              </w:rPr>
            </w:pPr>
            <w:r>
              <w:rPr>
                <w:sz w:val="22"/>
              </w:rPr>
              <w:t>PC</w:t>
            </w:r>
          </w:p>
        </w:tc>
        <w:tc>
          <w:tcPr>
            <w:tcW w:w="1529" w:type="dxa"/>
            <w:tcBorders>
              <w:top w:val="single" w:sz="4" w:space="0" w:color="000000"/>
              <w:bottom w:val="double" w:sz="6" w:space="0" w:color="000000"/>
            </w:tcBorders>
          </w:tcPr>
          <w:p>
            <w:pPr>
              <w:pStyle w:val="TableParagraph"/>
              <w:spacing w:before="67"/>
              <w:ind w:left="297" w:right="395"/>
              <w:rPr>
                <w:sz w:val="22"/>
              </w:rPr>
            </w:pPr>
            <w:r>
              <w:rPr>
                <w:sz w:val="22"/>
              </w:rPr>
              <w:t>Cenizas</w:t>
            </w:r>
          </w:p>
        </w:tc>
      </w:tr>
      <w:tr>
        <w:trPr>
          <w:trHeight w:val="378" w:hRule="exact"/>
        </w:trPr>
        <w:tc>
          <w:tcPr>
            <w:tcW w:w="2420" w:type="dxa"/>
            <w:tcBorders>
              <w:top w:val="double" w:sz="6" w:space="0" w:color="000000"/>
            </w:tcBorders>
          </w:tcPr>
          <w:p>
            <w:pPr>
              <w:pStyle w:val="TableParagraph"/>
              <w:spacing w:before="63"/>
              <w:ind w:left="72"/>
              <w:jc w:val="left"/>
              <w:rPr>
                <w:i/>
                <w:sz w:val="22"/>
              </w:rPr>
            </w:pPr>
            <w:r>
              <w:rPr>
                <w:i/>
                <w:sz w:val="22"/>
              </w:rPr>
              <w:t>C. sulphureus</w:t>
            </w:r>
          </w:p>
        </w:tc>
        <w:tc>
          <w:tcPr>
            <w:tcW w:w="1866" w:type="dxa"/>
            <w:tcBorders>
              <w:top w:val="double" w:sz="6" w:space="0" w:color="000000"/>
            </w:tcBorders>
          </w:tcPr>
          <w:p>
            <w:pPr>
              <w:pStyle w:val="TableParagraph"/>
              <w:spacing w:before="68"/>
              <w:ind w:right="398"/>
              <w:jc w:val="right"/>
              <w:rPr>
                <w:sz w:val="22"/>
              </w:rPr>
            </w:pPr>
            <w:r>
              <w:rPr>
                <w:sz w:val="22"/>
              </w:rPr>
              <w:t>33.54</w:t>
            </w:r>
          </w:p>
        </w:tc>
        <w:tc>
          <w:tcPr>
            <w:tcW w:w="1424" w:type="dxa"/>
            <w:tcBorders>
              <w:top w:val="double" w:sz="6" w:space="0" w:color="000000"/>
            </w:tcBorders>
          </w:tcPr>
          <w:p>
            <w:pPr>
              <w:pStyle w:val="TableParagraph"/>
              <w:spacing w:before="68"/>
              <w:ind w:left="382" w:right="450"/>
              <w:rPr>
                <w:sz w:val="22"/>
              </w:rPr>
            </w:pPr>
            <w:r>
              <w:rPr>
                <w:sz w:val="22"/>
              </w:rPr>
              <w:t>26.67</w:t>
            </w:r>
          </w:p>
        </w:tc>
        <w:tc>
          <w:tcPr>
            <w:tcW w:w="1338" w:type="dxa"/>
            <w:tcBorders>
              <w:top w:val="double" w:sz="6" w:space="0" w:color="000000"/>
            </w:tcBorders>
          </w:tcPr>
          <w:p>
            <w:pPr>
              <w:pStyle w:val="TableParagraph"/>
              <w:spacing w:before="68"/>
              <w:ind w:left="451" w:right="295"/>
              <w:rPr>
                <w:sz w:val="22"/>
              </w:rPr>
            </w:pPr>
            <w:r>
              <w:rPr>
                <w:sz w:val="22"/>
              </w:rPr>
              <w:t>13.75</w:t>
            </w:r>
          </w:p>
        </w:tc>
        <w:tc>
          <w:tcPr>
            <w:tcW w:w="1529" w:type="dxa"/>
            <w:tcBorders>
              <w:top w:val="double" w:sz="6" w:space="0" w:color="000000"/>
            </w:tcBorders>
          </w:tcPr>
          <w:p>
            <w:pPr>
              <w:pStyle w:val="TableParagraph"/>
              <w:spacing w:before="68"/>
              <w:ind w:left="297" w:right="392"/>
              <w:rPr>
                <w:sz w:val="22"/>
              </w:rPr>
            </w:pPr>
            <w:r>
              <w:rPr>
                <w:sz w:val="22"/>
              </w:rPr>
              <w:t>8.88</w:t>
            </w:r>
          </w:p>
        </w:tc>
      </w:tr>
      <w:tr>
        <w:trPr>
          <w:trHeight w:val="307" w:hRule="exact"/>
        </w:trPr>
        <w:tc>
          <w:tcPr>
            <w:tcW w:w="2420" w:type="dxa"/>
          </w:tcPr>
          <w:p>
            <w:pPr>
              <w:pStyle w:val="TableParagraph"/>
              <w:spacing w:before="13"/>
              <w:ind w:left="72"/>
              <w:jc w:val="left"/>
              <w:rPr>
                <w:i/>
                <w:sz w:val="22"/>
              </w:rPr>
            </w:pPr>
            <w:r>
              <w:rPr>
                <w:i/>
                <w:sz w:val="22"/>
              </w:rPr>
              <w:t>C. bippinatus</w:t>
            </w:r>
          </w:p>
        </w:tc>
        <w:tc>
          <w:tcPr>
            <w:tcW w:w="1866" w:type="dxa"/>
          </w:tcPr>
          <w:p>
            <w:pPr>
              <w:pStyle w:val="TableParagraph"/>
              <w:spacing w:before="18"/>
              <w:ind w:right="398"/>
              <w:jc w:val="right"/>
              <w:rPr>
                <w:sz w:val="22"/>
              </w:rPr>
            </w:pPr>
            <w:r>
              <w:rPr>
                <w:sz w:val="22"/>
              </w:rPr>
              <w:t>45.53</w:t>
            </w:r>
          </w:p>
        </w:tc>
        <w:tc>
          <w:tcPr>
            <w:tcW w:w="1424" w:type="dxa"/>
          </w:tcPr>
          <w:p>
            <w:pPr>
              <w:pStyle w:val="TableParagraph"/>
              <w:spacing w:before="18"/>
              <w:ind w:left="382" w:right="450"/>
              <w:rPr>
                <w:sz w:val="22"/>
              </w:rPr>
            </w:pPr>
            <w:r>
              <w:rPr>
                <w:sz w:val="22"/>
              </w:rPr>
              <w:t>31.73</w:t>
            </w:r>
          </w:p>
        </w:tc>
        <w:tc>
          <w:tcPr>
            <w:tcW w:w="1338" w:type="dxa"/>
          </w:tcPr>
          <w:p>
            <w:pPr>
              <w:pStyle w:val="TableParagraph"/>
              <w:spacing w:before="18"/>
              <w:ind w:left="451" w:right="295"/>
              <w:rPr>
                <w:sz w:val="22"/>
              </w:rPr>
            </w:pPr>
            <w:r>
              <w:rPr>
                <w:sz w:val="22"/>
              </w:rPr>
              <w:t>13.74</w:t>
            </w:r>
          </w:p>
        </w:tc>
        <w:tc>
          <w:tcPr>
            <w:tcW w:w="1529" w:type="dxa"/>
          </w:tcPr>
          <w:p>
            <w:pPr>
              <w:pStyle w:val="TableParagraph"/>
              <w:spacing w:before="18"/>
              <w:ind w:left="297" w:right="392"/>
              <w:rPr>
                <w:sz w:val="22"/>
              </w:rPr>
            </w:pPr>
            <w:r>
              <w:rPr>
                <w:sz w:val="22"/>
              </w:rPr>
              <w:t>8.78</w:t>
            </w:r>
          </w:p>
        </w:tc>
      </w:tr>
      <w:tr>
        <w:trPr>
          <w:trHeight w:val="307" w:hRule="exact"/>
        </w:trPr>
        <w:tc>
          <w:tcPr>
            <w:tcW w:w="2420" w:type="dxa"/>
          </w:tcPr>
          <w:p>
            <w:pPr>
              <w:pStyle w:val="TableParagraph"/>
              <w:spacing w:before="13"/>
              <w:ind w:left="72"/>
              <w:jc w:val="left"/>
              <w:rPr>
                <w:i/>
                <w:sz w:val="22"/>
              </w:rPr>
            </w:pPr>
            <w:r>
              <w:rPr>
                <w:i/>
                <w:sz w:val="22"/>
              </w:rPr>
              <w:t>T. lucida</w:t>
            </w:r>
          </w:p>
        </w:tc>
        <w:tc>
          <w:tcPr>
            <w:tcW w:w="1866" w:type="dxa"/>
          </w:tcPr>
          <w:p>
            <w:pPr>
              <w:pStyle w:val="TableParagraph"/>
              <w:spacing w:before="18"/>
              <w:ind w:right="398"/>
              <w:jc w:val="right"/>
              <w:rPr>
                <w:sz w:val="22"/>
              </w:rPr>
            </w:pPr>
            <w:r>
              <w:rPr>
                <w:sz w:val="22"/>
              </w:rPr>
              <w:t>42.66</w:t>
            </w:r>
          </w:p>
        </w:tc>
        <w:tc>
          <w:tcPr>
            <w:tcW w:w="1424" w:type="dxa"/>
          </w:tcPr>
          <w:p>
            <w:pPr>
              <w:pStyle w:val="TableParagraph"/>
              <w:spacing w:before="18"/>
              <w:ind w:left="382" w:right="450"/>
              <w:rPr>
                <w:sz w:val="22"/>
              </w:rPr>
            </w:pPr>
            <w:r>
              <w:rPr>
                <w:sz w:val="22"/>
              </w:rPr>
              <w:t>29.64</w:t>
            </w:r>
          </w:p>
        </w:tc>
        <w:tc>
          <w:tcPr>
            <w:tcW w:w="1338" w:type="dxa"/>
          </w:tcPr>
          <w:p>
            <w:pPr>
              <w:pStyle w:val="TableParagraph"/>
              <w:spacing w:before="18"/>
              <w:ind w:left="451" w:right="295"/>
              <w:rPr>
                <w:sz w:val="22"/>
              </w:rPr>
            </w:pPr>
            <w:r>
              <w:rPr>
                <w:sz w:val="22"/>
              </w:rPr>
              <w:t>8.51</w:t>
            </w:r>
          </w:p>
        </w:tc>
        <w:tc>
          <w:tcPr>
            <w:tcW w:w="1529" w:type="dxa"/>
          </w:tcPr>
          <w:p>
            <w:pPr>
              <w:pStyle w:val="TableParagraph"/>
              <w:spacing w:before="18"/>
              <w:ind w:left="297" w:right="392"/>
              <w:rPr>
                <w:sz w:val="22"/>
              </w:rPr>
            </w:pPr>
            <w:r>
              <w:rPr>
                <w:sz w:val="22"/>
              </w:rPr>
              <w:t>7.26</w:t>
            </w:r>
          </w:p>
        </w:tc>
      </w:tr>
      <w:tr>
        <w:trPr>
          <w:trHeight w:val="307" w:hRule="exact"/>
        </w:trPr>
        <w:tc>
          <w:tcPr>
            <w:tcW w:w="2420" w:type="dxa"/>
          </w:tcPr>
          <w:p>
            <w:pPr>
              <w:pStyle w:val="TableParagraph"/>
              <w:spacing w:before="13"/>
              <w:ind w:left="72"/>
              <w:jc w:val="left"/>
              <w:rPr>
                <w:i/>
                <w:sz w:val="22"/>
              </w:rPr>
            </w:pPr>
            <w:r>
              <w:rPr>
                <w:i/>
                <w:sz w:val="22"/>
              </w:rPr>
              <w:t>T. erecta</w:t>
            </w:r>
          </w:p>
        </w:tc>
        <w:tc>
          <w:tcPr>
            <w:tcW w:w="1866" w:type="dxa"/>
          </w:tcPr>
          <w:p>
            <w:pPr>
              <w:pStyle w:val="TableParagraph"/>
              <w:spacing w:before="18"/>
              <w:ind w:right="398"/>
              <w:jc w:val="right"/>
              <w:rPr>
                <w:sz w:val="22"/>
              </w:rPr>
            </w:pPr>
            <w:r>
              <w:rPr>
                <w:sz w:val="22"/>
              </w:rPr>
              <w:t>24.46</w:t>
            </w:r>
          </w:p>
        </w:tc>
        <w:tc>
          <w:tcPr>
            <w:tcW w:w="1424" w:type="dxa"/>
          </w:tcPr>
          <w:p>
            <w:pPr>
              <w:pStyle w:val="TableParagraph"/>
              <w:spacing w:before="18"/>
              <w:ind w:left="382" w:right="450"/>
              <w:rPr>
                <w:sz w:val="22"/>
              </w:rPr>
            </w:pPr>
            <w:r>
              <w:rPr>
                <w:sz w:val="22"/>
              </w:rPr>
              <w:t>17.43</w:t>
            </w:r>
          </w:p>
        </w:tc>
        <w:tc>
          <w:tcPr>
            <w:tcW w:w="1338" w:type="dxa"/>
          </w:tcPr>
          <w:p>
            <w:pPr>
              <w:pStyle w:val="TableParagraph"/>
              <w:spacing w:before="18"/>
              <w:ind w:left="451" w:right="295"/>
              <w:rPr>
                <w:sz w:val="22"/>
              </w:rPr>
            </w:pPr>
            <w:r>
              <w:rPr>
                <w:sz w:val="22"/>
              </w:rPr>
              <w:t>11.78</w:t>
            </w:r>
          </w:p>
        </w:tc>
        <w:tc>
          <w:tcPr>
            <w:tcW w:w="1529" w:type="dxa"/>
          </w:tcPr>
          <w:p>
            <w:pPr>
              <w:pStyle w:val="TableParagraph"/>
              <w:spacing w:before="18"/>
              <w:ind w:left="297" w:right="392"/>
              <w:rPr>
                <w:sz w:val="22"/>
              </w:rPr>
            </w:pPr>
            <w:r>
              <w:rPr>
                <w:sz w:val="22"/>
              </w:rPr>
              <w:t>10.08</w:t>
            </w:r>
          </w:p>
        </w:tc>
      </w:tr>
      <w:tr>
        <w:trPr>
          <w:trHeight w:val="310" w:hRule="exact"/>
        </w:trPr>
        <w:tc>
          <w:tcPr>
            <w:tcW w:w="2420" w:type="dxa"/>
          </w:tcPr>
          <w:p>
            <w:pPr>
              <w:pStyle w:val="TableParagraph"/>
              <w:spacing w:before="13"/>
              <w:ind w:left="72"/>
              <w:jc w:val="left"/>
              <w:rPr>
                <w:i/>
                <w:sz w:val="22"/>
              </w:rPr>
            </w:pPr>
            <w:r>
              <w:rPr>
                <w:i/>
                <w:sz w:val="22"/>
              </w:rPr>
              <w:t>M. diplotricha</w:t>
            </w:r>
          </w:p>
        </w:tc>
        <w:tc>
          <w:tcPr>
            <w:tcW w:w="1866" w:type="dxa"/>
          </w:tcPr>
          <w:p>
            <w:pPr>
              <w:pStyle w:val="TableParagraph"/>
              <w:spacing w:before="18"/>
              <w:ind w:right="397"/>
              <w:jc w:val="right"/>
              <w:rPr>
                <w:sz w:val="22"/>
              </w:rPr>
            </w:pPr>
            <w:r>
              <w:rPr>
                <w:sz w:val="22"/>
              </w:rPr>
              <w:t>47.86</w:t>
            </w:r>
          </w:p>
        </w:tc>
        <w:tc>
          <w:tcPr>
            <w:tcW w:w="1424" w:type="dxa"/>
          </w:tcPr>
          <w:p>
            <w:pPr>
              <w:pStyle w:val="TableParagraph"/>
              <w:spacing w:before="18"/>
              <w:ind w:left="382" w:right="450"/>
              <w:rPr>
                <w:sz w:val="22"/>
              </w:rPr>
            </w:pPr>
            <w:r>
              <w:rPr>
                <w:sz w:val="22"/>
              </w:rPr>
              <w:t>34.68</w:t>
            </w:r>
          </w:p>
        </w:tc>
        <w:tc>
          <w:tcPr>
            <w:tcW w:w="1338" w:type="dxa"/>
          </w:tcPr>
          <w:p>
            <w:pPr>
              <w:pStyle w:val="TableParagraph"/>
              <w:spacing w:before="18"/>
              <w:ind w:left="451" w:right="295"/>
              <w:rPr>
                <w:sz w:val="22"/>
              </w:rPr>
            </w:pPr>
            <w:r>
              <w:rPr>
                <w:sz w:val="22"/>
              </w:rPr>
              <w:t>16.77</w:t>
            </w:r>
          </w:p>
        </w:tc>
        <w:tc>
          <w:tcPr>
            <w:tcW w:w="1529" w:type="dxa"/>
          </w:tcPr>
          <w:p>
            <w:pPr>
              <w:pStyle w:val="TableParagraph"/>
              <w:spacing w:before="18"/>
              <w:ind w:left="297" w:right="392"/>
              <w:rPr>
                <w:sz w:val="22"/>
              </w:rPr>
            </w:pPr>
            <w:r>
              <w:rPr>
                <w:sz w:val="22"/>
              </w:rPr>
              <w:t>6.38</w:t>
            </w:r>
          </w:p>
        </w:tc>
      </w:tr>
      <w:tr>
        <w:trPr>
          <w:trHeight w:val="280" w:hRule="exact"/>
        </w:trPr>
        <w:tc>
          <w:tcPr>
            <w:tcW w:w="2420" w:type="dxa"/>
            <w:tcBorders>
              <w:bottom w:val="single" w:sz="4" w:space="0" w:color="000000"/>
            </w:tcBorders>
          </w:tcPr>
          <w:p>
            <w:pPr>
              <w:pStyle w:val="TableParagraph"/>
              <w:spacing w:before="16"/>
              <w:ind w:left="72"/>
              <w:jc w:val="left"/>
              <w:rPr>
                <w:i/>
                <w:sz w:val="22"/>
              </w:rPr>
            </w:pPr>
            <w:r>
              <w:rPr>
                <w:i/>
                <w:sz w:val="22"/>
              </w:rPr>
              <w:t>M. divaricatum</w:t>
            </w:r>
          </w:p>
        </w:tc>
        <w:tc>
          <w:tcPr>
            <w:tcW w:w="1866" w:type="dxa"/>
            <w:tcBorders>
              <w:bottom w:val="single" w:sz="4" w:space="0" w:color="000000"/>
            </w:tcBorders>
          </w:tcPr>
          <w:p>
            <w:pPr>
              <w:pStyle w:val="TableParagraph"/>
              <w:spacing w:before="20"/>
              <w:ind w:right="398"/>
              <w:jc w:val="right"/>
              <w:rPr>
                <w:sz w:val="22"/>
              </w:rPr>
            </w:pPr>
            <w:r>
              <w:rPr>
                <w:sz w:val="22"/>
              </w:rPr>
              <w:t>42.58</w:t>
            </w:r>
          </w:p>
        </w:tc>
        <w:tc>
          <w:tcPr>
            <w:tcW w:w="1424" w:type="dxa"/>
            <w:tcBorders>
              <w:bottom w:val="single" w:sz="4" w:space="0" w:color="000000"/>
            </w:tcBorders>
          </w:tcPr>
          <w:p>
            <w:pPr>
              <w:pStyle w:val="TableParagraph"/>
              <w:spacing w:before="20"/>
              <w:ind w:left="382" w:right="450"/>
              <w:rPr>
                <w:sz w:val="22"/>
              </w:rPr>
            </w:pPr>
            <w:r>
              <w:rPr>
                <w:sz w:val="22"/>
              </w:rPr>
              <w:t>29.33</w:t>
            </w:r>
          </w:p>
        </w:tc>
        <w:tc>
          <w:tcPr>
            <w:tcW w:w="1338" w:type="dxa"/>
            <w:tcBorders>
              <w:bottom w:val="single" w:sz="4" w:space="0" w:color="000000"/>
            </w:tcBorders>
          </w:tcPr>
          <w:p>
            <w:pPr>
              <w:pStyle w:val="TableParagraph"/>
              <w:spacing w:before="20"/>
              <w:ind w:left="451" w:right="295"/>
              <w:rPr>
                <w:sz w:val="22"/>
              </w:rPr>
            </w:pPr>
            <w:r>
              <w:rPr>
                <w:sz w:val="22"/>
              </w:rPr>
              <w:t>11.13</w:t>
            </w:r>
          </w:p>
        </w:tc>
        <w:tc>
          <w:tcPr>
            <w:tcW w:w="1529" w:type="dxa"/>
            <w:tcBorders>
              <w:bottom w:val="single" w:sz="4" w:space="0" w:color="000000"/>
            </w:tcBorders>
          </w:tcPr>
          <w:p>
            <w:pPr>
              <w:pStyle w:val="TableParagraph"/>
              <w:spacing w:before="20"/>
              <w:ind w:left="297" w:right="392"/>
              <w:rPr>
                <w:sz w:val="22"/>
              </w:rPr>
            </w:pPr>
            <w:r>
              <w:rPr>
                <w:sz w:val="22"/>
              </w:rPr>
              <w:t>6.38</w:t>
            </w:r>
          </w:p>
        </w:tc>
      </w:tr>
      <w:tr>
        <w:trPr>
          <w:trHeight w:val="303" w:hRule="exact"/>
        </w:trPr>
        <w:tc>
          <w:tcPr>
            <w:tcW w:w="7048" w:type="dxa"/>
            <w:gridSpan w:val="4"/>
            <w:tcBorders>
              <w:top w:val="single" w:sz="4" w:space="0" w:color="000000"/>
            </w:tcBorders>
          </w:tcPr>
          <w:p>
            <w:pPr>
              <w:pStyle w:val="TableParagraph"/>
              <w:spacing w:before="95"/>
              <w:ind w:left="72"/>
              <w:jc w:val="left"/>
              <w:rPr>
                <w:sz w:val="18"/>
              </w:rPr>
            </w:pPr>
            <w:r>
              <w:rPr>
                <w:sz w:val="18"/>
              </w:rPr>
              <w:t>FDN: fibra detergente neutro, FDA: fibra detergente acido, PC: proteína cruda</w:t>
            </w:r>
          </w:p>
        </w:tc>
        <w:tc>
          <w:tcPr>
            <w:tcW w:w="1529" w:type="dxa"/>
            <w:tcBorders>
              <w:top w:val="single" w:sz="4" w:space="0" w:color="000000"/>
            </w:tcBorders>
          </w:tcPr>
          <w:p>
            <w:pPr/>
          </w:p>
        </w:tc>
      </w:tr>
    </w:tbl>
    <w:p>
      <w:pPr>
        <w:pStyle w:val="BodyText"/>
        <w:spacing w:before="2"/>
        <w:rPr>
          <w:sz w:val="18"/>
        </w:rPr>
      </w:pPr>
    </w:p>
    <w:p>
      <w:pPr>
        <w:spacing w:line="240" w:lineRule="auto" w:before="73"/>
        <w:ind w:left="119" w:right="125" w:firstLine="0"/>
        <w:jc w:val="both"/>
        <w:rPr>
          <w:sz w:val="22"/>
        </w:rPr>
      </w:pPr>
      <w:r>
        <w:rPr>
          <w:sz w:val="22"/>
        </w:rPr>
        <w:t>En el siguiente cuadro </w:t>
      </w:r>
      <w:r>
        <w:rPr>
          <w:spacing w:val="-3"/>
          <w:sz w:val="22"/>
        </w:rPr>
        <w:t>se </w:t>
      </w:r>
      <w:r>
        <w:rPr>
          <w:sz w:val="22"/>
        </w:rPr>
        <w:t>puede observar el incremento de </w:t>
      </w:r>
      <w:r>
        <w:rPr>
          <w:spacing w:val="-3"/>
          <w:sz w:val="22"/>
        </w:rPr>
        <w:t>la </w:t>
      </w:r>
      <w:r>
        <w:rPr>
          <w:sz w:val="22"/>
        </w:rPr>
        <w:t>producción de gas a las 24  y 96 horas, además de que al adicionar PEG hay una mejor digestibilidad y aporte de energía</w:t>
      </w:r>
      <w:r>
        <w:rPr>
          <w:spacing w:val="-2"/>
          <w:sz w:val="22"/>
        </w:rPr>
        <w:t> </w:t>
      </w:r>
      <w:r>
        <w:rPr>
          <w:sz w:val="22"/>
        </w:rPr>
        <w:t>metabolizable,</w:t>
      </w:r>
      <w:r>
        <w:rPr>
          <w:spacing w:val="-7"/>
          <w:sz w:val="22"/>
        </w:rPr>
        <w:t> </w:t>
      </w:r>
      <w:r>
        <w:rPr>
          <w:sz w:val="22"/>
        </w:rPr>
        <w:t>ya</w:t>
      </w:r>
      <w:r>
        <w:rPr>
          <w:spacing w:val="-6"/>
          <w:sz w:val="22"/>
        </w:rPr>
        <w:t> </w:t>
      </w:r>
      <w:r>
        <w:rPr>
          <w:sz w:val="22"/>
        </w:rPr>
        <w:t>que</w:t>
      </w:r>
      <w:r>
        <w:rPr>
          <w:spacing w:val="-6"/>
          <w:sz w:val="22"/>
        </w:rPr>
        <w:t> </w:t>
      </w:r>
      <w:r>
        <w:rPr>
          <w:sz w:val="22"/>
        </w:rPr>
        <w:t>a</w:t>
      </w:r>
      <w:r>
        <w:rPr>
          <w:spacing w:val="-6"/>
          <w:sz w:val="22"/>
        </w:rPr>
        <w:t> </w:t>
      </w:r>
      <w:r>
        <w:rPr>
          <w:sz w:val="22"/>
        </w:rPr>
        <w:t>una</w:t>
      </w:r>
      <w:r>
        <w:rPr>
          <w:spacing w:val="-2"/>
          <w:sz w:val="22"/>
        </w:rPr>
        <w:t> </w:t>
      </w:r>
      <w:r>
        <w:rPr>
          <w:sz w:val="22"/>
        </w:rPr>
        <w:t>mayor</w:t>
      </w:r>
      <w:r>
        <w:rPr>
          <w:spacing w:val="-9"/>
          <w:sz w:val="22"/>
        </w:rPr>
        <w:t> </w:t>
      </w:r>
      <w:r>
        <w:rPr>
          <w:sz w:val="22"/>
        </w:rPr>
        <w:t>fermentación</w:t>
      </w:r>
      <w:r>
        <w:rPr>
          <w:spacing w:val="-6"/>
          <w:sz w:val="22"/>
        </w:rPr>
        <w:t> </w:t>
      </w:r>
      <w:r>
        <w:rPr>
          <w:sz w:val="22"/>
        </w:rPr>
        <w:t>hay</w:t>
      </w:r>
      <w:r>
        <w:rPr>
          <w:spacing w:val="-3"/>
          <w:sz w:val="22"/>
        </w:rPr>
        <w:t> </w:t>
      </w:r>
      <w:r>
        <w:rPr>
          <w:sz w:val="22"/>
        </w:rPr>
        <w:t>mayor</w:t>
      </w:r>
      <w:r>
        <w:rPr>
          <w:spacing w:val="-5"/>
          <w:sz w:val="22"/>
        </w:rPr>
        <w:t> </w:t>
      </w:r>
      <w:r>
        <w:rPr>
          <w:sz w:val="22"/>
        </w:rPr>
        <w:t>liberación</w:t>
      </w:r>
      <w:r>
        <w:rPr>
          <w:spacing w:val="-2"/>
          <w:sz w:val="22"/>
        </w:rPr>
        <w:t> </w:t>
      </w:r>
      <w:r>
        <w:rPr>
          <w:sz w:val="22"/>
        </w:rPr>
        <w:t>de</w:t>
      </w:r>
      <w:r>
        <w:rPr>
          <w:spacing w:val="-6"/>
          <w:sz w:val="22"/>
        </w:rPr>
        <w:t> </w:t>
      </w:r>
      <w:r>
        <w:rPr>
          <w:sz w:val="22"/>
        </w:rPr>
        <w:t>EM.</w:t>
      </w:r>
    </w:p>
    <w:p>
      <w:pPr>
        <w:spacing w:after="0" w:line="240" w:lineRule="auto"/>
        <w:jc w:val="both"/>
        <w:rPr>
          <w:sz w:val="22"/>
        </w:rPr>
        <w:sectPr>
          <w:pgSz w:w="12240" w:h="15840"/>
          <w:pgMar w:header="0" w:footer="1418" w:top="1360" w:bottom="1660" w:left="1580" w:right="1580"/>
        </w:sectPr>
      </w:pPr>
    </w:p>
    <w:p>
      <w:pPr>
        <w:pStyle w:val="BodyText"/>
        <w:spacing w:before="10"/>
        <w:rPr>
          <w:sz w:val="18"/>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7"/>
        <w:gridCol w:w="2004"/>
        <w:gridCol w:w="1962"/>
        <w:gridCol w:w="1817"/>
        <w:gridCol w:w="1648"/>
      </w:tblGrid>
      <w:tr>
        <w:trPr>
          <w:trHeight w:val="486" w:hRule="exact"/>
        </w:trPr>
        <w:tc>
          <w:tcPr>
            <w:tcW w:w="9517" w:type="dxa"/>
            <w:gridSpan w:val="5"/>
            <w:tcBorders>
              <w:bottom w:val="single" w:sz="4" w:space="0" w:color="000000"/>
            </w:tcBorders>
          </w:tcPr>
          <w:p>
            <w:pPr>
              <w:pStyle w:val="TableParagraph"/>
              <w:spacing w:line="226" w:lineRule="exact"/>
              <w:ind w:left="72"/>
              <w:jc w:val="left"/>
              <w:rPr>
                <w:sz w:val="22"/>
              </w:rPr>
            </w:pPr>
            <w:r>
              <w:rPr>
                <w:sz w:val="22"/>
              </w:rPr>
              <w:t>Cuadro 2. Efecto del PEG sobre la producción de gas, digestibilidad y energía metabolizable</w:t>
            </w:r>
          </w:p>
        </w:tc>
      </w:tr>
      <w:tr>
        <w:trPr>
          <w:trHeight w:val="358" w:hRule="exact"/>
        </w:trPr>
        <w:tc>
          <w:tcPr>
            <w:tcW w:w="2087" w:type="dxa"/>
            <w:tcBorders>
              <w:top w:val="single" w:sz="4" w:space="0" w:color="000000"/>
              <w:bottom w:val="double" w:sz="6" w:space="0" w:color="000000"/>
            </w:tcBorders>
          </w:tcPr>
          <w:p>
            <w:pPr/>
          </w:p>
        </w:tc>
        <w:tc>
          <w:tcPr>
            <w:tcW w:w="2004" w:type="dxa"/>
            <w:tcBorders>
              <w:top w:val="single" w:sz="4" w:space="0" w:color="000000"/>
              <w:bottom w:val="double" w:sz="6" w:space="0" w:color="000000"/>
            </w:tcBorders>
          </w:tcPr>
          <w:p>
            <w:pPr>
              <w:pStyle w:val="TableParagraph"/>
              <w:spacing w:before="72"/>
              <w:ind w:left="493" w:right="541"/>
              <w:rPr>
                <w:sz w:val="22"/>
              </w:rPr>
            </w:pPr>
            <w:r>
              <w:rPr>
                <w:sz w:val="22"/>
              </w:rPr>
              <w:t>PG 24hrs</w:t>
            </w:r>
          </w:p>
        </w:tc>
        <w:tc>
          <w:tcPr>
            <w:tcW w:w="1962" w:type="dxa"/>
            <w:tcBorders>
              <w:top w:val="single" w:sz="4" w:space="0" w:color="000000"/>
              <w:bottom w:val="double" w:sz="6" w:space="0" w:color="000000"/>
            </w:tcBorders>
          </w:tcPr>
          <w:p>
            <w:pPr>
              <w:pStyle w:val="TableParagraph"/>
              <w:spacing w:before="72"/>
              <w:ind w:left="542" w:right="449"/>
              <w:rPr>
                <w:sz w:val="22"/>
              </w:rPr>
            </w:pPr>
            <w:r>
              <w:rPr>
                <w:sz w:val="22"/>
              </w:rPr>
              <w:t>PG 96hrs</w:t>
            </w:r>
          </w:p>
        </w:tc>
        <w:tc>
          <w:tcPr>
            <w:tcW w:w="1817" w:type="dxa"/>
            <w:tcBorders>
              <w:top w:val="single" w:sz="4" w:space="0" w:color="000000"/>
              <w:bottom w:val="double" w:sz="6" w:space="0" w:color="000000"/>
            </w:tcBorders>
          </w:tcPr>
          <w:p>
            <w:pPr>
              <w:pStyle w:val="TableParagraph"/>
              <w:spacing w:before="72"/>
              <w:ind w:left="450" w:right="529"/>
              <w:rPr>
                <w:sz w:val="22"/>
              </w:rPr>
            </w:pPr>
            <w:r>
              <w:rPr>
                <w:sz w:val="22"/>
              </w:rPr>
              <w:t>dFND</w:t>
            </w:r>
          </w:p>
        </w:tc>
        <w:tc>
          <w:tcPr>
            <w:tcW w:w="1648" w:type="dxa"/>
            <w:tcBorders>
              <w:top w:val="single" w:sz="4" w:space="0" w:color="000000"/>
              <w:bottom w:val="double" w:sz="6" w:space="0" w:color="000000"/>
            </w:tcBorders>
          </w:tcPr>
          <w:p>
            <w:pPr>
              <w:pStyle w:val="TableParagraph"/>
              <w:spacing w:line="248" w:lineRule="exact"/>
              <w:ind w:left="530" w:right="525"/>
              <w:rPr>
                <w:sz w:val="22"/>
              </w:rPr>
            </w:pPr>
            <w:r>
              <w:rPr>
                <w:sz w:val="22"/>
              </w:rPr>
              <w:t>EM</w:t>
            </w:r>
          </w:p>
        </w:tc>
      </w:tr>
      <w:tr>
        <w:trPr>
          <w:trHeight w:val="390" w:hRule="exact"/>
        </w:trPr>
        <w:tc>
          <w:tcPr>
            <w:tcW w:w="2087" w:type="dxa"/>
            <w:tcBorders>
              <w:top w:val="double" w:sz="6" w:space="0" w:color="000000"/>
            </w:tcBorders>
          </w:tcPr>
          <w:p>
            <w:pPr>
              <w:pStyle w:val="TableParagraph"/>
              <w:spacing w:before="72"/>
              <w:ind w:left="72"/>
              <w:jc w:val="left"/>
              <w:rPr>
                <w:sz w:val="22"/>
              </w:rPr>
            </w:pPr>
            <w:r>
              <w:rPr>
                <w:sz w:val="22"/>
              </w:rPr>
              <w:t>Tratamiento</w:t>
            </w:r>
          </w:p>
        </w:tc>
        <w:tc>
          <w:tcPr>
            <w:tcW w:w="2004" w:type="dxa"/>
            <w:tcBorders>
              <w:top w:val="double" w:sz="6" w:space="0" w:color="000000"/>
            </w:tcBorders>
          </w:tcPr>
          <w:p>
            <w:pPr/>
          </w:p>
        </w:tc>
        <w:tc>
          <w:tcPr>
            <w:tcW w:w="1962" w:type="dxa"/>
            <w:tcBorders>
              <w:top w:val="double" w:sz="6" w:space="0" w:color="000000"/>
            </w:tcBorders>
          </w:tcPr>
          <w:p>
            <w:pPr/>
          </w:p>
        </w:tc>
        <w:tc>
          <w:tcPr>
            <w:tcW w:w="1817" w:type="dxa"/>
            <w:tcBorders>
              <w:top w:val="double" w:sz="6" w:space="0" w:color="000000"/>
            </w:tcBorders>
          </w:tcPr>
          <w:p>
            <w:pPr/>
          </w:p>
        </w:tc>
        <w:tc>
          <w:tcPr>
            <w:tcW w:w="1648" w:type="dxa"/>
            <w:tcBorders>
              <w:top w:val="double" w:sz="6" w:space="0" w:color="000000"/>
            </w:tcBorders>
          </w:tcPr>
          <w:p>
            <w:pPr/>
          </w:p>
        </w:tc>
      </w:tr>
      <w:tr>
        <w:trPr>
          <w:trHeight w:val="314" w:hRule="exact"/>
        </w:trPr>
        <w:tc>
          <w:tcPr>
            <w:tcW w:w="2087" w:type="dxa"/>
          </w:tcPr>
          <w:p>
            <w:pPr>
              <w:pStyle w:val="TableParagraph"/>
              <w:spacing w:before="20"/>
              <w:ind w:left="72"/>
              <w:jc w:val="left"/>
              <w:rPr>
                <w:sz w:val="22"/>
              </w:rPr>
            </w:pPr>
            <w:r>
              <w:rPr>
                <w:sz w:val="22"/>
              </w:rPr>
              <w:t>Con PEG</w:t>
            </w:r>
          </w:p>
        </w:tc>
        <w:tc>
          <w:tcPr>
            <w:tcW w:w="2004" w:type="dxa"/>
          </w:tcPr>
          <w:p>
            <w:pPr>
              <w:pStyle w:val="TableParagraph"/>
              <w:spacing w:before="20"/>
              <w:ind w:left="493" w:right="539"/>
              <w:rPr>
                <w:sz w:val="22"/>
              </w:rPr>
            </w:pPr>
            <w:r>
              <w:rPr>
                <w:sz w:val="22"/>
              </w:rPr>
              <w:t>100.92b</w:t>
            </w:r>
          </w:p>
        </w:tc>
        <w:tc>
          <w:tcPr>
            <w:tcW w:w="1962" w:type="dxa"/>
          </w:tcPr>
          <w:p>
            <w:pPr>
              <w:pStyle w:val="TableParagraph"/>
              <w:spacing w:before="20"/>
              <w:ind w:left="542" w:right="446"/>
              <w:rPr>
                <w:sz w:val="22"/>
              </w:rPr>
            </w:pPr>
            <w:r>
              <w:rPr>
                <w:sz w:val="22"/>
              </w:rPr>
              <w:t>125.5b</w:t>
            </w:r>
          </w:p>
        </w:tc>
        <w:tc>
          <w:tcPr>
            <w:tcW w:w="1817" w:type="dxa"/>
          </w:tcPr>
          <w:p>
            <w:pPr>
              <w:pStyle w:val="TableParagraph"/>
              <w:spacing w:before="20"/>
              <w:ind w:left="451" w:right="529"/>
              <w:rPr>
                <w:sz w:val="22"/>
              </w:rPr>
            </w:pPr>
            <w:r>
              <w:rPr>
                <w:sz w:val="22"/>
              </w:rPr>
              <w:t>59.85a</w:t>
            </w:r>
          </w:p>
        </w:tc>
        <w:tc>
          <w:tcPr>
            <w:tcW w:w="1648" w:type="dxa"/>
          </w:tcPr>
          <w:p>
            <w:pPr>
              <w:pStyle w:val="TableParagraph"/>
              <w:spacing w:before="20"/>
              <w:ind w:left="530" w:right="526"/>
              <w:rPr>
                <w:sz w:val="22"/>
              </w:rPr>
            </w:pPr>
            <w:r>
              <w:rPr>
                <w:sz w:val="22"/>
              </w:rPr>
              <w:t>7.62</w:t>
            </w:r>
          </w:p>
        </w:tc>
      </w:tr>
      <w:tr>
        <w:trPr>
          <w:trHeight w:val="312" w:hRule="exact"/>
        </w:trPr>
        <w:tc>
          <w:tcPr>
            <w:tcW w:w="2087" w:type="dxa"/>
          </w:tcPr>
          <w:p>
            <w:pPr>
              <w:pStyle w:val="TableParagraph"/>
              <w:spacing w:before="18"/>
              <w:ind w:left="72"/>
              <w:jc w:val="left"/>
              <w:rPr>
                <w:sz w:val="22"/>
              </w:rPr>
            </w:pPr>
            <w:r>
              <w:rPr>
                <w:sz w:val="22"/>
              </w:rPr>
              <w:t>Sin PEG</w:t>
            </w:r>
          </w:p>
        </w:tc>
        <w:tc>
          <w:tcPr>
            <w:tcW w:w="2004" w:type="dxa"/>
          </w:tcPr>
          <w:p>
            <w:pPr>
              <w:pStyle w:val="TableParagraph"/>
              <w:spacing w:before="18"/>
              <w:ind w:left="493" w:right="539"/>
              <w:rPr>
                <w:sz w:val="22"/>
              </w:rPr>
            </w:pPr>
            <w:r>
              <w:rPr>
                <w:sz w:val="22"/>
              </w:rPr>
              <w:t>86.34a</w:t>
            </w:r>
          </w:p>
        </w:tc>
        <w:tc>
          <w:tcPr>
            <w:tcW w:w="1962" w:type="dxa"/>
          </w:tcPr>
          <w:p>
            <w:pPr>
              <w:pStyle w:val="TableParagraph"/>
              <w:spacing w:before="18"/>
              <w:ind w:left="542" w:right="446"/>
              <w:rPr>
                <w:sz w:val="22"/>
              </w:rPr>
            </w:pPr>
            <w:r>
              <w:rPr>
                <w:sz w:val="22"/>
              </w:rPr>
              <w:t>116.2a</w:t>
            </w:r>
          </w:p>
        </w:tc>
        <w:tc>
          <w:tcPr>
            <w:tcW w:w="1817" w:type="dxa"/>
          </w:tcPr>
          <w:p>
            <w:pPr>
              <w:pStyle w:val="TableParagraph"/>
              <w:spacing w:before="18"/>
              <w:ind w:left="451" w:right="524"/>
              <w:rPr>
                <w:sz w:val="22"/>
              </w:rPr>
            </w:pPr>
            <w:r>
              <w:rPr>
                <w:sz w:val="22"/>
              </w:rPr>
              <w:t>53.4a</w:t>
            </w:r>
          </w:p>
        </w:tc>
        <w:tc>
          <w:tcPr>
            <w:tcW w:w="1648" w:type="dxa"/>
          </w:tcPr>
          <w:p>
            <w:pPr>
              <w:pStyle w:val="TableParagraph"/>
              <w:spacing w:before="18"/>
              <w:ind w:left="530" w:right="526"/>
              <w:rPr>
                <w:sz w:val="22"/>
              </w:rPr>
            </w:pPr>
            <w:r>
              <w:rPr>
                <w:sz w:val="22"/>
              </w:rPr>
              <w:t>6.93</w:t>
            </w:r>
          </w:p>
        </w:tc>
      </w:tr>
      <w:tr>
        <w:trPr>
          <w:trHeight w:val="322" w:hRule="exact"/>
        </w:trPr>
        <w:tc>
          <w:tcPr>
            <w:tcW w:w="2087" w:type="dxa"/>
          </w:tcPr>
          <w:p>
            <w:pPr>
              <w:pStyle w:val="TableParagraph"/>
              <w:spacing w:before="18"/>
              <w:ind w:left="72"/>
              <w:jc w:val="left"/>
              <w:rPr>
                <w:sz w:val="22"/>
              </w:rPr>
            </w:pPr>
            <w:r>
              <w:rPr>
                <w:sz w:val="22"/>
              </w:rPr>
              <w:t>EEM</w:t>
            </w:r>
          </w:p>
        </w:tc>
        <w:tc>
          <w:tcPr>
            <w:tcW w:w="2004" w:type="dxa"/>
          </w:tcPr>
          <w:p>
            <w:pPr>
              <w:pStyle w:val="TableParagraph"/>
              <w:spacing w:before="18"/>
              <w:ind w:left="493" w:right="538"/>
              <w:rPr>
                <w:sz w:val="22"/>
              </w:rPr>
            </w:pPr>
            <w:r>
              <w:rPr>
                <w:sz w:val="22"/>
              </w:rPr>
              <w:t>5.3</w:t>
            </w:r>
          </w:p>
        </w:tc>
        <w:tc>
          <w:tcPr>
            <w:tcW w:w="1962" w:type="dxa"/>
          </w:tcPr>
          <w:p>
            <w:pPr>
              <w:pStyle w:val="TableParagraph"/>
              <w:spacing w:before="18"/>
              <w:ind w:left="542" w:right="440"/>
              <w:rPr>
                <w:sz w:val="22"/>
              </w:rPr>
            </w:pPr>
            <w:r>
              <w:rPr>
                <w:sz w:val="22"/>
              </w:rPr>
              <w:t>3.11</w:t>
            </w:r>
          </w:p>
        </w:tc>
        <w:tc>
          <w:tcPr>
            <w:tcW w:w="1817" w:type="dxa"/>
          </w:tcPr>
          <w:p>
            <w:pPr>
              <w:pStyle w:val="TableParagraph"/>
              <w:spacing w:before="18"/>
              <w:ind w:left="451" w:right="528"/>
              <w:rPr>
                <w:sz w:val="22"/>
              </w:rPr>
            </w:pPr>
            <w:r>
              <w:rPr>
                <w:sz w:val="22"/>
              </w:rPr>
              <w:t>2.6</w:t>
            </w:r>
          </w:p>
        </w:tc>
        <w:tc>
          <w:tcPr>
            <w:tcW w:w="1648" w:type="dxa"/>
          </w:tcPr>
          <w:p>
            <w:pPr>
              <w:pStyle w:val="TableParagraph"/>
              <w:spacing w:before="18"/>
              <w:ind w:left="530" w:right="526"/>
              <w:rPr>
                <w:sz w:val="22"/>
              </w:rPr>
            </w:pPr>
            <w:r>
              <w:rPr>
                <w:sz w:val="22"/>
              </w:rPr>
              <w:t>0.25</w:t>
            </w:r>
          </w:p>
        </w:tc>
      </w:tr>
      <w:tr>
        <w:trPr>
          <w:trHeight w:val="304" w:hRule="exact"/>
        </w:trPr>
        <w:tc>
          <w:tcPr>
            <w:tcW w:w="2087" w:type="dxa"/>
            <w:tcBorders>
              <w:bottom w:val="double" w:sz="6" w:space="0" w:color="000000"/>
            </w:tcBorders>
          </w:tcPr>
          <w:p>
            <w:pPr>
              <w:pStyle w:val="TableParagraph"/>
              <w:spacing w:before="27"/>
              <w:ind w:left="72"/>
              <w:jc w:val="left"/>
              <w:rPr>
                <w:sz w:val="22"/>
              </w:rPr>
            </w:pPr>
            <w:r>
              <w:rPr>
                <w:sz w:val="22"/>
              </w:rPr>
              <w:t>p&lt; 0.05</w:t>
            </w:r>
          </w:p>
        </w:tc>
        <w:tc>
          <w:tcPr>
            <w:tcW w:w="2004" w:type="dxa"/>
            <w:tcBorders>
              <w:bottom w:val="double" w:sz="6" w:space="0" w:color="000000"/>
            </w:tcBorders>
          </w:tcPr>
          <w:p>
            <w:pPr>
              <w:pStyle w:val="TableParagraph"/>
              <w:spacing w:before="27"/>
              <w:ind w:left="493" w:right="540"/>
              <w:rPr>
                <w:sz w:val="22"/>
              </w:rPr>
            </w:pPr>
            <w:r>
              <w:rPr>
                <w:sz w:val="22"/>
              </w:rPr>
              <w:t>**</w:t>
            </w:r>
          </w:p>
        </w:tc>
        <w:tc>
          <w:tcPr>
            <w:tcW w:w="1962" w:type="dxa"/>
            <w:tcBorders>
              <w:bottom w:val="double" w:sz="6" w:space="0" w:color="000000"/>
            </w:tcBorders>
          </w:tcPr>
          <w:p>
            <w:pPr>
              <w:pStyle w:val="TableParagraph"/>
              <w:spacing w:before="27"/>
              <w:ind w:left="542" w:right="447"/>
              <w:rPr>
                <w:sz w:val="22"/>
              </w:rPr>
            </w:pPr>
            <w:r>
              <w:rPr>
                <w:sz w:val="22"/>
              </w:rPr>
              <w:t>**</w:t>
            </w:r>
          </w:p>
        </w:tc>
        <w:tc>
          <w:tcPr>
            <w:tcW w:w="1817" w:type="dxa"/>
            <w:tcBorders>
              <w:bottom w:val="double" w:sz="6" w:space="0" w:color="000000"/>
            </w:tcBorders>
          </w:tcPr>
          <w:p>
            <w:pPr>
              <w:pStyle w:val="TableParagraph"/>
              <w:spacing w:before="27"/>
              <w:ind w:left="447" w:right="529"/>
              <w:rPr>
                <w:sz w:val="22"/>
              </w:rPr>
            </w:pPr>
            <w:r>
              <w:rPr>
                <w:sz w:val="22"/>
              </w:rPr>
              <w:t>NS</w:t>
            </w:r>
          </w:p>
        </w:tc>
        <w:tc>
          <w:tcPr>
            <w:tcW w:w="1648" w:type="dxa"/>
            <w:tcBorders>
              <w:bottom w:val="double" w:sz="6" w:space="0" w:color="000000"/>
            </w:tcBorders>
          </w:tcPr>
          <w:p>
            <w:pPr>
              <w:pStyle w:val="TableParagraph"/>
              <w:spacing w:before="27"/>
              <w:ind w:left="530" w:right="523"/>
              <w:rPr>
                <w:sz w:val="22"/>
              </w:rPr>
            </w:pPr>
            <w:r>
              <w:rPr>
                <w:sz w:val="22"/>
              </w:rPr>
              <w:t>**</w:t>
            </w:r>
          </w:p>
        </w:tc>
      </w:tr>
      <w:tr>
        <w:trPr>
          <w:trHeight w:val="390" w:hRule="exact"/>
        </w:trPr>
        <w:tc>
          <w:tcPr>
            <w:tcW w:w="2087" w:type="dxa"/>
            <w:tcBorders>
              <w:top w:val="double" w:sz="6" w:space="0" w:color="000000"/>
            </w:tcBorders>
          </w:tcPr>
          <w:p>
            <w:pPr>
              <w:pStyle w:val="TableParagraph"/>
              <w:spacing w:before="77"/>
              <w:ind w:left="72"/>
              <w:jc w:val="left"/>
              <w:rPr>
                <w:sz w:val="22"/>
              </w:rPr>
            </w:pPr>
            <w:r>
              <w:rPr>
                <w:sz w:val="22"/>
              </w:rPr>
              <w:t>Especies</w:t>
            </w:r>
          </w:p>
        </w:tc>
        <w:tc>
          <w:tcPr>
            <w:tcW w:w="2004" w:type="dxa"/>
            <w:tcBorders>
              <w:top w:val="double" w:sz="6" w:space="0" w:color="000000"/>
            </w:tcBorders>
          </w:tcPr>
          <w:p>
            <w:pPr/>
          </w:p>
        </w:tc>
        <w:tc>
          <w:tcPr>
            <w:tcW w:w="1962" w:type="dxa"/>
            <w:tcBorders>
              <w:top w:val="double" w:sz="6" w:space="0" w:color="000000"/>
            </w:tcBorders>
          </w:tcPr>
          <w:p>
            <w:pPr/>
          </w:p>
        </w:tc>
        <w:tc>
          <w:tcPr>
            <w:tcW w:w="1817" w:type="dxa"/>
            <w:tcBorders>
              <w:top w:val="double" w:sz="6" w:space="0" w:color="000000"/>
            </w:tcBorders>
          </w:tcPr>
          <w:p>
            <w:pPr/>
          </w:p>
        </w:tc>
        <w:tc>
          <w:tcPr>
            <w:tcW w:w="1648" w:type="dxa"/>
            <w:tcBorders>
              <w:top w:val="double" w:sz="6" w:space="0" w:color="000000"/>
            </w:tcBorders>
          </w:tcPr>
          <w:p>
            <w:pPr/>
          </w:p>
        </w:tc>
      </w:tr>
      <w:tr>
        <w:trPr>
          <w:trHeight w:val="312" w:hRule="exact"/>
        </w:trPr>
        <w:tc>
          <w:tcPr>
            <w:tcW w:w="2087" w:type="dxa"/>
          </w:tcPr>
          <w:p>
            <w:pPr>
              <w:pStyle w:val="TableParagraph"/>
              <w:spacing w:before="15"/>
              <w:ind w:left="72"/>
              <w:jc w:val="left"/>
              <w:rPr>
                <w:i/>
                <w:sz w:val="22"/>
              </w:rPr>
            </w:pPr>
            <w:r>
              <w:rPr>
                <w:i/>
                <w:sz w:val="22"/>
              </w:rPr>
              <w:t>C. sulphureus</w:t>
            </w:r>
          </w:p>
        </w:tc>
        <w:tc>
          <w:tcPr>
            <w:tcW w:w="2004" w:type="dxa"/>
          </w:tcPr>
          <w:p>
            <w:pPr>
              <w:pStyle w:val="TableParagraph"/>
              <w:spacing w:before="20"/>
              <w:ind w:left="612"/>
              <w:jc w:val="left"/>
              <w:rPr>
                <w:sz w:val="22"/>
              </w:rPr>
            </w:pPr>
            <w:r>
              <w:rPr>
                <w:sz w:val="22"/>
              </w:rPr>
              <w:t>91.33 a</w:t>
            </w:r>
          </w:p>
        </w:tc>
        <w:tc>
          <w:tcPr>
            <w:tcW w:w="1962" w:type="dxa"/>
          </w:tcPr>
          <w:p>
            <w:pPr>
              <w:pStyle w:val="TableParagraph"/>
              <w:spacing w:before="20"/>
              <w:ind w:left="542" w:right="446"/>
              <w:rPr>
                <w:sz w:val="22"/>
              </w:rPr>
            </w:pPr>
            <w:r>
              <w:rPr>
                <w:sz w:val="22"/>
              </w:rPr>
              <w:t>118.4a</w:t>
            </w:r>
          </w:p>
        </w:tc>
        <w:tc>
          <w:tcPr>
            <w:tcW w:w="1817" w:type="dxa"/>
          </w:tcPr>
          <w:p>
            <w:pPr>
              <w:pStyle w:val="TableParagraph"/>
              <w:spacing w:before="20"/>
              <w:ind w:left="451" w:right="529"/>
              <w:rPr>
                <w:sz w:val="22"/>
              </w:rPr>
            </w:pPr>
            <w:r>
              <w:rPr>
                <w:sz w:val="22"/>
              </w:rPr>
              <w:t>65.27ae</w:t>
            </w:r>
          </w:p>
        </w:tc>
        <w:tc>
          <w:tcPr>
            <w:tcW w:w="1648" w:type="dxa"/>
          </w:tcPr>
          <w:p>
            <w:pPr>
              <w:pStyle w:val="TableParagraph"/>
              <w:spacing w:before="20"/>
              <w:ind w:left="530" w:right="519"/>
              <w:rPr>
                <w:sz w:val="22"/>
              </w:rPr>
            </w:pPr>
            <w:r>
              <w:rPr>
                <w:sz w:val="22"/>
              </w:rPr>
              <w:t>7.15ª</w:t>
            </w:r>
          </w:p>
        </w:tc>
      </w:tr>
      <w:tr>
        <w:trPr>
          <w:trHeight w:val="312" w:hRule="exact"/>
        </w:trPr>
        <w:tc>
          <w:tcPr>
            <w:tcW w:w="2087" w:type="dxa"/>
          </w:tcPr>
          <w:p>
            <w:pPr>
              <w:pStyle w:val="TableParagraph"/>
              <w:spacing w:before="15"/>
              <w:ind w:left="72"/>
              <w:jc w:val="left"/>
              <w:rPr>
                <w:i/>
                <w:sz w:val="22"/>
              </w:rPr>
            </w:pPr>
            <w:r>
              <w:rPr>
                <w:i/>
                <w:sz w:val="22"/>
              </w:rPr>
              <w:t>C. bippinatus</w:t>
            </w:r>
          </w:p>
        </w:tc>
        <w:tc>
          <w:tcPr>
            <w:tcW w:w="2004" w:type="dxa"/>
          </w:tcPr>
          <w:p>
            <w:pPr>
              <w:pStyle w:val="TableParagraph"/>
              <w:spacing w:before="20"/>
              <w:ind w:left="493" w:right="539"/>
              <w:rPr>
                <w:sz w:val="22"/>
              </w:rPr>
            </w:pPr>
            <w:r>
              <w:rPr>
                <w:sz w:val="22"/>
              </w:rPr>
              <w:t>109.87a</w:t>
            </w:r>
          </w:p>
        </w:tc>
        <w:tc>
          <w:tcPr>
            <w:tcW w:w="1962" w:type="dxa"/>
          </w:tcPr>
          <w:p>
            <w:pPr>
              <w:pStyle w:val="TableParagraph"/>
              <w:spacing w:before="20"/>
              <w:ind w:left="542" w:right="447"/>
              <w:rPr>
                <w:sz w:val="22"/>
              </w:rPr>
            </w:pPr>
            <w:r>
              <w:rPr>
                <w:sz w:val="22"/>
              </w:rPr>
              <w:t>141.7be</w:t>
            </w:r>
          </w:p>
        </w:tc>
        <w:tc>
          <w:tcPr>
            <w:tcW w:w="1817" w:type="dxa"/>
          </w:tcPr>
          <w:p>
            <w:pPr>
              <w:pStyle w:val="TableParagraph"/>
              <w:spacing w:before="20"/>
              <w:ind w:left="451" w:right="529"/>
              <w:rPr>
                <w:sz w:val="22"/>
              </w:rPr>
            </w:pPr>
            <w:r>
              <w:rPr>
                <w:sz w:val="22"/>
              </w:rPr>
              <w:t>59.03ab</w:t>
            </w:r>
          </w:p>
        </w:tc>
        <w:tc>
          <w:tcPr>
            <w:tcW w:w="1648" w:type="dxa"/>
          </w:tcPr>
          <w:p>
            <w:pPr>
              <w:pStyle w:val="TableParagraph"/>
              <w:spacing w:before="20"/>
              <w:ind w:left="530" w:right="519"/>
              <w:rPr>
                <w:sz w:val="22"/>
              </w:rPr>
            </w:pPr>
            <w:r>
              <w:rPr>
                <w:sz w:val="22"/>
              </w:rPr>
              <w:t>8.08ª</w:t>
            </w:r>
          </w:p>
        </w:tc>
      </w:tr>
      <w:tr>
        <w:trPr>
          <w:trHeight w:val="314" w:hRule="exact"/>
        </w:trPr>
        <w:tc>
          <w:tcPr>
            <w:tcW w:w="2087" w:type="dxa"/>
          </w:tcPr>
          <w:p>
            <w:pPr>
              <w:pStyle w:val="TableParagraph"/>
              <w:spacing w:before="15"/>
              <w:ind w:left="72"/>
              <w:jc w:val="left"/>
              <w:rPr>
                <w:i/>
                <w:sz w:val="22"/>
              </w:rPr>
            </w:pPr>
            <w:r>
              <w:rPr>
                <w:i/>
                <w:sz w:val="22"/>
              </w:rPr>
              <w:t>T. lucida</w:t>
            </w:r>
          </w:p>
        </w:tc>
        <w:tc>
          <w:tcPr>
            <w:tcW w:w="2004" w:type="dxa"/>
          </w:tcPr>
          <w:p>
            <w:pPr>
              <w:pStyle w:val="TableParagraph"/>
              <w:spacing w:before="20"/>
              <w:ind w:left="493" w:right="538"/>
              <w:rPr>
                <w:sz w:val="22"/>
              </w:rPr>
            </w:pPr>
            <w:r>
              <w:rPr>
                <w:sz w:val="22"/>
              </w:rPr>
              <w:t>80.21a</w:t>
            </w:r>
          </w:p>
        </w:tc>
        <w:tc>
          <w:tcPr>
            <w:tcW w:w="1962" w:type="dxa"/>
          </w:tcPr>
          <w:p>
            <w:pPr>
              <w:pStyle w:val="TableParagraph"/>
              <w:spacing w:before="20"/>
              <w:ind w:left="542" w:right="447"/>
              <w:rPr>
                <w:sz w:val="22"/>
              </w:rPr>
            </w:pPr>
            <w:r>
              <w:rPr>
                <w:sz w:val="22"/>
              </w:rPr>
              <w:t>120.8ab</w:t>
            </w:r>
          </w:p>
        </w:tc>
        <w:tc>
          <w:tcPr>
            <w:tcW w:w="1817" w:type="dxa"/>
          </w:tcPr>
          <w:p>
            <w:pPr>
              <w:pStyle w:val="TableParagraph"/>
              <w:spacing w:before="20"/>
              <w:ind w:left="451" w:right="524"/>
              <w:rPr>
                <w:sz w:val="22"/>
              </w:rPr>
            </w:pPr>
            <w:r>
              <w:rPr>
                <w:sz w:val="22"/>
              </w:rPr>
              <w:t>44.8b</w:t>
            </w:r>
          </w:p>
        </w:tc>
        <w:tc>
          <w:tcPr>
            <w:tcW w:w="1648" w:type="dxa"/>
          </w:tcPr>
          <w:p>
            <w:pPr>
              <w:pStyle w:val="TableParagraph"/>
              <w:spacing w:before="20"/>
              <w:ind w:left="530" w:right="526"/>
              <w:rPr>
                <w:sz w:val="22"/>
              </w:rPr>
            </w:pPr>
            <w:r>
              <w:rPr>
                <w:sz w:val="22"/>
              </w:rPr>
              <w:t>6.59b</w:t>
            </w:r>
          </w:p>
        </w:tc>
      </w:tr>
      <w:tr>
        <w:trPr>
          <w:trHeight w:val="315" w:hRule="exact"/>
        </w:trPr>
        <w:tc>
          <w:tcPr>
            <w:tcW w:w="2087" w:type="dxa"/>
          </w:tcPr>
          <w:p>
            <w:pPr>
              <w:pStyle w:val="TableParagraph"/>
              <w:spacing w:before="18"/>
              <w:ind w:left="72"/>
              <w:jc w:val="left"/>
              <w:rPr>
                <w:i/>
                <w:sz w:val="22"/>
              </w:rPr>
            </w:pPr>
            <w:r>
              <w:rPr>
                <w:i/>
                <w:sz w:val="22"/>
              </w:rPr>
              <w:t>T. erecta</w:t>
            </w:r>
          </w:p>
        </w:tc>
        <w:tc>
          <w:tcPr>
            <w:tcW w:w="2004" w:type="dxa"/>
          </w:tcPr>
          <w:p>
            <w:pPr>
              <w:pStyle w:val="TableParagraph"/>
              <w:spacing w:before="23"/>
              <w:ind w:left="493" w:right="539"/>
              <w:rPr>
                <w:sz w:val="22"/>
              </w:rPr>
            </w:pPr>
            <w:r>
              <w:rPr>
                <w:sz w:val="22"/>
              </w:rPr>
              <w:t>118.98a</w:t>
            </w:r>
          </w:p>
        </w:tc>
        <w:tc>
          <w:tcPr>
            <w:tcW w:w="1962" w:type="dxa"/>
          </w:tcPr>
          <w:p>
            <w:pPr>
              <w:pStyle w:val="TableParagraph"/>
              <w:spacing w:before="23"/>
              <w:ind w:left="542" w:right="442"/>
              <w:rPr>
                <w:sz w:val="22"/>
              </w:rPr>
            </w:pPr>
            <w:r>
              <w:rPr>
                <w:sz w:val="22"/>
              </w:rPr>
              <w:t>146.4ce</w:t>
            </w:r>
          </w:p>
        </w:tc>
        <w:tc>
          <w:tcPr>
            <w:tcW w:w="1817" w:type="dxa"/>
          </w:tcPr>
          <w:p>
            <w:pPr>
              <w:pStyle w:val="TableParagraph"/>
              <w:spacing w:before="23"/>
              <w:ind w:left="451" w:right="522"/>
              <w:rPr>
                <w:sz w:val="22"/>
              </w:rPr>
            </w:pPr>
            <w:r>
              <w:rPr>
                <w:sz w:val="22"/>
              </w:rPr>
              <w:t>77.54ac</w:t>
            </w:r>
          </w:p>
        </w:tc>
        <w:tc>
          <w:tcPr>
            <w:tcW w:w="1648" w:type="dxa"/>
          </w:tcPr>
          <w:p>
            <w:pPr>
              <w:pStyle w:val="TableParagraph"/>
              <w:spacing w:before="23"/>
              <w:ind w:left="530" w:right="519"/>
              <w:rPr>
                <w:sz w:val="22"/>
              </w:rPr>
            </w:pPr>
            <w:r>
              <w:rPr>
                <w:sz w:val="22"/>
              </w:rPr>
              <w:t>8.56c</w:t>
            </w:r>
          </w:p>
        </w:tc>
      </w:tr>
      <w:tr>
        <w:trPr>
          <w:trHeight w:val="312" w:hRule="exact"/>
        </w:trPr>
        <w:tc>
          <w:tcPr>
            <w:tcW w:w="2087" w:type="dxa"/>
          </w:tcPr>
          <w:p>
            <w:pPr>
              <w:pStyle w:val="TableParagraph"/>
              <w:spacing w:before="16"/>
              <w:ind w:left="72"/>
              <w:jc w:val="left"/>
              <w:rPr>
                <w:i/>
                <w:sz w:val="22"/>
              </w:rPr>
            </w:pPr>
            <w:r>
              <w:rPr>
                <w:i/>
                <w:sz w:val="22"/>
              </w:rPr>
              <w:t>M. diplotricha</w:t>
            </w:r>
          </w:p>
        </w:tc>
        <w:tc>
          <w:tcPr>
            <w:tcW w:w="2004" w:type="dxa"/>
          </w:tcPr>
          <w:p>
            <w:pPr>
              <w:pStyle w:val="TableParagraph"/>
              <w:spacing w:before="21"/>
              <w:ind w:left="493" w:right="539"/>
              <w:rPr>
                <w:sz w:val="22"/>
              </w:rPr>
            </w:pPr>
            <w:r>
              <w:rPr>
                <w:sz w:val="22"/>
              </w:rPr>
              <w:t>87.57a</w:t>
            </w:r>
          </w:p>
        </w:tc>
        <w:tc>
          <w:tcPr>
            <w:tcW w:w="1962" w:type="dxa"/>
          </w:tcPr>
          <w:p>
            <w:pPr>
              <w:pStyle w:val="TableParagraph"/>
              <w:spacing w:before="21"/>
              <w:ind w:left="542" w:right="446"/>
              <w:rPr>
                <w:sz w:val="22"/>
              </w:rPr>
            </w:pPr>
            <w:r>
              <w:rPr>
                <w:sz w:val="22"/>
              </w:rPr>
              <w:t>112.7a</w:t>
            </w:r>
          </w:p>
        </w:tc>
        <w:tc>
          <w:tcPr>
            <w:tcW w:w="1817" w:type="dxa"/>
          </w:tcPr>
          <w:p>
            <w:pPr>
              <w:pStyle w:val="TableParagraph"/>
              <w:spacing w:before="21"/>
              <w:ind w:left="451" w:right="529"/>
              <w:rPr>
                <w:sz w:val="22"/>
              </w:rPr>
            </w:pPr>
            <w:r>
              <w:rPr>
                <w:sz w:val="22"/>
              </w:rPr>
              <w:t>41.22db</w:t>
            </w:r>
          </w:p>
        </w:tc>
        <w:tc>
          <w:tcPr>
            <w:tcW w:w="1648" w:type="dxa"/>
          </w:tcPr>
          <w:p>
            <w:pPr>
              <w:pStyle w:val="TableParagraph"/>
              <w:spacing w:before="21"/>
              <w:ind w:left="530" w:right="519"/>
              <w:rPr>
                <w:sz w:val="22"/>
              </w:rPr>
            </w:pPr>
            <w:r>
              <w:rPr>
                <w:sz w:val="22"/>
              </w:rPr>
              <w:t>6.97ª</w:t>
            </w:r>
          </w:p>
        </w:tc>
      </w:tr>
      <w:tr>
        <w:trPr>
          <w:trHeight w:val="314" w:hRule="exact"/>
        </w:trPr>
        <w:tc>
          <w:tcPr>
            <w:tcW w:w="2087" w:type="dxa"/>
          </w:tcPr>
          <w:p>
            <w:pPr>
              <w:pStyle w:val="TableParagraph"/>
              <w:spacing w:before="15"/>
              <w:ind w:left="72"/>
              <w:jc w:val="left"/>
              <w:rPr>
                <w:i/>
                <w:sz w:val="22"/>
              </w:rPr>
            </w:pPr>
            <w:r>
              <w:rPr>
                <w:i/>
                <w:sz w:val="22"/>
              </w:rPr>
              <w:t>M. divaricatum</w:t>
            </w:r>
          </w:p>
        </w:tc>
        <w:tc>
          <w:tcPr>
            <w:tcW w:w="2004" w:type="dxa"/>
          </w:tcPr>
          <w:p>
            <w:pPr>
              <w:pStyle w:val="TableParagraph"/>
              <w:spacing w:before="20"/>
              <w:ind w:left="493" w:right="539"/>
              <w:rPr>
                <w:sz w:val="22"/>
              </w:rPr>
            </w:pPr>
            <w:r>
              <w:rPr>
                <w:sz w:val="22"/>
              </w:rPr>
              <w:t>73.84ab</w:t>
            </w:r>
          </w:p>
        </w:tc>
        <w:tc>
          <w:tcPr>
            <w:tcW w:w="1962" w:type="dxa"/>
          </w:tcPr>
          <w:p>
            <w:pPr>
              <w:pStyle w:val="TableParagraph"/>
              <w:spacing w:before="20"/>
              <w:ind w:left="542" w:right="441"/>
              <w:rPr>
                <w:sz w:val="22"/>
              </w:rPr>
            </w:pPr>
            <w:r>
              <w:rPr>
                <w:sz w:val="22"/>
              </w:rPr>
              <w:t>85.1d</w:t>
            </w:r>
          </w:p>
        </w:tc>
        <w:tc>
          <w:tcPr>
            <w:tcW w:w="1817" w:type="dxa"/>
          </w:tcPr>
          <w:p>
            <w:pPr>
              <w:pStyle w:val="TableParagraph"/>
              <w:spacing w:before="20"/>
              <w:ind w:left="451" w:right="529"/>
              <w:rPr>
                <w:sz w:val="22"/>
              </w:rPr>
            </w:pPr>
            <w:r>
              <w:rPr>
                <w:sz w:val="22"/>
              </w:rPr>
              <w:t>51.92eb</w:t>
            </w:r>
          </w:p>
        </w:tc>
        <w:tc>
          <w:tcPr>
            <w:tcW w:w="1648" w:type="dxa"/>
          </w:tcPr>
          <w:p>
            <w:pPr>
              <w:pStyle w:val="TableParagraph"/>
              <w:spacing w:before="20"/>
              <w:ind w:left="530" w:right="519"/>
              <w:rPr>
                <w:sz w:val="22"/>
              </w:rPr>
            </w:pPr>
            <w:r>
              <w:rPr>
                <w:sz w:val="22"/>
              </w:rPr>
              <w:t>6.30ª</w:t>
            </w:r>
          </w:p>
        </w:tc>
      </w:tr>
      <w:tr>
        <w:trPr>
          <w:trHeight w:val="314" w:hRule="exact"/>
        </w:trPr>
        <w:tc>
          <w:tcPr>
            <w:tcW w:w="2087" w:type="dxa"/>
          </w:tcPr>
          <w:p>
            <w:pPr>
              <w:pStyle w:val="TableParagraph"/>
              <w:spacing w:before="18"/>
              <w:ind w:left="72"/>
              <w:jc w:val="left"/>
              <w:rPr>
                <w:sz w:val="22"/>
              </w:rPr>
            </w:pPr>
            <w:r>
              <w:rPr>
                <w:sz w:val="22"/>
              </w:rPr>
              <w:t>EEM</w:t>
            </w:r>
          </w:p>
        </w:tc>
        <w:tc>
          <w:tcPr>
            <w:tcW w:w="2004" w:type="dxa"/>
          </w:tcPr>
          <w:p>
            <w:pPr>
              <w:pStyle w:val="TableParagraph"/>
              <w:spacing w:before="18"/>
              <w:ind w:left="493" w:right="538"/>
              <w:rPr>
                <w:sz w:val="22"/>
              </w:rPr>
            </w:pPr>
            <w:r>
              <w:rPr>
                <w:sz w:val="22"/>
              </w:rPr>
              <w:t>3.7</w:t>
            </w:r>
          </w:p>
        </w:tc>
        <w:tc>
          <w:tcPr>
            <w:tcW w:w="1962" w:type="dxa"/>
          </w:tcPr>
          <w:p>
            <w:pPr>
              <w:pStyle w:val="TableParagraph"/>
              <w:spacing w:before="18"/>
              <w:ind w:left="542" w:right="445"/>
              <w:rPr>
                <w:sz w:val="22"/>
              </w:rPr>
            </w:pPr>
            <w:r>
              <w:rPr>
                <w:sz w:val="22"/>
              </w:rPr>
              <w:t>2.2</w:t>
            </w:r>
          </w:p>
        </w:tc>
        <w:tc>
          <w:tcPr>
            <w:tcW w:w="1817" w:type="dxa"/>
          </w:tcPr>
          <w:p>
            <w:pPr>
              <w:pStyle w:val="TableParagraph"/>
              <w:spacing w:before="18"/>
              <w:ind w:left="451" w:right="528"/>
              <w:rPr>
                <w:sz w:val="22"/>
              </w:rPr>
            </w:pPr>
            <w:r>
              <w:rPr>
                <w:sz w:val="22"/>
              </w:rPr>
              <w:t>1.8</w:t>
            </w:r>
          </w:p>
        </w:tc>
        <w:tc>
          <w:tcPr>
            <w:tcW w:w="1648" w:type="dxa"/>
          </w:tcPr>
          <w:p>
            <w:pPr>
              <w:pStyle w:val="TableParagraph"/>
              <w:spacing w:before="18"/>
              <w:ind w:left="530" w:right="526"/>
              <w:rPr>
                <w:sz w:val="22"/>
              </w:rPr>
            </w:pPr>
            <w:r>
              <w:rPr>
                <w:sz w:val="22"/>
              </w:rPr>
              <w:t>0.18</w:t>
            </w:r>
          </w:p>
        </w:tc>
      </w:tr>
      <w:tr>
        <w:trPr>
          <w:trHeight w:val="280" w:hRule="exact"/>
        </w:trPr>
        <w:tc>
          <w:tcPr>
            <w:tcW w:w="2087" w:type="dxa"/>
            <w:tcBorders>
              <w:bottom w:val="single" w:sz="4" w:space="0" w:color="000000"/>
            </w:tcBorders>
          </w:tcPr>
          <w:p>
            <w:pPr>
              <w:pStyle w:val="TableParagraph"/>
              <w:spacing w:before="20"/>
              <w:ind w:left="72"/>
              <w:jc w:val="left"/>
              <w:rPr>
                <w:sz w:val="22"/>
              </w:rPr>
            </w:pPr>
            <w:r>
              <w:rPr>
                <w:sz w:val="22"/>
              </w:rPr>
              <w:t>p&lt;0.05</w:t>
            </w:r>
          </w:p>
        </w:tc>
        <w:tc>
          <w:tcPr>
            <w:tcW w:w="2004" w:type="dxa"/>
            <w:tcBorders>
              <w:bottom w:val="single" w:sz="4" w:space="0" w:color="000000"/>
            </w:tcBorders>
          </w:tcPr>
          <w:p>
            <w:pPr>
              <w:pStyle w:val="TableParagraph"/>
              <w:spacing w:before="20"/>
              <w:ind w:left="493" w:right="540"/>
              <w:rPr>
                <w:sz w:val="22"/>
              </w:rPr>
            </w:pPr>
            <w:r>
              <w:rPr>
                <w:sz w:val="22"/>
              </w:rPr>
              <w:t>**</w:t>
            </w:r>
          </w:p>
        </w:tc>
        <w:tc>
          <w:tcPr>
            <w:tcW w:w="1962" w:type="dxa"/>
            <w:tcBorders>
              <w:bottom w:val="single" w:sz="4" w:space="0" w:color="000000"/>
            </w:tcBorders>
          </w:tcPr>
          <w:p>
            <w:pPr>
              <w:pStyle w:val="TableParagraph"/>
              <w:spacing w:before="20"/>
              <w:ind w:left="542" w:right="447"/>
              <w:rPr>
                <w:sz w:val="22"/>
              </w:rPr>
            </w:pPr>
            <w:r>
              <w:rPr>
                <w:sz w:val="22"/>
              </w:rPr>
              <w:t>**</w:t>
            </w:r>
          </w:p>
        </w:tc>
        <w:tc>
          <w:tcPr>
            <w:tcW w:w="1817" w:type="dxa"/>
            <w:tcBorders>
              <w:bottom w:val="single" w:sz="4" w:space="0" w:color="000000"/>
            </w:tcBorders>
          </w:tcPr>
          <w:p>
            <w:pPr>
              <w:pStyle w:val="TableParagraph"/>
              <w:spacing w:before="20"/>
              <w:ind w:left="450" w:right="529"/>
              <w:rPr>
                <w:sz w:val="22"/>
              </w:rPr>
            </w:pPr>
            <w:r>
              <w:rPr>
                <w:sz w:val="22"/>
              </w:rPr>
              <w:t>**</w:t>
            </w:r>
          </w:p>
        </w:tc>
        <w:tc>
          <w:tcPr>
            <w:tcW w:w="1648" w:type="dxa"/>
            <w:tcBorders>
              <w:bottom w:val="single" w:sz="4" w:space="0" w:color="000000"/>
            </w:tcBorders>
          </w:tcPr>
          <w:p>
            <w:pPr>
              <w:pStyle w:val="TableParagraph"/>
              <w:spacing w:before="20"/>
              <w:ind w:left="530" w:right="523"/>
              <w:rPr>
                <w:sz w:val="22"/>
              </w:rPr>
            </w:pPr>
            <w:r>
              <w:rPr>
                <w:sz w:val="22"/>
              </w:rPr>
              <w:t>**</w:t>
            </w:r>
          </w:p>
        </w:tc>
      </w:tr>
      <w:tr>
        <w:trPr>
          <w:trHeight w:val="323" w:hRule="exact"/>
        </w:trPr>
        <w:tc>
          <w:tcPr>
            <w:tcW w:w="9517" w:type="dxa"/>
            <w:gridSpan w:val="5"/>
            <w:tcBorders>
              <w:top w:val="single" w:sz="4" w:space="0" w:color="000000"/>
            </w:tcBorders>
          </w:tcPr>
          <w:p>
            <w:pPr>
              <w:pStyle w:val="TableParagraph"/>
              <w:spacing w:before="47"/>
              <w:ind w:left="72"/>
              <w:jc w:val="left"/>
              <w:rPr>
                <w:sz w:val="18"/>
              </w:rPr>
            </w:pPr>
            <w:r>
              <w:rPr>
                <w:position w:val="10"/>
                <w:sz w:val="13"/>
              </w:rPr>
              <w:t>abcdef </w:t>
            </w:r>
            <w:r>
              <w:rPr>
                <w:sz w:val="18"/>
              </w:rPr>
              <w:t>Diferentes literales en la misma columna indican diferencias significativas (p&lt;0.05)</w:t>
            </w:r>
          </w:p>
        </w:tc>
      </w:tr>
      <w:tr>
        <w:trPr>
          <w:trHeight w:val="468" w:hRule="exact"/>
        </w:trPr>
        <w:tc>
          <w:tcPr>
            <w:tcW w:w="9517" w:type="dxa"/>
            <w:gridSpan w:val="5"/>
          </w:tcPr>
          <w:p>
            <w:pPr>
              <w:pStyle w:val="TableParagraph"/>
              <w:ind w:left="72"/>
              <w:jc w:val="left"/>
              <w:rPr>
                <w:sz w:val="18"/>
              </w:rPr>
            </w:pPr>
            <w:r>
              <w:rPr>
                <w:sz w:val="18"/>
              </w:rPr>
              <w:t>PG: producción de gas (ml), dFND: digestibilidad de la fibra detergente neutro (%), EM: energía metabolizable (MJ/kg MS), EEM: error estándar de la media.</w:t>
            </w:r>
          </w:p>
        </w:tc>
      </w:tr>
      <w:tr>
        <w:trPr>
          <w:trHeight w:val="247" w:hRule="exact"/>
        </w:trPr>
        <w:tc>
          <w:tcPr>
            <w:tcW w:w="9517" w:type="dxa"/>
            <w:gridSpan w:val="5"/>
          </w:tcPr>
          <w:p>
            <w:pPr>
              <w:pStyle w:val="TableParagraph"/>
              <w:spacing w:before="43"/>
              <w:ind w:left="72"/>
              <w:jc w:val="left"/>
              <w:rPr>
                <w:sz w:val="18"/>
              </w:rPr>
            </w:pPr>
            <w:r>
              <w:rPr>
                <w:sz w:val="18"/>
              </w:rPr>
              <w:t>NS: no hay diferencias significativas, **(p&lt;0.05) existen diferencias significativas</w:t>
            </w:r>
          </w:p>
        </w:tc>
      </w:tr>
    </w:tbl>
    <w:p>
      <w:pPr>
        <w:pStyle w:val="BodyText"/>
        <w:spacing w:before="8"/>
        <w:rPr>
          <w:sz w:val="15"/>
        </w:rPr>
      </w:pPr>
    </w:p>
    <w:p>
      <w:pPr>
        <w:spacing w:before="73"/>
        <w:ind w:left="119" w:right="786" w:firstLine="0"/>
        <w:jc w:val="both"/>
        <w:rPr>
          <w:sz w:val="22"/>
        </w:rPr>
      </w:pPr>
      <w:r>
        <w:rPr>
          <w:b/>
          <w:sz w:val="22"/>
        </w:rPr>
        <w:t>Conclusiones. </w:t>
      </w:r>
      <w:r>
        <w:rPr>
          <w:sz w:val="22"/>
        </w:rPr>
        <w:t>Se encontró un efecto del PEG sobre la fermentación ruminal, en las especies altas en taninos.</w:t>
      </w:r>
    </w:p>
    <w:p>
      <w:pPr>
        <w:pStyle w:val="BodyText"/>
        <w:spacing w:before="9"/>
        <w:rPr>
          <w:sz w:val="21"/>
        </w:rPr>
      </w:pPr>
    </w:p>
    <w:p>
      <w:pPr>
        <w:spacing w:before="1"/>
        <w:ind w:left="119" w:right="783" w:firstLine="0"/>
        <w:jc w:val="both"/>
        <w:rPr>
          <w:sz w:val="22"/>
        </w:rPr>
      </w:pPr>
      <w:r>
        <w:rPr>
          <w:b/>
          <w:sz w:val="22"/>
        </w:rPr>
        <w:t>Implicaciones. </w:t>
      </w:r>
      <w:r>
        <w:rPr>
          <w:sz w:val="22"/>
        </w:rPr>
        <w:t>El presente estudio pretende contribuir un poco a las investigaciones realizadas en esta área, pues aun no queda clara la acción de los taninos sobre la fermentación ruminal, y de esta manera buscar alternativas de alimentación de calidad al ganado.</w:t>
      </w:r>
    </w:p>
    <w:p>
      <w:pPr>
        <w:pStyle w:val="BodyText"/>
        <w:spacing w:before="4"/>
        <w:rPr>
          <w:sz w:val="21"/>
        </w:rPr>
      </w:pPr>
    </w:p>
    <w:p>
      <w:pPr>
        <w:spacing w:line="244" w:lineRule="auto" w:before="0"/>
        <w:ind w:left="119" w:right="776" w:firstLine="0"/>
        <w:jc w:val="both"/>
        <w:rPr>
          <w:sz w:val="22"/>
        </w:rPr>
      </w:pPr>
      <w:r>
        <w:rPr>
          <w:b/>
          <w:sz w:val="22"/>
        </w:rPr>
        <w:t>Referencias. </w:t>
      </w:r>
      <w:r>
        <w:rPr>
          <w:sz w:val="22"/>
        </w:rPr>
        <w:t>Makkar HPS. Quantification of Tannins in Tree and Shrub Foliage. 2003. 1- 42; Menke KH et al. 1988. Animal Research and Development 28:7-55; Minitab Version</w:t>
      </w:r>
    </w:p>
    <w:p>
      <w:pPr>
        <w:spacing w:line="250" w:lineRule="exact" w:before="3"/>
        <w:ind w:left="119" w:right="777" w:firstLine="0"/>
        <w:jc w:val="both"/>
        <w:rPr>
          <w:sz w:val="22"/>
        </w:rPr>
      </w:pPr>
      <w:r>
        <w:rPr>
          <w:sz w:val="22"/>
        </w:rPr>
        <w:t>14. 2000. Statistical software. USA. Van Soest PJ et al. 1991. Journal of Dairy Science 74:3583-3597.</w:t>
      </w:r>
    </w:p>
    <w:p>
      <w:pPr>
        <w:spacing w:after="0" w:line="250" w:lineRule="exact"/>
        <w:jc w:val="both"/>
        <w:rPr>
          <w:sz w:val="22"/>
        </w:rPr>
        <w:sectPr>
          <w:pgSz w:w="12240" w:h="15840"/>
          <w:pgMar w:header="0" w:footer="1418" w:top="1500" w:bottom="1660" w:left="1580" w:right="920"/>
        </w:sectPr>
      </w:pPr>
    </w:p>
    <w:p>
      <w:pPr>
        <w:pStyle w:val="BodyText"/>
        <w:spacing w:line="360" w:lineRule="auto" w:before="52"/>
        <w:ind w:left="167" w:right="168"/>
        <w:jc w:val="center"/>
      </w:pPr>
      <w:r>
        <w:rPr/>
        <w:t>Resumen publicado en las memorias del 13er congreso Nacional de Investigación Socioeconómica y Ambiental de la Producción Pecuaria. Celebrado en El Colegio de Postgraduados, Campus Puebla el 18 y 19 de Octubre de 2012.</w:t>
      </w:r>
    </w:p>
    <w:p>
      <w:pPr>
        <w:pStyle w:val="Heading2"/>
        <w:spacing w:line="271" w:lineRule="auto" w:before="205"/>
        <w:ind w:right="119"/>
      </w:pPr>
      <w:r>
        <w:rPr/>
        <w:t>(6) Efecto en la fermentación ruminal </w:t>
      </w:r>
      <w:r>
        <w:rPr>
          <w:i/>
          <w:spacing w:val="2"/>
        </w:rPr>
        <w:t>in </w:t>
      </w:r>
      <w:r>
        <w:rPr/>
        <w:t>vitro de dietas utilizadas para  ganado lechero, adicionadas con especies altas en</w:t>
      </w:r>
      <w:r>
        <w:rPr>
          <w:spacing w:val="-34"/>
        </w:rPr>
        <w:t> </w:t>
      </w:r>
      <w:r>
        <w:rPr/>
        <w:t>taninos.</w:t>
      </w:r>
    </w:p>
    <w:p>
      <w:pPr>
        <w:pStyle w:val="BodyText"/>
        <w:spacing w:before="182"/>
        <w:ind w:left="119" w:right="896"/>
      </w:pPr>
      <w:r>
        <w:rPr>
          <w:u w:val="single"/>
        </w:rPr>
        <w:t>Beatriz Matías González.</w:t>
      </w:r>
      <w:r>
        <w:rPr>
          <w:position w:val="11"/>
          <w:sz w:val="16"/>
        </w:rPr>
        <w:t>1 </w:t>
      </w:r>
      <w:r>
        <w:rPr/>
        <w:t>Octavio A. Castelán Ortega.</w:t>
      </w:r>
      <w:r>
        <w:rPr>
          <w:position w:val="11"/>
          <w:sz w:val="16"/>
        </w:rPr>
        <w:t>2 </w:t>
      </w:r>
      <w:r>
        <w:rPr/>
        <w:t>Manuel González Ronquillo.</w:t>
      </w:r>
      <w:r>
        <w:rPr>
          <w:position w:val="11"/>
          <w:sz w:val="16"/>
        </w:rPr>
        <w:t>2 </w:t>
      </w:r>
      <w:r>
        <w:rPr/>
        <w:t>Julieta G. Estrada Flores.</w:t>
      </w:r>
      <w:r>
        <w:rPr>
          <w:position w:val="11"/>
          <w:sz w:val="16"/>
        </w:rPr>
        <w:t>1 1 </w:t>
      </w:r>
      <w:r>
        <w:rPr/>
        <w:t>ICAR-UAEM. </w:t>
      </w:r>
      <w:r>
        <w:rPr>
          <w:position w:val="11"/>
          <w:sz w:val="16"/>
        </w:rPr>
        <w:t>2</w:t>
      </w:r>
      <w:r>
        <w:rPr/>
        <w:t>FMVZ-UAEM.</w:t>
      </w:r>
    </w:p>
    <w:p>
      <w:pPr>
        <w:spacing w:line="360" w:lineRule="auto" w:before="241"/>
        <w:ind w:left="119" w:right="114" w:firstLine="0"/>
        <w:jc w:val="both"/>
        <w:rPr>
          <w:sz w:val="20"/>
        </w:rPr>
      </w:pPr>
      <w:r>
        <w:rPr>
          <w:sz w:val="20"/>
        </w:rPr>
        <w:t>Las arvenses </w:t>
      </w:r>
      <w:r>
        <w:rPr>
          <w:spacing w:val="-3"/>
          <w:sz w:val="20"/>
        </w:rPr>
        <w:t>son </w:t>
      </w:r>
      <w:r>
        <w:rPr>
          <w:sz w:val="20"/>
        </w:rPr>
        <w:t>las plantas que </w:t>
      </w:r>
      <w:r>
        <w:rPr>
          <w:spacing w:val="-3"/>
          <w:sz w:val="20"/>
        </w:rPr>
        <w:t>se </w:t>
      </w:r>
      <w:r>
        <w:rPr>
          <w:sz w:val="20"/>
        </w:rPr>
        <w:t>establecen entre los cultivos, estas son utilizadas para alimentar al ganado bovino y ovino principalmente. Estas plantas presentan compuestos secundarios como los taninos que cumplen funciones no esenciales en ellas. Los taninos han sido ampliamente estudiados y </w:t>
      </w:r>
      <w:r>
        <w:rPr>
          <w:spacing w:val="-3"/>
          <w:sz w:val="20"/>
        </w:rPr>
        <w:t>se </w:t>
      </w:r>
      <w:r>
        <w:rPr>
          <w:sz w:val="20"/>
        </w:rPr>
        <w:t>dice que estos sobreprotegen la proteína de la dieta contra la fermentación en el rumen, además de tener efectos negativos sobre enzimas y microorganismos  de este. El objetivo de este trabajo fue evaluar el </w:t>
      </w:r>
      <w:r>
        <w:rPr>
          <w:spacing w:val="-2"/>
          <w:sz w:val="20"/>
        </w:rPr>
        <w:t>efecto </w:t>
      </w:r>
      <w:r>
        <w:rPr>
          <w:sz w:val="20"/>
        </w:rPr>
        <w:t>de tres niveles de inclusión de extracto de taninos en una dieta </w:t>
      </w:r>
      <w:r>
        <w:rPr>
          <w:spacing w:val="-3"/>
          <w:sz w:val="20"/>
        </w:rPr>
        <w:t>base </w:t>
      </w:r>
      <w:r>
        <w:rPr>
          <w:sz w:val="20"/>
        </w:rPr>
        <w:t>sobre la fermentación ruminal. Material y métodos. Se utilizó el extracto de taninos de seis especies taníferas: </w:t>
      </w:r>
      <w:r>
        <w:rPr>
          <w:i/>
          <w:sz w:val="20"/>
        </w:rPr>
        <w:t>C. sulphureus C. bippinatus, T. lucida T. erecta, M.  </w:t>
      </w:r>
      <w:r>
        <w:rPr>
          <w:i/>
          <w:sz w:val="20"/>
        </w:rPr>
        <w:t>diplotricha y M. divaricatum</w:t>
      </w:r>
      <w:r>
        <w:rPr>
          <w:sz w:val="20"/>
        </w:rPr>
        <w:t>. </w:t>
      </w:r>
      <w:r>
        <w:rPr>
          <w:spacing w:val="-3"/>
          <w:sz w:val="20"/>
        </w:rPr>
        <w:t>El </w:t>
      </w:r>
      <w:r>
        <w:rPr>
          <w:sz w:val="20"/>
        </w:rPr>
        <w:t>contenido de taninos </w:t>
      </w:r>
      <w:r>
        <w:rPr>
          <w:spacing w:val="-3"/>
          <w:sz w:val="20"/>
        </w:rPr>
        <w:t>se </w:t>
      </w:r>
      <w:r>
        <w:rPr>
          <w:sz w:val="20"/>
        </w:rPr>
        <w:t>determinó por </w:t>
      </w:r>
      <w:r>
        <w:rPr>
          <w:spacing w:val="-4"/>
          <w:sz w:val="20"/>
        </w:rPr>
        <w:t>el </w:t>
      </w:r>
      <w:r>
        <w:rPr>
          <w:sz w:val="20"/>
        </w:rPr>
        <w:t>método Folin-Cicalteu (Makkar, 2003) y el método de extracción fue por maceración (Sabas, 2010). Se evaluó el efecto  de tres niveles de inclusión (alto, medio y bajo) de extracto de taninos en una dieta base sobre la fermentación ruminal </w:t>
      </w:r>
      <w:r>
        <w:rPr>
          <w:i/>
          <w:sz w:val="20"/>
        </w:rPr>
        <w:t>in vitro </w:t>
      </w:r>
      <w:r>
        <w:rPr>
          <w:sz w:val="20"/>
        </w:rPr>
        <w:t>(Theodorou, 1990). </w:t>
      </w:r>
      <w:r>
        <w:rPr>
          <w:i/>
          <w:sz w:val="20"/>
        </w:rPr>
        <w:t>Diseño experimental. </w:t>
      </w:r>
      <w:r>
        <w:rPr>
          <w:sz w:val="20"/>
        </w:rPr>
        <w:t>Se aplicó un diseño experimental de bloques al azar, donde los tratamientos fueron los tres niveles de inclusión, con tres repeticiones y los bloques fueron las seis especies, con tres repeticiones. Las variables a evaluar fueron los parámetros de la cinética de fermentación, la digestibilidad de la materia seca (dMS), digestibilidad de la materia organica (dMO), digestibilidad de la fibra detergente neutro (dFDN) y energía metabolizable (EM). La cinética de producción de gas se estimó por </w:t>
      </w:r>
      <w:r>
        <w:rPr>
          <w:spacing w:val="-4"/>
          <w:sz w:val="20"/>
        </w:rPr>
        <w:t>el </w:t>
      </w:r>
      <w:r>
        <w:rPr>
          <w:sz w:val="20"/>
        </w:rPr>
        <w:t>modelo matemático propuesto por Jessop y Herrero (1996). </w:t>
      </w:r>
      <w:r>
        <w:rPr>
          <w:spacing w:val="-3"/>
          <w:sz w:val="20"/>
        </w:rPr>
        <w:t>Se </w:t>
      </w:r>
      <w:r>
        <w:rPr>
          <w:sz w:val="20"/>
        </w:rPr>
        <w:t>utilizó </w:t>
      </w:r>
      <w:r>
        <w:rPr>
          <w:spacing w:val="-4"/>
          <w:sz w:val="20"/>
        </w:rPr>
        <w:t>el </w:t>
      </w:r>
      <w:r>
        <w:rPr>
          <w:sz w:val="20"/>
        </w:rPr>
        <w:t>siguiente modelo estadístico:  </w:t>
      </w:r>
      <w:r>
        <w:rPr>
          <w:spacing w:val="19"/>
          <w:sz w:val="20"/>
        </w:rPr>
        <w:t> </w:t>
      </w:r>
      <w:r>
        <w:rPr>
          <w:sz w:val="20"/>
        </w:rPr>
        <w:t>Y</w:t>
      </w:r>
      <w:r>
        <w:rPr>
          <w:position w:val="-2"/>
          <w:sz w:val="13"/>
        </w:rPr>
        <w:t>ij </w:t>
      </w:r>
      <w:r>
        <w:rPr>
          <w:sz w:val="20"/>
        </w:rPr>
        <w:t>=</w:t>
      </w:r>
    </w:p>
    <w:p>
      <w:pPr>
        <w:spacing w:line="236" w:lineRule="exact" w:before="0"/>
        <w:ind w:left="119" w:right="0" w:firstLine="0"/>
        <w:jc w:val="both"/>
        <w:rPr>
          <w:sz w:val="20"/>
        </w:rPr>
      </w:pPr>
      <w:r>
        <w:rPr>
          <w:rFonts w:ascii="Symbol" w:hAnsi="Symbol"/>
          <w:sz w:val="20"/>
        </w:rPr>
        <w:t></w:t>
      </w:r>
      <w:r>
        <w:rPr>
          <w:rFonts w:ascii="Times New Roman" w:hAnsi="Times New Roman"/>
          <w:sz w:val="20"/>
        </w:rPr>
        <w:t>  </w:t>
      </w:r>
      <w:r>
        <w:rPr>
          <w:sz w:val="20"/>
        </w:rPr>
        <w:t>+  </w:t>
      </w:r>
      <w:r>
        <w:rPr>
          <w:rFonts w:ascii="Symbol" w:hAnsi="Symbol"/>
          <w:sz w:val="20"/>
        </w:rPr>
        <w:t></w:t>
      </w:r>
      <w:r>
        <w:rPr>
          <w:sz w:val="20"/>
        </w:rPr>
        <w:t>i + </w:t>
      </w:r>
      <w:r>
        <w:rPr>
          <w:rFonts w:ascii="Symbol" w:hAnsi="Symbol"/>
          <w:sz w:val="20"/>
        </w:rPr>
        <w:t></w:t>
      </w:r>
      <w:r>
        <w:rPr>
          <w:position w:val="-2"/>
          <w:sz w:val="13"/>
        </w:rPr>
        <w:t>j  </w:t>
      </w:r>
      <w:r>
        <w:rPr>
          <w:sz w:val="20"/>
        </w:rPr>
        <w:t>+  </w:t>
      </w:r>
      <w:r>
        <w:rPr>
          <w:rFonts w:ascii="Symbol" w:hAnsi="Symbol"/>
          <w:sz w:val="20"/>
        </w:rPr>
        <w:t></w:t>
      </w:r>
      <w:r>
        <w:rPr>
          <w:position w:val="-2"/>
          <w:sz w:val="13"/>
        </w:rPr>
        <w:t>ij;  </w:t>
      </w:r>
      <w:r>
        <w:rPr>
          <w:sz w:val="20"/>
        </w:rPr>
        <w:t>Donde</w:t>
      </w:r>
      <w:r>
        <w:rPr>
          <w:b/>
          <w:sz w:val="20"/>
        </w:rPr>
        <w:t>: </w:t>
      </w:r>
      <w:r>
        <w:rPr>
          <w:sz w:val="20"/>
        </w:rPr>
        <w:t>Y</w:t>
      </w:r>
      <w:r>
        <w:rPr>
          <w:position w:val="-2"/>
          <w:sz w:val="13"/>
        </w:rPr>
        <w:t>ij  </w:t>
      </w:r>
      <w:r>
        <w:rPr>
          <w:sz w:val="20"/>
        </w:rPr>
        <w:t>=  Respuesta  en la unidad  experimental con el tratamiento,  </w:t>
      </w:r>
      <w:r>
        <w:rPr>
          <w:rFonts w:ascii="Symbol" w:hAnsi="Symbol"/>
          <w:sz w:val="20"/>
        </w:rPr>
        <w:t></w:t>
      </w:r>
      <w:r>
        <w:rPr>
          <w:rFonts w:ascii="Times New Roman" w:hAnsi="Times New Roman"/>
          <w:sz w:val="20"/>
        </w:rPr>
        <w:t>  </w:t>
      </w:r>
      <w:r>
        <w:rPr>
          <w:sz w:val="20"/>
        </w:rPr>
        <w:t>= Media</w:t>
      </w:r>
    </w:p>
    <w:p>
      <w:pPr>
        <w:spacing w:line="357" w:lineRule="auto" w:before="115"/>
        <w:ind w:left="119" w:right="112" w:firstLine="0"/>
        <w:jc w:val="both"/>
        <w:rPr>
          <w:sz w:val="20"/>
        </w:rPr>
      </w:pPr>
      <w:r>
        <w:rPr>
          <w:sz w:val="20"/>
        </w:rPr>
        <w:t>general, </w:t>
      </w:r>
      <w:r>
        <w:rPr>
          <w:rFonts w:ascii="Symbol" w:hAnsi="Symbol"/>
          <w:sz w:val="20"/>
        </w:rPr>
        <w:t></w:t>
      </w:r>
      <w:r>
        <w:rPr>
          <w:sz w:val="20"/>
        </w:rPr>
        <w:t>i = Efecto del tratamiento  (i=1,3), </w:t>
      </w:r>
      <w:r>
        <w:rPr>
          <w:rFonts w:ascii="Symbol" w:hAnsi="Symbol"/>
          <w:sz w:val="20"/>
        </w:rPr>
        <w:t></w:t>
      </w:r>
      <w:r>
        <w:rPr>
          <w:position w:val="-2"/>
          <w:sz w:val="13"/>
        </w:rPr>
        <w:t>j  </w:t>
      </w:r>
      <w:r>
        <w:rPr>
          <w:sz w:val="20"/>
        </w:rPr>
        <w:t>= Efecto del bloque (j=1, …6) y </w:t>
      </w:r>
      <w:r>
        <w:rPr>
          <w:rFonts w:ascii="Symbol" w:hAnsi="Symbol"/>
          <w:sz w:val="20"/>
        </w:rPr>
        <w:t></w:t>
      </w:r>
      <w:r>
        <w:rPr>
          <w:position w:val="-2"/>
          <w:sz w:val="13"/>
        </w:rPr>
        <w:t>ij </w:t>
      </w:r>
      <w:r>
        <w:rPr>
          <w:sz w:val="20"/>
        </w:rPr>
        <w:t>= error residual.  Los resultados </w:t>
      </w:r>
      <w:r>
        <w:rPr>
          <w:spacing w:val="-3"/>
          <w:sz w:val="20"/>
        </w:rPr>
        <w:t>se </w:t>
      </w:r>
      <w:r>
        <w:rPr>
          <w:sz w:val="20"/>
        </w:rPr>
        <w:t>analizaron por medio de un análisis de varianza, utilizando el paquete estadístico de Minitab V14 (2000). Cuando </w:t>
      </w:r>
      <w:r>
        <w:rPr>
          <w:spacing w:val="-3"/>
          <w:sz w:val="20"/>
        </w:rPr>
        <w:t>se </w:t>
      </w:r>
      <w:r>
        <w:rPr>
          <w:sz w:val="20"/>
        </w:rPr>
        <w:t>observaron diferencias significativas (P&lt;0.05) </w:t>
      </w:r>
      <w:r>
        <w:rPr>
          <w:spacing w:val="-3"/>
          <w:sz w:val="20"/>
        </w:rPr>
        <w:t>se  </w:t>
      </w:r>
      <w:r>
        <w:rPr>
          <w:sz w:val="20"/>
        </w:rPr>
        <w:t>aplicó  la prueba de Tukey. Resultados. La cinética de fermentación no mostró diferencias entre los niveles de inclusión ni entre las especies, únicamente </w:t>
      </w:r>
      <w:r>
        <w:rPr>
          <w:spacing w:val="-3"/>
          <w:sz w:val="20"/>
        </w:rPr>
        <w:t>se </w:t>
      </w:r>
      <w:r>
        <w:rPr>
          <w:sz w:val="20"/>
        </w:rPr>
        <w:t>observaron diferencias entre las especies de la fracción b. La dMS, dMO, dFDN y EM tampoco mostraron diferencias entre los niveles de inclusión ni entre las especies; sin embargo, el nivel de inclusión donde </w:t>
      </w:r>
      <w:r>
        <w:rPr>
          <w:spacing w:val="-3"/>
          <w:sz w:val="20"/>
        </w:rPr>
        <w:t>se </w:t>
      </w:r>
      <w:r>
        <w:rPr>
          <w:sz w:val="20"/>
        </w:rPr>
        <w:t>observó un limitado beneficio en la  cinética  de fermentación y  en las  digestibilidades fue  el  nivel  de inclusión  bajo.  La  </w:t>
      </w:r>
      <w:r>
        <w:rPr>
          <w:spacing w:val="-3"/>
          <w:sz w:val="20"/>
        </w:rPr>
        <w:t>EM   </w:t>
      </w:r>
      <w:r>
        <w:rPr>
          <w:spacing w:val="44"/>
          <w:sz w:val="20"/>
        </w:rPr>
        <w:t> </w:t>
      </w:r>
      <w:r>
        <w:rPr>
          <w:spacing w:val="-3"/>
          <w:sz w:val="20"/>
        </w:rPr>
        <w:t>se</w:t>
      </w:r>
    </w:p>
    <w:p>
      <w:pPr>
        <w:spacing w:after="0" w:line="357" w:lineRule="auto"/>
        <w:jc w:val="both"/>
        <w:rPr>
          <w:sz w:val="20"/>
        </w:rPr>
        <w:sectPr>
          <w:pgSz w:w="12240" w:h="15840"/>
          <w:pgMar w:header="0" w:footer="1418" w:top="1360" w:bottom="1660" w:left="1580" w:right="1580"/>
        </w:sectPr>
      </w:pPr>
    </w:p>
    <w:p>
      <w:pPr>
        <w:spacing w:line="360" w:lineRule="auto" w:before="51"/>
        <w:ind w:left="119" w:right="112" w:firstLine="0"/>
        <w:jc w:val="both"/>
        <w:rPr>
          <w:sz w:val="20"/>
        </w:rPr>
      </w:pPr>
      <w:r>
        <w:rPr>
          <w:sz w:val="20"/>
        </w:rPr>
        <w:t>mantuvo en todos los niveles de inclusión respecto a los valores originales de </w:t>
      </w:r>
      <w:r>
        <w:rPr>
          <w:spacing w:val="3"/>
          <w:sz w:val="20"/>
        </w:rPr>
        <w:t>la </w:t>
      </w:r>
      <w:r>
        <w:rPr>
          <w:sz w:val="20"/>
        </w:rPr>
        <w:t>dieta base. Conclusiones. El nivel bajo de inclusión fue donde </w:t>
      </w:r>
      <w:r>
        <w:rPr>
          <w:spacing w:val="-3"/>
          <w:sz w:val="20"/>
        </w:rPr>
        <w:t>se </w:t>
      </w:r>
      <w:r>
        <w:rPr>
          <w:sz w:val="20"/>
        </w:rPr>
        <w:t>observó un beneficio limitado en la cinética  de fermentación, pero no en las digestibilidades ni en </w:t>
      </w:r>
      <w:r>
        <w:rPr>
          <w:spacing w:val="-4"/>
          <w:sz w:val="20"/>
        </w:rPr>
        <w:t>el </w:t>
      </w:r>
      <w:r>
        <w:rPr>
          <w:sz w:val="20"/>
        </w:rPr>
        <w:t>aporte de energía</w:t>
      </w:r>
      <w:r>
        <w:rPr>
          <w:spacing w:val="-13"/>
          <w:sz w:val="20"/>
        </w:rPr>
        <w:t> </w:t>
      </w:r>
      <w:r>
        <w:rPr>
          <w:sz w:val="20"/>
        </w:rPr>
        <w:t>metabolizable.</w:t>
      </w:r>
    </w:p>
    <w:sectPr>
      <w:pgSz w:w="12240" w:h="15840"/>
      <w:pgMar w:header="0" w:footer="1418" w:top="1360" w:bottom="166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Georgia">
    <w:altName w:val="Georgia"/>
    <w:charset w:val="0"/>
    <w:family w:val="roman"/>
    <w:pitch w:val="variable"/>
  </w:font>
  <w:font w:name="Courier New">
    <w:altName w:val="Courier New"/>
    <w:charset w:val="0"/>
    <w:family w:val="modern"/>
    <w:pitch w:val="fixed"/>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39990pt;margin-top:707.096008pt;width:9.6pt;height:13.05pt;mso-position-horizontal-relative:page;mso-position-vertical-relative:page;z-index:-130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5</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359985pt;margin-top:707.096008pt;width:13.05pt;height:13.05pt;mso-position-horizontal-relative:page;mso-position-vertical-relative:page;z-index:-130504"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985pt;margin-top:707.096008pt;width:15.05pt;height:13.05pt;mso-position-horizontal-relative:page;mso-position-vertical-relative:page;z-index:-130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8.359985pt;margin-top:527.096008pt;width:15.05pt;height:13.05pt;mso-position-horizontal-relative:page;mso-position-vertical-relative:page;z-index:-130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985pt;margin-top:707.096008pt;width:15.05pt;height:13.05pt;mso-position-horizontal-relative:page;mso-position-vertical-relative:page;z-index:-130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359985pt;margin-top:707.096008pt;width:13.05pt;height:13.05pt;mso-position-horizontal-relative:page;mso-position-vertical-relative:page;z-index:-130408"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985pt;margin-top:707.096008pt;width:15.05pt;height:13.05pt;mso-position-horizontal-relative:page;mso-position-vertical-relative:page;z-index:-130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359985pt;margin-top:707.096008pt;width:13.05pt;height:13.05pt;mso-position-horizontal-relative:page;mso-position-vertical-relative:page;z-index:-130360"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8.359985pt;margin-top:707.096008pt;width:15.05pt;height:13.05pt;mso-position-horizontal-relative:page;mso-position-vertical-relative:page;z-index:-130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359985pt;margin-top:707.096008pt;width:13.05pt;height:13.05pt;mso-position-horizontal-relative:page;mso-position-vertical-relative:page;z-index:-130696"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985pt;margin-top:707.096008pt;width:15.05pt;height:13.05pt;mso-position-horizontal-relative:page;mso-position-vertical-relative:page;z-index:-130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359985pt;margin-top:707.096008pt;width:13.05pt;height:13.05pt;mso-position-horizontal-relative:page;mso-position-vertical-relative:page;z-index:-130648"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985pt;margin-top:707.096008pt;width:15.05pt;height:13.05pt;mso-position-horizontal-relative:page;mso-position-vertical-relative:page;z-index:-130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359985pt;margin-top:707.096008pt;width:13.05pt;height:13.05pt;mso-position-horizontal-relative:page;mso-position-vertical-relative:page;z-index:-130600"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985pt;margin-top:707.096008pt;width:15.05pt;height:13.05pt;mso-position-horizontal-relative:page;mso-position-vertical-relative:page;z-index:-130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359985pt;margin-top:707.096008pt;width:13.05pt;height:13.05pt;mso-position-horizontal-relative:page;mso-position-vertical-relative:page;z-index:-130552"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985pt;margin-top:707.096008pt;width:15.05pt;height:13.05pt;mso-position-horizontal-relative:page;mso-position-vertical-relative:page;z-index:-130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3"/>
      <w:numFmt w:val="decimal"/>
      <w:lvlText w:val="%1"/>
      <w:lvlJc w:val="left"/>
      <w:pPr>
        <w:ind w:left="589" w:hanging="470"/>
        <w:jc w:val="left"/>
      </w:pPr>
      <w:rPr>
        <w:rFonts w:hint="default"/>
      </w:rPr>
    </w:lvl>
    <w:lvl w:ilvl="1">
      <w:start w:val="2"/>
      <w:numFmt w:val="decimal"/>
      <w:lvlText w:val="%1.%2."/>
      <w:lvlJc w:val="left"/>
      <w:pPr>
        <w:ind w:left="589" w:hanging="470"/>
        <w:jc w:val="left"/>
      </w:pPr>
      <w:rPr>
        <w:rFonts w:hint="default" w:ascii="Arial" w:hAnsi="Arial" w:eastAsia="Arial" w:cs="Arial"/>
        <w:i/>
        <w:spacing w:val="-6"/>
        <w:w w:val="99"/>
        <w:sz w:val="24"/>
        <w:szCs w:val="24"/>
      </w:rPr>
    </w:lvl>
    <w:lvl w:ilvl="2">
      <w:start w:val="1"/>
      <w:numFmt w:val="bullet"/>
      <w:lvlText w:val="•"/>
      <w:lvlJc w:val="left"/>
      <w:pPr>
        <w:ind w:left="2280" w:hanging="470"/>
      </w:pPr>
      <w:rPr>
        <w:rFonts w:hint="default"/>
      </w:rPr>
    </w:lvl>
    <w:lvl w:ilvl="3">
      <w:start w:val="1"/>
      <w:numFmt w:val="bullet"/>
      <w:lvlText w:val="•"/>
      <w:lvlJc w:val="left"/>
      <w:pPr>
        <w:ind w:left="3130" w:hanging="470"/>
      </w:pPr>
      <w:rPr>
        <w:rFonts w:hint="default"/>
      </w:rPr>
    </w:lvl>
    <w:lvl w:ilvl="4">
      <w:start w:val="1"/>
      <w:numFmt w:val="bullet"/>
      <w:lvlText w:val="•"/>
      <w:lvlJc w:val="left"/>
      <w:pPr>
        <w:ind w:left="3980" w:hanging="470"/>
      </w:pPr>
      <w:rPr>
        <w:rFonts w:hint="default"/>
      </w:rPr>
    </w:lvl>
    <w:lvl w:ilvl="5">
      <w:start w:val="1"/>
      <w:numFmt w:val="bullet"/>
      <w:lvlText w:val="•"/>
      <w:lvlJc w:val="left"/>
      <w:pPr>
        <w:ind w:left="4830" w:hanging="470"/>
      </w:pPr>
      <w:rPr>
        <w:rFonts w:hint="default"/>
      </w:rPr>
    </w:lvl>
    <w:lvl w:ilvl="6">
      <w:start w:val="1"/>
      <w:numFmt w:val="bullet"/>
      <w:lvlText w:val="•"/>
      <w:lvlJc w:val="left"/>
      <w:pPr>
        <w:ind w:left="5680" w:hanging="470"/>
      </w:pPr>
      <w:rPr>
        <w:rFonts w:hint="default"/>
      </w:rPr>
    </w:lvl>
    <w:lvl w:ilvl="7">
      <w:start w:val="1"/>
      <w:numFmt w:val="bullet"/>
      <w:lvlText w:val="•"/>
      <w:lvlJc w:val="left"/>
      <w:pPr>
        <w:ind w:left="6530" w:hanging="470"/>
      </w:pPr>
      <w:rPr>
        <w:rFonts w:hint="default"/>
      </w:rPr>
    </w:lvl>
    <w:lvl w:ilvl="8">
      <w:start w:val="1"/>
      <w:numFmt w:val="bullet"/>
      <w:lvlText w:val="•"/>
      <w:lvlJc w:val="left"/>
      <w:pPr>
        <w:ind w:left="7380" w:hanging="470"/>
      </w:pPr>
      <w:rPr>
        <w:rFonts w:hint="default"/>
      </w:rPr>
    </w:lvl>
  </w:abstractNum>
  <w:abstractNum w:abstractNumId="10">
    <w:multiLevelType w:val="hybridMultilevel"/>
    <w:lvl w:ilvl="0">
      <w:start w:val="1"/>
      <w:numFmt w:val="decimal"/>
      <w:lvlText w:val="%1."/>
      <w:lvlJc w:val="left"/>
      <w:pPr>
        <w:ind w:left="388" w:hanging="269"/>
        <w:jc w:val="left"/>
      </w:pPr>
      <w:rPr>
        <w:rFonts w:hint="default"/>
        <w:b/>
        <w:bCs/>
        <w:spacing w:val="-5"/>
        <w:w w:val="99"/>
      </w:rPr>
    </w:lvl>
    <w:lvl w:ilvl="1">
      <w:start w:val="1"/>
      <w:numFmt w:val="decimal"/>
      <w:lvlText w:val="%1.%2."/>
      <w:lvlJc w:val="left"/>
      <w:pPr>
        <w:ind w:left="589" w:hanging="470"/>
        <w:jc w:val="left"/>
      </w:pPr>
      <w:rPr>
        <w:rFonts w:hint="default" w:ascii="Arial" w:hAnsi="Arial" w:eastAsia="Arial" w:cs="Arial"/>
        <w:i/>
        <w:spacing w:val="-6"/>
        <w:w w:val="99"/>
        <w:sz w:val="24"/>
        <w:szCs w:val="24"/>
      </w:rPr>
    </w:lvl>
    <w:lvl w:ilvl="2">
      <w:start w:val="1"/>
      <w:numFmt w:val="decimal"/>
      <w:lvlText w:val="%1.%2.%3."/>
      <w:lvlJc w:val="left"/>
      <w:pPr>
        <w:ind w:left="790" w:hanging="672"/>
        <w:jc w:val="left"/>
      </w:pPr>
      <w:rPr>
        <w:rFonts w:hint="default" w:ascii="Arial" w:hAnsi="Arial" w:eastAsia="Arial" w:cs="Arial"/>
        <w:i/>
        <w:spacing w:val="-6"/>
        <w:w w:val="99"/>
        <w:sz w:val="24"/>
        <w:szCs w:val="24"/>
      </w:rPr>
    </w:lvl>
    <w:lvl w:ilvl="3">
      <w:start w:val="1"/>
      <w:numFmt w:val="bullet"/>
      <w:lvlText w:val="•"/>
      <w:lvlJc w:val="left"/>
      <w:pPr>
        <w:ind w:left="1835" w:hanging="672"/>
      </w:pPr>
      <w:rPr>
        <w:rFonts w:hint="default"/>
      </w:rPr>
    </w:lvl>
    <w:lvl w:ilvl="4">
      <w:start w:val="1"/>
      <w:numFmt w:val="bullet"/>
      <w:lvlText w:val="•"/>
      <w:lvlJc w:val="left"/>
      <w:pPr>
        <w:ind w:left="2870" w:hanging="672"/>
      </w:pPr>
      <w:rPr>
        <w:rFonts w:hint="default"/>
      </w:rPr>
    </w:lvl>
    <w:lvl w:ilvl="5">
      <w:start w:val="1"/>
      <w:numFmt w:val="bullet"/>
      <w:lvlText w:val="•"/>
      <w:lvlJc w:val="left"/>
      <w:pPr>
        <w:ind w:left="3905" w:hanging="672"/>
      </w:pPr>
      <w:rPr>
        <w:rFonts w:hint="default"/>
      </w:rPr>
    </w:lvl>
    <w:lvl w:ilvl="6">
      <w:start w:val="1"/>
      <w:numFmt w:val="bullet"/>
      <w:lvlText w:val="•"/>
      <w:lvlJc w:val="left"/>
      <w:pPr>
        <w:ind w:left="4940" w:hanging="672"/>
      </w:pPr>
      <w:rPr>
        <w:rFonts w:hint="default"/>
      </w:rPr>
    </w:lvl>
    <w:lvl w:ilvl="7">
      <w:start w:val="1"/>
      <w:numFmt w:val="bullet"/>
      <w:lvlText w:val="•"/>
      <w:lvlJc w:val="left"/>
      <w:pPr>
        <w:ind w:left="5975" w:hanging="672"/>
      </w:pPr>
      <w:rPr>
        <w:rFonts w:hint="default"/>
      </w:rPr>
    </w:lvl>
    <w:lvl w:ilvl="8">
      <w:start w:val="1"/>
      <w:numFmt w:val="bullet"/>
      <w:lvlText w:val="•"/>
      <w:lvlJc w:val="left"/>
      <w:pPr>
        <w:ind w:left="7010" w:hanging="672"/>
      </w:pPr>
      <w:rPr>
        <w:rFonts w:hint="default"/>
      </w:rPr>
    </w:lvl>
  </w:abstractNum>
  <w:abstractNum w:abstractNumId="9">
    <w:multiLevelType w:val="hybridMultilevel"/>
    <w:lvl w:ilvl="0">
      <w:start w:val="8"/>
      <w:numFmt w:val="decimal"/>
      <w:lvlText w:val="%1"/>
      <w:lvlJc w:val="left"/>
      <w:pPr>
        <w:ind w:left="551" w:hanging="432"/>
        <w:jc w:val="left"/>
      </w:pPr>
      <w:rPr>
        <w:rFonts w:hint="default"/>
      </w:rPr>
    </w:lvl>
    <w:lvl w:ilvl="1">
      <w:start w:val="1"/>
      <w:numFmt w:val="decimal"/>
      <w:lvlText w:val="%1.%2"/>
      <w:lvlJc w:val="left"/>
      <w:pPr>
        <w:ind w:left="551" w:hanging="432"/>
        <w:jc w:val="left"/>
      </w:pPr>
      <w:rPr>
        <w:rFonts w:hint="default" w:ascii="Arial" w:hAnsi="Arial" w:eastAsia="Arial" w:cs="Arial"/>
        <w:b/>
        <w:bCs/>
        <w:spacing w:val="-1"/>
        <w:w w:val="99"/>
        <w:sz w:val="26"/>
        <w:szCs w:val="26"/>
      </w:rPr>
    </w:lvl>
    <w:lvl w:ilvl="2">
      <w:start w:val="1"/>
      <w:numFmt w:val="bullet"/>
      <w:lvlText w:val="•"/>
      <w:lvlJc w:val="left"/>
      <w:pPr>
        <w:ind w:left="2260" w:hanging="432"/>
      </w:pPr>
      <w:rPr>
        <w:rFonts w:hint="default"/>
      </w:rPr>
    </w:lvl>
    <w:lvl w:ilvl="3">
      <w:start w:val="1"/>
      <w:numFmt w:val="bullet"/>
      <w:lvlText w:val="•"/>
      <w:lvlJc w:val="left"/>
      <w:pPr>
        <w:ind w:left="3110" w:hanging="432"/>
      </w:pPr>
      <w:rPr>
        <w:rFonts w:hint="default"/>
      </w:rPr>
    </w:lvl>
    <w:lvl w:ilvl="4">
      <w:start w:val="1"/>
      <w:numFmt w:val="bullet"/>
      <w:lvlText w:val="•"/>
      <w:lvlJc w:val="left"/>
      <w:pPr>
        <w:ind w:left="3960" w:hanging="432"/>
      </w:pPr>
      <w:rPr>
        <w:rFonts w:hint="default"/>
      </w:rPr>
    </w:lvl>
    <w:lvl w:ilvl="5">
      <w:start w:val="1"/>
      <w:numFmt w:val="bullet"/>
      <w:lvlText w:val="•"/>
      <w:lvlJc w:val="left"/>
      <w:pPr>
        <w:ind w:left="4810" w:hanging="432"/>
      </w:pPr>
      <w:rPr>
        <w:rFonts w:hint="default"/>
      </w:rPr>
    </w:lvl>
    <w:lvl w:ilvl="6">
      <w:start w:val="1"/>
      <w:numFmt w:val="bullet"/>
      <w:lvlText w:val="•"/>
      <w:lvlJc w:val="left"/>
      <w:pPr>
        <w:ind w:left="5660" w:hanging="432"/>
      </w:pPr>
      <w:rPr>
        <w:rFonts w:hint="default"/>
      </w:rPr>
    </w:lvl>
    <w:lvl w:ilvl="7">
      <w:start w:val="1"/>
      <w:numFmt w:val="bullet"/>
      <w:lvlText w:val="•"/>
      <w:lvlJc w:val="left"/>
      <w:pPr>
        <w:ind w:left="6510" w:hanging="432"/>
      </w:pPr>
      <w:rPr>
        <w:rFonts w:hint="default"/>
      </w:rPr>
    </w:lvl>
    <w:lvl w:ilvl="8">
      <w:start w:val="1"/>
      <w:numFmt w:val="bullet"/>
      <w:lvlText w:val="•"/>
      <w:lvlJc w:val="left"/>
      <w:pPr>
        <w:ind w:left="7360" w:hanging="432"/>
      </w:pPr>
      <w:rPr>
        <w:rFonts w:hint="default"/>
      </w:rPr>
    </w:lvl>
  </w:abstractNum>
  <w:abstractNum w:abstractNumId="8">
    <w:multiLevelType w:val="hybridMultilevel"/>
    <w:lvl w:ilvl="0">
      <w:start w:val="2"/>
      <w:numFmt w:val="lowerLetter"/>
      <w:lvlText w:val="%1)"/>
      <w:lvlJc w:val="left"/>
      <w:pPr>
        <w:ind w:left="119" w:hanging="289"/>
        <w:jc w:val="left"/>
      </w:pPr>
      <w:rPr>
        <w:rFonts w:hint="default" w:ascii="Arial" w:hAnsi="Arial" w:eastAsia="Arial" w:cs="Arial"/>
        <w:w w:val="99"/>
        <w:sz w:val="24"/>
        <w:szCs w:val="24"/>
      </w:rPr>
    </w:lvl>
    <w:lvl w:ilvl="1">
      <w:start w:val="1"/>
      <w:numFmt w:val="bullet"/>
      <w:lvlText w:val="•"/>
      <w:lvlJc w:val="left"/>
      <w:pPr>
        <w:ind w:left="1016" w:hanging="289"/>
      </w:pPr>
      <w:rPr>
        <w:rFonts w:hint="default"/>
      </w:rPr>
    </w:lvl>
    <w:lvl w:ilvl="2">
      <w:start w:val="1"/>
      <w:numFmt w:val="bullet"/>
      <w:lvlText w:val="•"/>
      <w:lvlJc w:val="left"/>
      <w:pPr>
        <w:ind w:left="1912" w:hanging="289"/>
      </w:pPr>
      <w:rPr>
        <w:rFonts w:hint="default"/>
      </w:rPr>
    </w:lvl>
    <w:lvl w:ilvl="3">
      <w:start w:val="1"/>
      <w:numFmt w:val="bullet"/>
      <w:lvlText w:val="•"/>
      <w:lvlJc w:val="left"/>
      <w:pPr>
        <w:ind w:left="2808" w:hanging="289"/>
      </w:pPr>
      <w:rPr>
        <w:rFonts w:hint="default"/>
      </w:rPr>
    </w:lvl>
    <w:lvl w:ilvl="4">
      <w:start w:val="1"/>
      <w:numFmt w:val="bullet"/>
      <w:lvlText w:val="•"/>
      <w:lvlJc w:val="left"/>
      <w:pPr>
        <w:ind w:left="3704" w:hanging="289"/>
      </w:pPr>
      <w:rPr>
        <w:rFonts w:hint="default"/>
      </w:rPr>
    </w:lvl>
    <w:lvl w:ilvl="5">
      <w:start w:val="1"/>
      <w:numFmt w:val="bullet"/>
      <w:lvlText w:val="•"/>
      <w:lvlJc w:val="left"/>
      <w:pPr>
        <w:ind w:left="4600" w:hanging="289"/>
      </w:pPr>
      <w:rPr>
        <w:rFonts w:hint="default"/>
      </w:rPr>
    </w:lvl>
    <w:lvl w:ilvl="6">
      <w:start w:val="1"/>
      <w:numFmt w:val="bullet"/>
      <w:lvlText w:val="•"/>
      <w:lvlJc w:val="left"/>
      <w:pPr>
        <w:ind w:left="5496" w:hanging="289"/>
      </w:pPr>
      <w:rPr>
        <w:rFonts w:hint="default"/>
      </w:rPr>
    </w:lvl>
    <w:lvl w:ilvl="7">
      <w:start w:val="1"/>
      <w:numFmt w:val="bullet"/>
      <w:lvlText w:val="•"/>
      <w:lvlJc w:val="left"/>
      <w:pPr>
        <w:ind w:left="6392" w:hanging="289"/>
      </w:pPr>
      <w:rPr>
        <w:rFonts w:hint="default"/>
      </w:rPr>
    </w:lvl>
    <w:lvl w:ilvl="8">
      <w:start w:val="1"/>
      <w:numFmt w:val="bullet"/>
      <w:lvlText w:val="•"/>
      <w:lvlJc w:val="left"/>
      <w:pPr>
        <w:ind w:left="7288" w:hanging="289"/>
      </w:pPr>
      <w:rPr>
        <w:rFonts w:hint="default"/>
      </w:rPr>
    </w:lvl>
  </w:abstractNum>
  <w:abstractNum w:abstractNumId="7">
    <w:multiLevelType w:val="hybridMultilevel"/>
    <w:lvl w:ilvl="0">
      <w:start w:val="7"/>
      <w:numFmt w:val="decimal"/>
      <w:lvlText w:val="%1"/>
      <w:lvlJc w:val="left"/>
      <w:pPr>
        <w:ind w:left="551" w:hanging="432"/>
        <w:jc w:val="left"/>
      </w:pPr>
      <w:rPr>
        <w:rFonts w:hint="default"/>
      </w:rPr>
    </w:lvl>
    <w:lvl w:ilvl="1">
      <w:start w:val="1"/>
      <w:numFmt w:val="decimal"/>
      <w:lvlText w:val="%1.%2"/>
      <w:lvlJc w:val="left"/>
      <w:pPr>
        <w:ind w:left="119" w:hanging="432"/>
        <w:jc w:val="left"/>
      </w:pPr>
      <w:rPr>
        <w:rFonts w:hint="default" w:ascii="Arial" w:hAnsi="Arial" w:eastAsia="Arial" w:cs="Arial"/>
        <w:b/>
        <w:bCs/>
        <w:spacing w:val="-1"/>
        <w:w w:val="99"/>
        <w:sz w:val="26"/>
        <w:szCs w:val="26"/>
      </w:rPr>
    </w:lvl>
    <w:lvl w:ilvl="2">
      <w:start w:val="1"/>
      <w:numFmt w:val="bullet"/>
      <w:lvlText w:val="•"/>
      <w:lvlJc w:val="left"/>
      <w:pPr>
        <w:ind w:left="1506" w:hanging="432"/>
      </w:pPr>
      <w:rPr>
        <w:rFonts w:hint="default"/>
      </w:rPr>
    </w:lvl>
    <w:lvl w:ilvl="3">
      <w:start w:val="1"/>
      <w:numFmt w:val="bullet"/>
      <w:lvlText w:val="•"/>
      <w:lvlJc w:val="left"/>
      <w:pPr>
        <w:ind w:left="2453" w:hanging="432"/>
      </w:pPr>
      <w:rPr>
        <w:rFonts w:hint="default"/>
      </w:rPr>
    </w:lvl>
    <w:lvl w:ilvl="4">
      <w:start w:val="1"/>
      <w:numFmt w:val="bullet"/>
      <w:lvlText w:val="•"/>
      <w:lvlJc w:val="left"/>
      <w:pPr>
        <w:ind w:left="3400" w:hanging="432"/>
      </w:pPr>
      <w:rPr>
        <w:rFonts w:hint="default"/>
      </w:rPr>
    </w:lvl>
    <w:lvl w:ilvl="5">
      <w:start w:val="1"/>
      <w:numFmt w:val="bullet"/>
      <w:lvlText w:val="•"/>
      <w:lvlJc w:val="left"/>
      <w:pPr>
        <w:ind w:left="4346" w:hanging="432"/>
      </w:pPr>
      <w:rPr>
        <w:rFonts w:hint="default"/>
      </w:rPr>
    </w:lvl>
    <w:lvl w:ilvl="6">
      <w:start w:val="1"/>
      <w:numFmt w:val="bullet"/>
      <w:lvlText w:val="•"/>
      <w:lvlJc w:val="left"/>
      <w:pPr>
        <w:ind w:left="5293" w:hanging="432"/>
      </w:pPr>
      <w:rPr>
        <w:rFonts w:hint="default"/>
      </w:rPr>
    </w:lvl>
    <w:lvl w:ilvl="7">
      <w:start w:val="1"/>
      <w:numFmt w:val="bullet"/>
      <w:lvlText w:val="•"/>
      <w:lvlJc w:val="left"/>
      <w:pPr>
        <w:ind w:left="6240" w:hanging="432"/>
      </w:pPr>
      <w:rPr>
        <w:rFonts w:hint="default"/>
      </w:rPr>
    </w:lvl>
    <w:lvl w:ilvl="8">
      <w:start w:val="1"/>
      <w:numFmt w:val="bullet"/>
      <w:lvlText w:val="•"/>
      <w:lvlJc w:val="left"/>
      <w:pPr>
        <w:ind w:left="7186" w:hanging="432"/>
      </w:pPr>
      <w:rPr>
        <w:rFonts w:hint="default"/>
      </w:rPr>
    </w:lvl>
  </w:abstractNum>
  <w:abstractNum w:abstractNumId="6">
    <w:multiLevelType w:val="hybridMultilevel"/>
    <w:lvl w:ilvl="0">
      <w:start w:val="2"/>
      <w:numFmt w:val="decimal"/>
      <w:lvlText w:val="%1"/>
      <w:lvlJc w:val="left"/>
      <w:pPr>
        <w:ind w:left="624" w:hanging="505"/>
        <w:jc w:val="left"/>
      </w:pPr>
      <w:rPr>
        <w:rFonts w:hint="default"/>
      </w:rPr>
    </w:lvl>
    <w:lvl w:ilvl="1">
      <w:start w:val="2"/>
      <w:numFmt w:val="decimal"/>
      <w:lvlText w:val="%1.%2."/>
      <w:lvlJc w:val="left"/>
      <w:pPr>
        <w:ind w:left="624" w:hanging="505"/>
        <w:jc w:val="left"/>
      </w:pPr>
      <w:rPr>
        <w:rFonts w:hint="default" w:ascii="Arial" w:hAnsi="Arial" w:eastAsia="Arial" w:cs="Arial"/>
        <w:b/>
        <w:bCs/>
        <w:spacing w:val="-1"/>
        <w:w w:val="99"/>
        <w:sz w:val="26"/>
        <w:szCs w:val="26"/>
      </w:rPr>
    </w:lvl>
    <w:lvl w:ilvl="2">
      <w:start w:val="1"/>
      <w:numFmt w:val="bullet"/>
      <w:lvlText w:val="•"/>
      <w:lvlJc w:val="left"/>
      <w:pPr>
        <w:ind w:left="2312" w:hanging="505"/>
      </w:pPr>
      <w:rPr>
        <w:rFonts w:hint="default"/>
      </w:rPr>
    </w:lvl>
    <w:lvl w:ilvl="3">
      <w:start w:val="1"/>
      <w:numFmt w:val="bullet"/>
      <w:lvlText w:val="•"/>
      <w:lvlJc w:val="left"/>
      <w:pPr>
        <w:ind w:left="3158" w:hanging="505"/>
      </w:pPr>
      <w:rPr>
        <w:rFonts w:hint="default"/>
      </w:rPr>
    </w:lvl>
    <w:lvl w:ilvl="4">
      <w:start w:val="1"/>
      <w:numFmt w:val="bullet"/>
      <w:lvlText w:val="•"/>
      <w:lvlJc w:val="left"/>
      <w:pPr>
        <w:ind w:left="4004" w:hanging="505"/>
      </w:pPr>
      <w:rPr>
        <w:rFonts w:hint="default"/>
      </w:rPr>
    </w:lvl>
    <w:lvl w:ilvl="5">
      <w:start w:val="1"/>
      <w:numFmt w:val="bullet"/>
      <w:lvlText w:val="•"/>
      <w:lvlJc w:val="left"/>
      <w:pPr>
        <w:ind w:left="4850" w:hanging="505"/>
      </w:pPr>
      <w:rPr>
        <w:rFonts w:hint="default"/>
      </w:rPr>
    </w:lvl>
    <w:lvl w:ilvl="6">
      <w:start w:val="1"/>
      <w:numFmt w:val="bullet"/>
      <w:lvlText w:val="•"/>
      <w:lvlJc w:val="left"/>
      <w:pPr>
        <w:ind w:left="5696" w:hanging="505"/>
      </w:pPr>
      <w:rPr>
        <w:rFonts w:hint="default"/>
      </w:rPr>
    </w:lvl>
    <w:lvl w:ilvl="7">
      <w:start w:val="1"/>
      <w:numFmt w:val="bullet"/>
      <w:lvlText w:val="•"/>
      <w:lvlJc w:val="left"/>
      <w:pPr>
        <w:ind w:left="6542" w:hanging="505"/>
      </w:pPr>
      <w:rPr>
        <w:rFonts w:hint="default"/>
      </w:rPr>
    </w:lvl>
    <w:lvl w:ilvl="8">
      <w:start w:val="1"/>
      <w:numFmt w:val="bullet"/>
      <w:lvlText w:val="•"/>
      <w:lvlJc w:val="left"/>
      <w:pPr>
        <w:ind w:left="7388" w:hanging="505"/>
      </w:pPr>
      <w:rPr>
        <w:rFonts w:hint="default"/>
      </w:rPr>
    </w:lvl>
  </w:abstractNum>
  <w:abstractNum w:abstractNumId="5">
    <w:multiLevelType w:val="hybridMultilevel"/>
    <w:lvl w:ilvl="0">
      <w:start w:val="2"/>
      <w:numFmt w:val="decimal"/>
      <w:lvlText w:val="%1"/>
      <w:lvlJc w:val="left"/>
      <w:pPr>
        <w:ind w:left="552" w:hanging="433"/>
        <w:jc w:val="left"/>
      </w:pPr>
      <w:rPr>
        <w:rFonts w:hint="default"/>
      </w:rPr>
    </w:lvl>
    <w:lvl w:ilvl="1">
      <w:start w:val="1"/>
      <w:numFmt w:val="decimal"/>
      <w:lvlText w:val="%1.%2"/>
      <w:lvlJc w:val="left"/>
      <w:pPr>
        <w:ind w:left="552" w:hanging="433"/>
        <w:jc w:val="left"/>
      </w:pPr>
      <w:rPr>
        <w:rFonts w:hint="default" w:ascii="Arial" w:hAnsi="Arial" w:eastAsia="Arial" w:cs="Arial"/>
        <w:b/>
        <w:bCs/>
        <w:spacing w:val="-1"/>
        <w:w w:val="99"/>
        <w:sz w:val="26"/>
        <w:szCs w:val="26"/>
      </w:rPr>
    </w:lvl>
    <w:lvl w:ilvl="2">
      <w:start w:val="1"/>
      <w:numFmt w:val="lowerLetter"/>
      <w:lvlText w:val="%3)"/>
      <w:lvlJc w:val="left"/>
      <w:pPr>
        <w:ind w:left="840" w:hanging="346"/>
        <w:jc w:val="left"/>
      </w:pPr>
      <w:rPr>
        <w:rFonts w:hint="default" w:ascii="Arial" w:hAnsi="Arial" w:eastAsia="Arial" w:cs="Arial"/>
        <w:w w:val="99"/>
        <w:sz w:val="24"/>
        <w:szCs w:val="24"/>
      </w:rPr>
    </w:lvl>
    <w:lvl w:ilvl="3">
      <w:start w:val="1"/>
      <w:numFmt w:val="bullet"/>
      <w:lvlText w:val="•"/>
      <w:lvlJc w:val="left"/>
      <w:pPr>
        <w:ind w:left="2671" w:hanging="346"/>
      </w:pPr>
      <w:rPr>
        <w:rFonts w:hint="default"/>
      </w:rPr>
    </w:lvl>
    <w:lvl w:ilvl="4">
      <w:start w:val="1"/>
      <w:numFmt w:val="bullet"/>
      <w:lvlText w:val="•"/>
      <w:lvlJc w:val="left"/>
      <w:pPr>
        <w:ind w:left="3586" w:hanging="346"/>
      </w:pPr>
      <w:rPr>
        <w:rFonts w:hint="default"/>
      </w:rPr>
    </w:lvl>
    <w:lvl w:ilvl="5">
      <w:start w:val="1"/>
      <w:numFmt w:val="bullet"/>
      <w:lvlText w:val="•"/>
      <w:lvlJc w:val="left"/>
      <w:pPr>
        <w:ind w:left="4502" w:hanging="346"/>
      </w:pPr>
      <w:rPr>
        <w:rFonts w:hint="default"/>
      </w:rPr>
    </w:lvl>
    <w:lvl w:ilvl="6">
      <w:start w:val="1"/>
      <w:numFmt w:val="bullet"/>
      <w:lvlText w:val="•"/>
      <w:lvlJc w:val="left"/>
      <w:pPr>
        <w:ind w:left="5417" w:hanging="346"/>
      </w:pPr>
      <w:rPr>
        <w:rFonts w:hint="default"/>
      </w:rPr>
    </w:lvl>
    <w:lvl w:ilvl="7">
      <w:start w:val="1"/>
      <w:numFmt w:val="bullet"/>
      <w:lvlText w:val="•"/>
      <w:lvlJc w:val="left"/>
      <w:pPr>
        <w:ind w:left="6333" w:hanging="346"/>
      </w:pPr>
      <w:rPr>
        <w:rFonts w:hint="default"/>
      </w:rPr>
    </w:lvl>
    <w:lvl w:ilvl="8">
      <w:start w:val="1"/>
      <w:numFmt w:val="bullet"/>
      <w:lvlText w:val="•"/>
      <w:lvlJc w:val="left"/>
      <w:pPr>
        <w:ind w:left="7248" w:hanging="346"/>
      </w:pPr>
      <w:rPr>
        <w:rFonts w:hint="default"/>
      </w:rPr>
    </w:lvl>
  </w:abstractNum>
  <w:abstractNum w:abstractNumId="4">
    <w:multiLevelType w:val="hybridMultilevel"/>
    <w:lvl w:ilvl="0">
      <w:start w:val="1"/>
      <w:numFmt w:val="upperRoman"/>
      <w:lvlText w:val="%1."/>
      <w:lvlJc w:val="left"/>
      <w:pPr>
        <w:ind w:left="335" w:hanging="216"/>
        <w:jc w:val="left"/>
      </w:pPr>
      <w:rPr>
        <w:rFonts w:hint="default" w:ascii="Arial" w:hAnsi="Arial" w:eastAsia="Arial" w:cs="Arial"/>
        <w:b/>
        <w:bCs/>
        <w:w w:val="99"/>
        <w:sz w:val="26"/>
        <w:szCs w:val="26"/>
      </w:rPr>
    </w:lvl>
    <w:lvl w:ilvl="1">
      <w:start w:val="1"/>
      <w:numFmt w:val="bullet"/>
      <w:lvlText w:val="•"/>
      <w:lvlJc w:val="left"/>
      <w:pPr>
        <w:ind w:left="1214" w:hanging="216"/>
      </w:pPr>
      <w:rPr>
        <w:rFonts w:hint="default"/>
      </w:rPr>
    </w:lvl>
    <w:lvl w:ilvl="2">
      <w:start w:val="1"/>
      <w:numFmt w:val="bullet"/>
      <w:lvlText w:val="•"/>
      <w:lvlJc w:val="left"/>
      <w:pPr>
        <w:ind w:left="2088" w:hanging="216"/>
      </w:pPr>
      <w:rPr>
        <w:rFonts w:hint="default"/>
      </w:rPr>
    </w:lvl>
    <w:lvl w:ilvl="3">
      <w:start w:val="1"/>
      <w:numFmt w:val="bullet"/>
      <w:lvlText w:val="•"/>
      <w:lvlJc w:val="left"/>
      <w:pPr>
        <w:ind w:left="2962" w:hanging="216"/>
      </w:pPr>
      <w:rPr>
        <w:rFonts w:hint="default"/>
      </w:rPr>
    </w:lvl>
    <w:lvl w:ilvl="4">
      <w:start w:val="1"/>
      <w:numFmt w:val="bullet"/>
      <w:lvlText w:val="•"/>
      <w:lvlJc w:val="left"/>
      <w:pPr>
        <w:ind w:left="3836" w:hanging="216"/>
      </w:pPr>
      <w:rPr>
        <w:rFonts w:hint="default"/>
      </w:rPr>
    </w:lvl>
    <w:lvl w:ilvl="5">
      <w:start w:val="1"/>
      <w:numFmt w:val="bullet"/>
      <w:lvlText w:val="•"/>
      <w:lvlJc w:val="left"/>
      <w:pPr>
        <w:ind w:left="4710" w:hanging="216"/>
      </w:pPr>
      <w:rPr>
        <w:rFonts w:hint="default"/>
      </w:rPr>
    </w:lvl>
    <w:lvl w:ilvl="6">
      <w:start w:val="1"/>
      <w:numFmt w:val="bullet"/>
      <w:lvlText w:val="•"/>
      <w:lvlJc w:val="left"/>
      <w:pPr>
        <w:ind w:left="5584" w:hanging="216"/>
      </w:pPr>
      <w:rPr>
        <w:rFonts w:hint="default"/>
      </w:rPr>
    </w:lvl>
    <w:lvl w:ilvl="7">
      <w:start w:val="1"/>
      <w:numFmt w:val="bullet"/>
      <w:lvlText w:val="•"/>
      <w:lvlJc w:val="left"/>
      <w:pPr>
        <w:ind w:left="6458" w:hanging="216"/>
      </w:pPr>
      <w:rPr>
        <w:rFonts w:hint="default"/>
      </w:rPr>
    </w:lvl>
    <w:lvl w:ilvl="8">
      <w:start w:val="1"/>
      <w:numFmt w:val="bullet"/>
      <w:lvlText w:val="•"/>
      <w:lvlJc w:val="left"/>
      <w:pPr>
        <w:ind w:left="7332" w:hanging="216"/>
      </w:pPr>
      <w:rPr>
        <w:rFonts w:hint="default"/>
      </w:rPr>
    </w:lvl>
  </w:abstractNum>
  <w:abstractNum w:abstractNumId="3">
    <w:multiLevelType w:val="hybridMultilevel"/>
    <w:lvl w:ilvl="0">
      <w:start w:val="8"/>
      <w:numFmt w:val="decimal"/>
      <w:lvlText w:val="%1"/>
      <w:lvlJc w:val="left"/>
      <w:pPr>
        <w:ind w:left="488" w:hanging="369"/>
        <w:jc w:val="left"/>
      </w:pPr>
      <w:rPr>
        <w:rFonts w:hint="default"/>
      </w:rPr>
    </w:lvl>
    <w:lvl w:ilvl="1">
      <w:start w:val="1"/>
      <w:numFmt w:val="decimal"/>
      <w:lvlText w:val="%1.%2"/>
      <w:lvlJc w:val="left"/>
      <w:pPr>
        <w:ind w:left="488" w:hanging="369"/>
        <w:jc w:val="left"/>
      </w:pPr>
      <w:rPr>
        <w:rFonts w:hint="default" w:ascii="Arial" w:hAnsi="Arial" w:eastAsia="Arial" w:cs="Arial"/>
        <w:spacing w:val="0"/>
        <w:w w:val="100"/>
        <w:sz w:val="22"/>
        <w:szCs w:val="22"/>
      </w:rPr>
    </w:lvl>
    <w:lvl w:ilvl="2">
      <w:start w:val="1"/>
      <w:numFmt w:val="bullet"/>
      <w:lvlText w:val="•"/>
      <w:lvlJc w:val="left"/>
      <w:pPr>
        <w:ind w:left="2196" w:hanging="369"/>
      </w:pPr>
      <w:rPr>
        <w:rFonts w:hint="default"/>
      </w:rPr>
    </w:lvl>
    <w:lvl w:ilvl="3">
      <w:start w:val="1"/>
      <w:numFmt w:val="bullet"/>
      <w:lvlText w:val="•"/>
      <w:lvlJc w:val="left"/>
      <w:pPr>
        <w:ind w:left="3054" w:hanging="369"/>
      </w:pPr>
      <w:rPr>
        <w:rFonts w:hint="default"/>
      </w:rPr>
    </w:lvl>
    <w:lvl w:ilvl="4">
      <w:start w:val="1"/>
      <w:numFmt w:val="bullet"/>
      <w:lvlText w:val="•"/>
      <w:lvlJc w:val="left"/>
      <w:pPr>
        <w:ind w:left="3912" w:hanging="369"/>
      </w:pPr>
      <w:rPr>
        <w:rFonts w:hint="default"/>
      </w:rPr>
    </w:lvl>
    <w:lvl w:ilvl="5">
      <w:start w:val="1"/>
      <w:numFmt w:val="bullet"/>
      <w:lvlText w:val="•"/>
      <w:lvlJc w:val="left"/>
      <w:pPr>
        <w:ind w:left="4770" w:hanging="369"/>
      </w:pPr>
      <w:rPr>
        <w:rFonts w:hint="default"/>
      </w:rPr>
    </w:lvl>
    <w:lvl w:ilvl="6">
      <w:start w:val="1"/>
      <w:numFmt w:val="bullet"/>
      <w:lvlText w:val="•"/>
      <w:lvlJc w:val="left"/>
      <w:pPr>
        <w:ind w:left="5628" w:hanging="369"/>
      </w:pPr>
      <w:rPr>
        <w:rFonts w:hint="default"/>
      </w:rPr>
    </w:lvl>
    <w:lvl w:ilvl="7">
      <w:start w:val="1"/>
      <w:numFmt w:val="bullet"/>
      <w:lvlText w:val="•"/>
      <w:lvlJc w:val="left"/>
      <w:pPr>
        <w:ind w:left="6486" w:hanging="369"/>
      </w:pPr>
      <w:rPr>
        <w:rFonts w:hint="default"/>
      </w:rPr>
    </w:lvl>
    <w:lvl w:ilvl="8">
      <w:start w:val="1"/>
      <w:numFmt w:val="bullet"/>
      <w:lvlText w:val="•"/>
      <w:lvlJc w:val="left"/>
      <w:pPr>
        <w:ind w:left="7344" w:hanging="369"/>
      </w:pPr>
      <w:rPr>
        <w:rFonts w:hint="default"/>
      </w:rPr>
    </w:lvl>
  </w:abstractNum>
  <w:abstractNum w:abstractNumId="2">
    <w:multiLevelType w:val="hybridMultilevel"/>
    <w:lvl w:ilvl="0">
      <w:start w:val="7"/>
      <w:numFmt w:val="decimal"/>
      <w:lvlText w:val="%1"/>
      <w:lvlJc w:val="left"/>
      <w:pPr>
        <w:ind w:left="488" w:hanging="369"/>
        <w:jc w:val="left"/>
      </w:pPr>
      <w:rPr>
        <w:rFonts w:hint="default"/>
      </w:rPr>
    </w:lvl>
    <w:lvl w:ilvl="1">
      <w:start w:val="1"/>
      <w:numFmt w:val="decimal"/>
      <w:lvlText w:val="%1.%2"/>
      <w:lvlJc w:val="left"/>
      <w:pPr>
        <w:ind w:left="119" w:hanging="369"/>
        <w:jc w:val="left"/>
      </w:pPr>
      <w:rPr>
        <w:rFonts w:hint="default" w:ascii="Arial" w:hAnsi="Arial" w:eastAsia="Arial" w:cs="Arial"/>
        <w:spacing w:val="0"/>
        <w:w w:val="100"/>
        <w:sz w:val="22"/>
        <w:szCs w:val="22"/>
      </w:rPr>
    </w:lvl>
    <w:lvl w:ilvl="2">
      <w:start w:val="1"/>
      <w:numFmt w:val="bullet"/>
      <w:lvlText w:val="•"/>
      <w:lvlJc w:val="left"/>
      <w:pPr>
        <w:ind w:left="1433" w:hanging="369"/>
      </w:pPr>
      <w:rPr>
        <w:rFonts w:hint="default"/>
      </w:rPr>
    </w:lvl>
    <w:lvl w:ilvl="3">
      <w:start w:val="1"/>
      <w:numFmt w:val="bullet"/>
      <w:lvlText w:val="•"/>
      <w:lvlJc w:val="left"/>
      <w:pPr>
        <w:ind w:left="2386" w:hanging="369"/>
      </w:pPr>
      <w:rPr>
        <w:rFonts w:hint="default"/>
      </w:rPr>
    </w:lvl>
    <w:lvl w:ilvl="4">
      <w:start w:val="1"/>
      <w:numFmt w:val="bullet"/>
      <w:lvlText w:val="•"/>
      <w:lvlJc w:val="left"/>
      <w:pPr>
        <w:ind w:left="3340" w:hanging="369"/>
      </w:pPr>
      <w:rPr>
        <w:rFonts w:hint="default"/>
      </w:rPr>
    </w:lvl>
    <w:lvl w:ilvl="5">
      <w:start w:val="1"/>
      <w:numFmt w:val="bullet"/>
      <w:lvlText w:val="•"/>
      <w:lvlJc w:val="left"/>
      <w:pPr>
        <w:ind w:left="4293" w:hanging="369"/>
      </w:pPr>
      <w:rPr>
        <w:rFonts w:hint="default"/>
      </w:rPr>
    </w:lvl>
    <w:lvl w:ilvl="6">
      <w:start w:val="1"/>
      <w:numFmt w:val="bullet"/>
      <w:lvlText w:val="•"/>
      <w:lvlJc w:val="left"/>
      <w:pPr>
        <w:ind w:left="5246" w:hanging="369"/>
      </w:pPr>
      <w:rPr>
        <w:rFonts w:hint="default"/>
      </w:rPr>
    </w:lvl>
    <w:lvl w:ilvl="7">
      <w:start w:val="1"/>
      <w:numFmt w:val="bullet"/>
      <w:lvlText w:val="•"/>
      <w:lvlJc w:val="left"/>
      <w:pPr>
        <w:ind w:left="6200" w:hanging="369"/>
      </w:pPr>
      <w:rPr>
        <w:rFonts w:hint="default"/>
      </w:rPr>
    </w:lvl>
    <w:lvl w:ilvl="8">
      <w:start w:val="1"/>
      <w:numFmt w:val="bullet"/>
      <w:lvlText w:val="•"/>
      <w:lvlJc w:val="left"/>
      <w:pPr>
        <w:ind w:left="7153" w:hanging="369"/>
      </w:pPr>
      <w:rPr>
        <w:rFonts w:hint="default"/>
      </w:rPr>
    </w:lvl>
  </w:abstractNum>
  <w:abstractNum w:abstractNumId="1">
    <w:multiLevelType w:val="hybridMultilevel"/>
    <w:lvl w:ilvl="0">
      <w:start w:val="2"/>
      <w:numFmt w:val="decimal"/>
      <w:lvlText w:val="%1"/>
      <w:lvlJc w:val="left"/>
      <w:pPr>
        <w:ind w:left="550" w:hanging="432"/>
        <w:jc w:val="left"/>
      </w:pPr>
      <w:rPr>
        <w:rFonts w:hint="default"/>
      </w:rPr>
    </w:lvl>
    <w:lvl w:ilvl="1">
      <w:start w:val="2"/>
      <w:numFmt w:val="decimal"/>
      <w:lvlText w:val="%1.%2."/>
      <w:lvlJc w:val="left"/>
      <w:pPr>
        <w:ind w:left="550" w:hanging="432"/>
        <w:jc w:val="left"/>
      </w:pPr>
      <w:rPr>
        <w:rFonts w:hint="default" w:ascii="Arial" w:hAnsi="Arial" w:eastAsia="Arial" w:cs="Arial"/>
        <w:spacing w:val="-3"/>
        <w:w w:val="100"/>
        <w:sz w:val="22"/>
        <w:szCs w:val="22"/>
      </w:rPr>
    </w:lvl>
    <w:lvl w:ilvl="2">
      <w:start w:val="1"/>
      <w:numFmt w:val="bullet"/>
      <w:lvlText w:val="•"/>
      <w:lvlJc w:val="left"/>
      <w:pPr>
        <w:ind w:left="2260" w:hanging="432"/>
      </w:pPr>
      <w:rPr>
        <w:rFonts w:hint="default"/>
      </w:rPr>
    </w:lvl>
    <w:lvl w:ilvl="3">
      <w:start w:val="1"/>
      <w:numFmt w:val="bullet"/>
      <w:lvlText w:val="•"/>
      <w:lvlJc w:val="left"/>
      <w:pPr>
        <w:ind w:left="3110" w:hanging="432"/>
      </w:pPr>
      <w:rPr>
        <w:rFonts w:hint="default"/>
      </w:rPr>
    </w:lvl>
    <w:lvl w:ilvl="4">
      <w:start w:val="1"/>
      <w:numFmt w:val="bullet"/>
      <w:lvlText w:val="•"/>
      <w:lvlJc w:val="left"/>
      <w:pPr>
        <w:ind w:left="3960" w:hanging="432"/>
      </w:pPr>
      <w:rPr>
        <w:rFonts w:hint="default"/>
      </w:rPr>
    </w:lvl>
    <w:lvl w:ilvl="5">
      <w:start w:val="1"/>
      <w:numFmt w:val="bullet"/>
      <w:lvlText w:val="•"/>
      <w:lvlJc w:val="left"/>
      <w:pPr>
        <w:ind w:left="4810" w:hanging="432"/>
      </w:pPr>
      <w:rPr>
        <w:rFonts w:hint="default"/>
      </w:rPr>
    </w:lvl>
    <w:lvl w:ilvl="6">
      <w:start w:val="1"/>
      <w:numFmt w:val="bullet"/>
      <w:lvlText w:val="•"/>
      <w:lvlJc w:val="left"/>
      <w:pPr>
        <w:ind w:left="5660" w:hanging="432"/>
      </w:pPr>
      <w:rPr>
        <w:rFonts w:hint="default"/>
      </w:rPr>
    </w:lvl>
    <w:lvl w:ilvl="7">
      <w:start w:val="1"/>
      <w:numFmt w:val="bullet"/>
      <w:lvlText w:val="•"/>
      <w:lvlJc w:val="left"/>
      <w:pPr>
        <w:ind w:left="6510" w:hanging="432"/>
      </w:pPr>
      <w:rPr>
        <w:rFonts w:hint="default"/>
      </w:rPr>
    </w:lvl>
    <w:lvl w:ilvl="8">
      <w:start w:val="1"/>
      <w:numFmt w:val="bullet"/>
      <w:lvlText w:val="•"/>
      <w:lvlJc w:val="left"/>
      <w:pPr>
        <w:ind w:left="7360" w:hanging="432"/>
      </w:pPr>
      <w:rPr>
        <w:rFonts w:hint="default"/>
      </w:rPr>
    </w:lvl>
  </w:abstractNum>
  <w:abstractNum w:abstractNumId="0">
    <w:multiLevelType w:val="hybridMultilevel"/>
    <w:lvl w:ilvl="0">
      <w:start w:val="1"/>
      <w:numFmt w:val="upperRoman"/>
      <w:lvlText w:val="%1."/>
      <w:lvlJc w:val="left"/>
      <w:pPr>
        <w:ind w:left="301" w:hanging="183"/>
        <w:jc w:val="left"/>
      </w:pPr>
      <w:rPr>
        <w:rFonts w:hint="default" w:ascii="Arial" w:hAnsi="Arial" w:eastAsia="Arial" w:cs="Arial"/>
        <w:spacing w:val="-4"/>
        <w:w w:val="100"/>
        <w:sz w:val="22"/>
        <w:szCs w:val="22"/>
      </w:rPr>
    </w:lvl>
    <w:lvl w:ilvl="1">
      <w:start w:val="1"/>
      <w:numFmt w:val="bullet"/>
      <w:lvlText w:val="•"/>
      <w:lvlJc w:val="left"/>
      <w:pPr>
        <w:ind w:left="1176" w:hanging="183"/>
      </w:pPr>
      <w:rPr>
        <w:rFonts w:hint="default"/>
      </w:rPr>
    </w:lvl>
    <w:lvl w:ilvl="2">
      <w:start w:val="1"/>
      <w:numFmt w:val="bullet"/>
      <w:lvlText w:val="•"/>
      <w:lvlJc w:val="left"/>
      <w:pPr>
        <w:ind w:left="2052" w:hanging="183"/>
      </w:pPr>
      <w:rPr>
        <w:rFonts w:hint="default"/>
      </w:rPr>
    </w:lvl>
    <w:lvl w:ilvl="3">
      <w:start w:val="1"/>
      <w:numFmt w:val="bullet"/>
      <w:lvlText w:val="•"/>
      <w:lvlJc w:val="left"/>
      <w:pPr>
        <w:ind w:left="2928" w:hanging="183"/>
      </w:pPr>
      <w:rPr>
        <w:rFonts w:hint="default"/>
      </w:rPr>
    </w:lvl>
    <w:lvl w:ilvl="4">
      <w:start w:val="1"/>
      <w:numFmt w:val="bullet"/>
      <w:lvlText w:val="•"/>
      <w:lvlJc w:val="left"/>
      <w:pPr>
        <w:ind w:left="3804" w:hanging="183"/>
      </w:pPr>
      <w:rPr>
        <w:rFonts w:hint="default"/>
      </w:rPr>
    </w:lvl>
    <w:lvl w:ilvl="5">
      <w:start w:val="1"/>
      <w:numFmt w:val="bullet"/>
      <w:lvlText w:val="•"/>
      <w:lvlJc w:val="left"/>
      <w:pPr>
        <w:ind w:left="4680" w:hanging="183"/>
      </w:pPr>
      <w:rPr>
        <w:rFonts w:hint="default"/>
      </w:rPr>
    </w:lvl>
    <w:lvl w:ilvl="6">
      <w:start w:val="1"/>
      <w:numFmt w:val="bullet"/>
      <w:lvlText w:val="•"/>
      <w:lvlJc w:val="left"/>
      <w:pPr>
        <w:ind w:left="5556" w:hanging="183"/>
      </w:pPr>
      <w:rPr>
        <w:rFonts w:hint="default"/>
      </w:rPr>
    </w:lvl>
    <w:lvl w:ilvl="7">
      <w:start w:val="1"/>
      <w:numFmt w:val="bullet"/>
      <w:lvlText w:val="•"/>
      <w:lvlJc w:val="left"/>
      <w:pPr>
        <w:ind w:left="6432" w:hanging="183"/>
      </w:pPr>
      <w:rPr>
        <w:rFonts w:hint="default"/>
      </w:rPr>
    </w:lvl>
    <w:lvl w:ilvl="8">
      <w:start w:val="1"/>
      <w:numFmt w:val="bullet"/>
      <w:lvlText w:val="•"/>
      <w:lvlJc w:val="left"/>
      <w:pPr>
        <w:ind w:left="7308" w:hanging="183"/>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40"/>
      <w:ind w:left="119"/>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9"/>
      <w:jc w:val="both"/>
      <w:outlineLvl w:val="1"/>
    </w:pPr>
    <w:rPr>
      <w:rFonts w:ascii="Arial" w:hAnsi="Arial" w:eastAsia="Arial" w:cs="Arial"/>
      <w:b/>
      <w:bCs/>
      <w:sz w:val="26"/>
      <w:szCs w:val="26"/>
    </w:rPr>
  </w:style>
  <w:style w:styleId="Heading2" w:type="paragraph">
    <w:name w:val="Heading 2"/>
    <w:basedOn w:val="Normal"/>
    <w:uiPriority w:val="1"/>
    <w:qFormat/>
    <w:pPr>
      <w:spacing w:before="47"/>
      <w:ind w:left="119"/>
      <w:jc w:val="both"/>
      <w:outlineLvl w:val="2"/>
    </w:pPr>
    <w:rPr>
      <w:rFonts w:ascii="Arial" w:hAnsi="Arial" w:eastAsia="Arial" w:cs="Arial"/>
      <w:b/>
      <w:bCs/>
      <w:sz w:val="24"/>
      <w:szCs w:val="24"/>
    </w:rPr>
  </w:style>
  <w:style w:styleId="Heading3" w:type="paragraph">
    <w:name w:val="Heading 3"/>
    <w:basedOn w:val="Normal"/>
    <w:uiPriority w:val="1"/>
    <w:qFormat/>
    <w:pPr>
      <w:spacing w:before="52"/>
      <w:ind w:left="388" w:hanging="269"/>
      <w:jc w:val="both"/>
      <w:outlineLvl w:val="3"/>
    </w:pPr>
    <w:rPr>
      <w:rFonts w:ascii="Arial" w:hAnsi="Arial" w:eastAsia="Arial" w:cs="Arial"/>
      <w:b/>
      <w:bCs/>
      <w:i/>
      <w:sz w:val="24"/>
      <w:szCs w:val="24"/>
    </w:rPr>
  </w:style>
  <w:style w:styleId="ListParagraph" w:type="paragraph">
    <w:name w:val="List Paragraph"/>
    <w:basedOn w:val="Normal"/>
    <w:uiPriority w:val="1"/>
    <w:qFormat/>
    <w:pPr>
      <w:spacing w:before="240"/>
      <w:ind w:left="119"/>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hyperlink" Target="mailto:ees.anifee.0.23bd22.76b61652@eesmail.elsevier.com" TargetMode="External"/><Relationship Id="rId12" Type="http://schemas.openxmlformats.org/officeDocument/2006/relationships/hyperlink" Target="mailto:anifee@elsevier.com" TargetMode="External"/><Relationship Id="rId13" Type="http://schemas.openxmlformats.org/officeDocument/2006/relationships/hyperlink" Target="mailto:efjulissa@hotmail.com" TargetMode="External"/><Relationship Id="rId14" Type="http://schemas.openxmlformats.org/officeDocument/2006/relationships/hyperlink" Target="http://ees.elsevier.com/anifee/" TargetMode="External"/><Relationship Id="rId15" Type="http://schemas.openxmlformats.org/officeDocument/2006/relationships/hyperlink" Target="mailto:jgestradaf@uaemex.mx" TargetMode="Externa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footer" Target="footer12.xml"/><Relationship Id="rId23" Type="http://schemas.openxmlformats.org/officeDocument/2006/relationships/footer" Target="footer13.xml"/><Relationship Id="rId24" Type="http://schemas.openxmlformats.org/officeDocument/2006/relationships/footer" Target="footer14.xml"/><Relationship Id="rId25" Type="http://schemas.openxmlformats.org/officeDocument/2006/relationships/footer" Target="footer15.xml"/><Relationship Id="rId26" Type="http://schemas.openxmlformats.org/officeDocument/2006/relationships/footer" Target="footer16.xml"/><Relationship Id="rId27" Type="http://schemas.openxmlformats.org/officeDocument/2006/relationships/footer" Target="footer17.xml"/><Relationship Id="rId28" Type="http://schemas.openxmlformats.org/officeDocument/2006/relationships/image" Target="media/image2.png"/><Relationship Id="rId29" Type="http://schemas.openxmlformats.org/officeDocument/2006/relationships/image" Target="media/image3.png"/><Relationship Id="rId30" Type="http://schemas.openxmlformats.org/officeDocument/2006/relationships/image" Target="media/image4.png"/><Relationship Id="rId31" Type="http://schemas.openxmlformats.org/officeDocument/2006/relationships/image" Target="media/image5.png"/><Relationship Id="rId32" Type="http://schemas.openxmlformats.org/officeDocument/2006/relationships/image" Target="media/image6.png"/><Relationship Id="rId33" Type="http://schemas.openxmlformats.org/officeDocument/2006/relationships/hyperlink" Target="mailto:maty_era@hotmail.com" TargetMode="External"/><Relationship Id="rId3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dc:creator>
  <dcterms:created xsi:type="dcterms:W3CDTF">2017-05-24T20:19:04Z</dcterms:created>
  <dcterms:modified xsi:type="dcterms:W3CDTF">2017-05-24T20:19:04Z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2013-09-27T00:00:00Z</vt:filetime>
  </property>
  <property fmtid="{D5CDD505-2E9C-101B-9397-08002B2CF9AE}" pid="3" name="Creator">
    <vt:lpwstr>Microsoft® Word 2010</vt:lpwstr>
  </property>
  <property fmtid="{D5CDD505-2E9C-101B-9397-08002B2CF9AE}" pid="4" name="LastSaved">
    <vt:filetime>2017-05-24T00:00:00Z</vt:filetime>
  </property>
</Properties>
</file>